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9363" w14:textId="77777777" w:rsidR="00F91C7B" w:rsidRPr="00783B4B" w:rsidRDefault="00F91C7B" w:rsidP="00783B4B">
      <w:pPr>
        <w:rPr>
          <w:b/>
          <w:bCs/>
          <w:i/>
          <w:iCs/>
          <w:sz w:val="22"/>
          <w:szCs w:val="22"/>
          <w:u w:val="single"/>
          <w:lang w:val="sr-Latn-ME"/>
        </w:rPr>
      </w:pPr>
    </w:p>
    <w:p w14:paraId="67DC9364" w14:textId="77777777" w:rsidR="002510A5" w:rsidRPr="00783B4B" w:rsidRDefault="002510A5" w:rsidP="00783B4B">
      <w:pPr>
        <w:jc w:val="center"/>
        <w:rPr>
          <w:b/>
          <w:bCs/>
          <w:iCs/>
          <w:sz w:val="22"/>
          <w:szCs w:val="22"/>
          <w:u w:val="single"/>
          <w:lang w:val="sr-Latn-ME"/>
        </w:rPr>
      </w:pPr>
      <w:r w:rsidRPr="00783B4B">
        <w:rPr>
          <w:b/>
          <w:bCs/>
          <w:iCs/>
          <w:sz w:val="22"/>
          <w:szCs w:val="22"/>
          <w:u w:val="single"/>
          <w:lang w:val="sr-Latn-ME"/>
        </w:rPr>
        <w:t>SAŽETAK KARAKTERISTIKA LIJEKA</w:t>
      </w:r>
    </w:p>
    <w:p w14:paraId="67DC9366" w14:textId="77777777" w:rsidR="003C17AB" w:rsidRPr="00783B4B" w:rsidRDefault="003C17AB" w:rsidP="00783B4B">
      <w:pPr>
        <w:rPr>
          <w:sz w:val="22"/>
          <w:szCs w:val="22"/>
          <w:lang w:val="sr-Latn-ME"/>
        </w:rPr>
      </w:pPr>
    </w:p>
    <w:p w14:paraId="67DC9368" w14:textId="77777777" w:rsidR="003C17AB" w:rsidRPr="00783B4B" w:rsidRDefault="003C17AB" w:rsidP="00783B4B">
      <w:pPr>
        <w:tabs>
          <w:tab w:val="left" w:pos="540"/>
          <w:tab w:val="left" w:pos="569"/>
        </w:tabs>
        <w:rPr>
          <w:noProof/>
          <w:sz w:val="22"/>
          <w:szCs w:val="22"/>
          <w:lang w:val="sr-Latn-ME"/>
        </w:rPr>
      </w:pPr>
    </w:p>
    <w:p w14:paraId="67DC936A"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1.</w:t>
      </w:r>
      <w:r w:rsidR="00F5167F" w:rsidRPr="00783B4B">
        <w:rPr>
          <w:b/>
          <w:bCs/>
          <w:sz w:val="22"/>
          <w:szCs w:val="22"/>
          <w:lang w:val="sr-Latn-ME"/>
        </w:rPr>
        <w:tab/>
      </w:r>
      <w:r w:rsidR="002846DB" w:rsidRPr="00783B4B">
        <w:rPr>
          <w:b/>
          <w:bCs/>
          <w:sz w:val="22"/>
          <w:szCs w:val="22"/>
          <w:lang w:val="sr-Latn-ME"/>
        </w:rPr>
        <w:t xml:space="preserve">NAZIV </w:t>
      </w:r>
      <w:r w:rsidRPr="00783B4B">
        <w:rPr>
          <w:b/>
          <w:bCs/>
          <w:sz w:val="22"/>
          <w:szCs w:val="22"/>
          <w:lang w:val="sr-Latn-ME"/>
        </w:rPr>
        <w:t>LIJEKA</w:t>
      </w:r>
    </w:p>
    <w:p w14:paraId="67DC936B" w14:textId="77777777" w:rsidR="00EC2532" w:rsidRPr="00783B4B" w:rsidRDefault="00EC2532" w:rsidP="00783B4B">
      <w:pPr>
        <w:rPr>
          <w:sz w:val="22"/>
          <w:szCs w:val="22"/>
          <w:lang w:val="sr-Latn-ME"/>
        </w:rPr>
      </w:pPr>
    </w:p>
    <w:p w14:paraId="1B8651E8" w14:textId="7C8D7EC8" w:rsidR="00A937BA" w:rsidRPr="00783B4B" w:rsidRDefault="00A937BA" w:rsidP="00783B4B">
      <w:pPr>
        <w:rPr>
          <w:sz w:val="22"/>
          <w:szCs w:val="22"/>
          <w:lang w:val="sr-Latn-ME"/>
        </w:rPr>
      </w:pPr>
      <w:proofErr w:type="spellStart"/>
      <w:r w:rsidRPr="00783B4B">
        <w:rPr>
          <w:sz w:val="22"/>
          <w:szCs w:val="22"/>
          <w:lang w:val="sr-Latn-ME"/>
        </w:rPr>
        <w:t>Trasolette</w:t>
      </w:r>
      <w:proofErr w:type="spellEnd"/>
      <w:r w:rsidRPr="00783B4B">
        <w:rPr>
          <w:sz w:val="22"/>
          <w:szCs w:val="22"/>
          <w:lang w:val="sr-Latn-ME"/>
        </w:rPr>
        <w:t>, 1</w:t>
      </w:r>
      <w:r w:rsidR="00735875" w:rsidRPr="00783B4B">
        <w:rPr>
          <w:sz w:val="22"/>
          <w:szCs w:val="22"/>
          <w:lang w:val="sr-Latn-ME"/>
        </w:rPr>
        <w:t xml:space="preserve"> </w:t>
      </w:r>
      <w:r w:rsidRPr="00783B4B">
        <w:rPr>
          <w:sz w:val="22"/>
          <w:szCs w:val="22"/>
          <w:lang w:val="sr-Latn-ME"/>
        </w:rPr>
        <w:t xml:space="preserve">mg, film </w:t>
      </w:r>
      <w:r w:rsidR="00735875" w:rsidRPr="00783B4B">
        <w:rPr>
          <w:sz w:val="22"/>
          <w:szCs w:val="22"/>
          <w:lang w:val="sr-Latn-ME"/>
        </w:rPr>
        <w:t>tableta</w:t>
      </w:r>
    </w:p>
    <w:p w14:paraId="3D5D2C40" w14:textId="77777777" w:rsidR="00A937BA" w:rsidRPr="00783B4B" w:rsidRDefault="00A937BA" w:rsidP="00783B4B">
      <w:pPr>
        <w:rPr>
          <w:sz w:val="22"/>
          <w:szCs w:val="22"/>
          <w:lang w:val="sr-Latn-ME"/>
        </w:rPr>
      </w:pPr>
    </w:p>
    <w:p w14:paraId="67DC936E" w14:textId="4965C1EF" w:rsidR="006D20A5" w:rsidRPr="00783B4B" w:rsidRDefault="006D20A5" w:rsidP="00783B4B">
      <w:pPr>
        <w:rPr>
          <w:sz w:val="22"/>
          <w:szCs w:val="22"/>
          <w:lang w:val="sr-Latn-ME"/>
        </w:rPr>
      </w:pPr>
      <w:proofErr w:type="spellStart"/>
      <w:r w:rsidRPr="00783B4B">
        <w:rPr>
          <w:sz w:val="22"/>
          <w:szCs w:val="22"/>
          <w:lang w:val="sr-Latn-ME"/>
        </w:rPr>
        <w:t>INN</w:t>
      </w:r>
      <w:proofErr w:type="spellEnd"/>
      <w:r w:rsidRPr="00783B4B">
        <w:rPr>
          <w:sz w:val="22"/>
          <w:szCs w:val="22"/>
          <w:lang w:val="sr-Latn-ME"/>
        </w:rPr>
        <w:t>:</w:t>
      </w:r>
      <w:r w:rsidR="00DA3C0E" w:rsidRPr="00783B4B">
        <w:rPr>
          <w:sz w:val="22"/>
          <w:szCs w:val="22"/>
          <w:lang w:val="sr-Latn-ME"/>
        </w:rPr>
        <w:t xml:space="preserve"> </w:t>
      </w:r>
      <w:proofErr w:type="spellStart"/>
      <w:r w:rsidR="00DA3C0E" w:rsidRPr="00783B4B">
        <w:rPr>
          <w:sz w:val="22"/>
          <w:szCs w:val="22"/>
          <w:lang w:val="sr-Latn-ME"/>
        </w:rPr>
        <w:t>anastrozol</w:t>
      </w:r>
      <w:proofErr w:type="spellEnd"/>
    </w:p>
    <w:p w14:paraId="67DC9370" w14:textId="2304298A" w:rsidR="00530BD7" w:rsidRPr="00783B4B" w:rsidRDefault="00530BD7" w:rsidP="00783B4B">
      <w:pPr>
        <w:rPr>
          <w:bCs/>
          <w:sz w:val="22"/>
          <w:szCs w:val="22"/>
          <w:lang w:val="sr-Latn-ME"/>
        </w:rPr>
      </w:pPr>
    </w:p>
    <w:p w14:paraId="71BA555E" w14:textId="77777777" w:rsidR="00783B4B" w:rsidRPr="00783B4B" w:rsidRDefault="00783B4B" w:rsidP="00783B4B">
      <w:pPr>
        <w:rPr>
          <w:bCs/>
          <w:sz w:val="22"/>
          <w:szCs w:val="22"/>
          <w:lang w:val="sr-Latn-ME"/>
        </w:rPr>
      </w:pPr>
    </w:p>
    <w:p w14:paraId="67DC9371"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2. </w:t>
      </w:r>
      <w:r w:rsidR="00F5167F" w:rsidRPr="00783B4B">
        <w:rPr>
          <w:b/>
          <w:bCs/>
          <w:sz w:val="22"/>
          <w:szCs w:val="22"/>
          <w:lang w:val="sr-Latn-ME"/>
        </w:rPr>
        <w:tab/>
      </w:r>
      <w:r w:rsidRPr="00783B4B">
        <w:rPr>
          <w:b/>
          <w:bCs/>
          <w:sz w:val="22"/>
          <w:szCs w:val="22"/>
          <w:lang w:val="sr-Latn-ME"/>
        </w:rPr>
        <w:t>KVALITATIVNI I KVANTITATIVNI SASTAV</w:t>
      </w:r>
    </w:p>
    <w:p w14:paraId="67DC9372" w14:textId="77777777" w:rsidR="005A0B2E" w:rsidRPr="00783B4B" w:rsidRDefault="005A0B2E" w:rsidP="00783B4B">
      <w:pPr>
        <w:rPr>
          <w:sz w:val="22"/>
          <w:szCs w:val="22"/>
          <w:lang w:val="sr-Latn-ME"/>
        </w:rPr>
      </w:pPr>
    </w:p>
    <w:p w14:paraId="4C276932" w14:textId="77777777" w:rsidR="006B4921" w:rsidRPr="00783B4B" w:rsidRDefault="006B4921" w:rsidP="00783B4B">
      <w:pPr>
        <w:rPr>
          <w:sz w:val="22"/>
          <w:szCs w:val="22"/>
          <w:lang w:val="sr-Latn-ME"/>
        </w:rPr>
      </w:pPr>
      <w:r w:rsidRPr="00783B4B">
        <w:rPr>
          <w:sz w:val="22"/>
          <w:szCs w:val="22"/>
          <w:lang w:val="sr-Latn-ME"/>
        </w:rPr>
        <w:t xml:space="preserve">Jedna film tableta sadrži 1 mg </w:t>
      </w:r>
      <w:proofErr w:type="spellStart"/>
      <w:r w:rsidRPr="00783B4B">
        <w:rPr>
          <w:sz w:val="22"/>
          <w:szCs w:val="22"/>
          <w:lang w:val="sr-Latn-ME"/>
        </w:rPr>
        <w:t>anastrozola</w:t>
      </w:r>
      <w:proofErr w:type="spellEnd"/>
      <w:r w:rsidRPr="00783B4B">
        <w:rPr>
          <w:sz w:val="22"/>
          <w:szCs w:val="22"/>
          <w:lang w:val="sr-Latn-ME"/>
        </w:rPr>
        <w:t xml:space="preserve">. </w:t>
      </w:r>
    </w:p>
    <w:p w14:paraId="1EFB6DF2" w14:textId="77777777" w:rsidR="006B4921" w:rsidRPr="00783B4B" w:rsidRDefault="006B4921" w:rsidP="00783B4B">
      <w:pPr>
        <w:rPr>
          <w:sz w:val="22"/>
          <w:szCs w:val="22"/>
          <w:lang w:val="sr-Latn-ME"/>
        </w:rPr>
      </w:pPr>
    </w:p>
    <w:p w14:paraId="29B1002B" w14:textId="1ABDF529" w:rsidR="0039070A" w:rsidRPr="00783B4B" w:rsidRDefault="0039070A" w:rsidP="00783B4B">
      <w:pPr>
        <w:rPr>
          <w:sz w:val="22"/>
          <w:szCs w:val="22"/>
          <w:u w:val="single"/>
          <w:lang w:val="sr-Latn-ME"/>
        </w:rPr>
      </w:pPr>
      <w:r w:rsidRPr="00783B4B">
        <w:rPr>
          <w:sz w:val="22"/>
          <w:szCs w:val="22"/>
          <w:u w:val="single"/>
          <w:lang w:val="sr-Latn-ME"/>
        </w:rPr>
        <w:t>Pomoćna supstanca sa potvrđenim dejstvom:</w:t>
      </w:r>
    </w:p>
    <w:p w14:paraId="24EED8E3" w14:textId="445D6AF1" w:rsidR="00EE5E89" w:rsidRPr="00783B4B" w:rsidRDefault="00EE5E89" w:rsidP="00783B4B">
      <w:pPr>
        <w:rPr>
          <w:sz w:val="22"/>
          <w:szCs w:val="22"/>
          <w:lang w:val="sr-Latn-ME"/>
        </w:rPr>
      </w:pPr>
      <w:r w:rsidRPr="00783B4B">
        <w:rPr>
          <w:sz w:val="22"/>
          <w:szCs w:val="22"/>
          <w:lang w:val="sr-Latn-ME"/>
        </w:rPr>
        <w:t xml:space="preserve">Jedna film tableta sadrži 92,5 mg laktoze, </w:t>
      </w:r>
      <w:proofErr w:type="spellStart"/>
      <w:r w:rsidRPr="00783B4B">
        <w:rPr>
          <w:sz w:val="22"/>
          <w:szCs w:val="22"/>
          <w:lang w:val="sr-Latn-ME"/>
        </w:rPr>
        <w:t>monohidrat</w:t>
      </w:r>
      <w:proofErr w:type="spellEnd"/>
      <w:r w:rsidRPr="00783B4B">
        <w:rPr>
          <w:sz w:val="22"/>
          <w:szCs w:val="22"/>
          <w:lang w:val="sr-Latn-ME"/>
        </w:rPr>
        <w:t xml:space="preserve"> (vid</w:t>
      </w:r>
      <w:r w:rsidR="001A3838" w:rsidRPr="00783B4B">
        <w:rPr>
          <w:sz w:val="22"/>
          <w:szCs w:val="22"/>
          <w:lang w:val="sr-Latn-ME"/>
        </w:rPr>
        <w:t>j</w:t>
      </w:r>
      <w:r w:rsidRPr="00783B4B">
        <w:rPr>
          <w:sz w:val="22"/>
          <w:szCs w:val="22"/>
          <w:lang w:val="sr-Latn-ME"/>
        </w:rPr>
        <w:t>eti od</w:t>
      </w:r>
      <w:r w:rsidR="001A3838" w:rsidRPr="00783B4B">
        <w:rPr>
          <w:sz w:val="22"/>
          <w:szCs w:val="22"/>
          <w:lang w:val="sr-Latn-ME"/>
        </w:rPr>
        <w:t>j</w:t>
      </w:r>
      <w:r w:rsidRPr="00783B4B">
        <w:rPr>
          <w:sz w:val="22"/>
          <w:szCs w:val="22"/>
          <w:lang w:val="sr-Latn-ME"/>
        </w:rPr>
        <w:t>eljak 4.4).</w:t>
      </w:r>
    </w:p>
    <w:p w14:paraId="1B5EE2BD" w14:textId="4EDC8A06" w:rsidR="006B4921" w:rsidRPr="00783B4B" w:rsidRDefault="006B4921" w:rsidP="00783B4B">
      <w:pPr>
        <w:rPr>
          <w:sz w:val="22"/>
          <w:szCs w:val="22"/>
          <w:lang w:val="sr-Latn-ME"/>
        </w:rPr>
      </w:pPr>
    </w:p>
    <w:p w14:paraId="67DC9373" w14:textId="1F47AA59" w:rsidR="0003793F" w:rsidRPr="00783B4B" w:rsidRDefault="0003793F" w:rsidP="00783B4B">
      <w:pPr>
        <w:rPr>
          <w:sz w:val="22"/>
          <w:szCs w:val="22"/>
          <w:lang w:val="sr-Latn-ME"/>
        </w:rPr>
      </w:pPr>
      <w:r w:rsidRPr="00783B4B">
        <w:rPr>
          <w:sz w:val="22"/>
          <w:szCs w:val="22"/>
          <w:lang w:val="sr-Latn-ME"/>
        </w:rPr>
        <w:t xml:space="preserve">Za spisak svih </w:t>
      </w:r>
      <w:proofErr w:type="spellStart"/>
      <w:r w:rsidRPr="00783B4B">
        <w:rPr>
          <w:sz w:val="22"/>
          <w:szCs w:val="22"/>
          <w:lang w:val="sr-Latn-ME"/>
        </w:rPr>
        <w:t>ekscipijenasa</w:t>
      </w:r>
      <w:proofErr w:type="spellEnd"/>
      <w:r w:rsidRPr="00783B4B">
        <w:rPr>
          <w:sz w:val="22"/>
          <w:szCs w:val="22"/>
          <w:lang w:val="sr-Latn-ME"/>
        </w:rPr>
        <w:t>, pogledati dio 6.1.</w:t>
      </w:r>
    </w:p>
    <w:p w14:paraId="67DC9374" w14:textId="65141853" w:rsidR="0003793F" w:rsidRPr="00783B4B" w:rsidRDefault="0003793F" w:rsidP="00783B4B">
      <w:pPr>
        <w:rPr>
          <w:sz w:val="22"/>
          <w:szCs w:val="22"/>
          <w:lang w:val="sr-Latn-ME"/>
        </w:rPr>
      </w:pPr>
    </w:p>
    <w:p w14:paraId="4EF61446" w14:textId="77777777" w:rsidR="00783B4B" w:rsidRPr="00783B4B" w:rsidRDefault="00783B4B" w:rsidP="00783B4B">
      <w:pPr>
        <w:rPr>
          <w:sz w:val="22"/>
          <w:szCs w:val="22"/>
          <w:lang w:val="sr-Latn-ME"/>
        </w:rPr>
      </w:pPr>
    </w:p>
    <w:p w14:paraId="67DC9376"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3. </w:t>
      </w:r>
      <w:r w:rsidR="00F5167F" w:rsidRPr="00783B4B">
        <w:rPr>
          <w:b/>
          <w:bCs/>
          <w:sz w:val="22"/>
          <w:szCs w:val="22"/>
          <w:lang w:val="sr-Latn-ME"/>
        </w:rPr>
        <w:tab/>
      </w:r>
      <w:r w:rsidRPr="00783B4B">
        <w:rPr>
          <w:b/>
          <w:bCs/>
          <w:sz w:val="22"/>
          <w:szCs w:val="22"/>
          <w:lang w:val="sr-Latn-ME"/>
        </w:rPr>
        <w:t>FARMACEUTSKI OBLIK</w:t>
      </w:r>
      <w:r w:rsidR="009F2D23" w:rsidRPr="00783B4B">
        <w:rPr>
          <w:b/>
          <w:bCs/>
          <w:sz w:val="22"/>
          <w:szCs w:val="22"/>
          <w:lang w:val="sr-Latn-ME"/>
        </w:rPr>
        <w:t xml:space="preserve"> </w:t>
      </w:r>
    </w:p>
    <w:p w14:paraId="67DC9377" w14:textId="77777777" w:rsidR="00411B4B" w:rsidRPr="00783B4B" w:rsidRDefault="00411B4B" w:rsidP="00783B4B">
      <w:pPr>
        <w:rPr>
          <w:bCs/>
          <w:sz w:val="22"/>
          <w:szCs w:val="22"/>
          <w:lang w:val="sr-Latn-ME"/>
        </w:rPr>
      </w:pPr>
    </w:p>
    <w:p w14:paraId="3F25BD46" w14:textId="468281E5" w:rsidR="00527327" w:rsidRDefault="00527327" w:rsidP="00783B4B">
      <w:pPr>
        <w:rPr>
          <w:bCs/>
          <w:sz w:val="22"/>
          <w:szCs w:val="22"/>
          <w:lang w:val="sr-Latn-ME"/>
        </w:rPr>
      </w:pPr>
      <w:r w:rsidRPr="00783B4B">
        <w:rPr>
          <w:bCs/>
          <w:sz w:val="22"/>
          <w:szCs w:val="22"/>
          <w:lang w:val="sr-Latn-ME"/>
        </w:rPr>
        <w:t xml:space="preserve">Film </w:t>
      </w:r>
      <w:r w:rsidR="00735875" w:rsidRPr="00783B4B">
        <w:rPr>
          <w:bCs/>
          <w:sz w:val="22"/>
          <w:szCs w:val="22"/>
          <w:lang w:val="sr-Latn-ME"/>
        </w:rPr>
        <w:t>tableta</w:t>
      </w:r>
      <w:r w:rsidRPr="00783B4B">
        <w:rPr>
          <w:bCs/>
          <w:sz w:val="22"/>
          <w:szCs w:val="22"/>
          <w:lang w:val="sr-Latn-ME"/>
        </w:rPr>
        <w:t>.</w:t>
      </w:r>
    </w:p>
    <w:p w14:paraId="17BE0CC1" w14:textId="77777777" w:rsidR="009D122F" w:rsidRPr="00783B4B" w:rsidRDefault="009D122F" w:rsidP="00783B4B">
      <w:pPr>
        <w:rPr>
          <w:bCs/>
          <w:sz w:val="22"/>
          <w:szCs w:val="22"/>
          <w:lang w:val="sr-Latn-ME"/>
        </w:rPr>
      </w:pPr>
    </w:p>
    <w:p w14:paraId="67DC9378" w14:textId="5B16C639" w:rsidR="00EC2532" w:rsidRPr="00783B4B" w:rsidRDefault="00527327" w:rsidP="00783B4B">
      <w:pPr>
        <w:rPr>
          <w:bCs/>
          <w:sz w:val="22"/>
          <w:szCs w:val="22"/>
          <w:lang w:val="sr-Latn-ME"/>
        </w:rPr>
      </w:pPr>
      <w:r w:rsidRPr="00783B4B">
        <w:rPr>
          <w:bCs/>
          <w:sz w:val="22"/>
          <w:szCs w:val="22"/>
          <w:lang w:val="sr-Latn-ME"/>
        </w:rPr>
        <w:t xml:space="preserve">Bijele, okrugle, </w:t>
      </w:r>
      <w:proofErr w:type="spellStart"/>
      <w:r w:rsidRPr="00783B4B">
        <w:rPr>
          <w:bCs/>
          <w:sz w:val="22"/>
          <w:szCs w:val="22"/>
          <w:lang w:val="sr-Latn-ME"/>
        </w:rPr>
        <w:t>bikonveksne</w:t>
      </w:r>
      <w:proofErr w:type="spellEnd"/>
      <w:r w:rsidRPr="00783B4B">
        <w:rPr>
          <w:bCs/>
          <w:sz w:val="22"/>
          <w:szCs w:val="22"/>
          <w:lang w:val="sr-Latn-ME"/>
        </w:rPr>
        <w:t xml:space="preserve"> film tablete.</w:t>
      </w:r>
    </w:p>
    <w:p w14:paraId="13BF64FB" w14:textId="0A0ECF27" w:rsidR="00527327" w:rsidRPr="00783B4B" w:rsidRDefault="00527327" w:rsidP="00783B4B">
      <w:pPr>
        <w:rPr>
          <w:bCs/>
          <w:sz w:val="22"/>
          <w:szCs w:val="22"/>
          <w:lang w:val="sr-Latn-ME"/>
        </w:rPr>
      </w:pPr>
    </w:p>
    <w:p w14:paraId="752DC755" w14:textId="77777777" w:rsidR="00783B4B" w:rsidRPr="00783B4B" w:rsidRDefault="00783B4B" w:rsidP="00783B4B">
      <w:pPr>
        <w:rPr>
          <w:bCs/>
          <w:sz w:val="22"/>
          <w:szCs w:val="22"/>
          <w:lang w:val="sr-Latn-ME"/>
        </w:rPr>
      </w:pPr>
    </w:p>
    <w:p w14:paraId="67DC9379"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4. </w:t>
      </w:r>
      <w:r w:rsidR="00480FB1" w:rsidRPr="00783B4B">
        <w:rPr>
          <w:b/>
          <w:bCs/>
          <w:sz w:val="22"/>
          <w:szCs w:val="22"/>
          <w:lang w:val="sr-Latn-ME"/>
        </w:rPr>
        <w:tab/>
      </w:r>
      <w:r w:rsidRPr="00783B4B">
        <w:rPr>
          <w:b/>
          <w:bCs/>
          <w:sz w:val="22"/>
          <w:szCs w:val="22"/>
          <w:lang w:val="sr-Latn-ME"/>
        </w:rPr>
        <w:t>KLINIČKI PODACI</w:t>
      </w:r>
    </w:p>
    <w:p w14:paraId="67DC937A" w14:textId="77777777" w:rsidR="00CD6F02" w:rsidRPr="00783B4B" w:rsidRDefault="00CD6F02" w:rsidP="00783B4B">
      <w:pPr>
        <w:tabs>
          <w:tab w:val="left" w:pos="540"/>
          <w:tab w:val="left" w:pos="569"/>
        </w:tabs>
        <w:rPr>
          <w:bCs/>
          <w:sz w:val="22"/>
          <w:szCs w:val="22"/>
          <w:lang w:val="sr-Latn-ME"/>
        </w:rPr>
      </w:pPr>
    </w:p>
    <w:p w14:paraId="67DC937B"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4.1. </w:t>
      </w:r>
      <w:r w:rsidR="00480FB1" w:rsidRPr="00783B4B">
        <w:rPr>
          <w:b/>
          <w:bCs/>
          <w:sz w:val="22"/>
          <w:szCs w:val="22"/>
          <w:lang w:val="sr-Latn-ME"/>
        </w:rPr>
        <w:tab/>
      </w:r>
      <w:r w:rsidRPr="00783B4B">
        <w:rPr>
          <w:b/>
          <w:bCs/>
          <w:sz w:val="22"/>
          <w:szCs w:val="22"/>
          <w:lang w:val="sr-Latn-ME"/>
        </w:rPr>
        <w:t>Terapijske indikacije</w:t>
      </w:r>
    </w:p>
    <w:p w14:paraId="67DC937C" w14:textId="6BB7F7EE" w:rsidR="00411B4B" w:rsidRPr="00783B4B" w:rsidRDefault="00411B4B" w:rsidP="00783B4B">
      <w:pPr>
        <w:tabs>
          <w:tab w:val="left" w:pos="540"/>
          <w:tab w:val="left" w:pos="569"/>
        </w:tabs>
        <w:rPr>
          <w:bCs/>
          <w:sz w:val="22"/>
          <w:szCs w:val="22"/>
          <w:lang w:val="sr-Latn-ME"/>
        </w:rPr>
      </w:pPr>
    </w:p>
    <w:p w14:paraId="60359B06" w14:textId="21973542" w:rsidR="006E6FB3" w:rsidRPr="00783B4B" w:rsidRDefault="006E6FB3" w:rsidP="00783B4B">
      <w:pPr>
        <w:jc w:val="both"/>
        <w:rPr>
          <w:sz w:val="22"/>
          <w:szCs w:val="22"/>
          <w:lang w:val="sr-Latn-ME"/>
        </w:rPr>
      </w:pPr>
      <w:r w:rsidRPr="00783B4B">
        <w:rPr>
          <w:sz w:val="22"/>
          <w:szCs w:val="22"/>
          <w:lang w:val="sr-Latn-ME"/>
        </w:rPr>
        <w:t>L</w:t>
      </w:r>
      <w:r w:rsidR="001A3838" w:rsidRPr="00783B4B">
        <w:rPr>
          <w:sz w:val="22"/>
          <w:szCs w:val="22"/>
          <w:lang w:val="sr-Latn-ME"/>
        </w:rPr>
        <w:t>ij</w:t>
      </w:r>
      <w:r w:rsidRPr="00783B4B">
        <w:rPr>
          <w:sz w:val="22"/>
          <w:szCs w:val="22"/>
          <w:lang w:val="sr-Latn-ME"/>
        </w:rPr>
        <w:t xml:space="preserve">ek </w:t>
      </w:r>
      <w:proofErr w:type="spellStart"/>
      <w:r w:rsidRPr="00783B4B">
        <w:rPr>
          <w:sz w:val="22"/>
          <w:szCs w:val="22"/>
          <w:lang w:val="sr-Latn-ME"/>
        </w:rPr>
        <w:t>Trasolette</w:t>
      </w:r>
      <w:proofErr w:type="spellEnd"/>
      <w:r w:rsidRPr="00783B4B">
        <w:rPr>
          <w:sz w:val="22"/>
          <w:szCs w:val="22"/>
          <w:lang w:val="sr-Latn-ME"/>
        </w:rPr>
        <w:t xml:space="preserve"> je </w:t>
      </w:r>
      <w:proofErr w:type="spellStart"/>
      <w:r w:rsidRPr="00783B4B">
        <w:rPr>
          <w:sz w:val="22"/>
          <w:szCs w:val="22"/>
          <w:lang w:val="sr-Latn-ME"/>
        </w:rPr>
        <w:t>indikovan</w:t>
      </w:r>
      <w:proofErr w:type="spellEnd"/>
      <w:r w:rsidRPr="00783B4B">
        <w:rPr>
          <w:sz w:val="22"/>
          <w:szCs w:val="22"/>
          <w:lang w:val="sr-Latn-ME"/>
        </w:rPr>
        <w:t xml:space="preserve"> u:</w:t>
      </w:r>
    </w:p>
    <w:p w14:paraId="03892307" w14:textId="5988FB0E" w:rsidR="006E6FB3" w:rsidRPr="00783B4B" w:rsidRDefault="006E6FB3" w:rsidP="00783B4B">
      <w:pPr>
        <w:numPr>
          <w:ilvl w:val="0"/>
          <w:numId w:val="12"/>
        </w:numPr>
        <w:tabs>
          <w:tab w:val="left" w:pos="284"/>
        </w:tabs>
        <w:ind w:left="714" w:hanging="357"/>
        <w:jc w:val="both"/>
        <w:rPr>
          <w:sz w:val="22"/>
          <w:szCs w:val="22"/>
          <w:lang w:val="sr-Latn-ME"/>
        </w:rPr>
      </w:pPr>
      <w:r w:rsidRPr="00783B4B">
        <w:rPr>
          <w:sz w:val="22"/>
          <w:szCs w:val="22"/>
          <w:lang w:val="sr-Latn-ME"/>
        </w:rPr>
        <w:t xml:space="preserve">terapiji hormon-receptor pozitivnog </w:t>
      </w:r>
      <w:proofErr w:type="spellStart"/>
      <w:r w:rsidRPr="00783B4B">
        <w:rPr>
          <w:sz w:val="22"/>
          <w:szCs w:val="22"/>
          <w:lang w:val="sr-Latn-ME"/>
        </w:rPr>
        <w:t>uznapredovalog</w:t>
      </w:r>
      <w:proofErr w:type="spellEnd"/>
      <w:r w:rsidRPr="00783B4B">
        <w:rPr>
          <w:sz w:val="22"/>
          <w:szCs w:val="22"/>
          <w:lang w:val="sr-Latn-ME"/>
        </w:rPr>
        <w:t xml:space="preserve"> </w:t>
      </w:r>
      <w:proofErr w:type="spellStart"/>
      <w:r w:rsidRPr="00783B4B">
        <w:rPr>
          <w:sz w:val="22"/>
          <w:szCs w:val="22"/>
          <w:lang w:val="sr-Latn-ME"/>
        </w:rPr>
        <w:t>karcinoma</w:t>
      </w:r>
      <w:proofErr w:type="spellEnd"/>
      <w:r w:rsidRPr="00783B4B">
        <w:rPr>
          <w:sz w:val="22"/>
          <w:szCs w:val="22"/>
          <w:lang w:val="sr-Latn-ME"/>
        </w:rPr>
        <w:t xml:space="preserve"> dojke kod žena u</w:t>
      </w:r>
      <w:r w:rsidR="0088545A" w:rsidRPr="00783B4B">
        <w:rPr>
          <w:sz w:val="22"/>
          <w:szCs w:val="22"/>
          <w:lang w:val="sr-Latn-ME"/>
        </w:rPr>
        <w:t xml:space="preserve"> </w:t>
      </w:r>
      <w:proofErr w:type="spellStart"/>
      <w:r w:rsidRPr="00783B4B">
        <w:rPr>
          <w:sz w:val="22"/>
          <w:szCs w:val="22"/>
          <w:lang w:val="sr-Latn-ME"/>
        </w:rPr>
        <w:t>postmenopauzi</w:t>
      </w:r>
      <w:proofErr w:type="spellEnd"/>
      <w:r w:rsidRPr="00783B4B">
        <w:rPr>
          <w:sz w:val="22"/>
          <w:szCs w:val="22"/>
          <w:lang w:val="sr-Latn-ME"/>
        </w:rPr>
        <w:t>;</w:t>
      </w:r>
    </w:p>
    <w:p w14:paraId="3F1181F5" w14:textId="10E5C7D5" w:rsidR="006E6FB3" w:rsidRPr="00783B4B" w:rsidRDefault="006E6FB3" w:rsidP="00783B4B">
      <w:pPr>
        <w:numPr>
          <w:ilvl w:val="0"/>
          <w:numId w:val="12"/>
        </w:numPr>
        <w:tabs>
          <w:tab w:val="left" w:pos="284"/>
        </w:tabs>
        <w:jc w:val="both"/>
        <w:rPr>
          <w:sz w:val="22"/>
          <w:szCs w:val="22"/>
          <w:lang w:val="sr-Latn-ME"/>
        </w:rPr>
      </w:pPr>
      <w:proofErr w:type="spellStart"/>
      <w:r w:rsidRPr="00783B4B">
        <w:rPr>
          <w:sz w:val="22"/>
          <w:szCs w:val="22"/>
          <w:lang w:val="sr-Latn-ME"/>
        </w:rPr>
        <w:t>adjuvantnoj</w:t>
      </w:r>
      <w:proofErr w:type="spellEnd"/>
      <w:r w:rsidRPr="00783B4B">
        <w:rPr>
          <w:sz w:val="22"/>
          <w:szCs w:val="22"/>
          <w:lang w:val="sr-Latn-ME"/>
        </w:rPr>
        <w:t xml:space="preserve"> terapiji kod žena u </w:t>
      </w:r>
      <w:proofErr w:type="spellStart"/>
      <w:r w:rsidRPr="00783B4B">
        <w:rPr>
          <w:sz w:val="22"/>
          <w:szCs w:val="22"/>
          <w:lang w:val="sr-Latn-ME"/>
        </w:rPr>
        <w:t>postmenopauzi</w:t>
      </w:r>
      <w:proofErr w:type="spellEnd"/>
      <w:r w:rsidRPr="00783B4B">
        <w:rPr>
          <w:sz w:val="22"/>
          <w:szCs w:val="22"/>
          <w:lang w:val="sr-Latn-ME"/>
        </w:rPr>
        <w:t xml:space="preserve"> sa hormon receptor</w:t>
      </w:r>
      <w:r w:rsidR="006A0675" w:rsidRPr="00783B4B">
        <w:rPr>
          <w:sz w:val="22"/>
          <w:szCs w:val="22"/>
          <w:lang w:val="sr-Latn-ME"/>
        </w:rPr>
        <w:t xml:space="preserve"> </w:t>
      </w:r>
      <w:r w:rsidRPr="00783B4B">
        <w:rPr>
          <w:sz w:val="22"/>
          <w:szCs w:val="22"/>
          <w:lang w:val="sr-Latn-ME"/>
        </w:rPr>
        <w:t>-</w:t>
      </w:r>
      <w:r w:rsidR="006A0675" w:rsidRPr="00783B4B">
        <w:rPr>
          <w:sz w:val="22"/>
          <w:szCs w:val="22"/>
          <w:lang w:val="sr-Latn-ME"/>
        </w:rPr>
        <w:t xml:space="preserve"> </w:t>
      </w:r>
      <w:r w:rsidRPr="00783B4B">
        <w:rPr>
          <w:sz w:val="22"/>
          <w:szCs w:val="22"/>
          <w:lang w:val="sr-Latn-ME"/>
        </w:rPr>
        <w:t xml:space="preserve">pozitivnim ranim </w:t>
      </w:r>
      <w:proofErr w:type="spellStart"/>
      <w:r w:rsidRPr="00783B4B">
        <w:rPr>
          <w:sz w:val="22"/>
          <w:szCs w:val="22"/>
          <w:lang w:val="sr-Latn-ME"/>
        </w:rPr>
        <w:t>invazivnim</w:t>
      </w:r>
      <w:proofErr w:type="spellEnd"/>
      <w:r w:rsidRPr="00783B4B">
        <w:rPr>
          <w:sz w:val="22"/>
          <w:szCs w:val="22"/>
          <w:lang w:val="sr-Latn-ME"/>
        </w:rPr>
        <w:t xml:space="preserve"> </w:t>
      </w:r>
      <w:proofErr w:type="spellStart"/>
      <w:r w:rsidRPr="00783B4B">
        <w:rPr>
          <w:sz w:val="22"/>
          <w:szCs w:val="22"/>
          <w:lang w:val="sr-Latn-ME"/>
        </w:rPr>
        <w:t>karcinomom</w:t>
      </w:r>
      <w:proofErr w:type="spellEnd"/>
      <w:r w:rsidRPr="00783B4B">
        <w:rPr>
          <w:sz w:val="22"/>
          <w:szCs w:val="22"/>
          <w:lang w:val="sr-Latn-ME"/>
        </w:rPr>
        <w:t xml:space="preserve"> dojke;</w:t>
      </w:r>
    </w:p>
    <w:p w14:paraId="1DB3799C" w14:textId="7DA7E649" w:rsidR="006E6FB3" w:rsidRPr="00783B4B" w:rsidRDefault="006E6FB3" w:rsidP="00783B4B">
      <w:pPr>
        <w:numPr>
          <w:ilvl w:val="0"/>
          <w:numId w:val="12"/>
        </w:numPr>
        <w:tabs>
          <w:tab w:val="left" w:pos="284"/>
        </w:tabs>
        <w:jc w:val="both"/>
        <w:rPr>
          <w:sz w:val="22"/>
          <w:szCs w:val="22"/>
          <w:lang w:val="sr-Latn-ME"/>
        </w:rPr>
      </w:pPr>
      <w:proofErr w:type="spellStart"/>
      <w:r w:rsidRPr="00783B4B">
        <w:rPr>
          <w:sz w:val="22"/>
          <w:szCs w:val="22"/>
          <w:lang w:val="sr-Latn-ME"/>
        </w:rPr>
        <w:t>adjuvantnoj</w:t>
      </w:r>
      <w:proofErr w:type="spellEnd"/>
      <w:r w:rsidRPr="00783B4B">
        <w:rPr>
          <w:sz w:val="22"/>
          <w:szCs w:val="22"/>
          <w:lang w:val="sr-Latn-ME"/>
        </w:rPr>
        <w:t xml:space="preserve"> terapiji hormon receptor</w:t>
      </w:r>
      <w:r w:rsidR="006A0675" w:rsidRPr="00783B4B">
        <w:rPr>
          <w:sz w:val="22"/>
          <w:szCs w:val="22"/>
          <w:lang w:val="sr-Latn-ME"/>
        </w:rPr>
        <w:t xml:space="preserve"> </w:t>
      </w:r>
      <w:r w:rsidRPr="00783B4B">
        <w:rPr>
          <w:sz w:val="22"/>
          <w:szCs w:val="22"/>
          <w:lang w:val="sr-Latn-ME"/>
        </w:rPr>
        <w:t>-</w:t>
      </w:r>
      <w:r w:rsidR="006A0675" w:rsidRPr="00783B4B">
        <w:rPr>
          <w:sz w:val="22"/>
          <w:szCs w:val="22"/>
          <w:lang w:val="sr-Latn-ME"/>
        </w:rPr>
        <w:t xml:space="preserve"> </w:t>
      </w:r>
      <w:r w:rsidRPr="00783B4B">
        <w:rPr>
          <w:sz w:val="22"/>
          <w:szCs w:val="22"/>
          <w:lang w:val="sr-Latn-ME"/>
        </w:rPr>
        <w:t xml:space="preserve">pozitivnog </w:t>
      </w:r>
      <w:r w:rsidR="00922744" w:rsidRPr="00783B4B">
        <w:rPr>
          <w:sz w:val="22"/>
          <w:szCs w:val="22"/>
          <w:lang w:val="sr-Latn-ME"/>
        </w:rPr>
        <w:t xml:space="preserve">ranog </w:t>
      </w:r>
      <w:proofErr w:type="spellStart"/>
      <w:r w:rsidR="00922744" w:rsidRPr="00783B4B">
        <w:rPr>
          <w:sz w:val="22"/>
          <w:szCs w:val="22"/>
          <w:lang w:val="sr-Latn-ME"/>
        </w:rPr>
        <w:t>invazivnog</w:t>
      </w:r>
      <w:proofErr w:type="spellEnd"/>
      <w:r w:rsidR="00922744" w:rsidRPr="00783B4B">
        <w:rPr>
          <w:sz w:val="22"/>
          <w:szCs w:val="22"/>
          <w:lang w:val="sr-Latn-ME"/>
        </w:rPr>
        <w:t xml:space="preserve"> </w:t>
      </w:r>
      <w:proofErr w:type="spellStart"/>
      <w:r w:rsidRPr="00783B4B">
        <w:rPr>
          <w:sz w:val="22"/>
          <w:szCs w:val="22"/>
          <w:lang w:val="sr-Latn-ME"/>
        </w:rPr>
        <w:t>karcinoma</w:t>
      </w:r>
      <w:proofErr w:type="spellEnd"/>
      <w:r w:rsidRPr="00783B4B">
        <w:rPr>
          <w:sz w:val="22"/>
          <w:szCs w:val="22"/>
          <w:lang w:val="sr-Latn-ME"/>
        </w:rPr>
        <w:t xml:space="preserve"> dojke kod žena u </w:t>
      </w:r>
      <w:proofErr w:type="spellStart"/>
      <w:r w:rsidRPr="00783B4B">
        <w:rPr>
          <w:sz w:val="22"/>
          <w:szCs w:val="22"/>
          <w:lang w:val="sr-Latn-ME"/>
        </w:rPr>
        <w:t>postmenopauzi</w:t>
      </w:r>
      <w:proofErr w:type="spellEnd"/>
      <w:r w:rsidRPr="00783B4B">
        <w:rPr>
          <w:sz w:val="22"/>
          <w:szCs w:val="22"/>
          <w:lang w:val="sr-Latn-ME"/>
        </w:rPr>
        <w:t xml:space="preserve">, koje su 2 do 3 godine liječene </w:t>
      </w:r>
      <w:proofErr w:type="spellStart"/>
      <w:r w:rsidRPr="00783B4B">
        <w:rPr>
          <w:sz w:val="22"/>
          <w:szCs w:val="22"/>
          <w:lang w:val="sr-Latn-ME"/>
        </w:rPr>
        <w:t>adjuvantnim</w:t>
      </w:r>
      <w:proofErr w:type="spellEnd"/>
      <w:r w:rsidRPr="00783B4B">
        <w:rPr>
          <w:sz w:val="22"/>
          <w:szCs w:val="22"/>
          <w:lang w:val="sr-Latn-ME"/>
        </w:rPr>
        <w:t xml:space="preserve"> </w:t>
      </w:r>
      <w:proofErr w:type="spellStart"/>
      <w:r w:rsidRPr="00783B4B">
        <w:rPr>
          <w:sz w:val="22"/>
          <w:szCs w:val="22"/>
          <w:lang w:val="sr-Latn-ME"/>
        </w:rPr>
        <w:t>tamoksifenom</w:t>
      </w:r>
      <w:proofErr w:type="spellEnd"/>
      <w:r w:rsidRPr="00783B4B">
        <w:rPr>
          <w:sz w:val="22"/>
          <w:szCs w:val="22"/>
          <w:lang w:val="sr-Latn-ME"/>
        </w:rPr>
        <w:t>.</w:t>
      </w:r>
    </w:p>
    <w:p w14:paraId="0BAF53FC" w14:textId="77777777" w:rsidR="006E6FB3" w:rsidRPr="00783B4B" w:rsidRDefault="006E6FB3" w:rsidP="00783B4B">
      <w:pPr>
        <w:tabs>
          <w:tab w:val="left" w:pos="540"/>
          <w:tab w:val="left" w:pos="569"/>
        </w:tabs>
        <w:rPr>
          <w:bCs/>
          <w:sz w:val="22"/>
          <w:szCs w:val="22"/>
          <w:lang w:val="sr-Latn-ME"/>
        </w:rPr>
      </w:pPr>
    </w:p>
    <w:p w14:paraId="67DC937D"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4.2. </w:t>
      </w:r>
      <w:r w:rsidR="00480FB1" w:rsidRPr="00783B4B">
        <w:rPr>
          <w:b/>
          <w:bCs/>
          <w:sz w:val="22"/>
          <w:szCs w:val="22"/>
          <w:lang w:val="sr-Latn-ME"/>
        </w:rPr>
        <w:tab/>
      </w:r>
      <w:r w:rsidRPr="00783B4B">
        <w:rPr>
          <w:b/>
          <w:bCs/>
          <w:sz w:val="22"/>
          <w:szCs w:val="22"/>
          <w:lang w:val="sr-Latn-ME"/>
        </w:rPr>
        <w:t>Doziranje i način primjene</w:t>
      </w:r>
    </w:p>
    <w:p w14:paraId="67DC937E" w14:textId="77777777" w:rsidR="0072020E" w:rsidRPr="00783B4B" w:rsidRDefault="0072020E" w:rsidP="00783B4B">
      <w:pPr>
        <w:tabs>
          <w:tab w:val="left" w:pos="540"/>
          <w:tab w:val="left" w:pos="569"/>
        </w:tabs>
        <w:rPr>
          <w:bCs/>
          <w:sz w:val="22"/>
          <w:szCs w:val="22"/>
          <w:lang w:val="sr-Latn-ME"/>
        </w:rPr>
      </w:pPr>
    </w:p>
    <w:p w14:paraId="67DC937F" w14:textId="77777777" w:rsidR="00452E9D" w:rsidRPr="00783B4B" w:rsidRDefault="00452E9D" w:rsidP="00783B4B">
      <w:pPr>
        <w:tabs>
          <w:tab w:val="left" w:pos="540"/>
          <w:tab w:val="left" w:pos="569"/>
        </w:tabs>
        <w:jc w:val="both"/>
        <w:rPr>
          <w:bCs/>
          <w:sz w:val="22"/>
          <w:szCs w:val="22"/>
          <w:u w:val="single"/>
          <w:lang w:val="sr-Latn-ME"/>
        </w:rPr>
      </w:pPr>
      <w:r w:rsidRPr="00783B4B">
        <w:rPr>
          <w:bCs/>
          <w:sz w:val="22"/>
          <w:szCs w:val="22"/>
          <w:u w:val="single"/>
          <w:lang w:val="sr-Latn-ME"/>
        </w:rPr>
        <w:t>Doziranje</w:t>
      </w:r>
    </w:p>
    <w:p w14:paraId="67DC9380" w14:textId="6BB03432" w:rsidR="00452E9D" w:rsidRPr="00783B4B" w:rsidRDefault="00452E9D" w:rsidP="00783B4B">
      <w:pPr>
        <w:tabs>
          <w:tab w:val="left" w:pos="540"/>
          <w:tab w:val="left" w:pos="569"/>
        </w:tabs>
        <w:jc w:val="both"/>
        <w:rPr>
          <w:bCs/>
          <w:sz w:val="22"/>
          <w:szCs w:val="22"/>
          <w:u w:val="single"/>
          <w:lang w:val="sr-Latn-ME"/>
        </w:rPr>
      </w:pPr>
    </w:p>
    <w:p w14:paraId="74509B5C" w14:textId="3E38AB17" w:rsidR="00D7719D" w:rsidRPr="00783B4B" w:rsidRDefault="00D7719D" w:rsidP="00783B4B">
      <w:pPr>
        <w:pStyle w:val="NoSpacing"/>
        <w:jc w:val="both"/>
        <w:rPr>
          <w:i/>
          <w:sz w:val="22"/>
          <w:szCs w:val="22"/>
          <w:lang w:val="sr-Latn-ME"/>
        </w:rPr>
      </w:pPr>
      <w:r w:rsidRPr="00783B4B">
        <w:rPr>
          <w:sz w:val="22"/>
          <w:szCs w:val="22"/>
          <w:lang w:val="sr-Latn-ME"/>
        </w:rPr>
        <w:t>Preporučena doza l</w:t>
      </w:r>
      <w:r w:rsidR="001A3838" w:rsidRPr="00783B4B">
        <w:rPr>
          <w:sz w:val="22"/>
          <w:szCs w:val="22"/>
          <w:lang w:val="sr-Latn-ME"/>
        </w:rPr>
        <w:t>ij</w:t>
      </w:r>
      <w:r w:rsidRPr="00783B4B">
        <w:rPr>
          <w:sz w:val="22"/>
          <w:szCs w:val="22"/>
          <w:lang w:val="sr-Latn-ME"/>
        </w:rPr>
        <w:t xml:space="preserve">eka </w:t>
      </w:r>
      <w:proofErr w:type="spellStart"/>
      <w:r w:rsidRPr="00783B4B">
        <w:rPr>
          <w:sz w:val="22"/>
          <w:szCs w:val="22"/>
          <w:lang w:val="sr-Latn-ME"/>
        </w:rPr>
        <w:t>Trasolette</w:t>
      </w:r>
      <w:proofErr w:type="spellEnd"/>
      <w:r w:rsidRPr="00783B4B">
        <w:rPr>
          <w:sz w:val="22"/>
          <w:szCs w:val="22"/>
          <w:lang w:val="sr-Latn-ME"/>
        </w:rPr>
        <w:t xml:space="preserve"> za odrasle, uključujući i starije, je jedna tableta od 1 mg jednom dnevno. </w:t>
      </w:r>
    </w:p>
    <w:p w14:paraId="09178FDB" w14:textId="77777777" w:rsidR="009F5B21" w:rsidRPr="00783B4B" w:rsidRDefault="009F5B21" w:rsidP="00783B4B">
      <w:pPr>
        <w:jc w:val="both"/>
        <w:rPr>
          <w:sz w:val="22"/>
          <w:szCs w:val="22"/>
          <w:lang w:val="sr-Latn-ME"/>
        </w:rPr>
      </w:pPr>
    </w:p>
    <w:p w14:paraId="67F6799B" w14:textId="6B6EB644" w:rsidR="009F5B21" w:rsidRPr="00783B4B" w:rsidRDefault="009F5B21" w:rsidP="00783B4B">
      <w:pPr>
        <w:jc w:val="both"/>
        <w:rPr>
          <w:sz w:val="22"/>
          <w:szCs w:val="22"/>
          <w:lang w:val="sr-Latn-ME"/>
        </w:rPr>
      </w:pPr>
      <w:r w:rsidRPr="00783B4B">
        <w:rPr>
          <w:sz w:val="22"/>
          <w:szCs w:val="22"/>
          <w:lang w:val="sr-Latn-ME"/>
        </w:rPr>
        <w:t xml:space="preserve">Za žene u </w:t>
      </w:r>
      <w:proofErr w:type="spellStart"/>
      <w:r w:rsidRPr="00783B4B">
        <w:rPr>
          <w:sz w:val="22"/>
          <w:szCs w:val="22"/>
          <w:lang w:val="sr-Latn-ME"/>
        </w:rPr>
        <w:t>postmenopauzi</w:t>
      </w:r>
      <w:proofErr w:type="spellEnd"/>
      <w:r w:rsidRPr="00783B4B">
        <w:rPr>
          <w:sz w:val="22"/>
          <w:szCs w:val="22"/>
          <w:lang w:val="sr-Latn-ME"/>
        </w:rPr>
        <w:t xml:space="preserve"> sa hormon receptor</w:t>
      </w:r>
      <w:r w:rsidR="002A0553" w:rsidRPr="00783B4B">
        <w:rPr>
          <w:sz w:val="22"/>
          <w:szCs w:val="22"/>
          <w:lang w:val="sr-Latn-ME"/>
        </w:rPr>
        <w:t xml:space="preserve"> </w:t>
      </w:r>
      <w:r w:rsidRPr="00783B4B">
        <w:rPr>
          <w:sz w:val="22"/>
          <w:szCs w:val="22"/>
          <w:lang w:val="sr-Latn-ME"/>
        </w:rPr>
        <w:t xml:space="preserve">- pozitivnim ranim </w:t>
      </w:r>
      <w:proofErr w:type="spellStart"/>
      <w:r w:rsidRPr="00783B4B">
        <w:rPr>
          <w:sz w:val="22"/>
          <w:szCs w:val="22"/>
          <w:lang w:val="sr-Latn-ME"/>
        </w:rPr>
        <w:t>invazivnim</w:t>
      </w:r>
      <w:proofErr w:type="spellEnd"/>
      <w:r w:rsidRPr="00783B4B">
        <w:rPr>
          <w:sz w:val="22"/>
          <w:szCs w:val="22"/>
          <w:lang w:val="sr-Latn-ME"/>
        </w:rPr>
        <w:t xml:space="preserve"> </w:t>
      </w:r>
      <w:proofErr w:type="spellStart"/>
      <w:r w:rsidRPr="00783B4B">
        <w:rPr>
          <w:sz w:val="22"/>
          <w:szCs w:val="22"/>
          <w:lang w:val="sr-Latn-ME"/>
        </w:rPr>
        <w:t>karcinomom</w:t>
      </w:r>
      <w:proofErr w:type="spellEnd"/>
      <w:r w:rsidRPr="00783B4B">
        <w:rPr>
          <w:sz w:val="22"/>
          <w:szCs w:val="22"/>
          <w:lang w:val="sr-Latn-ME"/>
        </w:rPr>
        <w:t xml:space="preserve"> dojke</w:t>
      </w:r>
      <w:r w:rsidR="0088545A" w:rsidRPr="00783B4B">
        <w:rPr>
          <w:sz w:val="22"/>
          <w:szCs w:val="22"/>
          <w:lang w:val="sr-Latn-ME"/>
        </w:rPr>
        <w:t xml:space="preserve"> </w:t>
      </w:r>
      <w:r w:rsidRPr="00783B4B">
        <w:rPr>
          <w:sz w:val="22"/>
          <w:szCs w:val="22"/>
          <w:lang w:val="sr-Latn-ME"/>
        </w:rPr>
        <w:t xml:space="preserve">preporučeno trajanje </w:t>
      </w:r>
      <w:proofErr w:type="spellStart"/>
      <w:r w:rsidRPr="00783B4B">
        <w:rPr>
          <w:sz w:val="22"/>
          <w:szCs w:val="22"/>
          <w:lang w:val="sr-Latn-ME"/>
        </w:rPr>
        <w:t>adjuvantne</w:t>
      </w:r>
      <w:proofErr w:type="spellEnd"/>
      <w:r w:rsidRPr="00783B4B">
        <w:rPr>
          <w:sz w:val="22"/>
          <w:szCs w:val="22"/>
          <w:lang w:val="sr-Latn-ME"/>
        </w:rPr>
        <w:t xml:space="preserve"> hormonske terapije je 5 godina.</w:t>
      </w:r>
    </w:p>
    <w:p w14:paraId="75A42039" w14:textId="77777777" w:rsidR="009F5B21" w:rsidRPr="00783B4B" w:rsidRDefault="009F5B21" w:rsidP="00783B4B">
      <w:pPr>
        <w:jc w:val="both"/>
        <w:rPr>
          <w:sz w:val="22"/>
          <w:szCs w:val="22"/>
          <w:lang w:val="sr-Latn-ME"/>
        </w:rPr>
      </w:pPr>
    </w:p>
    <w:p w14:paraId="347520A5" w14:textId="718421F8" w:rsidR="009F5B21" w:rsidRDefault="009F5B21" w:rsidP="00783B4B">
      <w:pPr>
        <w:jc w:val="both"/>
        <w:rPr>
          <w:i/>
          <w:sz w:val="22"/>
          <w:szCs w:val="22"/>
          <w:u w:val="single"/>
          <w:lang w:val="sr-Latn-ME"/>
        </w:rPr>
      </w:pPr>
      <w:r w:rsidRPr="00783B4B">
        <w:rPr>
          <w:i/>
          <w:sz w:val="22"/>
          <w:szCs w:val="22"/>
          <w:u w:val="single"/>
          <w:lang w:val="sr-Latn-ME"/>
        </w:rPr>
        <w:t xml:space="preserve">Posebne </w:t>
      </w:r>
      <w:r w:rsidR="00D33A3B" w:rsidRPr="00783B4B">
        <w:rPr>
          <w:i/>
          <w:sz w:val="22"/>
          <w:szCs w:val="22"/>
          <w:u w:val="single"/>
          <w:lang w:val="sr-Latn-ME"/>
        </w:rPr>
        <w:t>populacije</w:t>
      </w:r>
    </w:p>
    <w:p w14:paraId="75181336" w14:textId="77777777" w:rsidR="00783B4B" w:rsidRPr="00783B4B" w:rsidRDefault="00783B4B" w:rsidP="00783B4B">
      <w:pPr>
        <w:jc w:val="both"/>
        <w:rPr>
          <w:i/>
          <w:sz w:val="22"/>
          <w:szCs w:val="22"/>
          <w:u w:val="single"/>
          <w:lang w:val="sr-Latn-ME"/>
        </w:rPr>
      </w:pPr>
    </w:p>
    <w:p w14:paraId="6A1B7A10" w14:textId="08BAF672" w:rsidR="00F04F1D" w:rsidRPr="00783B4B" w:rsidRDefault="00F04F1D" w:rsidP="00783B4B">
      <w:pPr>
        <w:tabs>
          <w:tab w:val="left" w:pos="284"/>
        </w:tabs>
        <w:ind w:right="318"/>
        <w:jc w:val="both"/>
        <w:rPr>
          <w:bCs/>
          <w:i/>
          <w:sz w:val="22"/>
          <w:szCs w:val="22"/>
          <w:u w:val="single"/>
          <w:lang w:val="sr-Latn-ME"/>
        </w:rPr>
      </w:pPr>
      <w:r w:rsidRPr="00783B4B">
        <w:rPr>
          <w:bCs/>
          <w:i/>
          <w:sz w:val="22"/>
          <w:szCs w:val="22"/>
          <w:u w:val="single"/>
          <w:lang w:val="sr-Latn-ME"/>
        </w:rPr>
        <w:t>Pedijatrijska populacija</w:t>
      </w:r>
    </w:p>
    <w:p w14:paraId="078D3BE0" w14:textId="77777777" w:rsidR="006E508D" w:rsidRPr="00783B4B" w:rsidRDefault="006E508D" w:rsidP="00783B4B">
      <w:pPr>
        <w:tabs>
          <w:tab w:val="left" w:pos="284"/>
        </w:tabs>
        <w:ind w:right="318"/>
        <w:jc w:val="both"/>
        <w:rPr>
          <w:b/>
          <w:i/>
          <w:sz w:val="22"/>
          <w:szCs w:val="22"/>
          <w:u w:val="single"/>
          <w:lang w:val="sr-Latn-ME"/>
        </w:rPr>
      </w:pPr>
    </w:p>
    <w:p w14:paraId="13AF578A" w14:textId="52A64D03" w:rsidR="009F5B21" w:rsidRPr="00783B4B" w:rsidRDefault="00F04F1D" w:rsidP="00783B4B">
      <w:pPr>
        <w:pStyle w:val="NoSpacing"/>
        <w:jc w:val="both"/>
        <w:rPr>
          <w:sz w:val="22"/>
          <w:szCs w:val="22"/>
          <w:lang w:val="sr-Latn-ME"/>
        </w:rPr>
      </w:pPr>
      <w:r w:rsidRPr="00783B4B">
        <w:rPr>
          <w:sz w:val="22"/>
          <w:szCs w:val="22"/>
          <w:lang w:val="sr-Latn-ME"/>
        </w:rPr>
        <w:t>Ne preporučuje se prim</w:t>
      </w:r>
      <w:r w:rsidR="001A3838" w:rsidRPr="00783B4B">
        <w:rPr>
          <w:sz w:val="22"/>
          <w:szCs w:val="22"/>
          <w:lang w:val="sr-Latn-ME"/>
        </w:rPr>
        <w:t>j</w:t>
      </w:r>
      <w:r w:rsidRPr="00783B4B">
        <w:rPr>
          <w:sz w:val="22"/>
          <w:szCs w:val="22"/>
          <w:lang w:val="sr-Latn-ME"/>
        </w:rPr>
        <w:t>ena l</w:t>
      </w:r>
      <w:r w:rsidR="001A3838" w:rsidRPr="00783B4B">
        <w:rPr>
          <w:sz w:val="22"/>
          <w:szCs w:val="22"/>
          <w:lang w:val="sr-Latn-ME"/>
        </w:rPr>
        <w:t>ij</w:t>
      </w:r>
      <w:r w:rsidRPr="00783B4B">
        <w:rPr>
          <w:sz w:val="22"/>
          <w:szCs w:val="22"/>
          <w:lang w:val="sr-Latn-ME"/>
        </w:rPr>
        <w:t xml:space="preserve">eka </w:t>
      </w:r>
      <w:proofErr w:type="spellStart"/>
      <w:r w:rsidRPr="00783B4B">
        <w:rPr>
          <w:sz w:val="22"/>
          <w:szCs w:val="22"/>
          <w:lang w:val="sr-Latn-ME"/>
        </w:rPr>
        <w:t>Trasolette</w:t>
      </w:r>
      <w:proofErr w:type="spellEnd"/>
      <w:r w:rsidRPr="00783B4B">
        <w:rPr>
          <w:sz w:val="22"/>
          <w:szCs w:val="22"/>
          <w:lang w:val="sr-Latn-ME"/>
        </w:rPr>
        <w:t xml:space="preserve"> kod d</w:t>
      </w:r>
      <w:r w:rsidR="001A3838" w:rsidRPr="00783B4B">
        <w:rPr>
          <w:sz w:val="22"/>
          <w:szCs w:val="22"/>
          <w:lang w:val="sr-Latn-ME"/>
        </w:rPr>
        <w:t>j</w:t>
      </w:r>
      <w:r w:rsidRPr="00783B4B">
        <w:rPr>
          <w:sz w:val="22"/>
          <w:szCs w:val="22"/>
          <w:lang w:val="sr-Latn-ME"/>
        </w:rPr>
        <w:t xml:space="preserve">ece i adolescenata </w:t>
      </w:r>
      <w:proofErr w:type="spellStart"/>
      <w:r w:rsidR="009F5B21" w:rsidRPr="00783B4B">
        <w:rPr>
          <w:sz w:val="22"/>
          <w:szCs w:val="22"/>
          <w:lang w:val="sr-Latn-ME"/>
        </w:rPr>
        <w:t>usljed</w:t>
      </w:r>
      <w:proofErr w:type="spellEnd"/>
      <w:r w:rsidR="009F5B21" w:rsidRPr="00783B4B">
        <w:rPr>
          <w:sz w:val="22"/>
          <w:szCs w:val="22"/>
          <w:lang w:val="sr-Latn-ME"/>
        </w:rPr>
        <w:t xml:space="preserve"> nedovoljnih podataka o bezbjednosti i efikasnosti (vidjeti </w:t>
      </w:r>
      <w:r w:rsidR="00ED44DA" w:rsidRPr="00783B4B">
        <w:rPr>
          <w:sz w:val="22"/>
          <w:szCs w:val="22"/>
          <w:lang w:val="sr-Latn-ME"/>
        </w:rPr>
        <w:t>od</w:t>
      </w:r>
      <w:r w:rsidR="001A3838" w:rsidRPr="00783B4B">
        <w:rPr>
          <w:sz w:val="22"/>
          <w:szCs w:val="22"/>
          <w:lang w:val="sr-Latn-ME"/>
        </w:rPr>
        <w:t>j</w:t>
      </w:r>
      <w:r w:rsidR="00ED44DA" w:rsidRPr="00783B4B">
        <w:rPr>
          <w:sz w:val="22"/>
          <w:szCs w:val="22"/>
          <w:lang w:val="sr-Latn-ME"/>
        </w:rPr>
        <w:t xml:space="preserve">eljke </w:t>
      </w:r>
      <w:r w:rsidR="009F5B21" w:rsidRPr="00783B4B">
        <w:rPr>
          <w:sz w:val="22"/>
          <w:szCs w:val="22"/>
          <w:lang w:val="sr-Latn-ME"/>
        </w:rPr>
        <w:t>4.4 i 5.1).</w:t>
      </w:r>
    </w:p>
    <w:p w14:paraId="48BE0227" w14:textId="77777777" w:rsidR="009F5B21" w:rsidRPr="00783B4B" w:rsidRDefault="009F5B21" w:rsidP="00783B4B">
      <w:pPr>
        <w:jc w:val="both"/>
        <w:rPr>
          <w:sz w:val="22"/>
          <w:szCs w:val="22"/>
          <w:lang w:val="sr-Latn-ME"/>
        </w:rPr>
      </w:pPr>
    </w:p>
    <w:p w14:paraId="3C6574C6" w14:textId="77777777" w:rsidR="009F5B21" w:rsidRPr="00783B4B" w:rsidRDefault="009F5B21" w:rsidP="00783B4B">
      <w:pPr>
        <w:jc w:val="both"/>
        <w:rPr>
          <w:i/>
          <w:iCs/>
          <w:sz w:val="22"/>
          <w:szCs w:val="22"/>
          <w:lang w:val="sr-Latn-ME"/>
        </w:rPr>
      </w:pPr>
      <w:r w:rsidRPr="00783B4B">
        <w:rPr>
          <w:i/>
          <w:iCs/>
          <w:sz w:val="22"/>
          <w:szCs w:val="22"/>
          <w:lang w:val="sr-Latn-ME"/>
        </w:rPr>
        <w:lastRenderedPageBreak/>
        <w:t>Oštećenje funkcije bubrega</w:t>
      </w:r>
    </w:p>
    <w:p w14:paraId="1B3DAB45" w14:textId="2D95D97B" w:rsidR="009F5B21" w:rsidRPr="00783B4B" w:rsidRDefault="00D277F8" w:rsidP="00783B4B">
      <w:pPr>
        <w:jc w:val="both"/>
        <w:rPr>
          <w:sz w:val="22"/>
          <w:szCs w:val="22"/>
          <w:lang w:val="sr-Latn-ME"/>
        </w:rPr>
      </w:pPr>
      <w:r w:rsidRPr="00783B4B">
        <w:rPr>
          <w:sz w:val="22"/>
          <w:szCs w:val="22"/>
          <w:lang w:val="sr-Latn-ME"/>
        </w:rPr>
        <w:t xml:space="preserve">Ne preporučuje se </w:t>
      </w:r>
      <w:r w:rsidR="009F5B21" w:rsidRPr="00783B4B">
        <w:rPr>
          <w:sz w:val="22"/>
          <w:szCs w:val="22"/>
          <w:lang w:val="sr-Latn-ME"/>
        </w:rPr>
        <w:t xml:space="preserve">mijenjati dozu kod </w:t>
      </w:r>
      <w:r w:rsidRPr="00783B4B">
        <w:rPr>
          <w:sz w:val="22"/>
          <w:szCs w:val="22"/>
          <w:lang w:val="sr-Latn-ME"/>
        </w:rPr>
        <w:t xml:space="preserve">pacijenata </w:t>
      </w:r>
      <w:r w:rsidR="009F5B21" w:rsidRPr="00783B4B">
        <w:rPr>
          <w:sz w:val="22"/>
          <w:szCs w:val="22"/>
          <w:lang w:val="sr-Latn-ME"/>
        </w:rPr>
        <w:t xml:space="preserve">sa blagim ili umjerenim </w:t>
      </w:r>
      <w:r w:rsidR="00B36973" w:rsidRPr="00783B4B">
        <w:rPr>
          <w:sz w:val="22"/>
          <w:szCs w:val="22"/>
          <w:lang w:val="sr-Latn-ME"/>
        </w:rPr>
        <w:t xml:space="preserve">oštećenjem funkcije </w:t>
      </w:r>
      <w:r w:rsidR="009F5B21" w:rsidRPr="00783B4B">
        <w:rPr>
          <w:sz w:val="22"/>
          <w:szCs w:val="22"/>
          <w:lang w:val="sr-Latn-ME"/>
        </w:rPr>
        <w:t>bubrega</w:t>
      </w:r>
      <w:r w:rsidR="00B36973" w:rsidRPr="00783B4B">
        <w:rPr>
          <w:sz w:val="22"/>
          <w:szCs w:val="22"/>
          <w:lang w:val="sr-Latn-ME"/>
        </w:rPr>
        <w:t xml:space="preserve">. </w:t>
      </w:r>
      <w:r w:rsidR="009F5B21" w:rsidRPr="00783B4B">
        <w:rPr>
          <w:sz w:val="22"/>
          <w:szCs w:val="22"/>
          <w:lang w:val="sr-Latn-ME"/>
        </w:rPr>
        <w:t xml:space="preserve">Kod </w:t>
      </w:r>
      <w:r w:rsidR="00B36973" w:rsidRPr="00783B4B">
        <w:rPr>
          <w:sz w:val="22"/>
          <w:szCs w:val="22"/>
          <w:lang w:val="sr-Latn-ME"/>
        </w:rPr>
        <w:t xml:space="preserve">pacijenata </w:t>
      </w:r>
      <w:r w:rsidR="009F5B21" w:rsidRPr="00783B4B">
        <w:rPr>
          <w:sz w:val="22"/>
          <w:szCs w:val="22"/>
          <w:lang w:val="sr-Latn-ME"/>
        </w:rPr>
        <w:t xml:space="preserve">sa teškim oštećenjem </w:t>
      </w:r>
      <w:r w:rsidR="00B36973" w:rsidRPr="00783B4B">
        <w:rPr>
          <w:sz w:val="22"/>
          <w:szCs w:val="22"/>
          <w:lang w:val="sr-Latn-ME"/>
        </w:rPr>
        <w:t>funkcije bubrega</w:t>
      </w:r>
      <w:r w:rsidR="009F5B21" w:rsidRPr="00783B4B">
        <w:rPr>
          <w:sz w:val="22"/>
          <w:szCs w:val="22"/>
          <w:lang w:val="sr-Latn-ME"/>
        </w:rPr>
        <w:t xml:space="preserve">, </w:t>
      </w:r>
      <w:r w:rsidR="00B36973" w:rsidRPr="00783B4B">
        <w:rPr>
          <w:sz w:val="22"/>
          <w:szCs w:val="22"/>
          <w:lang w:val="sr-Latn-ME"/>
        </w:rPr>
        <w:t>l</w:t>
      </w:r>
      <w:r w:rsidR="001A3838" w:rsidRPr="00783B4B">
        <w:rPr>
          <w:sz w:val="22"/>
          <w:szCs w:val="22"/>
          <w:lang w:val="sr-Latn-ME"/>
        </w:rPr>
        <w:t>ij</w:t>
      </w:r>
      <w:r w:rsidR="00B36973" w:rsidRPr="00783B4B">
        <w:rPr>
          <w:sz w:val="22"/>
          <w:szCs w:val="22"/>
          <w:lang w:val="sr-Latn-ME"/>
        </w:rPr>
        <w:t xml:space="preserve">ek </w:t>
      </w:r>
      <w:proofErr w:type="spellStart"/>
      <w:r w:rsidR="009F5B21" w:rsidRPr="00783B4B">
        <w:rPr>
          <w:sz w:val="22"/>
          <w:szCs w:val="22"/>
          <w:lang w:val="sr-Latn-ME"/>
        </w:rPr>
        <w:t>Trasolette</w:t>
      </w:r>
      <w:proofErr w:type="spellEnd"/>
      <w:r w:rsidR="009F5B21" w:rsidRPr="00783B4B">
        <w:rPr>
          <w:sz w:val="22"/>
          <w:szCs w:val="22"/>
          <w:lang w:val="sr-Latn-ME"/>
        </w:rPr>
        <w:t xml:space="preserve"> treba </w:t>
      </w:r>
      <w:proofErr w:type="spellStart"/>
      <w:r w:rsidR="009F5B21" w:rsidRPr="00783B4B">
        <w:rPr>
          <w:sz w:val="22"/>
          <w:szCs w:val="22"/>
          <w:lang w:val="sr-Latn-ME"/>
        </w:rPr>
        <w:t>primijenjivati</w:t>
      </w:r>
      <w:proofErr w:type="spellEnd"/>
      <w:r w:rsidR="009F5B21" w:rsidRPr="00783B4B">
        <w:rPr>
          <w:sz w:val="22"/>
          <w:szCs w:val="22"/>
          <w:lang w:val="sr-Latn-ME"/>
        </w:rPr>
        <w:t xml:space="preserve"> sa oprezom</w:t>
      </w:r>
      <w:r w:rsidR="00DA3110" w:rsidRPr="00783B4B">
        <w:rPr>
          <w:sz w:val="22"/>
          <w:szCs w:val="22"/>
          <w:lang w:val="sr-Latn-ME"/>
        </w:rPr>
        <w:t xml:space="preserve"> </w:t>
      </w:r>
      <w:r w:rsidR="00DF0C34" w:rsidRPr="00783B4B">
        <w:rPr>
          <w:sz w:val="22"/>
          <w:szCs w:val="22"/>
          <w:lang w:val="sr-Latn-ME"/>
        </w:rPr>
        <w:t>(vidjeti od</w:t>
      </w:r>
      <w:r w:rsidR="001A3838" w:rsidRPr="00783B4B">
        <w:rPr>
          <w:sz w:val="22"/>
          <w:szCs w:val="22"/>
          <w:lang w:val="sr-Latn-ME"/>
        </w:rPr>
        <w:t>j</w:t>
      </w:r>
      <w:r w:rsidR="00DF0C34" w:rsidRPr="00783B4B">
        <w:rPr>
          <w:sz w:val="22"/>
          <w:szCs w:val="22"/>
          <w:lang w:val="sr-Latn-ME"/>
        </w:rPr>
        <w:t>eljke 4.4 i 5.2)</w:t>
      </w:r>
      <w:r w:rsidR="009F5B21" w:rsidRPr="00783B4B">
        <w:rPr>
          <w:sz w:val="22"/>
          <w:szCs w:val="22"/>
          <w:lang w:val="sr-Latn-ME"/>
        </w:rPr>
        <w:t>.</w:t>
      </w:r>
    </w:p>
    <w:p w14:paraId="27E039A7" w14:textId="77777777" w:rsidR="009F5B21" w:rsidRPr="00783B4B" w:rsidRDefault="009F5B21" w:rsidP="00783B4B">
      <w:pPr>
        <w:jc w:val="both"/>
        <w:rPr>
          <w:sz w:val="22"/>
          <w:szCs w:val="22"/>
          <w:lang w:val="sr-Latn-ME"/>
        </w:rPr>
      </w:pPr>
    </w:p>
    <w:p w14:paraId="60108F5C" w14:textId="77777777" w:rsidR="009F5B21" w:rsidRPr="00783B4B" w:rsidRDefault="009F5B21" w:rsidP="00783B4B">
      <w:pPr>
        <w:jc w:val="both"/>
        <w:rPr>
          <w:i/>
          <w:iCs/>
          <w:sz w:val="22"/>
          <w:szCs w:val="22"/>
          <w:lang w:val="sr-Latn-ME"/>
        </w:rPr>
      </w:pPr>
      <w:r w:rsidRPr="00783B4B">
        <w:rPr>
          <w:i/>
          <w:iCs/>
          <w:sz w:val="22"/>
          <w:szCs w:val="22"/>
          <w:lang w:val="sr-Latn-ME"/>
        </w:rPr>
        <w:t>Oštećenje funkcije jetre</w:t>
      </w:r>
    </w:p>
    <w:p w14:paraId="7658B880" w14:textId="5C6036C8" w:rsidR="009F5B21" w:rsidRPr="00783B4B" w:rsidRDefault="00DC7AF1" w:rsidP="00783B4B">
      <w:pPr>
        <w:jc w:val="both"/>
        <w:rPr>
          <w:sz w:val="22"/>
          <w:szCs w:val="22"/>
          <w:lang w:val="sr-Latn-ME"/>
        </w:rPr>
      </w:pPr>
      <w:r w:rsidRPr="00783B4B">
        <w:rPr>
          <w:sz w:val="22"/>
          <w:szCs w:val="22"/>
          <w:lang w:val="sr-Latn-ME"/>
        </w:rPr>
        <w:t xml:space="preserve">Ne preporučuje se </w:t>
      </w:r>
      <w:r w:rsidR="009F5B21" w:rsidRPr="00783B4B">
        <w:rPr>
          <w:sz w:val="22"/>
          <w:szCs w:val="22"/>
          <w:lang w:val="sr-Latn-ME"/>
        </w:rPr>
        <w:t xml:space="preserve">mijenjati dozu kod </w:t>
      </w:r>
      <w:r w:rsidRPr="00783B4B">
        <w:rPr>
          <w:sz w:val="22"/>
          <w:szCs w:val="22"/>
          <w:lang w:val="sr-Latn-ME"/>
        </w:rPr>
        <w:t xml:space="preserve">pacijenata </w:t>
      </w:r>
      <w:r w:rsidR="009F5B21" w:rsidRPr="00783B4B">
        <w:rPr>
          <w:sz w:val="22"/>
          <w:szCs w:val="22"/>
          <w:lang w:val="sr-Latn-ME"/>
        </w:rPr>
        <w:t xml:space="preserve">sa blagim oblicima oboljenja jetre (vidjeti poglavlje 4.4). Kod </w:t>
      </w:r>
      <w:r w:rsidRPr="00783B4B">
        <w:rPr>
          <w:sz w:val="22"/>
          <w:szCs w:val="22"/>
          <w:lang w:val="sr-Latn-ME"/>
        </w:rPr>
        <w:t xml:space="preserve">pacijenata </w:t>
      </w:r>
      <w:r w:rsidR="009F5B21" w:rsidRPr="00783B4B">
        <w:rPr>
          <w:sz w:val="22"/>
          <w:szCs w:val="22"/>
          <w:lang w:val="sr-Latn-ME"/>
        </w:rPr>
        <w:t>sa umjerenim i teškim oštećenjem funkcije jetre</w:t>
      </w:r>
      <w:r w:rsidR="00030DD8" w:rsidRPr="00783B4B">
        <w:rPr>
          <w:sz w:val="22"/>
          <w:szCs w:val="22"/>
          <w:lang w:val="sr-Latn-ME"/>
        </w:rPr>
        <w:t xml:space="preserve">, </w:t>
      </w:r>
      <w:r w:rsidR="009F5B21" w:rsidRPr="00783B4B">
        <w:rPr>
          <w:sz w:val="22"/>
          <w:szCs w:val="22"/>
          <w:lang w:val="sr-Latn-ME"/>
        </w:rPr>
        <w:t xml:space="preserve"> </w:t>
      </w:r>
      <w:r w:rsidR="00030DD8" w:rsidRPr="00783B4B">
        <w:rPr>
          <w:sz w:val="22"/>
          <w:szCs w:val="22"/>
          <w:lang w:val="sr-Latn-ME"/>
        </w:rPr>
        <w:t>l</w:t>
      </w:r>
      <w:r w:rsidR="001A3838" w:rsidRPr="00783B4B">
        <w:rPr>
          <w:sz w:val="22"/>
          <w:szCs w:val="22"/>
          <w:lang w:val="sr-Latn-ME"/>
        </w:rPr>
        <w:t>ij</w:t>
      </w:r>
      <w:r w:rsidR="00030DD8" w:rsidRPr="00783B4B">
        <w:rPr>
          <w:sz w:val="22"/>
          <w:szCs w:val="22"/>
          <w:lang w:val="sr-Latn-ME"/>
        </w:rPr>
        <w:t xml:space="preserve">ek </w:t>
      </w:r>
      <w:proofErr w:type="spellStart"/>
      <w:r w:rsidR="00030DD8" w:rsidRPr="00783B4B">
        <w:rPr>
          <w:sz w:val="22"/>
          <w:szCs w:val="22"/>
          <w:lang w:val="sr-Latn-ME"/>
        </w:rPr>
        <w:t>Trasolette</w:t>
      </w:r>
      <w:proofErr w:type="spellEnd"/>
      <w:r w:rsidR="00030DD8" w:rsidRPr="00783B4B">
        <w:rPr>
          <w:sz w:val="22"/>
          <w:szCs w:val="22"/>
          <w:lang w:val="sr-Latn-ME"/>
        </w:rPr>
        <w:t xml:space="preserve"> treba </w:t>
      </w:r>
      <w:proofErr w:type="spellStart"/>
      <w:r w:rsidR="00030DD8" w:rsidRPr="00783B4B">
        <w:rPr>
          <w:sz w:val="22"/>
          <w:szCs w:val="22"/>
          <w:lang w:val="sr-Latn-ME"/>
        </w:rPr>
        <w:t>primijenjivati</w:t>
      </w:r>
      <w:proofErr w:type="spellEnd"/>
      <w:r w:rsidR="00030DD8" w:rsidRPr="00783B4B">
        <w:rPr>
          <w:sz w:val="22"/>
          <w:szCs w:val="22"/>
          <w:lang w:val="sr-Latn-ME"/>
        </w:rPr>
        <w:t xml:space="preserve"> sa oprezom</w:t>
      </w:r>
      <w:r w:rsidR="00DA3110" w:rsidRPr="00783B4B">
        <w:rPr>
          <w:sz w:val="22"/>
          <w:szCs w:val="22"/>
          <w:lang w:val="sr-Latn-ME"/>
        </w:rPr>
        <w:t xml:space="preserve"> </w:t>
      </w:r>
      <w:r w:rsidR="00030DD8" w:rsidRPr="00783B4B">
        <w:rPr>
          <w:sz w:val="22"/>
          <w:szCs w:val="22"/>
          <w:lang w:val="sr-Latn-ME"/>
        </w:rPr>
        <w:t>(vidjeti od</w:t>
      </w:r>
      <w:r w:rsidR="001A3838" w:rsidRPr="00783B4B">
        <w:rPr>
          <w:sz w:val="22"/>
          <w:szCs w:val="22"/>
          <w:lang w:val="sr-Latn-ME"/>
        </w:rPr>
        <w:t>j</w:t>
      </w:r>
      <w:r w:rsidR="00030DD8" w:rsidRPr="00783B4B">
        <w:rPr>
          <w:sz w:val="22"/>
          <w:szCs w:val="22"/>
          <w:lang w:val="sr-Latn-ME"/>
        </w:rPr>
        <w:t>eljke 4.4)</w:t>
      </w:r>
      <w:r w:rsidR="009F5B21" w:rsidRPr="00783B4B">
        <w:rPr>
          <w:sz w:val="22"/>
          <w:szCs w:val="22"/>
          <w:lang w:val="sr-Latn-ME"/>
        </w:rPr>
        <w:t xml:space="preserve">. </w:t>
      </w:r>
    </w:p>
    <w:p w14:paraId="61CF5015" w14:textId="77777777" w:rsidR="009F5B21" w:rsidRPr="00783B4B" w:rsidRDefault="009F5B21" w:rsidP="00783B4B">
      <w:pPr>
        <w:tabs>
          <w:tab w:val="left" w:pos="540"/>
          <w:tab w:val="left" w:pos="569"/>
        </w:tabs>
        <w:jc w:val="both"/>
        <w:rPr>
          <w:bCs/>
          <w:sz w:val="22"/>
          <w:szCs w:val="22"/>
          <w:u w:val="single"/>
          <w:lang w:val="sr-Latn-ME"/>
        </w:rPr>
      </w:pPr>
    </w:p>
    <w:p w14:paraId="67DC9381" w14:textId="196A6FE0" w:rsidR="00452E9D" w:rsidRPr="00783B4B" w:rsidRDefault="00452E9D" w:rsidP="00783B4B">
      <w:pPr>
        <w:tabs>
          <w:tab w:val="left" w:pos="540"/>
          <w:tab w:val="left" w:pos="569"/>
        </w:tabs>
        <w:rPr>
          <w:bCs/>
          <w:sz w:val="22"/>
          <w:szCs w:val="22"/>
          <w:u w:val="single"/>
          <w:lang w:val="sr-Latn-ME"/>
        </w:rPr>
      </w:pPr>
      <w:r w:rsidRPr="00783B4B">
        <w:rPr>
          <w:bCs/>
          <w:sz w:val="22"/>
          <w:szCs w:val="22"/>
          <w:u w:val="single"/>
          <w:lang w:val="sr-Latn-ME"/>
        </w:rPr>
        <w:t>Način primjene</w:t>
      </w:r>
    </w:p>
    <w:p w14:paraId="2352B42D" w14:textId="77777777" w:rsidR="000912AA" w:rsidRPr="00783B4B" w:rsidRDefault="000912AA" w:rsidP="00783B4B">
      <w:pPr>
        <w:tabs>
          <w:tab w:val="left" w:pos="540"/>
          <w:tab w:val="left" w:pos="569"/>
        </w:tabs>
        <w:rPr>
          <w:bCs/>
          <w:sz w:val="22"/>
          <w:szCs w:val="22"/>
          <w:u w:val="single"/>
          <w:lang w:val="sr-Latn-ME"/>
        </w:rPr>
      </w:pPr>
    </w:p>
    <w:p w14:paraId="67DC9382" w14:textId="6C662150" w:rsidR="00452E9D" w:rsidRPr="00783B4B" w:rsidRDefault="00030DD8" w:rsidP="00783B4B">
      <w:pPr>
        <w:tabs>
          <w:tab w:val="left" w:pos="540"/>
          <w:tab w:val="left" w:pos="569"/>
        </w:tabs>
        <w:rPr>
          <w:sz w:val="22"/>
          <w:szCs w:val="22"/>
          <w:lang w:val="sr-Latn-ME"/>
        </w:rPr>
      </w:pPr>
      <w:r w:rsidRPr="00783B4B">
        <w:rPr>
          <w:sz w:val="22"/>
          <w:szCs w:val="22"/>
          <w:lang w:val="sr-Latn-ME"/>
        </w:rPr>
        <w:t>L</w:t>
      </w:r>
      <w:r w:rsidR="001A3838" w:rsidRPr="00783B4B">
        <w:rPr>
          <w:sz w:val="22"/>
          <w:szCs w:val="22"/>
          <w:lang w:val="sr-Latn-ME"/>
        </w:rPr>
        <w:t>ij</w:t>
      </w:r>
      <w:r w:rsidRPr="00783B4B">
        <w:rPr>
          <w:sz w:val="22"/>
          <w:szCs w:val="22"/>
          <w:lang w:val="sr-Latn-ME"/>
        </w:rPr>
        <w:t xml:space="preserve">ek </w:t>
      </w:r>
      <w:proofErr w:type="spellStart"/>
      <w:r w:rsidR="000912AA" w:rsidRPr="00783B4B">
        <w:rPr>
          <w:sz w:val="22"/>
          <w:szCs w:val="22"/>
          <w:lang w:val="sr-Latn-ME"/>
        </w:rPr>
        <w:t>Trasolette</w:t>
      </w:r>
      <w:proofErr w:type="spellEnd"/>
      <w:r w:rsidR="000912AA" w:rsidRPr="00783B4B">
        <w:rPr>
          <w:sz w:val="22"/>
          <w:szCs w:val="22"/>
          <w:lang w:val="sr-Latn-ME"/>
        </w:rPr>
        <w:t xml:space="preserve"> se uzima oralno.</w:t>
      </w:r>
    </w:p>
    <w:p w14:paraId="70BCE357" w14:textId="77777777" w:rsidR="000912AA" w:rsidRPr="00783B4B" w:rsidRDefault="000912AA" w:rsidP="00783B4B">
      <w:pPr>
        <w:tabs>
          <w:tab w:val="left" w:pos="540"/>
          <w:tab w:val="left" w:pos="569"/>
        </w:tabs>
        <w:rPr>
          <w:bCs/>
          <w:sz w:val="22"/>
          <w:szCs w:val="22"/>
          <w:lang w:val="sr-Latn-ME"/>
        </w:rPr>
      </w:pPr>
    </w:p>
    <w:p w14:paraId="67DC9383"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4.3. </w:t>
      </w:r>
      <w:r w:rsidR="00480FB1" w:rsidRPr="00783B4B">
        <w:rPr>
          <w:b/>
          <w:bCs/>
          <w:sz w:val="22"/>
          <w:szCs w:val="22"/>
          <w:lang w:val="sr-Latn-ME"/>
        </w:rPr>
        <w:tab/>
      </w:r>
      <w:proofErr w:type="spellStart"/>
      <w:r w:rsidRPr="00783B4B">
        <w:rPr>
          <w:b/>
          <w:bCs/>
          <w:sz w:val="22"/>
          <w:szCs w:val="22"/>
          <w:lang w:val="sr-Latn-ME"/>
        </w:rPr>
        <w:t>Kontraindikacije</w:t>
      </w:r>
      <w:proofErr w:type="spellEnd"/>
    </w:p>
    <w:p w14:paraId="67DC9384" w14:textId="407B4883" w:rsidR="0072020E" w:rsidRPr="00783B4B" w:rsidRDefault="0072020E" w:rsidP="00783B4B">
      <w:pPr>
        <w:tabs>
          <w:tab w:val="left" w:pos="540"/>
          <w:tab w:val="left" w:pos="569"/>
        </w:tabs>
        <w:rPr>
          <w:bCs/>
          <w:sz w:val="22"/>
          <w:szCs w:val="22"/>
          <w:lang w:val="sr-Latn-ME"/>
        </w:rPr>
      </w:pPr>
    </w:p>
    <w:p w14:paraId="62F7CBFD" w14:textId="67D3F318" w:rsidR="00245100" w:rsidRPr="00783B4B" w:rsidRDefault="00637B0A" w:rsidP="00783B4B">
      <w:pPr>
        <w:rPr>
          <w:bCs/>
          <w:sz w:val="22"/>
          <w:szCs w:val="22"/>
          <w:lang w:val="sr-Latn-ME"/>
        </w:rPr>
      </w:pPr>
      <w:r w:rsidRPr="00783B4B">
        <w:rPr>
          <w:bCs/>
          <w:sz w:val="22"/>
          <w:szCs w:val="22"/>
          <w:lang w:val="sr-Latn-ME"/>
        </w:rPr>
        <w:t>Prim</w:t>
      </w:r>
      <w:r w:rsidR="001A3838" w:rsidRPr="00783B4B">
        <w:rPr>
          <w:bCs/>
          <w:sz w:val="22"/>
          <w:szCs w:val="22"/>
          <w:lang w:val="sr-Latn-ME"/>
        </w:rPr>
        <w:t>j</w:t>
      </w:r>
      <w:r w:rsidRPr="00783B4B">
        <w:rPr>
          <w:bCs/>
          <w:sz w:val="22"/>
          <w:szCs w:val="22"/>
          <w:lang w:val="sr-Latn-ME"/>
        </w:rPr>
        <w:t>ena l</w:t>
      </w:r>
      <w:r w:rsidR="001A3838" w:rsidRPr="00783B4B">
        <w:rPr>
          <w:bCs/>
          <w:sz w:val="22"/>
          <w:szCs w:val="22"/>
          <w:lang w:val="sr-Latn-ME"/>
        </w:rPr>
        <w:t>ij</w:t>
      </w:r>
      <w:r w:rsidRPr="00783B4B">
        <w:rPr>
          <w:bCs/>
          <w:sz w:val="22"/>
          <w:szCs w:val="22"/>
          <w:lang w:val="sr-Latn-ME"/>
        </w:rPr>
        <w:t xml:space="preserve">eka </w:t>
      </w:r>
      <w:proofErr w:type="spellStart"/>
      <w:r w:rsidR="009C78E5" w:rsidRPr="00783B4B">
        <w:rPr>
          <w:bCs/>
          <w:sz w:val="22"/>
          <w:szCs w:val="22"/>
          <w:lang w:val="sr-Latn-ME"/>
        </w:rPr>
        <w:t>Trasolette</w:t>
      </w:r>
      <w:proofErr w:type="spellEnd"/>
      <w:r w:rsidR="009C78E5" w:rsidRPr="00783B4B">
        <w:rPr>
          <w:bCs/>
          <w:sz w:val="22"/>
          <w:szCs w:val="22"/>
          <w:lang w:val="sr-Latn-ME"/>
        </w:rPr>
        <w:t xml:space="preserve"> je kontraindikovan</w:t>
      </w:r>
      <w:r w:rsidR="005C6BB6" w:rsidRPr="00783B4B">
        <w:rPr>
          <w:bCs/>
          <w:sz w:val="22"/>
          <w:szCs w:val="22"/>
          <w:lang w:val="sr-Latn-ME"/>
        </w:rPr>
        <w:t>a</w:t>
      </w:r>
      <w:r w:rsidR="009C78E5" w:rsidRPr="00783B4B">
        <w:rPr>
          <w:bCs/>
          <w:sz w:val="22"/>
          <w:szCs w:val="22"/>
          <w:lang w:val="sr-Latn-ME"/>
        </w:rPr>
        <w:t xml:space="preserve"> </w:t>
      </w:r>
      <w:r w:rsidR="005C6BB6" w:rsidRPr="00783B4B">
        <w:rPr>
          <w:bCs/>
          <w:sz w:val="22"/>
          <w:szCs w:val="22"/>
          <w:lang w:val="sr-Latn-ME"/>
        </w:rPr>
        <w:t>u sl</w:t>
      </w:r>
      <w:r w:rsidR="001A3838" w:rsidRPr="00783B4B">
        <w:rPr>
          <w:bCs/>
          <w:sz w:val="22"/>
          <w:szCs w:val="22"/>
          <w:lang w:val="sr-Latn-ME"/>
        </w:rPr>
        <w:t>j</w:t>
      </w:r>
      <w:r w:rsidR="005C6BB6" w:rsidRPr="00783B4B">
        <w:rPr>
          <w:bCs/>
          <w:sz w:val="22"/>
          <w:szCs w:val="22"/>
          <w:lang w:val="sr-Latn-ME"/>
        </w:rPr>
        <w:t>edećim slučajevima:</w:t>
      </w:r>
      <w:r w:rsidR="009C78E5" w:rsidRPr="00783B4B">
        <w:rPr>
          <w:bCs/>
          <w:sz w:val="22"/>
          <w:szCs w:val="22"/>
          <w:lang w:val="sr-Latn-ME"/>
        </w:rPr>
        <w:t xml:space="preserve"> </w:t>
      </w:r>
    </w:p>
    <w:p w14:paraId="35AF9D59" w14:textId="55BBC49A" w:rsidR="002D4D05" w:rsidRPr="00783B4B" w:rsidRDefault="002D4D05" w:rsidP="00783B4B">
      <w:pPr>
        <w:pStyle w:val="ListParagraph"/>
        <w:numPr>
          <w:ilvl w:val="0"/>
          <w:numId w:val="12"/>
        </w:numPr>
        <w:rPr>
          <w:sz w:val="22"/>
          <w:szCs w:val="22"/>
          <w:lang w:val="sr-Latn-ME"/>
        </w:rPr>
      </w:pPr>
      <w:r w:rsidRPr="00783B4B">
        <w:rPr>
          <w:sz w:val="22"/>
          <w:szCs w:val="22"/>
          <w:lang w:val="sr-Latn-ME"/>
        </w:rPr>
        <w:t>Trudnoća i dojenje</w:t>
      </w:r>
    </w:p>
    <w:p w14:paraId="06AD76B5" w14:textId="10E05732" w:rsidR="009C78E5" w:rsidRPr="00783B4B" w:rsidRDefault="00753D32" w:rsidP="00783B4B">
      <w:pPr>
        <w:pStyle w:val="Bodytext20"/>
        <w:numPr>
          <w:ilvl w:val="0"/>
          <w:numId w:val="12"/>
        </w:numPr>
        <w:spacing w:line="240" w:lineRule="auto"/>
        <w:jc w:val="both"/>
        <w:rPr>
          <w:b w:val="0"/>
          <w:sz w:val="22"/>
          <w:szCs w:val="22"/>
        </w:rPr>
      </w:pPr>
      <w:r w:rsidRPr="00783B4B">
        <w:rPr>
          <w:b w:val="0"/>
          <w:sz w:val="22"/>
          <w:szCs w:val="22"/>
        </w:rPr>
        <w:t xml:space="preserve">Poznata </w:t>
      </w:r>
      <w:r w:rsidR="009C78E5" w:rsidRPr="00783B4B">
        <w:rPr>
          <w:b w:val="0"/>
          <w:sz w:val="22"/>
          <w:szCs w:val="22"/>
        </w:rPr>
        <w:t>preosjetljivo</w:t>
      </w:r>
      <w:r w:rsidRPr="00783B4B">
        <w:rPr>
          <w:b w:val="0"/>
          <w:sz w:val="22"/>
          <w:szCs w:val="22"/>
        </w:rPr>
        <w:t>st</w:t>
      </w:r>
      <w:r w:rsidR="009C78E5" w:rsidRPr="00783B4B">
        <w:rPr>
          <w:b w:val="0"/>
          <w:sz w:val="22"/>
          <w:szCs w:val="22"/>
        </w:rPr>
        <w:t xml:space="preserve"> na </w:t>
      </w:r>
      <w:proofErr w:type="spellStart"/>
      <w:r w:rsidR="009C78E5" w:rsidRPr="00783B4B">
        <w:rPr>
          <w:b w:val="0"/>
          <w:sz w:val="22"/>
          <w:szCs w:val="22"/>
        </w:rPr>
        <w:t>anastrozol</w:t>
      </w:r>
      <w:proofErr w:type="spellEnd"/>
      <w:r w:rsidR="009C78E5" w:rsidRPr="00783B4B">
        <w:rPr>
          <w:b w:val="0"/>
          <w:sz w:val="22"/>
          <w:szCs w:val="22"/>
        </w:rPr>
        <w:t xml:space="preserve"> ili bilo koju od pomoćnih supstanci navedenih u </w:t>
      </w:r>
      <w:r w:rsidRPr="00783B4B">
        <w:rPr>
          <w:b w:val="0"/>
          <w:sz w:val="22"/>
          <w:szCs w:val="22"/>
        </w:rPr>
        <w:t>od</w:t>
      </w:r>
      <w:r w:rsidR="001A3838" w:rsidRPr="00783B4B">
        <w:rPr>
          <w:b w:val="0"/>
          <w:sz w:val="22"/>
          <w:szCs w:val="22"/>
        </w:rPr>
        <w:t>j</w:t>
      </w:r>
      <w:r w:rsidRPr="00783B4B">
        <w:rPr>
          <w:b w:val="0"/>
          <w:sz w:val="22"/>
          <w:szCs w:val="22"/>
        </w:rPr>
        <w:t xml:space="preserve">eljku </w:t>
      </w:r>
      <w:r w:rsidR="009C78E5" w:rsidRPr="00783B4B">
        <w:rPr>
          <w:b w:val="0"/>
          <w:sz w:val="22"/>
          <w:szCs w:val="22"/>
        </w:rPr>
        <w:t>6.1.</w:t>
      </w:r>
    </w:p>
    <w:p w14:paraId="5499AD05" w14:textId="77777777" w:rsidR="009C78E5" w:rsidRPr="00783B4B" w:rsidRDefault="009C78E5" w:rsidP="00783B4B">
      <w:pPr>
        <w:tabs>
          <w:tab w:val="left" w:pos="540"/>
          <w:tab w:val="left" w:pos="569"/>
        </w:tabs>
        <w:rPr>
          <w:bCs/>
          <w:sz w:val="22"/>
          <w:szCs w:val="22"/>
          <w:lang w:val="sr-Latn-ME"/>
        </w:rPr>
      </w:pPr>
    </w:p>
    <w:p w14:paraId="67DC9385"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 xml:space="preserve">4.4. </w:t>
      </w:r>
      <w:r w:rsidR="00480FB1" w:rsidRPr="00783B4B">
        <w:rPr>
          <w:b/>
          <w:bCs/>
          <w:sz w:val="22"/>
          <w:szCs w:val="22"/>
          <w:lang w:val="sr-Latn-ME"/>
        </w:rPr>
        <w:tab/>
      </w:r>
      <w:r w:rsidRPr="00783B4B">
        <w:rPr>
          <w:b/>
          <w:bCs/>
          <w:sz w:val="22"/>
          <w:szCs w:val="22"/>
          <w:lang w:val="sr-Latn-ME"/>
        </w:rPr>
        <w:t>Posebna upozorenja i mjere opreza pri upotrebi lijeka</w:t>
      </w:r>
    </w:p>
    <w:p w14:paraId="67DC9386" w14:textId="77777777" w:rsidR="0072020E" w:rsidRPr="00783B4B" w:rsidRDefault="0072020E" w:rsidP="00783B4B">
      <w:pPr>
        <w:tabs>
          <w:tab w:val="left" w:pos="540"/>
          <w:tab w:val="left" w:pos="569"/>
        </w:tabs>
        <w:rPr>
          <w:bCs/>
          <w:sz w:val="22"/>
          <w:szCs w:val="22"/>
          <w:lang w:val="sr-Latn-ME"/>
        </w:rPr>
      </w:pPr>
    </w:p>
    <w:p w14:paraId="34CE0806" w14:textId="77777777" w:rsidR="000F7C17" w:rsidRPr="00783B4B" w:rsidRDefault="000F7C17" w:rsidP="00783B4B">
      <w:pPr>
        <w:jc w:val="both"/>
        <w:rPr>
          <w:i/>
          <w:sz w:val="22"/>
          <w:szCs w:val="22"/>
          <w:u w:val="single"/>
          <w:lang w:val="sr-Latn-ME"/>
        </w:rPr>
      </w:pPr>
      <w:r w:rsidRPr="00783B4B">
        <w:rPr>
          <w:i/>
          <w:sz w:val="22"/>
          <w:szCs w:val="22"/>
          <w:u w:val="single"/>
          <w:lang w:val="sr-Latn-ME"/>
        </w:rPr>
        <w:t>Opšta upozorenja</w:t>
      </w:r>
    </w:p>
    <w:p w14:paraId="5F1697D5" w14:textId="412E6CA1" w:rsidR="000F7C17" w:rsidRPr="00783B4B" w:rsidRDefault="00C82D4E" w:rsidP="00783B4B">
      <w:pPr>
        <w:jc w:val="both"/>
        <w:rPr>
          <w:sz w:val="22"/>
          <w:szCs w:val="22"/>
          <w:lang w:val="sr-Latn-ME"/>
        </w:rPr>
      </w:pPr>
      <w:r w:rsidRPr="00783B4B">
        <w:rPr>
          <w:sz w:val="22"/>
          <w:szCs w:val="22"/>
          <w:lang w:val="sr-Latn-ME"/>
        </w:rPr>
        <w:t>L</w:t>
      </w:r>
      <w:r w:rsidR="001A3838" w:rsidRPr="00783B4B">
        <w:rPr>
          <w:sz w:val="22"/>
          <w:szCs w:val="22"/>
          <w:lang w:val="sr-Latn-ME"/>
        </w:rPr>
        <w:t>ij</w:t>
      </w:r>
      <w:r w:rsidRPr="00783B4B">
        <w:rPr>
          <w:sz w:val="22"/>
          <w:szCs w:val="22"/>
          <w:lang w:val="sr-Latn-ME"/>
        </w:rPr>
        <w:t xml:space="preserve">ek </w:t>
      </w:r>
      <w:proofErr w:type="spellStart"/>
      <w:r w:rsidR="000F7C17" w:rsidRPr="00783B4B">
        <w:rPr>
          <w:sz w:val="22"/>
          <w:szCs w:val="22"/>
          <w:lang w:val="sr-Latn-ME"/>
        </w:rPr>
        <w:t>Trasolette</w:t>
      </w:r>
      <w:proofErr w:type="spellEnd"/>
      <w:r w:rsidR="000F7C17" w:rsidRPr="00783B4B">
        <w:rPr>
          <w:sz w:val="22"/>
          <w:szCs w:val="22"/>
          <w:lang w:val="sr-Latn-ME"/>
        </w:rPr>
        <w:t xml:space="preserve"> ne treba primjenjivati kod žena u </w:t>
      </w:r>
      <w:proofErr w:type="spellStart"/>
      <w:r w:rsidR="000F7C17" w:rsidRPr="00783B4B">
        <w:rPr>
          <w:sz w:val="22"/>
          <w:szCs w:val="22"/>
          <w:lang w:val="sr-Latn-ME"/>
        </w:rPr>
        <w:t>premenopauzi</w:t>
      </w:r>
      <w:proofErr w:type="spellEnd"/>
      <w:r w:rsidR="000F7C17" w:rsidRPr="00783B4B">
        <w:rPr>
          <w:sz w:val="22"/>
          <w:szCs w:val="22"/>
          <w:lang w:val="sr-Latn-ME"/>
        </w:rPr>
        <w:t xml:space="preserve">. </w:t>
      </w:r>
      <w:r w:rsidR="00970A53" w:rsidRPr="00783B4B">
        <w:rPr>
          <w:sz w:val="22"/>
          <w:szCs w:val="22"/>
          <w:lang w:val="sr-Latn-ME"/>
        </w:rPr>
        <w:t xml:space="preserve">Menopauza mora biti potvrđena biohemijski </w:t>
      </w:r>
      <w:r w:rsidR="000F7C17" w:rsidRPr="00783B4B">
        <w:rPr>
          <w:sz w:val="22"/>
          <w:szCs w:val="22"/>
          <w:lang w:val="sr-Latn-ME"/>
        </w:rPr>
        <w:t>(</w:t>
      </w:r>
      <w:proofErr w:type="spellStart"/>
      <w:r w:rsidR="000F7C17" w:rsidRPr="00783B4B">
        <w:rPr>
          <w:sz w:val="22"/>
          <w:szCs w:val="22"/>
          <w:lang w:val="sr-Latn-ME"/>
        </w:rPr>
        <w:t>luteinizirajući</w:t>
      </w:r>
      <w:proofErr w:type="spellEnd"/>
      <w:r w:rsidR="000F7C17" w:rsidRPr="00783B4B">
        <w:rPr>
          <w:sz w:val="22"/>
          <w:szCs w:val="22"/>
          <w:lang w:val="sr-Latn-ME"/>
        </w:rPr>
        <w:t xml:space="preserve"> hormon (</w:t>
      </w:r>
      <w:proofErr w:type="spellStart"/>
      <w:r w:rsidR="000F7C17" w:rsidRPr="00783B4B">
        <w:rPr>
          <w:sz w:val="22"/>
          <w:szCs w:val="22"/>
          <w:lang w:val="sr-Latn-ME"/>
        </w:rPr>
        <w:t>LH</w:t>
      </w:r>
      <w:proofErr w:type="spellEnd"/>
      <w:r w:rsidR="000F7C17" w:rsidRPr="00783B4B">
        <w:rPr>
          <w:sz w:val="22"/>
          <w:szCs w:val="22"/>
          <w:lang w:val="sr-Latn-ME"/>
        </w:rPr>
        <w:t xml:space="preserve">), </w:t>
      </w:r>
      <w:proofErr w:type="spellStart"/>
      <w:r w:rsidR="000F7C17" w:rsidRPr="00783B4B">
        <w:rPr>
          <w:sz w:val="22"/>
          <w:szCs w:val="22"/>
          <w:lang w:val="sr-Latn-ME"/>
        </w:rPr>
        <w:t>folikulostimulirajući</w:t>
      </w:r>
      <w:proofErr w:type="spellEnd"/>
      <w:r w:rsidR="000F7C17" w:rsidRPr="00783B4B">
        <w:rPr>
          <w:sz w:val="22"/>
          <w:szCs w:val="22"/>
          <w:lang w:val="sr-Latn-ME"/>
        </w:rPr>
        <w:t xml:space="preserve"> hormon (</w:t>
      </w:r>
      <w:proofErr w:type="spellStart"/>
      <w:r w:rsidR="000F7C17" w:rsidRPr="00783B4B">
        <w:rPr>
          <w:sz w:val="22"/>
          <w:szCs w:val="22"/>
          <w:lang w:val="sr-Latn-ME"/>
        </w:rPr>
        <w:t>FSH</w:t>
      </w:r>
      <w:proofErr w:type="spellEnd"/>
      <w:r w:rsidR="000F7C17" w:rsidRPr="00783B4B">
        <w:rPr>
          <w:sz w:val="22"/>
          <w:szCs w:val="22"/>
          <w:lang w:val="sr-Latn-ME"/>
        </w:rPr>
        <w:t xml:space="preserve">)  i/ili nivo </w:t>
      </w:r>
      <w:proofErr w:type="spellStart"/>
      <w:r w:rsidR="000F7C17" w:rsidRPr="00783B4B">
        <w:rPr>
          <w:sz w:val="22"/>
          <w:szCs w:val="22"/>
          <w:lang w:val="sr-Latn-ME"/>
        </w:rPr>
        <w:t>estradiola</w:t>
      </w:r>
      <w:proofErr w:type="spellEnd"/>
      <w:r w:rsidR="000F7C17" w:rsidRPr="00783B4B">
        <w:rPr>
          <w:sz w:val="22"/>
          <w:szCs w:val="22"/>
          <w:lang w:val="sr-Latn-ME"/>
        </w:rPr>
        <w:t>)</w:t>
      </w:r>
      <w:r w:rsidR="00970A53" w:rsidRPr="00783B4B">
        <w:rPr>
          <w:sz w:val="22"/>
          <w:szCs w:val="22"/>
          <w:lang w:val="sr-Latn-ME"/>
        </w:rPr>
        <w:t xml:space="preserve"> kod svake </w:t>
      </w:r>
      <w:proofErr w:type="spellStart"/>
      <w:r w:rsidR="00970A53" w:rsidRPr="00783B4B">
        <w:rPr>
          <w:sz w:val="22"/>
          <w:szCs w:val="22"/>
          <w:lang w:val="sr-Latn-ME"/>
        </w:rPr>
        <w:t>pacijentkinje</w:t>
      </w:r>
      <w:proofErr w:type="spellEnd"/>
      <w:r w:rsidR="00970A53" w:rsidRPr="00783B4B">
        <w:rPr>
          <w:sz w:val="22"/>
          <w:szCs w:val="22"/>
          <w:lang w:val="sr-Latn-ME"/>
        </w:rPr>
        <w:t xml:space="preserve"> kod koje postoji sumnja o postojanju menopauze</w:t>
      </w:r>
      <w:r w:rsidR="000F7C17" w:rsidRPr="00783B4B">
        <w:rPr>
          <w:sz w:val="22"/>
          <w:szCs w:val="22"/>
          <w:lang w:val="sr-Latn-ME"/>
        </w:rPr>
        <w:t xml:space="preserve">. Ne postoje podaci koji bi podržali primjenu </w:t>
      </w:r>
      <w:r w:rsidR="004242B3" w:rsidRPr="00783B4B">
        <w:rPr>
          <w:sz w:val="22"/>
          <w:szCs w:val="22"/>
          <w:lang w:val="sr-Latn-ME"/>
        </w:rPr>
        <w:t>l</w:t>
      </w:r>
      <w:r w:rsidR="001A3838" w:rsidRPr="00783B4B">
        <w:rPr>
          <w:sz w:val="22"/>
          <w:szCs w:val="22"/>
          <w:lang w:val="sr-Latn-ME"/>
        </w:rPr>
        <w:t>ij</w:t>
      </w:r>
      <w:r w:rsidR="004242B3" w:rsidRPr="00783B4B">
        <w:rPr>
          <w:sz w:val="22"/>
          <w:szCs w:val="22"/>
          <w:lang w:val="sr-Latn-ME"/>
        </w:rPr>
        <w:t xml:space="preserve">eka </w:t>
      </w:r>
      <w:proofErr w:type="spellStart"/>
      <w:r w:rsidR="004242B3" w:rsidRPr="00783B4B">
        <w:rPr>
          <w:sz w:val="22"/>
          <w:szCs w:val="22"/>
          <w:lang w:val="sr-Latn-ME"/>
        </w:rPr>
        <w:t>Trasolette</w:t>
      </w:r>
      <w:proofErr w:type="spellEnd"/>
      <w:r w:rsidR="004242B3" w:rsidRPr="00783B4B">
        <w:rPr>
          <w:sz w:val="22"/>
          <w:szCs w:val="22"/>
          <w:lang w:val="sr-Latn-ME"/>
        </w:rPr>
        <w:t xml:space="preserve"> </w:t>
      </w:r>
      <w:r w:rsidR="000F7C17" w:rsidRPr="00783B4B">
        <w:rPr>
          <w:sz w:val="22"/>
          <w:szCs w:val="22"/>
          <w:lang w:val="sr-Latn-ME"/>
        </w:rPr>
        <w:t xml:space="preserve">sa </w:t>
      </w:r>
      <w:proofErr w:type="spellStart"/>
      <w:r w:rsidR="000F7C17" w:rsidRPr="00783B4B">
        <w:rPr>
          <w:sz w:val="22"/>
          <w:szCs w:val="22"/>
          <w:lang w:val="sr-Latn-ME"/>
        </w:rPr>
        <w:t>LHRH</w:t>
      </w:r>
      <w:proofErr w:type="spellEnd"/>
      <w:r w:rsidR="000F7C17" w:rsidRPr="00783B4B">
        <w:rPr>
          <w:sz w:val="22"/>
          <w:szCs w:val="22"/>
          <w:lang w:val="sr-Latn-ME"/>
        </w:rPr>
        <w:t xml:space="preserve"> </w:t>
      </w:r>
      <w:proofErr w:type="spellStart"/>
      <w:r w:rsidR="000F7C17" w:rsidRPr="00783B4B">
        <w:rPr>
          <w:sz w:val="22"/>
          <w:szCs w:val="22"/>
          <w:lang w:val="sr-Latn-ME"/>
        </w:rPr>
        <w:t>analozima</w:t>
      </w:r>
      <w:proofErr w:type="spellEnd"/>
      <w:r w:rsidR="000F7C17" w:rsidRPr="00783B4B">
        <w:rPr>
          <w:sz w:val="22"/>
          <w:szCs w:val="22"/>
          <w:lang w:val="sr-Latn-ME"/>
        </w:rPr>
        <w:t>.</w:t>
      </w:r>
    </w:p>
    <w:p w14:paraId="00CBB56D" w14:textId="77777777" w:rsidR="000F7C17" w:rsidRPr="00783B4B" w:rsidRDefault="000F7C17" w:rsidP="00783B4B">
      <w:pPr>
        <w:jc w:val="both"/>
        <w:rPr>
          <w:sz w:val="22"/>
          <w:szCs w:val="22"/>
          <w:lang w:val="sr-Latn-ME"/>
        </w:rPr>
      </w:pPr>
    </w:p>
    <w:p w14:paraId="21FBD16B" w14:textId="2D20F0F8" w:rsidR="000F7C17" w:rsidRPr="00783B4B" w:rsidRDefault="000F7C17" w:rsidP="00783B4B">
      <w:pPr>
        <w:jc w:val="both"/>
        <w:rPr>
          <w:sz w:val="22"/>
          <w:szCs w:val="22"/>
          <w:lang w:val="sr-Latn-ME"/>
        </w:rPr>
      </w:pPr>
      <w:r w:rsidRPr="00783B4B">
        <w:rPr>
          <w:sz w:val="22"/>
          <w:szCs w:val="22"/>
          <w:lang w:val="sr-Latn-ME"/>
        </w:rPr>
        <w:t xml:space="preserve">Istovremenu primjenu </w:t>
      </w:r>
      <w:proofErr w:type="spellStart"/>
      <w:r w:rsidR="008314DD" w:rsidRPr="00783B4B">
        <w:rPr>
          <w:sz w:val="22"/>
          <w:szCs w:val="22"/>
          <w:lang w:val="sr-Latn-ME"/>
        </w:rPr>
        <w:t>tamoksifena</w:t>
      </w:r>
      <w:proofErr w:type="spellEnd"/>
      <w:r w:rsidR="008314DD" w:rsidRPr="00783B4B">
        <w:rPr>
          <w:sz w:val="22"/>
          <w:szCs w:val="22"/>
          <w:lang w:val="sr-Latn-ME"/>
        </w:rPr>
        <w:t xml:space="preserve"> ili drugih l</w:t>
      </w:r>
      <w:r w:rsidR="001A3838" w:rsidRPr="00783B4B">
        <w:rPr>
          <w:sz w:val="22"/>
          <w:szCs w:val="22"/>
          <w:lang w:val="sr-Latn-ME"/>
        </w:rPr>
        <w:t>j</w:t>
      </w:r>
      <w:r w:rsidR="008314DD" w:rsidRPr="00783B4B">
        <w:rPr>
          <w:sz w:val="22"/>
          <w:szCs w:val="22"/>
          <w:lang w:val="sr-Latn-ME"/>
        </w:rPr>
        <w:t xml:space="preserve">ekova koji sadrže estrogene sa lijekom </w:t>
      </w:r>
      <w:proofErr w:type="spellStart"/>
      <w:r w:rsidRPr="00783B4B">
        <w:rPr>
          <w:sz w:val="22"/>
          <w:szCs w:val="22"/>
          <w:lang w:val="sr-Latn-ME"/>
        </w:rPr>
        <w:t>Trasolette</w:t>
      </w:r>
      <w:proofErr w:type="spellEnd"/>
      <w:r w:rsidRPr="00783B4B">
        <w:rPr>
          <w:sz w:val="22"/>
          <w:szCs w:val="22"/>
          <w:lang w:val="sr-Latn-ME"/>
        </w:rPr>
        <w:t xml:space="preserve"> treba izbjegavati jer </w:t>
      </w:r>
      <w:r w:rsidR="002A022A" w:rsidRPr="00783B4B">
        <w:rPr>
          <w:sz w:val="22"/>
          <w:szCs w:val="22"/>
          <w:lang w:val="sr-Latn-ME"/>
        </w:rPr>
        <w:t xml:space="preserve">to </w:t>
      </w:r>
      <w:r w:rsidRPr="00783B4B">
        <w:rPr>
          <w:sz w:val="22"/>
          <w:szCs w:val="22"/>
          <w:lang w:val="sr-Latn-ME"/>
        </w:rPr>
        <w:t xml:space="preserve">može </w:t>
      </w:r>
      <w:r w:rsidR="002A022A" w:rsidRPr="00783B4B">
        <w:rPr>
          <w:sz w:val="22"/>
          <w:szCs w:val="22"/>
          <w:lang w:val="sr-Latn-ME"/>
        </w:rPr>
        <w:t xml:space="preserve">smanjiti </w:t>
      </w:r>
      <w:r w:rsidRPr="00783B4B">
        <w:rPr>
          <w:sz w:val="22"/>
          <w:szCs w:val="22"/>
          <w:lang w:val="sr-Latn-ME"/>
        </w:rPr>
        <w:t>farmakološko dejstvo</w:t>
      </w:r>
      <w:r w:rsidR="002A022A" w:rsidRPr="00783B4B">
        <w:rPr>
          <w:sz w:val="22"/>
          <w:szCs w:val="22"/>
          <w:lang w:val="sr-Latn-ME"/>
        </w:rPr>
        <w:t xml:space="preserve"> </w:t>
      </w:r>
      <w:proofErr w:type="spellStart"/>
      <w:r w:rsidR="002A022A" w:rsidRPr="00783B4B">
        <w:rPr>
          <w:sz w:val="22"/>
          <w:szCs w:val="22"/>
          <w:lang w:val="sr-Latn-ME"/>
        </w:rPr>
        <w:t>anastrozola</w:t>
      </w:r>
      <w:proofErr w:type="spellEnd"/>
      <w:r w:rsidRPr="00783B4B">
        <w:rPr>
          <w:sz w:val="22"/>
          <w:szCs w:val="22"/>
          <w:lang w:val="sr-Latn-ME"/>
        </w:rPr>
        <w:t xml:space="preserve"> (vidjeti </w:t>
      </w:r>
      <w:r w:rsidR="0057556D" w:rsidRPr="00783B4B">
        <w:rPr>
          <w:sz w:val="22"/>
          <w:szCs w:val="22"/>
          <w:lang w:val="sr-Latn-ME"/>
        </w:rPr>
        <w:t>od</w:t>
      </w:r>
      <w:r w:rsidR="001A3838" w:rsidRPr="00783B4B">
        <w:rPr>
          <w:sz w:val="22"/>
          <w:szCs w:val="22"/>
          <w:lang w:val="sr-Latn-ME"/>
        </w:rPr>
        <w:t>j</w:t>
      </w:r>
      <w:r w:rsidR="0057556D" w:rsidRPr="00783B4B">
        <w:rPr>
          <w:sz w:val="22"/>
          <w:szCs w:val="22"/>
          <w:lang w:val="sr-Latn-ME"/>
        </w:rPr>
        <w:t xml:space="preserve">eljak </w:t>
      </w:r>
      <w:r w:rsidRPr="00783B4B">
        <w:rPr>
          <w:sz w:val="22"/>
          <w:szCs w:val="22"/>
          <w:lang w:val="sr-Latn-ME"/>
        </w:rPr>
        <w:t>4.</w:t>
      </w:r>
      <w:r w:rsidR="0057556D" w:rsidRPr="00783B4B">
        <w:rPr>
          <w:sz w:val="22"/>
          <w:szCs w:val="22"/>
          <w:lang w:val="sr-Latn-ME"/>
        </w:rPr>
        <w:t>8</w:t>
      </w:r>
      <w:r w:rsidRPr="00783B4B">
        <w:rPr>
          <w:sz w:val="22"/>
          <w:szCs w:val="22"/>
          <w:lang w:val="sr-Latn-ME"/>
        </w:rPr>
        <w:t>).</w:t>
      </w:r>
    </w:p>
    <w:p w14:paraId="549DBFE7" w14:textId="77777777" w:rsidR="000F7C17" w:rsidRPr="00783B4B" w:rsidRDefault="000F7C17" w:rsidP="00783B4B">
      <w:pPr>
        <w:jc w:val="both"/>
        <w:rPr>
          <w:sz w:val="22"/>
          <w:szCs w:val="22"/>
          <w:lang w:val="sr-Latn-ME"/>
        </w:rPr>
      </w:pPr>
    </w:p>
    <w:p w14:paraId="42D7D194" w14:textId="32BFEBD4" w:rsidR="000F7C17" w:rsidRPr="00783B4B" w:rsidRDefault="0057556D" w:rsidP="00783B4B">
      <w:pPr>
        <w:jc w:val="both"/>
        <w:rPr>
          <w:iCs/>
          <w:sz w:val="22"/>
          <w:szCs w:val="22"/>
          <w:u w:val="single"/>
          <w:lang w:val="sr-Latn-ME"/>
        </w:rPr>
      </w:pPr>
      <w:r w:rsidRPr="00783B4B">
        <w:rPr>
          <w:iCs/>
          <w:sz w:val="22"/>
          <w:szCs w:val="22"/>
          <w:u w:val="single"/>
          <w:lang w:val="sr-Latn-ME"/>
        </w:rPr>
        <w:t xml:space="preserve">Efekat </w:t>
      </w:r>
      <w:r w:rsidR="000F7C17" w:rsidRPr="00783B4B">
        <w:rPr>
          <w:iCs/>
          <w:sz w:val="22"/>
          <w:szCs w:val="22"/>
          <w:u w:val="single"/>
          <w:lang w:val="sr-Latn-ME"/>
        </w:rPr>
        <w:t xml:space="preserve">na mineralnu </w:t>
      </w:r>
      <w:r w:rsidRPr="00783B4B">
        <w:rPr>
          <w:iCs/>
          <w:sz w:val="22"/>
          <w:szCs w:val="22"/>
          <w:u w:val="single"/>
          <w:lang w:val="sr-Latn-ME"/>
        </w:rPr>
        <w:t xml:space="preserve">koštanu </w:t>
      </w:r>
      <w:r w:rsidR="000F7C17" w:rsidRPr="00783B4B">
        <w:rPr>
          <w:iCs/>
          <w:sz w:val="22"/>
          <w:szCs w:val="22"/>
          <w:u w:val="single"/>
          <w:lang w:val="sr-Latn-ME"/>
        </w:rPr>
        <w:t>gustinu</w:t>
      </w:r>
    </w:p>
    <w:p w14:paraId="45125220" w14:textId="77777777" w:rsidR="0057556D" w:rsidRPr="00783B4B" w:rsidRDefault="0057556D" w:rsidP="00783B4B">
      <w:pPr>
        <w:jc w:val="both"/>
        <w:rPr>
          <w:iCs/>
          <w:sz w:val="22"/>
          <w:szCs w:val="22"/>
          <w:u w:val="single"/>
          <w:lang w:val="sr-Latn-ME"/>
        </w:rPr>
      </w:pPr>
    </w:p>
    <w:p w14:paraId="6C8FF607" w14:textId="3EDF86DD" w:rsidR="000F7C17" w:rsidRPr="00783B4B" w:rsidRDefault="0057556D" w:rsidP="00783B4B">
      <w:pPr>
        <w:jc w:val="both"/>
        <w:rPr>
          <w:sz w:val="22"/>
          <w:szCs w:val="22"/>
          <w:lang w:val="sr-Latn-ME"/>
        </w:rPr>
      </w:pPr>
      <w:r w:rsidRPr="00783B4B">
        <w:rPr>
          <w:sz w:val="22"/>
          <w:szCs w:val="22"/>
          <w:lang w:val="sr-Latn-ME"/>
        </w:rPr>
        <w:t xml:space="preserve">Kako </w:t>
      </w:r>
      <w:r w:rsidR="000F7C17" w:rsidRPr="00783B4B">
        <w:rPr>
          <w:sz w:val="22"/>
          <w:szCs w:val="22"/>
          <w:lang w:val="sr-Latn-ME"/>
        </w:rPr>
        <w:t xml:space="preserve">lijek </w:t>
      </w:r>
      <w:proofErr w:type="spellStart"/>
      <w:r w:rsidR="000F7C17" w:rsidRPr="00783B4B">
        <w:rPr>
          <w:sz w:val="22"/>
          <w:szCs w:val="22"/>
          <w:lang w:val="sr-Latn-ME"/>
        </w:rPr>
        <w:t>Trasolette</w:t>
      </w:r>
      <w:proofErr w:type="spellEnd"/>
      <w:r w:rsidR="000F7C17" w:rsidRPr="00783B4B">
        <w:rPr>
          <w:sz w:val="22"/>
          <w:szCs w:val="22"/>
          <w:lang w:val="sr-Latn-ME"/>
        </w:rPr>
        <w:t xml:space="preserve"> </w:t>
      </w:r>
      <w:r w:rsidRPr="00783B4B">
        <w:rPr>
          <w:sz w:val="22"/>
          <w:szCs w:val="22"/>
          <w:lang w:val="sr-Latn-ME"/>
        </w:rPr>
        <w:t xml:space="preserve">smanjuje </w:t>
      </w:r>
      <w:r w:rsidR="000F7C17" w:rsidRPr="00783B4B">
        <w:rPr>
          <w:sz w:val="22"/>
          <w:szCs w:val="22"/>
          <w:lang w:val="sr-Latn-ME"/>
        </w:rPr>
        <w:t>nivo</w:t>
      </w:r>
      <w:r w:rsidR="00EA04B6" w:rsidRPr="00783B4B">
        <w:rPr>
          <w:sz w:val="22"/>
          <w:szCs w:val="22"/>
          <w:lang w:val="sr-Latn-ME"/>
        </w:rPr>
        <w:t xml:space="preserve">e </w:t>
      </w:r>
      <w:proofErr w:type="spellStart"/>
      <w:r w:rsidR="00EA04B6" w:rsidRPr="00783B4B">
        <w:rPr>
          <w:sz w:val="22"/>
          <w:szCs w:val="22"/>
          <w:lang w:val="sr-Latn-ME"/>
        </w:rPr>
        <w:t>cirkulišućeg</w:t>
      </w:r>
      <w:proofErr w:type="spellEnd"/>
      <w:r w:rsidR="000F7C17" w:rsidRPr="00783B4B">
        <w:rPr>
          <w:sz w:val="22"/>
          <w:szCs w:val="22"/>
          <w:lang w:val="sr-Latn-ME"/>
        </w:rPr>
        <w:t xml:space="preserve"> estrogena </w:t>
      </w:r>
      <w:r w:rsidR="00EA04B6" w:rsidRPr="00783B4B">
        <w:rPr>
          <w:sz w:val="22"/>
          <w:szCs w:val="22"/>
          <w:lang w:val="sr-Latn-ME"/>
        </w:rPr>
        <w:t xml:space="preserve">to </w:t>
      </w:r>
      <w:r w:rsidR="000F7C17" w:rsidRPr="00783B4B">
        <w:rPr>
          <w:sz w:val="22"/>
          <w:szCs w:val="22"/>
          <w:lang w:val="sr-Latn-ME"/>
        </w:rPr>
        <w:t xml:space="preserve">može </w:t>
      </w:r>
      <w:r w:rsidR="00427C51" w:rsidRPr="00783B4B">
        <w:rPr>
          <w:sz w:val="22"/>
          <w:szCs w:val="22"/>
          <w:lang w:val="sr-Latn-ME"/>
        </w:rPr>
        <w:t xml:space="preserve">dovesti do smanjenja </w:t>
      </w:r>
      <w:r w:rsidR="000F7C17" w:rsidRPr="00783B4B">
        <w:rPr>
          <w:sz w:val="22"/>
          <w:szCs w:val="22"/>
          <w:lang w:val="sr-Latn-ME"/>
        </w:rPr>
        <w:t xml:space="preserve">mineralne </w:t>
      </w:r>
      <w:r w:rsidR="00427C51" w:rsidRPr="00783B4B">
        <w:rPr>
          <w:sz w:val="22"/>
          <w:szCs w:val="22"/>
          <w:lang w:val="sr-Latn-ME"/>
        </w:rPr>
        <w:t xml:space="preserve">koštane </w:t>
      </w:r>
      <w:r w:rsidR="000F7C17" w:rsidRPr="00783B4B">
        <w:rPr>
          <w:sz w:val="22"/>
          <w:szCs w:val="22"/>
          <w:lang w:val="sr-Latn-ME"/>
        </w:rPr>
        <w:t xml:space="preserve">gustine sa mogućim </w:t>
      </w:r>
      <w:r w:rsidR="00427C51" w:rsidRPr="00783B4B">
        <w:rPr>
          <w:sz w:val="22"/>
          <w:szCs w:val="22"/>
          <w:lang w:val="sr-Latn-ME"/>
        </w:rPr>
        <w:t>porastom</w:t>
      </w:r>
      <w:r w:rsidR="000F7C17" w:rsidRPr="00783B4B">
        <w:rPr>
          <w:sz w:val="22"/>
          <w:szCs w:val="22"/>
          <w:lang w:val="sr-Latn-ME"/>
        </w:rPr>
        <w:t xml:space="preserve"> rizika od </w:t>
      </w:r>
      <w:r w:rsidR="008509A6" w:rsidRPr="00783B4B">
        <w:rPr>
          <w:sz w:val="22"/>
          <w:szCs w:val="22"/>
          <w:lang w:val="sr-Latn-ME"/>
        </w:rPr>
        <w:t xml:space="preserve">fakture </w:t>
      </w:r>
      <w:r w:rsidR="000F7C17" w:rsidRPr="00783B4B">
        <w:rPr>
          <w:sz w:val="22"/>
          <w:szCs w:val="22"/>
          <w:lang w:val="sr-Latn-ME"/>
        </w:rPr>
        <w:t xml:space="preserve">(vidjeti </w:t>
      </w:r>
      <w:r w:rsidR="008509A6" w:rsidRPr="00783B4B">
        <w:rPr>
          <w:sz w:val="22"/>
          <w:szCs w:val="22"/>
          <w:lang w:val="sr-Latn-ME"/>
        </w:rPr>
        <w:t>od</w:t>
      </w:r>
      <w:r w:rsidR="001A3838" w:rsidRPr="00783B4B">
        <w:rPr>
          <w:sz w:val="22"/>
          <w:szCs w:val="22"/>
          <w:lang w:val="sr-Latn-ME"/>
        </w:rPr>
        <w:t>j</w:t>
      </w:r>
      <w:r w:rsidR="008509A6" w:rsidRPr="00783B4B">
        <w:rPr>
          <w:sz w:val="22"/>
          <w:szCs w:val="22"/>
          <w:lang w:val="sr-Latn-ME"/>
        </w:rPr>
        <w:t xml:space="preserve">eljak </w:t>
      </w:r>
      <w:r w:rsidR="000F7C17" w:rsidRPr="00783B4B">
        <w:rPr>
          <w:sz w:val="22"/>
          <w:szCs w:val="22"/>
          <w:lang w:val="sr-Latn-ME"/>
        </w:rPr>
        <w:t>4.8).</w:t>
      </w:r>
    </w:p>
    <w:p w14:paraId="54095B1E" w14:textId="77777777" w:rsidR="008509A6" w:rsidRPr="00783B4B" w:rsidRDefault="008509A6" w:rsidP="00783B4B">
      <w:pPr>
        <w:jc w:val="both"/>
        <w:rPr>
          <w:sz w:val="22"/>
          <w:szCs w:val="22"/>
          <w:lang w:val="sr-Latn-ME"/>
        </w:rPr>
      </w:pPr>
    </w:p>
    <w:p w14:paraId="1050E593" w14:textId="38B026A8" w:rsidR="000F7C17" w:rsidRPr="00783B4B" w:rsidRDefault="000F7C17" w:rsidP="00783B4B">
      <w:pPr>
        <w:jc w:val="both"/>
        <w:rPr>
          <w:sz w:val="22"/>
          <w:szCs w:val="22"/>
          <w:lang w:val="sr-Latn-ME"/>
        </w:rPr>
      </w:pPr>
      <w:r w:rsidRPr="00783B4B">
        <w:rPr>
          <w:sz w:val="22"/>
          <w:szCs w:val="22"/>
          <w:lang w:val="sr-Latn-ME"/>
        </w:rPr>
        <w:t xml:space="preserve">Kod žena </w:t>
      </w:r>
      <w:r w:rsidR="008509A6" w:rsidRPr="00783B4B">
        <w:rPr>
          <w:sz w:val="22"/>
          <w:szCs w:val="22"/>
          <w:lang w:val="sr-Latn-ME"/>
        </w:rPr>
        <w:t>sa</w:t>
      </w:r>
      <w:r w:rsidRPr="00783B4B">
        <w:rPr>
          <w:sz w:val="22"/>
          <w:szCs w:val="22"/>
          <w:lang w:val="sr-Latn-ME"/>
        </w:rPr>
        <w:t xml:space="preserve"> </w:t>
      </w:r>
      <w:proofErr w:type="spellStart"/>
      <w:r w:rsidR="008509A6" w:rsidRPr="00783B4B">
        <w:rPr>
          <w:sz w:val="22"/>
          <w:szCs w:val="22"/>
          <w:lang w:val="sr-Latn-ME"/>
        </w:rPr>
        <w:t>osteoporozom</w:t>
      </w:r>
      <w:proofErr w:type="spellEnd"/>
      <w:r w:rsidRPr="00783B4B">
        <w:rPr>
          <w:sz w:val="22"/>
          <w:szCs w:val="22"/>
          <w:lang w:val="sr-Latn-ME"/>
        </w:rPr>
        <w:t xml:space="preserve"> ili </w:t>
      </w:r>
      <w:r w:rsidR="008509A6" w:rsidRPr="00783B4B">
        <w:rPr>
          <w:sz w:val="22"/>
          <w:szCs w:val="22"/>
          <w:lang w:val="sr-Latn-ME"/>
        </w:rPr>
        <w:t>sa</w:t>
      </w:r>
      <w:r w:rsidRPr="00783B4B">
        <w:rPr>
          <w:sz w:val="22"/>
          <w:szCs w:val="22"/>
          <w:lang w:val="sr-Latn-ME"/>
        </w:rPr>
        <w:t xml:space="preserve"> rizik</w:t>
      </w:r>
      <w:r w:rsidR="008509A6" w:rsidRPr="00783B4B">
        <w:rPr>
          <w:sz w:val="22"/>
          <w:szCs w:val="22"/>
          <w:lang w:val="sr-Latn-ME"/>
        </w:rPr>
        <w:t>om</w:t>
      </w:r>
      <w:r w:rsidRPr="00783B4B">
        <w:rPr>
          <w:sz w:val="22"/>
          <w:szCs w:val="22"/>
          <w:lang w:val="sr-Latn-ME"/>
        </w:rPr>
        <w:t xml:space="preserve"> </w:t>
      </w:r>
      <w:r w:rsidR="00F80ADB" w:rsidRPr="00783B4B">
        <w:rPr>
          <w:sz w:val="22"/>
          <w:szCs w:val="22"/>
          <w:lang w:val="sr-Latn-ME"/>
        </w:rPr>
        <w:t>od</w:t>
      </w:r>
      <w:r w:rsidRPr="00783B4B">
        <w:rPr>
          <w:sz w:val="22"/>
          <w:szCs w:val="22"/>
          <w:lang w:val="sr-Latn-ME"/>
        </w:rPr>
        <w:t xml:space="preserve"> </w:t>
      </w:r>
      <w:proofErr w:type="spellStart"/>
      <w:r w:rsidRPr="00783B4B">
        <w:rPr>
          <w:sz w:val="22"/>
          <w:szCs w:val="22"/>
          <w:lang w:val="sr-Latn-ME"/>
        </w:rPr>
        <w:t>osteoporoze</w:t>
      </w:r>
      <w:proofErr w:type="spellEnd"/>
      <w:r w:rsidRPr="00783B4B">
        <w:rPr>
          <w:sz w:val="22"/>
          <w:szCs w:val="22"/>
          <w:lang w:val="sr-Latn-ME"/>
        </w:rPr>
        <w:t>,</w:t>
      </w:r>
      <w:r w:rsidR="00F80ADB" w:rsidRPr="00783B4B">
        <w:rPr>
          <w:sz w:val="22"/>
          <w:szCs w:val="22"/>
          <w:lang w:val="sr-Latn-ME"/>
        </w:rPr>
        <w:t xml:space="preserve"> </w:t>
      </w:r>
      <w:r w:rsidRPr="00783B4B">
        <w:rPr>
          <w:sz w:val="22"/>
          <w:szCs w:val="22"/>
          <w:lang w:val="sr-Latn-ME"/>
        </w:rPr>
        <w:t xml:space="preserve">neophodno je, kod započinjanja terapije odrediti </w:t>
      </w:r>
      <w:r w:rsidR="00F80ADB" w:rsidRPr="00783B4B">
        <w:rPr>
          <w:sz w:val="22"/>
          <w:szCs w:val="22"/>
          <w:lang w:val="sr-Latn-ME"/>
        </w:rPr>
        <w:t xml:space="preserve">mineralnu koštanu </w:t>
      </w:r>
      <w:r w:rsidRPr="00783B4B">
        <w:rPr>
          <w:sz w:val="22"/>
          <w:szCs w:val="22"/>
          <w:lang w:val="sr-Latn-ME"/>
        </w:rPr>
        <w:t xml:space="preserve">gustinu, a zatim je periodično kontrolisati u pravilnim vremenskim razmacima. Ukoliko je neophodno treba započeti sa liječenjem ili prevencijom </w:t>
      </w:r>
      <w:proofErr w:type="spellStart"/>
      <w:r w:rsidRPr="00783B4B">
        <w:rPr>
          <w:sz w:val="22"/>
          <w:szCs w:val="22"/>
          <w:lang w:val="sr-Latn-ME"/>
        </w:rPr>
        <w:t>osteoporoze</w:t>
      </w:r>
      <w:proofErr w:type="spellEnd"/>
      <w:r w:rsidRPr="00783B4B">
        <w:rPr>
          <w:sz w:val="22"/>
          <w:szCs w:val="22"/>
          <w:lang w:val="sr-Latn-ME"/>
        </w:rPr>
        <w:t xml:space="preserve"> i zatim pažljivo pratiti efekte takve terapije. Primjena </w:t>
      </w:r>
      <w:r w:rsidR="00BA651A" w:rsidRPr="00783B4B">
        <w:rPr>
          <w:sz w:val="22"/>
          <w:szCs w:val="22"/>
          <w:lang w:val="sr-Latn-ME"/>
        </w:rPr>
        <w:t xml:space="preserve">specifične terapije </w:t>
      </w:r>
      <w:r w:rsidRPr="00783B4B">
        <w:rPr>
          <w:sz w:val="22"/>
          <w:szCs w:val="22"/>
          <w:lang w:val="sr-Latn-ME"/>
        </w:rPr>
        <w:t>npr.</w:t>
      </w:r>
      <w:r w:rsidR="00BA651A" w:rsidRPr="00783B4B">
        <w:rPr>
          <w:sz w:val="22"/>
          <w:szCs w:val="22"/>
          <w:lang w:val="sr-Latn-ME"/>
        </w:rPr>
        <w:t xml:space="preserve"> </w:t>
      </w:r>
      <w:proofErr w:type="spellStart"/>
      <w:r w:rsidRPr="00783B4B">
        <w:rPr>
          <w:sz w:val="22"/>
          <w:szCs w:val="22"/>
          <w:lang w:val="sr-Latn-ME"/>
        </w:rPr>
        <w:t>bifosfonat</w:t>
      </w:r>
      <w:r w:rsidR="00BA651A" w:rsidRPr="00783B4B">
        <w:rPr>
          <w:sz w:val="22"/>
          <w:szCs w:val="22"/>
          <w:lang w:val="sr-Latn-ME"/>
        </w:rPr>
        <w:t>a</w:t>
      </w:r>
      <w:proofErr w:type="spellEnd"/>
      <w:r w:rsidR="00BA651A" w:rsidRPr="00783B4B">
        <w:rPr>
          <w:sz w:val="22"/>
          <w:szCs w:val="22"/>
          <w:lang w:val="sr-Latn-ME"/>
        </w:rPr>
        <w:t xml:space="preserve"> </w:t>
      </w:r>
      <w:r w:rsidRPr="00783B4B">
        <w:rPr>
          <w:sz w:val="22"/>
          <w:szCs w:val="22"/>
          <w:lang w:val="sr-Latn-ME"/>
        </w:rPr>
        <w:t xml:space="preserve">može da </w:t>
      </w:r>
      <w:r w:rsidR="00FB1BA4" w:rsidRPr="00783B4B">
        <w:rPr>
          <w:sz w:val="22"/>
          <w:szCs w:val="22"/>
          <w:lang w:val="sr-Latn-ME"/>
        </w:rPr>
        <w:t>spr</w:t>
      </w:r>
      <w:r w:rsidR="001A3838" w:rsidRPr="00783B4B">
        <w:rPr>
          <w:sz w:val="22"/>
          <w:szCs w:val="22"/>
          <w:lang w:val="sr-Latn-ME"/>
        </w:rPr>
        <w:t>ij</w:t>
      </w:r>
      <w:r w:rsidR="00FB1BA4" w:rsidRPr="00783B4B">
        <w:rPr>
          <w:sz w:val="22"/>
          <w:szCs w:val="22"/>
          <w:lang w:val="sr-Latn-ME"/>
        </w:rPr>
        <w:t xml:space="preserve">eči </w:t>
      </w:r>
      <w:r w:rsidRPr="00783B4B">
        <w:rPr>
          <w:sz w:val="22"/>
          <w:szCs w:val="22"/>
          <w:lang w:val="sr-Latn-ME"/>
        </w:rPr>
        <w:t xml:space="preserve">dalji gubitak </w:t>
      </w:r>
      <w:r w:rsidR="00FB1BA4" w:rsidRPr="00783B4B">
        <w:rPr>
          <w:sz w:val="22"/>
          <w:szCs w:val="22"/>
          <w:lang w:val="sr-Latn-ME"/>
        </w:rPr>
        <w:t xml:space="preserve">u gustini </w:t>
      </w:r>
      <w:r w:rsidRPr="00783B4B">
        <w:rPr>
          <w:sz w:val="22"/>
          <w:szCs w:val="22"/>
          <w:lang w:val="sr-Latn-ME"/>
        </w:rPr>
        <w:t>ko</w:t>
      </w:r>
      <w:r w:rsidR="00FB1BA4" w:rsidRPr="00783B4B">
        <w:rPr>
          <w:sz w:val="22"/>
          <w:szCs w:val="22"/>
          <w:lang w:val="sr-Latn-ME"/>
        </w:rPr>
        <w:t>š</w:t>
      </w:r>
      <w:r w:rsidRPr="00783B4B">
        <w:rPr>
          <w:sz w:val="22"/>
          <w:szCs w:val="22"/>
          <w:lang w:val="sr-Latn-ME"/>
        </w:rPr>
        <w:t>t</w:t>
      </w:r>
      <w:r w:rsidR="00FB1BA4" w:rsidRPr="00783B4B">
        <w:rPr>
          <w:sz w:val="22"/>
          <w:szCs w:val="22"/>
          <w:lang w:val="sr-Latn-ME"/>
        </w:rPr>
        <w:t>a</w:t>
      </w:r>
      <w:r w:rsidRPr="00783B4B">
        <w:rPr>
          <w:sz w:val="22"/>
          <w:szCs w:val="22"/>
          <w:lang w:val="sr-Latn-ME"/>
        </w:rPr>
        <w:t xml:space="preserve">ne mase uzrokovan </w:t>
      </w:r>
      <w:proofErr w:type="spellStart"/>
      <w:r w:rsidRPr="00783B4B">
        <w:rPr>
          <w:sz w:val="22"/>
          <w:szCs w:val="22"/>
          <w:lang w:val="sr-Latn-ME"/>
        </w:rPr>
        <w:t>anastrozol</w:t>
      </w:r>
      <w:r w:rsidR="006A6C59" w:rsidRPr="00783B4B">
        <w:rPr>
          <w:sz w:val="22"/>
          <w:szCs w:val="22"/>
          <w:lang w:val="sr-Latn-ME"/>
        </w:rPr>
        <w:t>om</w:t>
      </w:r>
      <w:proofErr w:type="spellEnd"/>
      <w:r w:rsidRPr="00783B4B">
        <w:rPr>
          <w:sz w:val="22"/>
          <w:szCs w:val="22"/>
          <w:lang w:val="sr-Latn-ME"/>
        </w:rPr>
        <w:t xml:space="preserve"> kod žena u </w:t>
      </w:r>
      <w:proofErr w:type="spellStart"/>
      <w:r w:rsidRPr="00783B4B">
        <w:rPr>
          <w:sz w:val="22"/>
          <w:szCs w:val="22"/>
          <w:lang w:val="sr-Latn-ME"/>
        </w:rPr>
        <w:t>postmenopauzi</w:t>
      </w:r>
      <w:proofErr w:type="spellEnd"/>
      <w:r w:rsidRPr="00783B4B">
        <w:rPr>
          <w:sz w:val="22"/>
          <w:szCs w:val="22"/>
          <w:lang w:val="sr-Latn-ME"/>
        </w:rPr>
        <w:t xml:space="preserve"> (vidjeti </w:t>
      </w:r>
      <w:r w:rsidR="006A6C59" w:rsidRPr="00783B4B">
        <w:rPr>
          <w:sz w:val="22"/>
          <w:szCs w:val="22"/>
          <w:lang w:val="sr-Latn-ME"/>
        </w:rPr>
        <w:t>od</w:t>
      </w:r>
      <w:r w:rsidR="001A3838" w:rsidRPr="00783B4B">
        <w:rPr>
          <w:sz w:val="22"/>
          <w:szCs w:val="22"/>
          <w:lang w:val="sr-Latn-ME"/>
        </w:rPr>
        <w:t>j</w:t>
      </w:r>
      <w:r w:rsidR="006A6C59" w:rsidRPr="00783B4B">
        <w:rPr>
          <w:sz w:val="22"/>
          <w:szCs w:val="22"/>
          <w:lang w:val="sr-Latn-ME"/>
        </w:rPr>
        <w:t>eljak</w:t>
      </w:r>
      <w:r w:rsidRPr="00783B4B">
        <w:rPr>
          <w:sz w:val="22"/>
          <w:szCs w:val="22"/>
          <w:lang w:val="sr-Latn-ME"/>
        </w:rPr>
        <w:t xml:space="preserve"> 4.8).</w:t>
      </w:r>
    </w:p>
    <w:p w14:paraId="0A83EE5B" w14:textId="77777777" w:rsidR="000F7C17" w:rsidRPr="00783B4B" w:rsidRDefault="000F7C17" w:rsidP="00783B4B">
      <w:pPr>
        <w:rPr>
          <w:sz w:val="22"/>
          <w:szCs w:val="22"/>
          <w:lang w:val="sr-Latn-ME"/>
        </w:rPr>
      </w:pPr>
    </w:p>
    <w:p w14:paraId="025BC425" w14:textId="4EF3C681" w:rsidR="000F7C17" w:rsidRPr="00783B4B" w:rsidRDefault="000F7C17" w:rsidP="00783B4B">
      <w:pPr>
        <w:jc w:val="both"/>
        <w:rPr>
          <w:iCs/>
          <w:sz w:val="22"/>
          <w:szCs w:val="22"/>
          <w:u w:val="single"/>
          <w:lang w:val="sr-Latn-ME"/>
        </w:rPr>
      </w:pPr>
      <w:r w:rsidRPr="00783B4B">
        <w:rPr>
          <w:iCs/>
          <w:sz w:val="22"/>
          <w:szCs w:val="22"/>
          <w:u w:val="single"/>
          <w:lang w:val="sr-Latn-ME"/>
        </w:rPr>
        <w:t xml:space="preserve">Oštećenje funkcije jetre </w:t>
      </w:r>
    </w:p>
    <w:p w14:paraId="79132DC8" w14:textId="77777777" w:rsidR="0042251C" w:rsidRPr="00783B4B" w:rsidRDefault="0042251C" w:rsidP="00783B4B">
      <w:pPr>
        <w:jc w:val="both"/>
        <w:rPr>
          <w:iCs/>
          <w:sz w:val="22"/>
          <w:szCs w:val="22"/>
          <w:u w:val="single"/>
          <w:lang w:val="sr-Latn-ME"/>
        </w:rPr>
      </w:pPr>
    </w:p>
    <w:p w14:paraId="7E51F5AF" w14:textId="5C300928" w:rsidR="000F7C17" w:rsidRPr="00783B4B" w:rsidRDefault="000F7C17" w:rsidP="00783B4B">
      <w:pPr>
        <w:jc w:val="both"/>
        <w:rPr>
          <w:sz w:val="22"/>
          <w:szCs w:val="22"/>
          <w:lang w:val="sr-Latn-ME"/>
        </w:rPr>
      </w:pPr>
      <w:r w:rsidRPr="00783B4B">
        <w:rPr>
          <w:sz w:val="22"/>
          <w:szCs w:val="22"/>
          <w:lang w:val="sr-Latn-ME"/>
        </w:rPr>
        <w:t xml:space="preserve">Primjena </w:t>
      </w:r>
      <w:proofErr w:type="spellStart"/>
      <w:r w:rsidRPr="00783B4B">
        <w:rPr>
          <w:sz w:val="22"/>
          <w:szCs w:val="22"/>
          <w:lang w:val="sr-Latn-ME"/>
        </w:rPr>
        <w:t>anastrozola</w:t>
      </w:r>
      <w:proofErr w:type="spellEnd"/>
      <w:r w:rsidRPr="00783B4B">
        <w:rPr>
          <w:sz w:val="22"/>
          <w:szCs w:val="22"/>
          <w:lang w:val="sr-Latn-ME"/>
        </w:rPr>
        <w:t xml:space="preserve"> nije ispitivana kod </w:t>
      </w:r>
      <w:proofErr w:type="spellStart"/>
      <w:r w:rsidRPr="00783B4B">
        <w:rPr>
          <w:sz w:val="22"/>
          <w:szCs w:val="22"/>
          <w:lang w:val="sr-Latn-ME"/>
        </w:rPr>
        <w:t>pacijentkinja</w:t>
      </w:r>
      <w:proofErr w:type="spellEnd"/>
      <w:r w:rsidRPr="00783B4B">
        <w:rPr>
          <w:sz w:val="22"/>
          <w:szCs w:val="22"/>
          <w:lang w:val="sr-Latn-ME"/>
        </w:rPr>
        <w:t xml:space="preserve"> sa </w:t>
      </w:r>
      <w:proofErr w:type="spellStart"/>
      <w:r w:rsidRPr="00783B4B">
        <w:rPr>
          <w:sz w:val="22"/>
          <w:szCs w:val="22"/>
          <w:lang w:val="sr-Latn-ME"/>
        </w:rPr>
        <w:t>karcinomom</w:t>
      </w:r>
      <w:proofErr w:type="spellEnd"/>
      <w:r w:rsidRPr="00783B4B">
        <w:rPr>
          <w:sz w:val="22"/>
          <w:szCs w:val="22"/>
          <w:lang w:val="sr-Latn-ME"/>
        </w:rPr>
        <w:t xml:space="preserve"> dojke koje imaju umjereno ili teško</w:t>
      </w:r>
      <w:r w:rsidR="0088545A" w:rsidRPr="00783B4B">
        <w:rPr>
          <w:sz w:val="22"/>
          <w:szCs w:val="22"/>
          <w:lang w:val="sr-Latn-ME"/>
        </w:rPr>
        <w:t xml:space="preserve"> </w:t>
      </w:r>
      <w:r w:rsidRPr="00783B4B">
        <w:rPr>
          <w:sz w:val="22"/>
          <w:szCs w:val="22"/>
          <w:lang w:val="sr-Latn-ME"/>
        </w:rPr>
        <w:t xml:space="preserve">oštećenje jetre. Izloženost </w:t>
      </w:r>
      <w:proofErr w:type="spellStart"/>
      <w:r w:rsidRPr="00783B4B">
        <w:rPr>
          <w:sz w:val="22"/>
          <w:szCs w:val="22"/>
          <w:lang w:val="sr-Latn-ME"/>
        </w:rPr>
        <w:t>anastrozolu</w:t>
      </w:r>
      <w:proofErr w:type="spellEnd"/>
      <w:r w:rsidRPr="00783B4B">
        <w:rPr>
          <w:sz w:val="22"/>
          <w:szCs w:val="22"/>
          <w:lang w:val="sr-Latn-ME"/>
        </w:rPr>
        <w:t xml:space="preserve"> može biti povećana kod </w:t>
      </w:r>
      <w:proofErr w:type="spellStart"/>
      <w:r w:rsidRPr="00783B4B">
        <w:rPr>
          <w:sz w:val="22"/>
          <w:szCs w:val="22"/>
          <w:lang w:val="sr-Latn-ME"/>
        </w:rPr>
        <w:t>pacijentkinja</w:t>
      </w:r>
      <w:proofErr w:type="spellEnd"/>
      <w:r w:rsidRPr="00783B4B">
        <w:rPr>
          <w:sz w:val="22"/>
          <w:szCs w:val="22"/>
          <w:lang w:val="sr-Latn-ME"/>
        </w:rPr>
        <w:t xml:space="preserve"> sa oštećenjem jetre (vidjeti </w:t>
      </w:r>
      <w:r w:rsidR="00070715" w:rsidRPr="00783B4B">
        <w:rPr>
          <w:sz w:val="22"/>
          <w:szCs w:val="22"/>
          <w:lang w:val="sr-Latn-ME"/>
        </w:rPr>
        <w:t>od</w:t>
      </w:r>
      <w:r w:rsidR="001A3838" w:rsidRPr="00783B4B">
        <w:rPr>
          <w:sz w:val="22"/>
          <w:szCs w:val="22"/>
          <w:lang w:val="sr-Latn-ME"/>
        </w:rPr>
        <w:t>j</w:t>
      </w:r>
      <w:r w:rsidR="00070715" w:rsidRPr="00783B4B">
        <w:rPr>
          <w:sz w:val="22"/>
          <w:szCs w:val="22"/>
          <w:lang w:val="sr-Latn-ME"/>
        </w:rPr>
        <w:t xml:space="preserve">eljak </w:t>
      </w:r>
      <w:r w:rsidRPr="00783B4B">
        <w:rPr>
          <w:sz w:val="22"/>
          <w:szCs w:val="22"/>
          <w:lang w:val="sr-Latn-ME"/>
        </w:rPr>
        <w:t xml:space="preserve">5.2). </w:t>
      </w:r>
      <w:r w:rsidR="00070715" w:rsidRPr="00783B4B">
        <w:rPr>
          <w:sz w:val="22"/>
          <w:szCs w:val="22"/>
          <w:lang w:val="sr-Latn-ME"/>
        </w:rPr>
        <w:t>Treba biti oprezan kada se l</w:t>
      </w:r>
      <w:r w:rsidR="001A3838" w:rsidRPr="00783B4B">
        <w:rPr>
          <w:sz w:val="22"/>
          <w:szCs w:val="22"/>
          <w:lang w:val="sr-Latn-ME"/>
        </w:rPr>
        <w:t>ij</w:t>
      </w:r>
      <w:r w:rsidR="00070715" w:rsidRPr="00783B4B">
        <w:rPr>
          <w:sz w:val="22"/>
          <w:szCs w:val="22"/>
          <w:lang w:val="sr-Latn-ME"/>
        </w:rPr>
        <w:t xml:space="preserve">ek </w:t>
      </w:r>
      <w:proofErr w:type="spellStart"/>
      <w:r w:rsidR="00070715" w:rsidRPr="00783B4B">
        <w:rPr>
          <w:sz w:val="22"/>
          <w:szCs w:val="22"/>
          <w:lang w:val="sr-Latn-ME"/>
        </w:rPr>
        <w:t>Trasolette</w:t>
      </w:r>
      <w:proofErr w:type="spellEnd"/>
      <w:r w:rsidR="00BC7AC4" w:rsidRPr="00783B4B">
        <w:rPr>
          <w:sz w:val="22"/>
          <w:szCs w:val="22"/>
          <w:lang w:val="sr-Latn-ME"/>
        </w:rPr>
        <w:t xml:space="preserve"> prim</w:t>
      </w:r>
      <w:r w:rsidR="001A3838" w:rsidRPr="00783B4B">
        <w:rPr>
          <w:sz w:val="22"/>
          <w:szCs w:val="22"/>
          <w:lang w:val="sr-Latn-ME"/>
        </w:rPr>
        <w:t>j</w:t>
      </w:r>
      <w:r w:rsidR="00BC7AC4" w:rsidRPr="00783B4B">
        <w:rPr>
          <w:sz w:val="22"/>
          <w:szCs w:val="22"/>
          <w:lang w:val="sr-Latn-ME"/>
        </w:rPr>
        <w:t>enjuje k</w:t>
      </w:r>
      <w:r w:rsidRPr="00783B4B">
        <w:rPr>
          <w:sz w:val="22"/>
          <w:szCs w:val="22"/>
          <w:lang w:val="sr-Latn-ME"/>
        </w:rPr>
        <w:t xml:space="preserve">od </w:t>
      </w:r>
      <w:proofErr w:type="spellStart"/>
      <w:r w:rsidRPr="00783B4B">
        <w:rPr>
          <w:sz w:val="22"/>
          <w:szCs w:val="22"/>
          <w:lang w:val="sr-Latn-ME"/>
        </w:rPr>
        <w:t>pacijentkinja</w:t>
      </w:r>
      <w:proofErr w:type="spellEnd"/>
      <w:r w:rsidRPr="00783B4B">
        <w:rPr>
          <w:sz w:val="22"/>
          <w:szCs w:val="22"/>
          <w:lang w:val="sr-Latn-ME"/>
        </w:rPr>
        <w:t xml:space="preserve"> sa umjerenim i</w:t>
      </w:r>
      <w:r w:rsidR="00BC7AC4" w:rsidRPr="00783B4B">
        <w:rPr>
          <w:sz w:val="22"/>
          <w:szCs w:val="22"/>
          <w:lang w:val="sr-Latn-ME"/>
        </w:rPr>
        <w:t>li</w:t>
      </w:r>
      <w:r w:rsidRPr="00783B4B">
        <w:rPr>
          <w:sz w:val="22"/>
          <w:szCs w:val="22"/>
          <w:lang w:val="sr-Latn-ME"/>
        </w:rPr>
        <w:t xml:space="preserve"> teškim oštećenjem </w:t>
      </w:r>
      <w:r w:rsidR="00BC7AC4" w:rsidRPr="00783B4B">
        <w:rPr>
          <w:sz w:val="22"/>
          <w:szCs w:val="22"/>
          <w:lang w:val="sr-Latn-ME"/>
        </w:rPr>
        <w:t xml:space="preserve">funkcije </w:t>
      </w:r>
      <w:r w:rsidRPr="00783B4B">
        <w:rPr>
          <w:sz w:val="22"/>
          <w:szCs w:val="22"/>
          <w:lang w:val="sr-Latn-ME"/>
        </w:rPr>
        <w:t xml:space="preserve">jetre (vidjeti </w:t>
      </w:r>
      <w:r w:rsidR="00BC7AC4" w:rsidRPr="00783B4B">
        <w:rPr>
          <w:sz w:val="22"/>
          <w:szCs w:val="22"/>
          <w:lang w:val="sr-Latn-ME"/>
        </w:rPr>
        <w:t>od</w:t>
      </w:r>
      <w:r w:rsidR="001A3838" w:rsidRPr="00783B4B">
        <w:rPr>
          <w:sz w:val="22"/>
          <w:szCs w:val="22"/>
          <w:lang w:val="sr-Latn-ME"/>
        </w:rPr>
        <w:t>j</w:t>
      </w:r>
      <w:r w:rsidR="00BC7AC4" w:rsidRPr="00783B4B">
        <w:rPr>
          <w:sz w:val="22"/>
          <w:szCs w:val="22"/>
          <w:lang w:val="sr-Latn-ME"/>
        </w:rPr>
        <w:t>eljak</w:t>
      </w:r>
      <w:r w:rsidR="00EA0548" w:rsidRPr="00783B4B">
        <w:rPr>
          <w:sz w:val="22"/>
          <w:szCs w:val="22"/>
          <w:lang w:val="sr-Latn-ME"/>
        </w:rPr>
        <w:t xml:space="preserve"> </w:t>
      </w:r>
      <w:r w:rsidRPr="00783B4B">
        <w:rPr>
          <w:sz w:val="22"/>
          <w:szCs w:val="22"/>
          <w:lang w:val="sr-Latn-ME"/>
        </w:rPr>
        <w:t>4.2). Liječenje treba da bude zasnovano na procjeni</w:t>
      </w:r>
      <w:r w:rsidR="00075964" w:rsidRPr="00783B4B">
        <w:rPr>
          <w:sz w:val="22"/>
          <w:szCs w:val="22"/>
          <w:lang w:val="sr-Latn-ME"/>
        </w:rPr>
        <w:t xml:space="preserve"> odnosa</w:t>
      </w:r>
      <w:r w:rsidRPr="00783B4B">
        <w:rPr>
          <w:sz w:val="22"/>
          <w:szCs w:val="22"/>
          <w:lang w:val="sr-Latn-ME"/>
        </w:rPr>
        <w:t xml:space="preserve"> koristi i rizika za svakog pojedinačnog pacijenta.</w:t>
      </w:r>
    </w:p>
    <w:p w14:paraId="294B4292" w14:textId="77777777" w:rsidR="000F7C17" w:rsidRPr="00783B4B" w:rsidRDefault="000F7C17" w:rsidP="00783B4B">
      <w:pPr>
        <w:rPr>
          <w:sz w:val="22"/>
          <w:szCs w:val="22"/>
          <w:lang w:val="sr-Latn-ME"/>
        </w:rPr>
      </w:pPr>
    </w:p>
    <w:p w14:paraId="4745A897" w14:textId="640AD7E6" w:rsidR="000F7C17" w:rsidRPr="00783B4B" w:rsidRDefault="000F7C17" w:rsidP="00783B4B">
      <w:pPr>
        <w:jc w:val="both"/>
        <w:rPr>
          <w:iCs/>
          <w:sz w:val="22"/>
          <w:szCs w:val="22"/>
          <w:u w:val="single"/>
          <w:lang w:val="sr-Latn-ME"/>
        </w:rPr>
      </w:pPr>
      <w:r w:rsidRPr="00783B4B">
        <w:rPr>
          <w:iCs/>
          <w:sz w:val="22"/>
          <w:szCs w:val="22"/>
          <w:u w:val="single"/>
          <w:lang w:val="sr-Latn-ME"/>
        </w:rPr>
        <w:t>Oštećenje funkcije bubrega</w:t>
      </w:r>
    </w:p>
    <w:p w14:paraId="0F0989C5" w14:textId="77777777" w:rsidR="00EC0451" w:rsidRPr="00783B4B" w:rsidRDefault="00EC0451" w:rsidP="00783B4B">
      <w:pPr>
        <w:jc w:val="both"/>
        <w:rPr>
          <w:iCs/>
          <w:sz w:val="22"/>
          <w:szCs w:val="22"/>
          <w:u w:val="single"/>
          <w:lang w:val="sr-Latn-ME"/>
        </w:rPr>
      </w:pPr>
    </w:p>
    <w:p w14:paraId="75DCD876" w14:textId="78FE1C25" w:rsidR="000F7C17" w:rsidRPr="00783B4B" w:rsidRDefault="000F7C17" w:rsidP="00783B4B">
      <w:pPr>
        <w:jc w:val="both"/>
        <w:rPr>
          <w:sz w:val="22"/>
          <w:szCs w:val="22"/>
          <w:lang w:val="sr-Latn-ME"/>
        </w:rPr>
      </w:pPr>
      <w:r w:rsidRPr="00783B4B">
        <w:rPr>
          <w:sz w:val="22"/>
          <w:szCs w:val="22"/>
          <w:lang w:val="sr-Latn-ME"/>
        </w:rPr>
        <w:t xml:space="preserve">Primjena </w:t>
      </w:r>
      <w:proofErr w:type="spellStart"/>
      <w:r w:rsidR="00BC4893" w:rsidRPr="00783B4B">
        <w:rPr>
          <w:sz w:val="22"/>
          <w:szCs w:val="22"/>
          <w:lang w:val="sr-Latn-ME"/>
        </w:rPr>
        <w:t>anastrozola</w:t>
      </w:r>
      <w:proofErr w:type="spellEnd"/>
      <w:r w:rsidRPr="00783B4B">
        <w:rPr>
          <w:sz w:val="22"/>
          <w:szCs w:val="22"/>
          <w:lang w:val="sr-Latn-ME"/>
        </w:rPr>
        <w:t xml:space="preserve"> nije ispitivana kod </w:t>
      </w:r>
      <w:proofErr w:type="spellStart"/>
      <w:r w:rsidRPr="00783B4B">
        <w:rPr>
          <w:sz w:val="22"/>
          <w:szCs w:val="22"/>
          <w:lang w:val="sr-Latn-ME"/>
        </w:rPr>
        <w:t>pacijentkinja</w:t>
      </w:r>
      <w:proofErr w:type="spellEnd"/>
      <w:r w:rsidRPr="00783B4B">
        <w:rPr>
          <w:sz w:val="22"/>
          <w:szCs w:val="22"/>
          <w:lang w:val="sr-Latn-ME"/>
        </w:rPr>
        <w:t xml:space="preserve"> sa </w:t>
      </w:r>
      <w:proofErr w:type="spellStart"/>
      <w:r w:rsidRPr="00783B4B">
        <w:rPr>
          <w:sz w:val="22"/>
          <w:szCs w:val="22"/>
          <w:lang w:val="sr-Latn-ME"/>
        </w:rPr>
        <w:t>karcinomom</w:t>
      </w:r>
      <w:proofErr w:type="spellEnd"/>
      <w:r w:rsidRPr="00783B4B">
        <w:rPr>
          <w:sz w:val="22"/>
          <w:szCs w:val="22"/>
          <w:lang w:val="sr-Latn-ME"/>
        </w:rPr>
        <w:t xml:space="preserve"> dojke koje imaju teško oštećenje</w:t>
      </w:r>
      <w:r w:rsidR="00342480" w:rsidRPr="00783B4B">
        <w:rPr>
          <w:sz w:val="22"/>
          <w:szCs w:val="22"/>
          <w:lang w:val="sr-Latn-ME"/>
        </w:rPr>
        <w:t xml:space="preserve"> funkcije</w:t>
      </w:r>
      <w:r w:rsidR="0088545A" w:rsidRPr="00783B4B">
        <w:rPr>
          <w:sz w:val="22"/>
          <w:szCs w:val="22"/>
          <w:lang w:val="sr-Latn-ME"/>
        </w:rPr>
        <w:t xml:space="preserve"> </w:t>
      </w:r>
      <w:r w:rsidRPr="00783B4B">
        <w:rPr>
          <w:sz w:val="22"/>
          <w:szCs w:val="22"/>
          <w:lang w:val="sr-Latn-ME"/>
        </w:rPr>
        <w:t xml:space="preserve">bubrega. Izloženost </w:t>
      </w:r>
      <w:proofErr w:type="spellStart"/>
      <w:r w:rsidRPr="00783B4B">
        <w:rPr>
          <w:sz w:val="22"/>
          <w:szCs w:val="22"/>
          <w:lang w:val="sr-Latn-ME"/>
        </w:rPr>
        <w:t>anastrozolu</w:t>
      </w:r>
      <w:proofErr w:type="spellEnd"/>
      <w:r w:rsidRPr="00783B4B">
        <w:rPr>
          <w:sz w:val="22"/>
          <w:szCs w:val="22"/>
          <w:lang w:val="sr-Latn-ME"/>
        </w:rPr>
        <w:t xml:space="preserve"> nije </w:t>
      </w:r>
      <w:r w:rsidR="00342480" w:rsidRPr="00783B4B">
        <w:rPr>
          <w:sz w:val="22"/>
          <w:szCs w:val="22"/>
          <w:lang w:val="sr-Latn-ME"/>
        </w:rPr>
        <w:t xml:space="preserve">povećana </w:t>
      </w:r>
      <w:r w:rsidRPr="00783B4B">
        <w:rPr>
          <w:sz w:val="22"/>
          <w:szCs w:val="22"/>
          <w:lang w:val="sr-Latn-ME"/>
        </w:rPr>
        <w:t xml:space="preserve">kod </w:t>
      </w:r>
      <w:proofErr w:type="spellStart"/>
      <w:r w:rsidRPr="00783B4B">
        <w:rPr>
          <w:sz w:val="22"/>
          <w:szCs w:val="22"/>
          <w:lang w:val="sr-Latn-ME"/>
        </w:rPr>
        <w:t>pacijentkinja</w:t>
      </w:r>
      <w:proofErr w:type="spellEnd"/>
      <w:r w:rsidRPr="00783B4B">
        <w:rPr>
          <w:sz w:val="22"/>
          <w:szCs w:val="22"/>
          <w:lang w:val="sr-Latn-ME"/>
        </w:rPr>
        <w:t xml:space="preserve"> sa teškim oštećenjem </w:t>
      </w:r>
      <w:r w:rsidR="00880ADA" w:rsidRPr="00783B4B">
        <w:rPr>
          <w:sz w:val="22"/>
          <w:szCs w:val="22"/>
          <w:lang w:val="sr-Latn-ME"/>
        </w:rPr>
        <w:t xml:space="preserve">funkcije </w:t>
      </w:r>
      <w:r w:rsidRPr="00783B4B">
        <w:rPr>
          <w:sz w:val="22"/>
          <w:szCs w:val="22"/>
          <w:lang w:val="sr-Latn-ME"/>
        </w:rPr>
        <w:lastRenderedPageBreak/>
        <w:t>bubrega (</w:t>
      </w:r>
      <w:r w:rsidR="001567EB" w:rsidRPr="00783B4B">
        <w:rPr>
          <w:sz w:val="22"/>
          <w:szCs w:val="22"/>
          <w:lang w:val="sr-Latn-ME"/>
        </w:rPr>
        <w:t xml:space="preserve">brzina </w:t>
      </w:r>
      <w:proofErr w:type="spellStart"/>
      <w:r w:rsidR="001567EB" w:rsidRPr="00783B4B">
        <w:rPr>
          <w:sz w:val="22"/>
          <w:szCs w:val="22"/>
          <w:lang w:val="sr-Latn-ME"/>
        </w:rPr>
        <w:t>glomerularne</w:t>
      </w:r>
      <w:proofErr w:type="spellEnd"/>
      <w:r w:rsidR="001567EB" w:rsidRPr="00783B4B">
        <w:rPr>
          <w:sz w:val="22"/>
          <w:szCs w:val="22"/>
          <w:lang w:val="sr-Latn-ME"/>
        </w:rPr>
        <w:t xml:space="preserve"> filtracije </w:t>
      </w:r>
      <w:r w:rsidRPr="00783B4B">
        <w:rPr>
          <w:sz w:val="22"/>
          <w:szCs w:val="22"/>
          <w:lang w:val="sr-Latn-ME"/>
        </w:rPr>
        <w:t xml:space="preserve">&lt; </w:t>
      </w:r>
      <w:proofErr w:type="spellStart"/>
      <w:r w:rsidRPr="00783B4B">
        <w:rPr>
          <w:sz w:val="22"/>
          <w:szCs w:val="22"/>
          <w:lang w:val="sr-Latn-ME"/>
        </w:rPr>
        <w:t>30ml</w:t>
      </w:r>
      <w:proofErr w:type="spellEnd"/>
      <w:r w:rsidRPr="00783B4B">
        <w:rPr>
          <w:sz w:val="22"/>
          <w:szCs w:val="22"/>
          <w:lang w:val="sr-Latn-ME"/>
        </w:rPr>
        <w:t xml:space="preserve">/min, vidjeti </w:t>
      </w:r>
      <w:r w:rsidR="001567EB" w:rsidRPr="00783B4B">
        <w:rPr>
          <w:sz w:val="22"/>
          <w:szCs w:val="22"/>
          <w:lang w:val="sr-Latn-ME"/>
        </w:rPr>
        <w:t>od</w:t>
      </w:r>
      <w:r w:rsidR="001A3838" w:rsidRPr="00783B4B">
        <w:rPr>
          <w:sz w:val="22"/>
          <w:szCs w:val="22"/>
          <w:lang w:val="sr-Latn-ME"/>
        </w:rPr>
        <w:t>j</w:t>
      </w:r>
      <w:r w:rsidR="001567EB" w:rsidRPr="00783B4B">
        <w:rPr>
          <w:sz w:val="22"/>
          <w:szCs w:val="22"/>
          <w:lang w:val="sr-Latn-ME"/>
        </w:rPr>
        <w:t xml:space="preserve">eljak </w:t>
      </w:r>
      <w:r w:rsidRPr="00783B4B">
        <w:rPr>
          <w:sz w:val="22"/>
          <w:szCs w:val="22"/>
          <w:lang w:val="sr-Latn-ME"/>
        </w:rPr>
        <w:t>5.2)</w:t>
      </w:r>
      <w:r w:rsidR="0073543F" w:rsidRPr="00783B4B">
        <w:rPr>
          <w:sz w:val="22"/>
          <w:szCs w:val="22"/>
          <w:lang w:val="sr-Latn-ME"/>
        </w:rPr>
        <w:t>; k</w:t>
      </w:r>
      <w:r w:rsidRPr="00783B4B">
        <w:rPr>
          <w:sz w:val="22"/>
          <w:szCs w:val="22"/>
          <w:lang w:val="sr-Latn-ME"/>
        </w:rPr>
        <w:t xml:space="preserve">od </w:t>
      </w:r>
      <w:proofErr w:type="spellStart"/>
      <w:r w:rsidRPr="00783B4B">
        <w:rPr>
          <w:sz w:val="22"/>
          <w:szCs w:val="22"/>
          <w:lang w:val="sr-Latn-ME"/>
        </w:rPr>
        <w:t>pacijentkinja</w:t>
      </w:r>
      <w:proofErr w:type="spellEnd"/>
      <w:r w:rsidRPr="00783B4B">
        <w:rPr>
          <w:sz w:val="22"/>
          <w:szCs w:val="22"/>
          <w:lang w:val="sr-Latn-ME"/>
        </w:rPr>
        <w:t xml:space="preserve"> sa teškim oštećenjem </w:t>
      </w:r>
      <w:r w:rsidR="0073543F" w:rsidRPr="00783B4B">
        <w:rPr>
          <w:sz w:val="22"/>
          <w:szCs w:val="22"/>
          <w:lang w:val="sr-Latn-ME"/>
        </w:rPr>
        <w:t xml:space="preserve">funkcije </w:t>
      </w:r>
      <w:r w:rsidRPr="00783B4B">
        <w:rPr>
          <w:sz w:val="22"/>
          <w:szCs w:val="22"/>
          <w:lang w:val="sr-Latn-ME"/>
        </w:rPr>
        <w:t xml:space="preserve">bubrega, </w:t>
      </w:r>
      <w:r w:rsidR="0073543F" w:rsidRPr="00783B4B">
        <w:rPr>
          <w:sz w:val="22"/>
          <w:szCs w:val="22"/>
          <w:lang w:val="sr-Latn-ME"/>
        </w:rPr>
        <w:t>prim</w:t>
      </w:r>
      <w:r w:rsidR="001A3838" w:rsidRPr="00783B4B">
        <w:rPr>
          <w:sz w:val="22"/>
          <w:szCs w:val="22"/>
          <w:lang w:val="sr-Latn-ME"/>
        </w:rPr>
        <w:t>j</w:t>
      </w:r>
      <w:r w:rsidR="0073543F" w:rsidRPr="00783B4B">
        <w:rPr>
          <w:sz w:val="22"/>
          <w:szCs w:val="22"/>
          <w:lang w:val="sr-Latn-ME"/>
        </w:rPr>
        <w:t>ena l</w:t>
      </w:r>
      <w:r w:rsidR="001A3838" w:rsidRPr="00783B4B">
        <w:rPr>
          <w:sz w:val="22"/>
          <w:szCs w:val="22"/>
          <w:lang w:val="sr-Latn-ME"/>
        </w:rPr>
        <w:t>ij</w:t>
      </w:r>
      <w:r w:rsidR="0073543F" w:rsidRPr="00783B4B">
        <w:rPr>
          <w:sz w:val="22"/>
          <w:szCs w:val="22"/>
          <w:lang w:val="sr-Latn-ME"/>
        </w:rPr>
        <w:t xml:space="preserve">eka </w:t>
      </w:r>
      <w:proofErr w:type="spellStart"/>
      <w:r w:rsidRPr="00783B4B">
        <w:rPr>
          <w:sz w:val="22"/>
          <w:szCs w:val="22"/>
          <w:lang w:val="sr-Latn-ME"/>
        </w:rPr>
        <w:t>Trasolette</w:t>
      </w:r>
      <w:proofErr w:type="spellEnd"/>
      <w:r w:rsidRPr="00783B4B">
        <w:rPr>
          <w:sz w:val="22"/>
          <w:szCs w:val="22"/>
          <w:lang w:val="sr-Latn-ME"/>
        </w:rPr>
        <w:t xml:space="preserve"> </w:t>
      </w:r>
      <w:r w:rsidR="00534A8F" w:rsidRPr="00783B4B">
        <w:rPr>
          <w:sz w:val="22"/>
          <w:szCs w:val="22"/>
          <w:lang w:val="sr-Latn-ME"/>
        </w:rPr>
        <w:t>zaht</w:t>
      </w:r>
      <w:r w:rsidR="001A3838" w:rsidRPr="00783B4B">
        <w:rPr>
          <w:sz w:val="22"/>
          <w:szCs w:val="22"/>
          <w:lang w:val="sr-Latn-ME"/>
        </w:rPr>
        <w:t>j</w:t>
      </w:r>
      <w:r w:rsidR="00534A8F" w:rsidRPr="00783B4B">
        <w:rPr>
          <w:sz w:val="22"/>
          <w:szCs w:val="22"/>
          <w:lang w:val="sr-Latn-ME"/>
        </w:rPr>
        <w:t>eva</w:t>
      </w:r>
      <w:r w:rsidRPr="00783B4B">
        <w:rPr>
          <w:sz w:val="22"/>
          <w:szCs w:val="22"/>
          <w:lang w:val="sr-Latn-ME"/>
        </w:rPr>
        <w:t xml:space="preserve"> oprez (vidjeti </w:t>
      </w:r>
      <w:r w:rsidR="00534A8F" w:rsidRPr="00783B4B">
        <w:rPr>
          <w:sz w:val="22"/>
          <w:szCs w:val="22"/>
          <w:lang w:val="sr-Latn-ME"/>
        </w:rPr>
        <w:t>od</w:t>
      </w:r>
      <w:r w:rsidR="001A3838" w:rsidRPr="00783B4B">
        <w:rPr>
          <w:sz w:val="22"/>
          <w:szCs w:val="22"/>
          <w:lang w:val="sr-Latn-ME"/>
        </w:rPr>
        <w:t>j</w:t>
      </w:r>
      <w:r w:rsidR="00534A8F" w:rsidRPr="00783B4B">
        <w:rPr>
          <w:sz w:val="22"/>
          <w:szCs w:val="22"/>
          <w:lang w:val="sr-Latn-ME"/>
        </w:rPr>
        <w:t xml:space="preserve">eljak </w:t>
      </w:r>
      <w:r w:rsidRPr="00783B4B">
        <w:rPr>
          <w:sz w:val="22"/>
          <w:szCs w:val="22"/>
          <w:lang w:val="sr-Latn-ME"/>
        </w:rPr>
        <w:t>4.2).</w:t>
      </w:r>
    </w:p>
    <w:p w14:paraId="34692ABE" w14:textId="77777777" w:rsidR="000F7C17" w:rsidRPr="00783B4B" w:rsidRDefault="000F7C17" w:rsidP="00783B4B">
      <w:pPr>
        <w:jc w:val="both"/>
        <w:rPr>
          <w:sz w:val="22"/>
          <w:szCs w:val="22"/>
          <w:lang w:val="sr-Latn-ME"/>
        </w:rPr>
      </w:pPr>
    </w:p>
    <w:p w14:paraId="419988E0" w14:textId="3E24E588" w:rsidR="000F7C17" w:rsidRPr="00783B4B" w:rsidRDefault="000F7C17" w:rsidP="00783B4B">
      <w:pPr>
        <w:jc w:val="both"/>
        <w:rPr>
          <w:iCs/>
          <w:sz w:val="22"/>
          <w:szCs w:val="22"/>
          <w:u w:val="single"/>
          <w:lang w:val="sr-Latn-ME"/>
        </w:rPr>
      </w:pPr>
      <w:r w:rsidRPr="00783B4B">
        <w:rPr>
          <w:iCs/>
          <w:sz w:val="22"/>
          <w:szCs w:val="22"/>
          <w:u w:val="single"/>
          <w:lang w:val="sr-Latn-ME"/>
        </w:rPr>
        <w:t>Pedijatrijska populacija</w:t>
      </w:r>
    </w:p>
    <w:p w14:paraId="28866BCC" w14:textId="77777777" w:rsidR="00DA60C1" w:rsidRPr="00783B4B" w:rsidRDefault="00DA60C1" w:rsidP="00783B4B">
      <w:pPr>
        <w:jc w:val="both"/>
        <w:rPr>
          <w:iCs/>
          <w:sz w:val="22"/>
          <w:szCs w:val="22"/>
          <w:u w:val="single"/>
          <w:lang w:val="sr-Latn-ME"/>
        </w:rPr>
      </w:pPr>
    </w:p>
    <w:p w14:paraId="3A24C8A6" w14:textId="592229A7" w:rsidR="000F7C17" w:rsidRPr="00783B4B" w:rsidRDefault="00D03A46" w:rsidP="00783B4B">
      <w:pPr>
        <w:jc w:val="both"/>
        <w:rPr>
          <w:sz w:val="22"/>
          <w:szCs w:val="22"/>
          <w:lang w:val="sr-Latn-ME"/>
        </w:rPr>
      </w:pPr>
      <w:r w:rsidRPr="00783B4B">
        <w:rPr>
          <w:sz w:val="22"/>
          <w:szCs w:val="22"/>
          <w:lang w:val="sr-Latn-ME"/>
        </w:rPr>
        <w:t>Ne preporučuje se prim</w:t>
      </w:r>
      <w:r w:rsidR="001A3838" w:rsidRPr="00783B4B">
        <w:rPr>
          <w:sz w:val="22"/>
          <w:szCs w:val="22"/>
          <w:lang w:val="sr-Latn-ME"/>
        </w:rPr>
        <w:t>j</w:t>
      </w:r>
      <w:r w:rsidRPr="00783B4B">
        <w:rPr>
          <w:sz w:val="22"/>
          <w:szCs w:val="22"/>
          <w:lang w:val="sr-Latn-ME"/>
        </w:rPr>
        <w:t>ena l</w:t>
      </w:r>
      <w:r w:rsidR="000F7C17" w:rsidRPr="00783B4B">
        <w:rPr>
          <w:sz w:val="22"/>
          <w:szCs w:val="22"/>
          <w:lang w:val="sr-Latn-ME"/>
        </w:rPr>
        <w:t>ijek</w:t>
      </w:r>
      <w:r w:rsidRPr="00783B4B">
        <w:rPr>
          <w:sz w:val="22"/>
          <w:szCs w:val="22"/>
          <w:lang w:val="sr-Latn-ME"/>
        </w:rPr>
        <w:t>a</w:t>
      </w:r>
      <w:r w:rsidR="000F7C17" w:rsidRPr="00783B4B">
        <w:rPr>
          <w:sz w:val="22"/>
          <w:szCs w:val="22"/>
          <w:lang w:val="sr-Latn-ME"/>
        </w:rPr>
        <w:t xml:space="preserve"> </w:t>
      </w:r>
      <w:proofErr w:type="spellStart"/>
      <w:r w:rsidR="000F7C17" w:rsidRPr="00783B4B">
        <w:rPr>
          <w:sz w:val="22"/>
          <w:szCs w:val="22"/>
          <w:lang w:val="sr-Latn-ME"/>
        </w:rPr>
        <w:t>Trasolette</w:t>
      </w:r>
      <w:proofErr w:type="spellEnd"/>
      <w:r w:rsidR="000F7C17" w:rsidRPr="00783B4B">
        <w:rPr>
          <w:sz w:val="22"/>
          <w:szCs w:val="22"/>
          <w:lang w:val="sr-Latn-ME"/>
        </w:rPr>
        <w:t xml:space="preserve"> </w:t>
      </w:r>
      <w:r w:rsidR="00BB03BC" w:rsidRPr="00783B4B">
        <w:rPr>
          <w:sz w:val="22"/>
          <w:szCs w:val="22"/>
          <w:lang w:val="sr-Latn-ME"/>
        </w:rPr>
        <w:t>kod</w:t>
      </w:r>
      <w:r w:rsidR="000F7C17" w:rsidRPr="00783B4B">
        <w:rPr>
          <w:sz w:val="22"/>
          <w:szCs w:val="22"/>
          <w:lang w:val="sr-Latn-ME"/>
        </w:rPr>
        <w:t xml:space="preserve"> </w:t>
      </w:r>
      <w:r w:rsidR="00BB03BC" w:rsidRPr="00783B4B">
        <w:rPr>
          <w:sz w:val="22"/>
          <w:szCs w:val="22"/>
          <w:lang w:val="sr-Latn-ME"/>
        </w:rPr>
        <w:t xml:space="preserve">djece </w:t>
      </w:r>
      <w:r w:rsidR="000F7C17" w:rsidRPr="00783B4B">
        <w:rPr>
          <w:sz w:val="22"/>
          <w:szCs w:val="22"/>
          <w:lang w:val="sr-Latn-ME"/>
        </w:rPr>
        <w:t xml:space="preserve">i </w:t>
      </w:r>
      <w:r w:rsidR="00BB03BC" w:rsidRPr="00783B4B">
        <w:rPr>
          <w:sz w:val="22"/>
          <w:szCs w:val="22"/>
          <w:lang w:val="sr-Latn-ME"/>
        </w:rPr>
        <w:t xml:space="preserve">adolescenata,  budući da, </w:t>
      </w:r>
      <w:r w:rsidR="006D1D00" w:rsidRPr="00783B4B">
        <w:rPr>
          <w:sz w:val="22"/>
          <w:szCs w:val="22"/>
          <w:lang w:val="sr-Latn-ME"/>
        </w:rPr>
        <w:t xml:space="preserve">bezbjednost i efikasnost </w:t>
      </w:r>
      <w:proofErr w:type="spellStart"/>
      <w:r w:rsidR="006D1D00" w:rsidRPr="00783B4B">
        <w:rPr>
          <w:sz w:val="22"/>
          <w:szCs w:val="22"/>
          <w:lang w:val="sr-Latn-ME"/>
        </w:rPr>
        <w:t>anastrozola</w:t>
      </w:r>
      <w:proofErr w:type="spellEnd"/>
      <w:r w:rsidR="006D1D00" w:rsidRPr="00783B4B">
        <w:rPr>
          <w:sz w:val="22"/>
          <w:szCs w:val="22"/>
          <w:lang w:val="sr-Latn-ME"/>
        </w:rPr>
        <w:t xml:space="preserve"> nisu ustanovljeni</w:t>
      </w:r>
      <w:r w:rsidR="002F26B6" w:rsidRPr="00783B4B">
        <w:rPr>
          <w:sz w:val="22"/>
          <w:szCs w:val="22"/>
          <w:lang w:val="sr-Latn-ME"/>
        </w:rPr>
        <w:t xml:space="preserve"> u</w:t>
      </w:r>
      <w:r w:rsidR="000F7C17" w:rsidRPr="00783B4B">
        <w:rPr>
          <w:sz w:val="22"/>
          <w:szCs w:val="22"/>
          <w:lang w:val="sr-Latn-ME"/>
        </w:rPr>
        <w:t xml:space="preserve"> </w:t>
      </w:r>
      <w:r w:rsidR="002F26B6" w:rsidRPr="00783B4B">
        <w:rPr>
          <w:sz w:val="22"/>
          <w:szCs w:val="22"/>
          <w:lang w:val="sr-Latn-ME"/>
        </w:rPr>
        <w:t xml:space="preserve">ovoj grupi </w:t>
      </w:r>
      <w:r w:rsidR="000F7C17" w:rsidRPr="00783B4B">
        <w:rPr>
          <w:sz w:val="22"/>
          <w:szCs w:val="22"/>
          <w:lang w:val="sr-Latn-ME"/>
        </w:rPr>
        <w:t xml:space="preserve">pacijenata (vidjeti </w:t>
      </w:r>
      <w:r w:rsidR="002F26B6" w:rsidRPr="00783B4B">
        <w:rPr>
          <w:sz w:val="22"/>
          <w:szCs w:val="22"/>
          <w:lang w:val="sr-Latn-ME"/>
        </w:rPr>
        <w:t>od</w:t>
      </w:r>
      <w:r w:rsidR="001A3838" w:rsidRPr="00783B4B">
        <w:rPr>
          <w:sz w:val="22"/>
          <w:szCs w:val="22"/>
          <w:lang w:val="sr-Latn-ME"/>
        </w:rPr>
        <w:t>j</w:t>
      </w:r>
      <w:r w:rsidR="002F26B6" w:rsidRPr="00783B4B">
        <w:rPr>
          <w:sz w:val="22"/>
          <w:szCs w:val="22"/>
          <w:lang w:val="sr-Latn-ME"/>
        </w:rPr>
        <w:t xml:space="preserve">eljak </w:t>
      </w:r>
      <w:r w:rsidR="000F7C17" w:rsidRPr="00783B4B">
        <w:rPr>
          <w:sz w:val="22"/>
          <w:szCs w:val="22"/>
          <w:lang w:val="sr-Latn-ME"/>
        </w:rPr>
        <w:t>5.1).</w:t>
      </w:r>
    </w:p>
    <w:p w14:paraId="7917D107" w14:textId="77777777" w:rsidR="002F26B6" w:rsidRPr="00783B4B" w:rsidRDefault="002F26B6" w:rsidP="00783B4B">
      <w:pPr>
        <w:jc w:val="both"/>
        <w:rPr>
          <w:sz w:val="22"/>
          <w:szCs w:val="22"/>
          <w:lang w:val="sr-Latn-ME"/>
        </w:rPr>
      </w:pPr>
    </w:p>
    <w:p w14:paraId="303268E3" w14:textId="457F3425" w:rsidR="000F7C17" w:rsidRPr="00783B4B" w:rsidRDefault="002F26B6" w:rsidP="00783B4B">
      <w:pPr>
        <w:jc w:val="both"/>
        <w:rPr>
          <w:sz w:val="22"/>
          <w:szCs w:val="22"/>
          <w:lang w:val="sr-Latn-ME"/>
        </w:rPr>
      </w:pPr>
      <w:r w:rsidRPr="00783B4B">
        <w:rPr>
          <w:sz w:val="22"/>
          <w:szCs w:val="22"/>
          <w:lang w:val="sr-Latn-ME"/>
        </w:rPr>
        <w:t>L</w:t>
      </w:r>
      <w:r w:rsidR="001A3838" w:rsidRPr="00783B4B">
        <w:rPr>
          <w:sz w:val="22"/>
          <w:szCs w:val="22"/>
          <w:lang w:val="sr-Latn-ME"/>
        </w:rPr>
        <w:t>ij</w:t>
      </w:r>
      <w:r w:rsidRPr="00783B4B">
        <w:rPr>
          <w:sz w:val="22"/>
          <w:szCs w:val="22"/>
          <w:lang w:val="sr-Latn-ME"/>
        </w:rPr>
        <w:t xml:space="preserve">ek </w:t>
      </w:r>
      <w:proofErr w:type="spellStart"/>
      <w:r w:rsidR="000F7C17" w:rsidRPr="00783B4B">
        <w:rPr>
          <w:sz w:val="22"/>
          <w:szCs w:val="22"/>
          <w:lang w:val="sr-Latn-ME"/>
        </w:rPr>
        <w:t>Trasolette</w:t>
      </w:r>
      <w:proofErr w:type="spellEnd"/>
      <w:r w:rsidR="000F7C17" w:rsidRPr="00783B4B">
        <w:rPr>
          <w:sz w:val="22"/>
          <w:szCs w:val="22"/>
          <w:lang w:val="sr-Latn-ME"/>
        </w:rPr>
        <w:t xml:space="preserve"> ne </w:t>
      </w:r>
      <w:r w:rsidRPr="00783B4B">
        <w:rPr>
          <w:sz w:val="22"/>
          <w:szCs w:val="22"/>
          <w:lang w:val="sr-Latn-ME"/>
        </w:rPr>
        <w:t>treba</w:t>
      </w:r>
      <w:r w:rsidR="004A4A66" w:rsidRPr="00783B4B">
        <w:rPr>
          <w:sz w:val="22"/>
          <w:szCs w:val="22"/>
          <w:lang w:val="sr-Latn-ME"/>
        </w:rPr>
        <w:t xml:space="preserve"> koristiti kod d</w:t>
      </w:r>
      <w:r w:rsidR="001A3838" w:rsidRPr="00783B4B">
        <w:rPr>
          <w:sz w:val="22"/>
          <w:szCs w:val="22"/>
          <w:lang w:val="sr-Latn-ME"/>
        </w:rPr>
        <w:t>j</w:t>
      </w:r>
      <w:r w:rsidR="004A4A66" w:rsidRPr="00783B4B">
        <w:rPr>
          <w:sz w:val="22"/>
          <w:szCs w:val="22"/>
          <w:lang w:val="sr-Latn-ME"/>
        </w:rPr>
        <w:t xml:space="preserve">ečaka sa </w:t>
      </w:r>
      <w:proofErr w:type="spellStart"/>
      <w:r w:rsidR="004A4A66" w:rsidRPr="00783B4B">
        <w:rPr>
          <w:sz w:val="22"/>
          <w:szCs w:val="22"/>
          <w:lang w:val="sr-Latn-ME"/>
        </w:rPr>
        <w:t>deficijencijom</w:t>
      </w:r>
      <w:proofErr w:type="spellEnd"/>
      <w:r w:rsidR="004A4A66" w:rsidRPr="00783B4B">
        <w:rPr>
          <w:sz w:val="22"/>
          <w:szCs w:val="22"/>
          <w:lang w:val="sr-Latn-ME"/>
        </w:rPr>
        <w:t xml:space="preserve"> hormona rasta </w:t>
      </w:r>
      <w:r w:rsidRPr="00783B4B">
        <w:rPr>
          <w:sz w:val="22"/>
          <w:szCs w:val="22"/>
          <w:lang w:val="sr-Latn-ME"/>
        </w:rPr>
        <w:t xml:space="preserve"> </w:t>
      </w:r>
      <w:r w:rsidR="004A4A66" w:rsidRPr="00783B4B">
        <w:rPr>
          <w:sz w:val="22"/>
          <w:szCs w:val="22"/>
          <w:lang w:val="sr-Latn-ME"/>
        </w:rPr>
        <w:t xml:space="preserve">koji su na </w:t>
      </w:r>
      <w:r w:rsidR="00400143" w:rsidRPr="00783B4B">
        <w:rPr>
          <w:sz w:val="22"/>
          <w:szCs w:val="22"/>
          <w:lang w:val="sr-Latn-ME"/>
        </w:rPr>
        <w:t xml:space="preserve">terapiji hormonom </w:t>
      </w:r>
      <w:r w:rsidR="000F7C17" w:rsidRPr="00783B4B">
        <w:rPr>
          <w:sz w:val="22"/>
          <w:szCs w:val="22"/>
          <w:lang w:val="sr-Latn-ME"/>
        </w:rPr>
        <w:t>rasta</w:t>
      </w:r>
      <w:r w:rsidR="00400143" w:rsidRPr="00783B4B">
        <w:rPr>
          <w:sz w:val="22"/>
          <w:szCs w:val="22"/>
          <w:lang w:val="sr-Latn-ME"/>
        </w:rPr>
        <w:t>.</w:t>
      </w:r>
      <w:r w:rsidR="000F7C17" w:rsidRPr="00783B4B">
        <w:rPr>
          <w:sz w:val="22"/>
          <w:szCs w:val="22"/>
          <w:lang w:val="sr-Latn-ME"/>
        </w:rPr>
        <w:t xml:space="preserve"> U </w:t>
      </w:r>
      <w:proofErr w:type="spellStart"/>
      <w:r w:rsidR="000F7C17" w:rsidRPr="00783B4B">
        <w:rPr>
          <w:sz w:val="22"/>
          <w:szCs w:val="22"/>
          <w:lang w:val="sr-Latn-ME"/>
        </w:rPr>
        <w:t>pivotalnoj</w:t>
      </w:r>
      <w:proofErr w:type="spellEnd"/>
      <w:r w:rsidR="000F7C17" w:rsidRPr="00783B4B">
        <w:rPr>
          <w:sz w:val="22"/>
          <w:szCs w:val="22"/>
          <w:lang w:val="sr-Latn-ME"/>
        </w:rPr>
        <w:t xml:space="preserve"> kliničkoj studiji, nije pokazana efikasnost, niti je uspostavljena bezbjednost (vidjeti </w:t>
      </w:r>
      <w:r w:rsidR="009D67D6" w:rsidRPr="00783B4B">
        <w:rPr>
          <w:sz w:val="22"/>
          <w:szCs w:val="22"/>
          <w:lang w:val="sr-Latn-ME"/>
        </w:rPr>
        <w:t>od</w:t>
      </w:r>
      <w:r w:rsidR="001A3838" w:rsidRPr="00783B4B">
        <w:rPr>
          <w:sz w:val="22"/>
          <w:szCs w:val="22"/>
          <w:lang w:val="sr-Latn-ME"/>
        </w:rPr>
        <w:t>j</w:t>
      </w:r>
      <w:r w:rsidR="009D67D6" w:rsidRPr="00783B4B">
        <w:rPr>
          <w:sz w:val="22"/>
          <w:szCs w:val="22"/>
          <w:lang w:val="sr-Latn-ME"/>
        </w:rPr>
        <w:t xml:space="preserve">eljak </w:t>
      </w:r>
      <w:r w:rsidR="000F7C17" w:rsidRPr="00783B4B">
        <w:rPr>
          <w:sz w:val="22"/>
          <w:szCs w:val="22"/>
          <w:lang w:val="sr-Latn-ME"/>
        </w:rPr>
        <w:t xml:space="preserve">5.1). Budući da </w:t>
      </w:r>
      <w:proofErr w:type="spellStart"/>
      <w:r w:rsidR="000F7C17" w:rsidRPr="00783B4B">
        <w:rPr>
          <w:sz w:val="22"/>
          <w:szCs w:val="22"/>
          <w:lang w:val="sr-Latn-ME"/>
        </w:rPr>
        <w:t>anastrozol</w:t>
      </w:r>
      <w:proofErr w:type="spellEnd"/>
      <w:r w:rsidR="000F7C17" w:rsidRPr="00783B4B">
        <w:rPr>
          <w:sz w:val="22"/>
          <w:szCs w:val="22"/>
          <w:lang w:val="sr-Latn-ME"/>
        </w:rPr>
        <w:t xml:space="preserve"> snižava nivo</w:t>
      </w:r>
      <w:r w:rsidR="009D67D6" w:rsidRPr="00783B4B">
        <w:rPr>
          <w:sz w:val="22"/>
          <w:szCs w:val="22"/>
          <w:lang w:val="sr-Latn-ME"/>
        </w:rPr>
        <w:t>e</w:t>
      </w:r>
      <w:r w:rsidR="000F7C17" w:rsidRPr="00783B4B">
        <w:rPr>
          <w:sz w:val="22"/>
          <w:szCs w:val="22"/>
          <w:lang w:val="sr-Latn-ME"/>
        </w:rPr>
        <w:t xml:space="preserve"> </w:t>
      </w:r>
      <w:proofErr w:type="spellStart"/>
      <w:r w:rsidR="000F7C17" w:rsidRPr="00783B4B">
        <w:rPr>
          <w:sz w:val="22"/>
          <w:szCs w:val="22"/>
          <w:lang w:val="sr-Latn-ME"/>
        </w:rPr>
        <w:t>estradiola</w:t>
      </w:r>
      <w:proofErr w:type="spellEnd"/>
      <w:r w:rsidR="000F7C17" w:rsidRPr="00783B4B">
        <w:rPr>
          <w:sz w:val="22"/>
          <w:szCs w:val="22"/>
          <w:lang w:val="sr-Latn-ME"/>
        </w:rPr>
        <w:t xml:space="preserve">, </w:t>
      </w:r>
      <w:r w:rsidR="009D67D6" w:rsidRPr="00783B4B">
        <w:rPr>
          <w:sz w:val="22"/>
          <w:szCs w:val="22"/>
          <w:lang w:val="sr-Latn-ME"/>
        </w:rPr>
        <w:t>l</w:t>
      </w:r>
      <w:r w:rsidR="00373CB7" w:rsidRPr="00783B4B">
        <w:rPr>
          <w:sz w:val="22"/>
          <w:szCs w:val="22"/>
          <w:lang w:val="sr-Latn-ME"/>
        </w:rPr>
        <w:t>ij</w:t>
      </w:r>
      <w:r w:rsidR="009D67D6" w:rsidRPr="00783B4B">
        <w:rPr>
          <w:sz w:val="22"/>
          <w:szCs w:val="22"/>
          <w:lang w:val="sr-Latn-ME"/>
        </w:rPr>
        <w:t xml:space="preserve">ek </w:t>
      </w:r>
      <w:proofErr w:type="spellStart"/>
      <w:r w:rsidR="000F7C17" w:rsidRPr="00783B4B">
        <w:rPr>
          <w:sz w:val="22"/>
          <w:szCs w:val="22"/>
          <w:lang w:val="sr-Latn-ME"/>
        </w:rPr>
        <w:t>Trasolette</w:t>
      </w:r>
      <w:proofErr w:type="spellEnd"/>
      <w:r w:rsidR="000F7C17" w:rsidRPr="00783B4B">
        <w:rPr>
          <w:sz w:val="22"/>
          <w:szCs w:val="22"/>
          <w:lang w:val="sr-Latn-ME"/>
        </w:rPr>
        <w:t xml:space="preserve"> se ne smije koristiti kod djevojčica sa </w:t>
      </w:r>
      <w:proofErr w:type="spellStart"/>
      <w:r w:rsidR="009D67D6" w:rsidRPr="00783B4B">
        <w:rPr>
          <w:sz w:val="22"/>
          <w:szCs w:val="22"/>
          <w:lang w:val="sr-Latn-ME"/>
        </w:rPr>
        <w:t>deficijencijom</w:t>
      </w:r>
      <w:proofErr w:type="spellEnd"/>
      <w:r w:rsidR="009D67D6" w:rsidRPr="00783B4B">
        <w:rPr>
          <w:sz w:val="22"/>
          <w:szCs w:val="22"/>
          <w:lang w:val="sr-Latn-ME"/>
        </w:rPr>
        <w:t xml:space="preserve"> </w:t>
      </w:r>
      <w:r w:rsidR="000F7C17" w:rsidRPr="00783B4B">
        <w:rPr>
          <w:sz w:val="22"/>
          <w:szCs w:val="22"/>
          <w:lang w:val="sr-Latn-ME"/>
        </w:rPr>
        <w:t>hormona rasta</w:t>
      </w:r>
      <w:r w:rsidR="005F26BA" w:rsidRPr="00783B4B">
        <w:rPr>
          <w:sz w:val="22"/>
          <w:szCs w:val="22"/>
          <w:lang w:val="sr-Latn-ME"/>
        </w:rPr>
        <w:t xml:space="preserve"> koje su na terapiji</w:t>
      </w:r>
      <w:r w:rsidR="000F7C17" w:rsidRPr="00783B4B">
        <w:rPr>
          <w:sz w:val="22"/>
          <w:szCs w:val="22"/>
          <w:lang w:val="sr-Latn-ME"/>
        </w:rPr>
        <w:t xml:space="preserve"> hormon</w:t>
      </w:r>
      <w:r w:rsidR="005F26BA" w:rsidRPr="00783B4B">
        <w:rPr>
          <w:sz w:val="22"/>
          <w:szCs w:val="22"/>
          <w:lang w:val="sr-Latn-ME"/>
        </w:rPr>
        <w:t>om</w:t>
      </w:r>
      <w:r w:rsidR="000F7C17" w:rsidRPr="00783B4B">
        <w:rPr>
          <w:sz w:val="22"/>
          <w:szCs w:val="22"/>
          <w:lang w:val="sr-Latn-ME"/>
        </w:rPr>
        <w:t xml:space="preserve"> rasta. Nijesu dostupni dugoročni podaci o bezbjednosti kod djece i adolescenata.</w:t>
      </w:r>
    </w:p>
    <w:p w14:paraId="18EEAB7A" w14:textId="77777777" w:rsidR="000F7C17" w:rsidRPr="00783B4B" w:rsidRDefault="000F7C17" w:rsidP="00783B4B">
      <w:pPr>
        <w:jc w:val="both"/>
        <w:rPr>
          <w:sz w:val="22"/>
          <w:szCs w:val="22"/>
          <w:lang w:val="sr-Latn-ME"/>
        </w:rPr>
      </w:pPr>
    </w:p>
    <w:p w14:paraId="17352716" w14:textId="79190FD4" w:rsidR="000F7C17" w:rsidRPr="00783B4B" w:rsidRDefault="000F7C17" w:rsidP="00783B4B">
      <w:pPr>
        <w:jc w:val="both"/>
        <w:rPr>
          <w:iCs/>
          <w:sz w:val="22"/>
          <w:szCs w:val="22"/>
          <w:u w:val="single"/>
          <w:lang w:val="sr-Latn-ME"/>
        </w:rPr>
      </w:pPr>
      <w:r w:rsidRPr="00783B4B">
        <w:rPr>
          <w:iCs/>
          <w:sz w:val="22"/>
          <w:szCs w:val="22"/>
          <w:u w:val="single"/>
          <w:lang w:val="sr-Latn-ME"/>
        </w:rPr>
        <w:t>Preosjetljivost na laktozu</w:t>
      </w:r>
    </w:p>
    <w:p w14:paraId="51813871" w14:textId="77777777" w:rsidR="007C481D" w:rsidRPr="00783B4B" w:rsidRDefault="007C481D" w:rsidP="00783B4B">
      <w:pPr>
        <w:jc w:val="both"/>
        <w:rPr>
          <w:iCs/>
          <w:sz w:val="22"/>
          <w:szCs w:val="22"/>
          <w:u w:val="single"/>
          <w:lang w:val="sr-Latn-ME"/>
        </w:rPr>
      </w:pPr>
    </w:p>
    <w:p w14:paraId="6D294092" w14:textId="7212FEEB" w:rsidR="000F7C17" w:rsidRPr="00783B4B" w:rsidRDefault="005F26BA" w:rsidP="00783B4B">
      <w:pPr>
        <w:jc w:val="both"/>
        <w:rPr>
          <w:sz w:val="22"/>
          <w:szCs w:val="22"/>
          <w:lang w:val="sr-Latn-ME"/>
        </w:rPr>
      </w:pPr>
      <w:r w:rsidRPr="00783B4B">
        <w:rPr>
          <w:sz w:val="22"/>
          <w:szCs w:val="22"/>
          <w:lang w:val="sr-Latn-ME"/>
        </w:rPr>
        <w:t>L</w:t>
      </w:r>
      <w:r w:rsidR="000F7C17" w:rsidRPr="00783B4B">
        <w:rPr>
          <w:sz w:val="22"/>
          <w:szCs w:val="22"/>
          <w:lang w:val="sr-Latn-ME"/>
        </w:rPr>
        <w:t xml:space="preserve">ijek </w:t>
      </w:r>
      <w:proofErr w:type="spellStart"/>
      <w:r w:rsidRPr="00783B4B">
        <w:rPr>
          <w:sz w:val="22"/>
          <w:szCs w:val="22"/>
          <w:lang w:val="sr-Latn-ME"/>
        </w:rPr>
        <w:t>Trasolette</w:t>
      </w:r>
      <w:proofErr w:type="spellEnd"/>
      <w:r w:rsidRPr="00783B4B">
        <w:rPr>
          <w:sz w:val="22"/>
          <w:szCs w:val="22"/>
          <w:lang w:val="sr-Latn-ME"/>
        </w:rPr>
        <w:t xml:space="preserve"> </w:t>
      </w:r>
      <w:r w:rsidR="000F7C17" w:rsidRPr="00783B4B">
        <w:rPr>
          <w:sz w:val="22"/>
          <w:szCs w:val="22"/>
          <w:lang w:val="sr-Latn-ME"/>
        </w:rPr>
        <w:t xml:space="preserve">sadrži laktozu. </w:t>
      </w:r>
      <w:r w:rsidRPr="00783B4B">
        <w:rPr>
          <w:sz w:val="22"/>
          <w:szCs w:val="22"/>
          <w:lang w:val="sr-Latn-ME"/>
        </w:rPr>
        <w:t xml:space="preserve">Pacijenti </w:t>
      </w:r>
      <w:r w:rsidR="000F7C17" w:rsidRPr="00783B4B">
        <w:rPr>
          <w:sz w:val="22"/>
          <w:szCs w:val="22"/>
          <w:lang w:val="sr-Latn-ME"/>
        </w:rPr>
        <w:t xml:space="preserve">sa rijetkim </w:t>
      </w:r>
      <w:proofErr w:type="spellStart"/>
      <w:r w:rsidR="000F7C17" w:rsidRPr="00783B4B">
        <w:rPr>
          <w:sz w:val="22"/>
          <w:szCs w:val="22"/>
          <w:lang w:val="sr-Latn-ME"/>
        </w:rPr>
        <w:t>nasljednim</w:t>
      </w:r>
      <w:proofErr w:type="spellEnd"/>
      <w:r w:rsidR="000F7C17" w:rsidRPr="00783B4B">
        <w:rPr>
          <w:sz w:val="22"/>
          <w:szCs w:val="22"/>
          <w:lang w:val="sr-Latn-ME"/>
        </w:rPr>
        <w:t xml:space="preserve"> </w:t>
      </w:r>
      <w:r w:rsidR="002433BB" w:rsidRPr="00783B4B">
        <w:rPr>
          <w:sz w:val="22"/>
          <w:szCs w:val="22"/>
          <w:lang w:val="sr-Latn-ME"/>
        </w:rPr>
        <w:t xml:space="preserve">oboljenjem </w:t>
      </w:r>
      <w:r w:rsidR="000F7C17" w:rsidRPr="00783B4B">
        <w:rPr>
          <w:sz w:val="22"/>
          <w:szCs w:val="22"/>
          <w:lang w:val="sr-Latn-ME"/>
        </w:rPr>
        <w:t xml:space="preserve">tolerancije na </w:t>
      </w:r>
      <w:proofErr w:type="spellStart"/>
      <w:r w:rsidR="000F7C17" w:rsidRPr="00783B4B">
        <w:rPr>
          <w:sz w:val="22"/>
          <w:szCs w:val="22"/>
          <w:lang w:val="sr-Latn-ME"/>
        </w:rPr>
        <w:t>galaktozu</w:t>
      </w:r>
      <w:proofErr w:type="spellEnd"/>
      <w:r w:rsidR="000F7C17" w:rsidRPr="00783B4B">
        <w:rPr>
          <w:sz w:val="22"/>
          <w:szCs w:val="22"/>
          <w:lang w:val="sr-Latn-ME"/>
        </w:rPr>
        <w:t xml:space="preserve">, nedostatkom </w:t>
      </w:r>
      <w:proofErr w:type="spellStart"/>
      <w:r w:rsidR="000F7C17" w:rsidRPr="00783B4B">
        <w:rPr>
          <w:sz w:val="22"/>
          <w:szCs w:val="22"/>
          <w:lang w:val="sr-Latn-ME"/>
        </w:rPr>
        <w:t>laktaze</w:t>
      </w:r>
      <w:proofErr w:type="spellEnd"/>
      <w:r w:rsidR="000F7C17" w:rsidRPr="00783B4B">
        <w:rPr>
          <w:sz w:val="22"/>
          <w:szCs w:val="22"/>
          <w:lang w:val="sr-Latn-ME"/>
        </w:rPr>
        <w:t xml:space="preserve"> ili </w:t>
      </w:r>
      <w:proofErr w:type="spellStart"/>
      <w:r w:rsidR="000F7C17" w:rsidRPr="00783B4B">
        <w:rPr>
          <w:sz w:val="22"/>
          <w:szCs w:val="22"/>
          <w:lang w:val="sr-Latn-ME"/>
        </w:rPr>
        <w:t>glukozno-galaktoznom</w:t>
      </w:r>
      <w:proofErr w:type="spellEnd"/>
      <w:r w:rsidR="000F7C17" w:rsidRPr="00783B4B">
        <w:rPr>
          <w:sz w:val="22"/>
          <w:szCs w:val="22"/>
          <w:lang w:val="sr-Latn-ME"/>
        </w:rPr>
        <w:t xml:space="preserve"> </w:t>
      </w:r>
      <w:proofErr w:type="spellStart"/>
      <w:r w:rsidR="000F7C17" w:rsidRPr="00783B4B">
        <w:rPr>
          <w:sz w:val="22"/>
          <w:szCs w:val="22"/>
          <w:lang w:val="sr-Latn-ME"/>
        </w:rPr>
        <w:t>malapsorpcijom</w:t>
      </w:r>
      <w:proofErr w:type="spellEnd"/>
      <w:r w:rsidR="000F7C17" w:rsidRPr="00783B4B">
        <w:rPr>
          <w:sz w:val="22"/>
          <w:szCs w:val="22"/>
          <w:lang w:val="sr-Latn-ME"/>
        </w:rPr>
        <w:t xml:space="preserve">, ne </w:t>
      </w:r>
      <w:r w:rsidR="002433BB" w:rsidRPr="00783B4B">
        <w:rPr>
          <w:sz w:val="22"/>
          <w:szCs w:val="22"/>
          <w:lang w:val="sr-Latn-ME"/>
        </w:rPr>
        <w:t>sm</w:t>
      </w:r>
      <w:r w:rsidR="001A3838" w:rsidRPr="00783B4B">
        <w:rPr>
          <w:sz w:val="22"/>
          <w:szCs w:val="22"/>
          <w:lang w:val="sr-Latn-ME"/>
        </w:rPr>
        <w:t>i</w:t>
      </w:r>
      <w:r w:rsidR="002433BB" w:rsidRPr="00783B4B">
        <w:rPr>
          <w:sz w:val="22"/>
          <w:szCs w:val="22"/>
          <w:lang w:val="sr-Latn-ME"/>
        </w:rPr>
        <w:t>ju koristiti</w:t>
      </w:r>
      <w:r w:rsidR="000F7C17" w:rsidRPr="00783B4B">
        <w:rPr>
          <w:sz w:val="22"/>
          <w:szCs w:val="22"/>
          <w:lang w:val="sr-Latn-ME"/>
        </w:rPr>
        <w:t xml:space="preserve"> ovaj lijek.</w:t>
      </w:r>
    </w:p>
    <w:p w14:paraId="67DC9388" w14:textId="77777777" w:rsidR="00057E35" w:rsidRPr="00783B4B" w:rsidRDefault="00057E35" w:rsidP="00783B4B">
      <w:pPr>
        <w:tabs>
          <w:tab w:val="left" w:pos="540"/>
          <w:tab w:val="left" w:pos="569"/>
        </w:tabs>
        <w:jc w:val="both"/>
        <w:rPr>
          <w:bCs/>
          <w:sz w:val="22"/>
          <w:szCs w:val="22"/>
          <w:lang w:val="sr-Latn-ME"/>
        </w:rPr>
      </w:pPr>
    </w:p>
    <w:p w14:paraId="67DC9389" w14:textId="77777777" w:rsidR="00411B4B" w:rsidRPr="00783B4B" w:rsidRDefault="00411B4B" w:rsidP="00783B4B">
      <w:pPr>
        <w:tabs>
          <w:tab w:val="left" w:pos="540"/>
          <w:tab w:val="left" w:pos="569"/>
        </w:tabs>
        <w:rPr>
          <w:b/>
          <w:bCs/>
          <w:sz w:val="22"/>
          <w:szCs w:val="22"/>
          <w:lang w:val="sr-Latn-ME"/>
        </w:rPr>
      </w:pPr>
      <w:r w:rsidRPr="00783B4B">
        <w:rPr>
          <w:b/>
          <w:bCs/>
          <w:sz w:val="22"/>
          <w:szCs w:val="22"/>
          <w:lang w:val="sr-Latn-ME"/>
        </w:rPr>
        <w:t>4.5.</w:t>
      </w:r>
      <w:r w:rsidR="000D60CC" w:rsidRPr="00783B4B">
        <w:rPr>
          <w:b/>
          <w:bCs/>
          <w:sz w:val="22"/>
          <w:szCs w:val="22"/>
          <w:lang w:val="sr-Latn-ME"/>
        </w:rPr>
        <w:tab/>
      </w:r>
      <w:r w:rsidRPr="00783B4B">
        <w:rPr>
          <w:b/>
          <w:bCs/>
          <w:sz w:val="22"/>
          <w:szCs w:val="22"/>
          <w:lang w:val="sr-Latn-ME"/>
        </w:rPr>
        <w:t>Interakcije sa drugim ljekovima i druge vrste interakcija</w:t>
      </w:r>
    </w:p>
    <w:p w14:paraId="67DC938A" w14:textId="55621758" w:rsidR="0072020E" w:rsidRPr="00783B4B" w:rsidRDefault="0072020E" w:rsidP="00783B4B">
      <w:pPr>
        <w:tabs>
          <w:tab w:val="left" w:pos="540"/>
          <w:tab w:val="left" w:pos="569"/>
        </w:tabs>
        <w:rPr>
          <w:bCs/>
          <w:sz w:val="22"/>
          <w:szCs w:val="22"/>
          <w:lang w:val="sr-Latn-ME"/>
        </w:rPr>
      </w:pPr>
    </w:p>
    <w:p w14:paraId="1CA77016" w14:textId="1392E4CB" w:rsidR="000926B9" w:rsidRPr="00783B4B" w:rsidRDefault="00E35CBF" w:rsidP="00783B4B">
      <w:pPr>
        <w:jc w:val="both"/>
        <w:rPr>
          <w:sz w:val="22"/>
          <w:szCs w:val="22"/>
          <w:lang w:val="sr-Latn-ME"/>
        </w:rPr>
      </w:pPr>
      <w:proofErr w:type="spellStart"/>
      <w:r w:rsidRPr="00783B4B">
        <w:rPr>
          <w:sz w:val="22"/>
          <w:szCs w:val="22"/>
          <w:lang w:val="sr-Latn-ME"/>
        </w:rPr>
        <w:t>Anastrozol</w:t>
      </w:r>
      <w:proofErr w:type="spellEnd"/>
      <w:r w:rsidRPr="00783B4B">
        <w:rPr>
          <w:sz w:val="22"/>
          <w:szCs w:val="22"/>
          <w:lang w:val="sr-Latn-ME"/>
        </w:rPr>
        <w:t xml:space="preserve"> </w:t>
      </w:r>
      <w:r w:rsidRPr="00783B4B">
        <w:rPr>
          <w:i/>
          <w:sz w:val="22"/>
          <w:szCs w:val="22"/>
          <w:lang w:val="sr-Latn-ME"/>
        </w:rPr>
        <w:t xml:space="preserve">in </w:t>
      </w:r>
      <w:proofErr w:type="spellStart"/>
      <w:r w:rsidR="000926B9" w:rsidRPr="00783B4B">
        <w:rPr>
          <w:i/>
          <w:sz w:val="22"/>
          <w:szCs w:val="22"/>
          <w:lang w:val="sr-Latn-ME"/>
        </w:rPr>
        <w:t>vitro</w:t>
      </w:r>
      <w:proofErr w:type="spellEnd"/>
      <w:r w:rsidR="000926B9" w:rsidRPr="00783B4B">
        <w:rPr>
          <w:sz w:val="22"/>
          <w:szCs w:val="22"/>
          <w:lang w:val="sr-Latn-ME"/>
        </w:rPr>
        <w:t xml:space="preserve"> inhibira </w:t>
      </w:r>
      <w:proofErr w:type="spellStart"/>
      <w:r w:rsidR="000926B9" w:rsidRPr="00783B4B">
        <w:rPr>
          <w:sz w:val="22"/>
          <w:szCs w:val="22"/>
          <w:lang w:val="sr-Latn-ME"/>
        </w:rPr>
        <w:t>CYP</w:t>
      </w:r>
      <w:proofErr w:type="spellEnd"/>
      <w:r w:rsidR="000926B9" w:rsidRPr="00783B4B">
        <w:rPr>
          <w:sz w:val="22"/>
          <w:szCs w:val="22"/>
          <w:lang w:val="sr-Latn-ME"/>
        </w:rPr>
        <w:t xml:space="preserve"> </w:t>
      </w:r>
      <w:proofErr w:type="spellStart"/>
      <w:r w:rsidR="000926B9" w:rsidRPr="00783B4B">
        <w:rPr>
          <w:sz w:val="22"/>
          <w:szCs w:val="22"/>
          <w:lang w:val="sr-Latn-ME"/>
        </w:rPr>
        <w:t>1A2</w:t>
      </w:r>
      <w:proofErr w:type="spellEnd"/>
      <w:r w:rsidR="000926B9" w:rsidRPr="00783B4B">
        <w:rPr>
          <w:sz w:val="22"/>
          <w:szCs w:val="22"/>
          <w:lang w:val="sr-Latn-ME"/>
        </w:rPr>
        <w:t xml:space="preserve">, </w:t>
      </w:r>
      <w:proofErr w:type="spellStart"/>
      <w:r w:rsidR="000926B9" w:rsidRPr="00783B4B">
        <w:rPr>
          <w:sz w:val="22"/>
          <w:szCs w:val="22"/>
          <w:lang w:val="sr-Latn-ME"/>
        </w:rPr>
        <w:t>2C8</w:t>
      </w:r>
      <w:proofErr w:type="spellEnd"/>
      <w:r w:rsidR="000926B9" w:rsidRPr="00783B4B">
        <w:rPr>
          <w:sz w:val="22"/>
          <w:szCs w:val="22"/>
          <w:lang w:val="sr-Latn-ME"/>
        </w:rPr>
        <w:t xml:space="preserve">/9 i </w:t>
      </w:r>
      <w:proofErr w:type="spellStart"/>
      <w:r w:rsidR="000926B9" w:rsidRPr="00783B4B">
        <w:rPr>
          <w:sz w:val="22"/>
          <w:szCs w:val="22"/>
          <w:lang w:val="sr-Latn-ME"/>
        </w:rPr>
        <w:t>3A4</w:t>
      </w:r>
      <w:proofErr w:type="spellEnd"/>
      <w:r w:rsidRPr="00783B4B">
        <w:rPr>
          <w:sz w:val="22"/>
          <w:szCs w:val="22"/>
          <w:lang w:val="sr-Latn-ME"/>
        </w:rPr>
        <w:t xml:space="preserve">. </w:t>
      </w:r>
      <w:r w:rsidR="000926B9" w:rsidRPr="00783B4B">
        <w:rPr>
          <w:sz w:val="22"/>
          <w:szCs w:val="22"/>
          <w:lang w:val="sr-Latn-ME"/>
        </w:rPr>
        <w:t xml:space="preserve">Kliničke studije sa </w:t>
      </w:r>
      <w:proofErr w:type="spellStart"/>
      <w:r w:rsidR="000926B9" w:rsidRPr="00783B4B">
        <w:rPr>
          <w:sz w:val="22"/>
          <w:szCs w:val="22"/>
          <w:lang w:val="sr-Latn-ME"/>
        </w:rPr>
        <w:t>antipirinom</w:t>
      </w:r>
      <w:proofErr w:type="spellEnd"/>
      <w:r w:rsidR="000926B9" w:rsidRPr="00783B4B">
        <w:rPr>
          <w:sz w:val="22"/>
          <w:szCs w:val="22"/>
          <w:lang w:val="sr-Latn-ME"/>
        </w:rPr>
        <w:t xml:space="preserve"> i </w:t>
      </w:r>
      <w:proofErr w:type="spellStart"/>
      <w:r w:rsidR="000926B9" w:rsidRPr="00783B4B">
        <w:rPr>
          <w:sz w:val="22"/>
          <w:szCs w:val="22"/>
          <w:lang w:val="sr-Latn-ME"/>
        </w:rPr>
        <w:t>varfarinom</w:t>
      </w:r>
      <w:proofErr w:type="spellEnd"/>
      <w:r w:rsidR="000926B9" w:rsidRPr="00783B4B">
        <w:rPr>
          <w:sz w:val="22"/>
          <w:szCs w:val="22"/>
          <w:lang w:val="sr-Latn-ME"/>
        </w:rPr>
        <w:t xml:space="preserve"> su</w:t>
      </w:r>
      <w:r w:rsidR="0088545A" w:rsidRPr="00783B4B">
        <w:rPr>
          <w:sz w:val="22"/>
          <w:szCs w:val="22"/>
          <w:lang w:val="sr-Latn-ME"/>
        </w:rPr>
        <w:t xml:space="preserve"> </w:t>
      </w:r>
      <w:r w:rsidR="000926B9" w:rsidRPr="00783B4B">
        <w:rPr>
          <w:sz w:val="22"/>
          <w:szCs w:val="22"/>
          <w:lang w:val="sr-Latn-ME"/>
        </w:rPr>
        <w:t xml:space="preserve">pokazale da </w:t>
      </w:r>
      <w:proofErr w:type="spellStart"/>
      <w:r w:rsidR="000926B9" w:rsidRPr="00783B4B">
        <w:rPr>
          <w:sz w:val="22"/>
          <w:szCs w:val="22"/>
          <w:lang w:val="sr-Latn-ME"/>
        </w:rPr>
        <w:t>anastrozol</w:t>
      </w:r>
      <w:proofErr w:type="spellEnd"/>
      <w:r w:rsidR="000926B9" w:rsidRPr="00783B4B">
        <w:rPr>
          <w:sz w:val="22"/>
          <w:szCs w:val="22"/>
          <w:lang w:val="sr-Latn-ME"/>
        </w:rPr>
        <w:t xml:space="preserve"> u dozi od </w:t>
      </w:r>
      <w:proofErr w:type="spellStart"/>
      <w:r w:rsidR="000926B9" w:rsidRPr="00783B4B">
        <w:rPr>
          <w:sz w:val="22"/>
          <w:szCs w:val="22"/>
          <w:lang w:val="sr-Latn-ME"/>
        </w:rPr>
        <w:t>1mg</w:t>
      </w:r>
      <w:proofErr w:type="spellEnd"/>
      <w:r w:rsidR="000926B9" w:rsidRPr="00783B4B">
        <w:rPr>
          <w:sz w:val="22"/>
          <w:szCs w:val="22"/>
          <w:lang w:val="sr-Latn-ME"/>
        </w:rPr>
        <w:t xml:space="preserve"> </w:t>
      </w:r>
      <w:r w:rsidR="0027798E" w:rsidRPr="00783B4B">
        <w:rPr>
          <w:sz w:val="22"/>
          <w:szCs w:val="22"/>
          <w:lang w:val="sr-Latn-ME"/>
        </w:rPr>
        <w:t>nije</w:t>
      </w:r>
      <w:r w:rsidR="000926B9" w:rsidRPr="00783B4B">
        <w:rPr>
          <w:sz w:val="22"/>
          <w:szCs w:val="22"/>
          <w:lang w:val="sr-Latn-ME"/>
        </w:rPr>
        <w:t xml:space="preserve"> značajno </w:t>
      </w:r>
      <w:r w:rsidR="0027798E" w:rsidRPr="00783B4B">
        <w:rPr>
          <w:sz w:val="22"/>
          <w:szCs w:val="22"/>
          <w:lang w:val="sr-Latn-ME"/>
        </w:rPr>
        <w:t>inhibirao</w:t>
      </w:r>
      <w:r w:rsidR="000926B9" w:rsidRPr="00783B4B">
        <w:rPr>
          <w:sz w:val="22"/>
          <w:szCs w:val="22"/>
          <w:lang w:val="sr-Latn-ME"/>
        </w:rPr>
        <w:t xml:space="preserve"> metaboliz</w:t>
      </w:r>
      <w:r w:rsidR="007C481D" w:rsidRPr="00783B4B">
        <w:rPr>
          <w:sz w:val="22"/>
          <w:szCs w:val="22"/>
          <w:lang w:val="sr-Latn-ME"/>
        </w:rPr>
        <w:t>a</w:t>
      </w:r>
      <w:r w:rsidR="000926B9" w:rsidRPr="00783B4B">
        <w:rPr>
          <w:sz w:val="22"/>
          <w:szCs w:val="22"/>
          <w:lang w:val="sr-Latn-ME"/>
        </w:rPr>
        <w:t xml:space="preserve">m </w:t>
      </w:r>
      <w:proofErr w:type="spellStart"/>
      <w:r w:rsidR="000926B9" w:rsidRPr="00783B4B">
        <w:rPr>
          <w:sz w:val="22"/>
          <w:szCs w:val="22"/>
          <w:lang w:val="sr-Latn-ME"/>
        </w:rPr>
        <w:t>antipirina</w:t>
      </w:r>
      <w:proofErr w:type="spellEnd"/>
      <w:r w:rsidR="000926B9" w:rsidRPr="00783B4B">
        <w:rPr>
          <w:sz w:val="22"/>
          <w:szCs w:val="22"/>
          <w:lang w:val="sr-Latn-ME"/>
        </w:rPr>
        <w:t xml:space="preserve"> i R- i S-</w:t>
      </w:r>
      <w:proofErr w:type="spellStart"/>
      <w:r w:rsidR="000926B9" w:rsidRPr="00783B4B">
        <w:rPr>
          <w:sz w:val="22"/>
          <w:szCs w:val="22"/>
          <w:lang w:val="sr-Latn-ME"/>
        </w:rPr>
        <w:t>varfarina</w:t>
      </w:r>
      <w:proofErr w:type="spellEnd"/>
      <w:r w:rsidR="000926B9" w:rsidRPr="00783B4B">
        <w:rPr>
          <w:sz w:val="22"/>
          <w:szCs w:val="22"/>
          <w:lang w:val="sr-Latn-ME"/>
        </w:rPr>
        <w:t>,</w:t>
      </w:r>
      <w:r w:rsidR="0088545A" w:rsidRPr="00783B4B">
        <w:rPr>
          <w:sz w:val="22"/>
          <w:szCs w:val="22"/>
          <w:lang w:val="sr-Latn-ME"/>
        </w:rPr>
        <w:t xml:space="preserve"> </w:t>
      </w:r>
      <w:r w:rsidR="000926B9" w:rsidRPr="00783B4B">
        <w:rPr>
          <w:sz w:val="22"/>
          <w:szCs w:val="22"/>
          <w:lang w:val="sr-Latn-ME"/>
        </w:rPr>
        <w:t xml:space="preserve">ukazujući da je malo vjerovatno da kombinovana primjena </w:t>
      </w:r>
      <w:proofErr w:type="spellStart"/>
      <w:r w:rsidR="000926B9" w:rsidRPr="00783B4B">
        <w:rPr>
          <w:sz w:val="22"/>
          <w:szCs w:val="22"/>
          <w:lang w:val="sr-Latn-ME"/>
        </w:rPr>
        <w:t>anastrozola</w:t>
      </w:r>
      <w:proofErr w:type="spellEnd"/>
      <w:r w:rsidR="000926B9" w:rsidRPr="00783B4B">
        <w:rPr>
          <w:sz w:val="22"/>
          <w:szCs w:val="22"/>
          <w:lang w:val="sr-Latn-ME"/>
        </w:rPr>
        <w:t xml:space="preserve"> sa drugim ljekovima dov</w:t>
      </w:r>
      <w:r w:rsidR="0023493B" w:rsidRPr="00783B4B">
        <w:rPr>
          <w:sz w:val="22"/>
          <w:szCs w:val="22"/>
          <w:lang w:val="sr-Latn-ME"/>
        </w:rPr>
        <w:t>odi</w:t>
      </w:r>
      <w:r w:rsidR="000926B9" w:rsidRPr="00783B4B">
        <w:rPr>
          <w:sz w:val="22"/>
          <w:szCs w:val="22"/>
          <w:lang w:val="sr-Latn-ME"/>
        </w:rPr>
        <w:t xml:space="preserve"> do klinički značajnih interakcija</w:t>
      </w:r>
      <w:r w:rsidR="0023493B" w:rsidRPr="00783B4B">
        <w:rPr>
          <w:sz w:val="22"/>
          <w:szCs w:val="22"/>
          <w:lang w:val="sr-Latn-ME"/>
        </w:rPr>
        <w:t xml:space="preserve"> l</w:t>
      </w:r>
      <w:r w:rsidR="00FA4EFC" w:rsidRPr="00783B4B">
        <w:rPr>
          <w:sz w:val="22"/>
          <w:szCs w:val="22"/>
          <w:lang w:val="sr-Latn-ME"/>
        </w:rPr>
        <w:t>j</w:t>
      </w:r>
      <w:r w:rsidR="0023493B" w:rsidRPr="00783B4B">
        <w:rPr>
          <w:sz w:val="22"/>
          <w:szCs w:val="22"/>
          <w:lang w:val="sr-Latn-ME"/>
        </w:rPr>
        <w:t xml:space="preserve">ekova </w:t>
      </w:r>
      <w:proofErr w:type="spellStart"/>
      <w:r w:rsidR="0023493B" w:rsidRPr="00783B4B">
        <w:rPr>
          <w:sz w:val="22"/>
          <w:szCs w:val="22"/>
          <w:lang w:val="sr-Latn-ME"/>
        </w:rPr>
        <w:t>CYP</w:t>
      </w:r>
      <w:proofErr w:type="spellEnd"/>
      <w:r w:rsidR="0023493B" w:rsidRPr="00783B4B">
        <w:rPr>
          <w:sz w:val="22"/>
          <w:szCs w:val="22"/>
          <w:lang w:val="sr-Latn-ME"/>
        </w:rPr>
        <w:t xml:space="preserve"> enzima</w:t>
      </w:r>
      <w:r w:rsidR="000926B9" w:rsidRPr="00783B4B">
        <w:rPr>
          <w:sz w:val="22"/>
          <w:szCs w:val="22"/>
          <w:lang w:val="sr-Latn-ME"/>
        </w:rPr>
        <w:t xml:space="preserve">. </w:t>
      </w:r>
    </w:p>
    <w:p w14:paraId="5E83C01A" w14:textId="77777777" w:rsidR="000926B9" w:rsidRPr="00783B4B" w:rsidRDefault="000926B9" w:rsidP="00783B4B">
      <w:pPr>
        <w:jc w:val="both"/>
        <w:rPr>
          <w:sz w:val="22"/>
          <w:szCs w:val="22"/>
          <w:lang w:val="sr-Latn-ME"/>
        </w:rPr>
      </w:pPr>
    </w:p>
    <w:p w14:paraId="7F6D838D" w14:textId="1A711B67" w:rsidR="000926B9" w:rsidRPr="00783B4B" w:rsidRDefault="000926B9" w:rsidP="00783B4B">
      <w:pPr>
        <w:pStyle w:val="Header"/>
        <w:jc w:val="both"/>
        <w:rPr>
          <w:sz w:val="22"/>
          <w:szCs w:val="22"/>
          <w:lang w:val="sr-Latn-ME"/>
        </w:rPr>
      </w:pPr>
      <w:r w:rsidRPr="00783B4B">
        <w:rPr>
          <w:sz w:val="22"/>
          <w:szCs w:val="22"/>
          <w:lang w:val="sr-Latn-ME"/>
        </w:rPr>
        <w:t xml:space="preserve">Enzimi koji posreduju u </w:t>
      </w:r>
      <w:proofErr w:type="spellStart"/>
      <w:r w:rsidRPr="00783B4B">
        <w:rPr>
          <w:sz w:val="22"/>
          <w:szCs w:val="22"/>
          <w:lang w:val="sr-Latn-ME"/>
        </w:rPr>
        <w:t>metabolizovanju</w:t>
      </w:r>
      <w:proofErr w:type="spellEnd"/>
      <w:r w:rsidRPr="00783B4B">
        <w:rPr>
          <w:sz w:val="22"/>
          <w:szCs w:val="22"/>
          <w:lang w:val="sr-Latn-ME"/>
        </w:rPr>
        <w:t xml:space="preserve"> </w:t>
      </w:r>
      <w:proofErr w:type="spellStart"/>
      <w:r w:rsidRPr="00783B4B">
        <w:rPr>
          <w:sz w:val="22"/>
          <w:szCs w:val="22"/>
          <w:lang w:val="sr-Latn-ME"/>
        </w:rPr>
        <w:t>anastrozola</w:t>
      </w:r>
      <w:proofErr w:type="spellEnd"/>
      <w:r w:rsidRPr="00783B4B">
        <w:rPr>
          <w:sz w:val="22"/>
          <w:szCs w:val="22"/>
          <w:lang w:val="sr-Latn-ME"/>
        </w:rPr>
        <w:t xml:space="preserve"> nijesu identifikovani. </w:t>
      </w:r>
      <w:proofErr w:type="spellStart"/>
      <w:r w:rsidRPr="00783B4B">
        <w:rPr>
          <w:sz w:val="22"/>
          <w:szCs w:val="22"/>
          <w:lang w:val="sr-Latn-ME"/>
        </w:rPr>
        <w:t>Cimetidin</w:t>
      </w:r>
      <w:proofErr w:type="spellEnd"/>
      <w:r w:rsidRPr="00783B4B">
        <w:rPr>
          <w:sz w:val="22"/>
          <w:szCs w:val="22"/>
          <w:lang w:val="sr-Latn-ME"/>
        </w:rPr>
        <w:t xml:space="preserve">, slab, </w:t>
      </w:r>
      <w:proofErr w:type="spellStart"/>
      <w:r w:rsidRPr="00783B4B">
        <w:rPr>
          <w:sz w:val="22"/>
          <w:szCs w:val="22"/>
          <w:lang w:val="sr-Latn-ME"/>
        </w:rPr>
        <w:t>nespecifični</w:t>
      </w:r>
      <w:proofErr w:type="spellEnd"/>
      <w:r w:rsidRPr="00783B4B">
        <w:rPr>
          <w:sz w:val="22"/>
          <w:szCs w:val="22"/>
          <w:lang w:val="sr-Latn-ME"/>
        </w:rPr>
        <w:t xml:space="preserve"> </w:t>
      </w:r>
      <w:proofErr w:type="spellStart"/>
      <w:r w:rsidRPr="00783B4B">
        <w:rPr>
          <w:sz w:val="22"/>
          <w:szCs w:val="22"/>
          <w:lang w:val="sr-Latn-ME"/>
        </w:rPr>
        <w:t>inhibitor</w:t>
      </w:r>
      <w:proofErr w:type="spellEnd"/>
      <w:r w:rsidRPr="00783B4B">
        <w:rPr>
          <w:sz w:val="22"/>
          <w:szCs w:val="22"/>
          <w:lang w:val="sr-Latn-ME"/>
        </w:rPr>
        <w:t xml:space="preserve"> </w:t>
      </w:r>
      <w:proofErr w:type="spellStart"/>
      <w:r w:rsidRPr="00783B4B">
        <w:rPr>
          <w:sz w:val="22"/>
          <w:szCs w:val="22"/>
          <w:lang w:val="sr-Latn-ME"/>
        </w:rPr>
        <w:t>CYP</w:t>
      </w:r>
      <w:proofErr w:type="spellEnd"/>
      <w:r w:rsidRPr="00783B4B">
        <w:rPr>
          <w:sz w:val="22"/>
          <w:szCs w:val="22"/>
          <w:lang w:val="sr-Latn-ME"/>
        </w:rPr>
        <w:t xml:space="preserve"> enzima, </w:t>
      </w:r>
      <w:r w:rsidR="0097586B" w:rsidRPr="00783B4B">
        <w:rPr>
          <w:sz w:val="22"/>
          <w:szCs w:val="22"/>
          <w:lang w:val="sr-Latn-ME"/>
        </w:rPr>
        <w:t>nije uticao</w:t>
      </w:r>
      <w:r w:rsidRPr="00783B4B">
        <w:rPr>
          <w:sz w:val="22"/>
          <w:szCs w:val="22"/>
          <w:lang w:val="sr-Latn-ME"/>
        </w:rPr>
        <w:t xml:space="preserve"> na koncentraciju </w:t>
      </w:r>
      <w:proofErr w:type="spellStart"/>
      <w:r w:rsidRPr="00783B4B">
        <w:rPr>
          <w:sz w:val="22"/>
          <w:szCs w:val="22"/>
          <w:lang w:val="sr-Latn-ME"/>
        </w:rPr>
        <w:t>anastrozola</w:t>
      </w:r>
      <w:proofErr w:type="spellEnd"/>
      <w:r w:rsidRPr="00783B4B">
        <w:rPr>
          <w:sz w:val="22"/>
          <w:szCs w:val="22"/>
          <w:lang w:val="sr-Latn-ME"/>
        </w:rPr>
        <w:t xml:space="preserve">. </w:t>
      </w:r>
      <w:r w:rsidR="007E5C83" w:rsidRPr="00783B4B">
        <w:rPr>
          <w:sz w:val="22"/>
          <w:szCs w:val="22"/>
          <w:lang w:val="sr-Latn-ME"/>
        </w:rPr>
        <w:t xml:space="preserve">Efekat snažnih </w:t>
      </w:r>
      <w:proofErr w:type="spellStart"/>
      <w:r w:rsidR="007E5C83" w:rsidRPr="00783B4B">
        <w:rPr>
          <w:sz w:val="22"/>
          <w:szCs w:val="22"/>
          <w:lang w:val="sr-Latn-ME"/>
        </w:rPr>
        <w:t>CYP</w:t>
      </w:r>
      <w:proofErr w:type="spellEnd"/>
      <w:r w:rsidR="007E5C83" w:rsidRPr="00783B4B">
        <w:rPr>
          <w:sz w:val="22"/>
          <w:szCs w:val="22"/>
          <w:lang w:val="sr-Latn-ME"/>
        </w:rPr>
        <w:t xml:space="preserve"> </w:t>
      </w:r>
      <w:proofErr w:type="spellStart"/>
      <w:r w:rsidR="007E5C83" w:rsidRPr="00783B4B">
        <w:rPr>
          <w:sz w:val="22"/>
          <w:szCs w:val="22"/>
          <w:lang w:val="sr-Latn-ME"/>
        </w:rPr>
        <w:t>inhibitora</w:t>
      </w:r>
      <w:proofErr w:type="spellEnd"/>
      <w:r w:rsidR="007E5C83" w:rsidRPr="00783B4B">
        <w:rPr>
          <w:sz w:val="22"/>
          <w:szCs w:val="22"/>
          <w:lang w:val="sr-Latn-ME"/>
        </w:rPr>
        <w:t xml:space="preserve"> </w:t>
      </w:r>
      <w:r w:rsidR="00A05BAB" w:rsidRPr="00783B4B">
        <w:rPr>
          <w:sz w:val="22"/>
          <w:szCs w:val="22"/>
          <w:lang w:val="sr-Latn-ME"/>
        </w:rPr>
        <w:t>n</w:t>
      </w:r>
      <w:r w:rsidRPr="00783B4B">
        <w:rPr>
          <w:sz w:val="22"/>
          <w:szCs w:val="22"/>
          <w:lang w:val="sr-Latn-ME"/>
        </w:rPr>
        <w:t>ije poznat.</w:t>
      </w:r>
    </w:p>
    <w:p w14:paraId="275CBDD2" w14:textId="77777777" w:rsidR="000926B9" w:rsidRPr="00783B4B" w:rsidRDefault="000926B9" w:rsidP="00783B4B">
      <w:pPr>
        <w:pStyle w:val="Header"/>
        <w:jc w:val="both"/>
        <w:rPr>
          <w:sz w:val="22"/>
          <w:szCs w:val="22"/>
          <w:lang w:val="sr-Latn-ME"/>
        </w:rPr>
      </w:pPr>
    </w:p>
    <w:p w14:paraId="2BEAF609" w14:textId="0D96AE51" w:rsidR="000926B9" w:rsidRPr="00783B4B" w:rsidRDefault="000926B9" w:rsidP="00783B4B">
      <w:pPr>
        <w:pStyle w:val="Header"/>
        <w:jc w:val="both"/>
        <w:rPr>
          <w:sz w:val="22"/>
          <w:szCs w:val="22"/>
          <w:lang w:val="sr-Latn-ME"/>
        </w:rPr>
      </w:pPr>
      <w:proofErr w:type="spellStart"/>
      <w:r w:rsidRPr="00783B4B">
        <w:rPr>
          <w:sz w:val="22"/>
          <w:szCs w:val="22"/>
          <w:lang w:val="sr-Latn-ME"/>
        </w:rPr>
        <w:t>Pregledom</w:t>
      </w:r>
      <w:proofErr w:type="spellEnd"/>
      <w:r w:rsidRPr="00783B4B">
        <w:rPr>
          <w:sz w:val="22"/>
          <w:szCs w:val="22"/>
          <w:lang w:val="sr-Latn-ME"/>
        </w:rPr>
        <w:t xml:space="preserve"> baze podataka o bezbjednosti </w:t>
      </w:r>
      <w:r w:rsidR="005F47F6" w:rsidRPr="00783B4B">
        <w:rPr>
          <w:sz w:val="22"/>
          <w:szCs w:val="22"/>
          <w:lang w:val="sr-Latn-ME"/>
        </w:rPr>
        <w:t>prim</w:t>
      </w:r>
      <w:r w:rsidR="00FA4EFC" w:rsidRPr="00783B4B">
        <w:rPr>
          <w:sz w:val="22"/>
          <w:szCs w:val="22"/>
          <w:lang w:val="sr-Latn-ME"/>
        </w:rPr>
        <w:t>j</w:t>
      </w:r>
      <w:r w:rsidR="005F47F6" w:rsidRPr="00783B4B">
        <w:rPr>
          <w:sz w:val="22"/>
          <w:szCs w:val="22"/>
          <w:lang w:val="sr-Latn-ME"/>
        </w:rPr>
        <w:t xml:space="preserve">ene </w:t>
      </w:r>
      <w:r w:rsidRPr="00783B4B">
        <w:rPr>
          <w:sz w:val="22"/>
          <w:szCs w:val="22"/>
          <w:lang w:val="sr-Latn-ME"/>
        </w:rPr>
        <w:t xml:space="preserve">lijeka </w:t>
      </w:r>
      <w:r w:rsidR="005F47F6" w:rsidRPr="00783B4B">
        <w:rPr>
          <w:sz w:val="22"/>
          <w:szCs w:val="22"/>
          <w:lang w:val="sr-Latn-ME"/>
        </w:rPr>
        <w:t>u kliničkim ispitivanjima</w:t>
      </w:r>
      <w:r w:rsidRPr="00783B4B">
        <w:rPr>
          <w:sz w:val="22"/>
          <w:szCs w:val="22"/>
          <w:lang w:val="sr-Latn-ME"/>
        </w:rPr>
        <w:t xml:space="preserve">, nijesu </w:t>
      </w:r>
      <w:r w:rsidR="005F47F6" w:rsidRPr="00783B4B">
        <w:rPr>
          <w:sz w:val="22"/>
          <w:szCs w:val="22"/>
          <w:lang w:val="sr-Latn-ME"/>
        </w:rPr>
        <w:t>konstatovane</w:t>
      </w:r>
      <w:r w:rsidR="00C53F02" w:rsidRPr="00783B4B">
        <w:rPr>
          <w:sz w:val="22"/>
          <w:szCs w:val="22"/>
          <w:lang w:val="sr-Latn-ME"/>
        </w:rPr>
        <w:t xml:space="preserve"> </w:t>
      </w:r>
      <w:r w:rsidRPr="00783B4B">
        <w:rPr>
          <w:sz w:val="22"/>
          <w:szCs w:val="22"/>
          <w:lang w:val="sr-Latn-ME"/>
        </w:rPr>
        <w:t xml:space="preserve">klinički značajne interakcije kod </w:t>
      </w:r>
      <w:proofErr w:type="spellStart"/>
      <w:r w:rsidRPr="00783B4B">
        <w:rPr>
          <w:sz w:val="22"/>
          <w:szCs w:val="22"/>
          <w:lang w:val="sr-Latn-ME"/>
        </w:rPr>
        <w:t>pacijentkinja</w:t>
      </w:r>
      <w:proofErr w:type="spellEnd"/>
      <w:r w:rsidRPr="00783B4B">
        <w:rPr>
          <w:sz w:val="22"/>
          <w:szCs w:val="22"/>
          <w:lang w:val="sr-Latn-ME"/>
        </w:rPr>
        <w:t xml:space="preserve"> koje su </w:t>
      </w:r>
      <w:r w:rsidR="00C53F02" w:rsidRPr="00783B4B">
        <w:rPr>
          <w:sz w:val="22"/>
          <w:szCs w:val="22"/>
          <w:lang w:val="sr-Latn-ME"/>
        </w:rPr>
        <w:t xml:space="preserve">uzimale </w:t>
      </w:r>
      <w:proofErr w:type="spellStart"/>
      <w:r w:rsidRPr="00783B4B">
        <w:rPr>
          <w:sz w:val="22"/>
          <w:szCs w:val="22"/>
          <w:lang w:val="sr-Latn-ME"/>
        </w:rPr>
        <w:t>anastrozol</w:t>
      </w:r>
      <w:proofErr w:type="spellEnd"/>
      <w:r w:rsidRPr="00783B4B">
        <w:rPr>
          <w:sz w:val="22"/>
          <w:szCs w:val="22"/>
          <w:lang w:val="sr-Latn-ME"/>
        </w:rPr>
        <w:t xml:space="preserve"> sa drugim, </w:t>
      </w:r>
      <w:r w:rsidR="00C53F02" w:rsidRPr="00783B4B">
        <w:rPr>
          <w:sz w:val="22"/>
          <w:szCs w:val="22"/>
          <w:lang w:val="sr-Latn-ME"/>
        </w:rPr>
        <w:t xml:space="preserve">u praksi </w:t>
      </w:r>
      <w:r w:rsidRPr="00783B4B">
        <w:rPr>
          <w:sz w:val="22"/>
          <w:szCs w:val="22"/>
          <w:lang w:val="sr-Latn-ME"/>
        </w:rPr>
        <w:t xml:space="preserve">često </w:t>
      </w:r>
      <w:proofErr w:type="spellStart"/>
      <w:r w:rsidRPr="00783B4B">
        <w:rPr>
          <w:sz w:val="22"/>
          <w:szCs w:val="22"/>
          <w:lang w:val="sr-Latn-ME"/>
        </w:rPr>
        <w:t>propisivanim</w:t>
      </w:r>
      <w:proofErr w:type="spellEnd"/>
      <w:r w:rsidRPr="00783B4B">
        <w:rPr>
          <w:sz w:val="22"/>
          <w:szCs w:val="22"/>
          <w:lang w:val="sr-Latn-ME"/>
        </w:rPr>
        <w:t xml:space="preserve"> ljekovima. Nijesu zabilježene klinički značajne interakcije sa </w:t>
      </w:r>
      <w:proofErr w:type="spellStart"/>
      <w:r w:rsidRPr="00783B4B">
        <w:rPr>
          <w:sz w:val="22"/>
          <w:szCs w:val="22"/>
          <w:lang w:val="sr-Latn-ME"/>
        </w:rPr>
        <w:t>bifosfonatima</w:t>
      </w:r>
      <w:proofErr w:type="spellEnd"/>
      <w:r w:rsidRPr="00783B4B">
        <w:rPr>
          <w:sz w:val="22"/>
          <w:szCs w:val="22"/>
          <w:lang w:val="sr-Latn-ME"/>
        </w:rPr>
        <w:t xml:space="preserve"> (vidjeti </w:t>
      </w:r>
      <w:r w:rsidR="00EC1AD2" w:rsidRPr="00783B4B">
        <w:rPr>
          <w:sz w:val="22"/>
          <w:szCs w:val="22"/>
          <w:lang w:val="sr-Latn-ME"/>
        </w:rPr>
        <w:t>od</w:t>
      </w:r>
      <w:r w:rsidR="00FA4EFC" w:rsidRPr="00783B4B">
        <w:rPr>
          <w:sz w:val="22"/>
          <w:szCs w:val="22"/>
          <w:lang w:val="sr-Latn-ME"/>
        </w:rPr>
        <w:t>j</w:t>
      </w:r>
      <w:r w:rsidR="00EC1AD2" w:rsidRPr="00783B4B">
        <w:rPr>
          <w:sz w:val="22"/>
          <w:szCs w:val="22"/>
          <w:lang w:val="sr-Latn-ME"/>
        </w:rPr>
        <w:t xml:space="preserve">eljak </w:t>
      </w:r>
      <w:r w:rsidRPr="00783B4B">
        <w:rPr>
          <w:sz w:val="22"/>
          <w:szCs w:val="22"/>
          <w:lang w:val="sr-Latn-ME"/>
        </w:rPr>
        <w:t>5.1).</w:t>
      </w:r>
    </w:p>
    <w:p w14:paraId="6FED7B74" w14:textId="77777777" w:rsidR="000926B9" w:rsidRPr="00783B4B" w:rsidRDefault="000926B9" w:rsidP="00783B4B">
      <w:pPr>
        <w:pStyle w:val="Header"/>
        <w:jc w:val="both"/>
        <w:rPr>
          <w:sz w:val="22"/>
          <w:szCs w:val="22"/>
          <w:lang w:val="sr-Latn-ME"/>
        </w:rPr>
      </w:pPr>
    </w:p>
    <w:p w14:paraId="6DE39D87" w14:textId="3C858FE4" w:rsidR="000926B9" w:rsidRPr="00783B4B" w:rsidRDefault="009B1350" w:rsidP="00783B4B">
      <w:pPr>
        <w:pStyle w:val="Header"/>
        <w:jc w:val="both"/>
        <w:rPr>
          <w:sz w:val="22"/>
          <w:szCs w:val="22"/>
          <w:lang w:val="sr-Latn-ME"/>
        </w:rPr>
      </w:pPr>
      <w:r w:rsidRPr="00783B4B">
        <w:rPr>
          <w:sz w:val="22"/>
          <w:szCs w:val="22"/>
          <w:lang w:val="sr-Latn-ME"/>
        </w:rPr>
        <w:t>Tokom prim</w:t>
      </w:r>
      <w:r w:rsidR="00FA4EFC" w:rsidRPr="00783B4B">
        <w:rPr>
          <w:sz w:val="22"/>
          <w:szCs w:val="22"/>
          <w:lang w:val="sr-Latn-ME"/>
        </w:rPr>
        <w:t>j</w:t>
      </w:r>
      <w:r w:rsidRPr="00783B4B">
        <w:rPr>
          <w:sz w:val="22"/>
          <w:szCs w:val="22"/>
          <w:lang w:val="sr-Latn-ME"/>
        </w:rPr>
        <w:t xml:space="preserve">ene </w:t>
      </w:r>
      <w:proofErr w:type="spellStart"/>
      <w:r w:rsidRPr="00783B4B">
        <w:rPr>
          <w:sz w:val="22"/>
          <w:szCs w:val="22"/>
          <w:lang w:val="sr-Latn-ME"/>
        </w:rPr>
        <w:t>anastrozola</w:t>
      </w:r>
      <w:proofErr w:type="spellEnd"/>
      <w:r w:rsidRPr="00783B4B">
        <w:rPr>
          <w:sz w:val="22"/>
          <w:szCs w:val="22"/>
          <w:lang w:val="sr-Latn-ME"/>
        </w:rPr>
        <w:t xml:space="preserve"> ne treba uporedo davati </w:t>
      </w:r>
      <w:proofErr w:type="spellStart"/>
      <w:r w:rsidRPr="00783B4B">
        <w:rPr>
          <w:sz w:val="22"/>
          <w:szCs w:val="22"/>
          <w:lang w:val="sr-Latn-ME"/>
        </w:rPr>
        <w:t>tamoksifen</w:t>
      </w:r>
      <w:proofErr w:type="spellEnd"/>
      <w:r w:rsidRPr="00783B4B" w:rsidDel="009B1350">
        <w:rPr>
          <w:sz w:val="22"/>
          <w:szCs w:val="22"/>
          <w:lang w:val="sr-Latn-ME"/>
        </w:rPr>
        <w:t xml:space="preserve"> </w:t>
      </w:r>
      <w:r w:rsidR="000926B9" w:rsidRPr="00783B4B">
        <w:rPr>
          <w:sz w:val="22"/>
          <w:szCs w:val="22"/>
          <w:lang w:val="sr-Latn-ME"/>
        </w:rPr>
        <w:t xml:space="preserve">ili </w:t>
      </w:r>
      <w:r w:rsidRPr="00783B4B">
        <w:rPr>
          <w:sz w:val="22"/>
          <w:szCs w:val="22"/>
          <w:lang w:val="sr-Latn-ME"/>
        </w:rPr>
        <w:t xml:space="preserve">ljekove </w:t>
      </w:r>
      <w:r w:rsidR="000926B9" w:rsidRPr="00783B4B">
        <w:rPr>
          <w:sz w:val="22"/>
          <w:szCs w:val="22"/>
          <w:lang w:val="sr-Latn-ME"/>
        </w:rPr>
        <w:t xml:space="preserve">koji sadrže estrogene </w:t>
      </w:r>
      <w:r w:rsidR="00987671" w:rsidRPr="00783B4B">
        <w:rPr>
          <w:sz w:val="22"/>
          <w:szCs w:val="22"/>
          <w:lang w:val="sr-Latn-ME"/>
        </w:rPr>
        <w:t>jer oni poništavaju njegovo farmakološko dejstvo</w:t>
      </w:r>
      <w:r w:rsidR="000926B9" w:rsidRPr="00783B4B">
        <w:rPr>
          <w:sz w:val="22"/>
          <w:szCs w:val="22"/>
          <w:lang w:val="sr-Latn-ME"/>
        </w:rPr>
        <w:t xml:space="preserve"> (vidjeti </w:t>
      </w:r>
      <w:r w:rsidR="00987671" w:rsidRPr="00783B4B">
        <w:rPr>
          <w:sz w:val="22"/>
          <w:szCs w:val="22"/>
          <w:lang w:val="sr-Latn-ME"/>
        </w:rPr>
        <w:t>od</w:t>
      </w:r>
      <w:r w:rsidR="00FA4EFC" w:rsidRPr="00783B4B">
        <w:rPr>
          <w:sz w:val="22"/>
          <w:szCs w:val="22"/>
          <w:lang w:val="sr-Latn-ME"/>
        </w:rPr>
        <w:t>j</w:t>
      </w:r>
      <w:r w:rsidR="00987671" w:rsidRPr="00783B4B">
        <w:rPr>
          <w:sz w:val="22"/>
          <w:szCs w:val="22"/>
          <w:lang w:val="sr-Latn-ME"/>
        </w:rPr>
        <w:t xml:space="preserve">eljke </w:t>
      </w:r>
      <w:r w:rsidR="000926B9" w:rsidRPr="00783B4B">
        <w:rPr>
          <w:sz w:val="22"/>
          <w:szCs w:val="22"/>
          <w:lang w:val="sr-Latn-ME"/>
        </w:rPr>
        <w:t>4.4 i 5.1).</w:t>
      </w:r>
    </w:p>
    <w:p w14:paraId="2F266DE0" w14:textId="77777777" w:rsidR="000926B9" w:rsidRPr="00783B4B" w:rsidRDefault="000926B9" w:rsidP="00783B4B">
      <w:pPr>
        <w:tabs>
          <w:tab w:val="left" w:pos="540"/>
          <w:tab w:val="left" w:pos="569"/>
        </w:tabs>
        <w:rPr>
          <w:bCs/>
          <w:sz w:val="22"/>
          <w:szCs w:val="22"/>
          <w:lang w:val="sr-Latn-ME"/>
        </w:rPr>
      </w:pPr>
    </w:p>
    <w:p w14:paraId="67DC938B" w14:textId="77777777" w:rsidR="0072020E" w:rsidRPr="00783B4B" w:rsidRDefault="0072020E" w:rsidP="00783B4B">
      <w:pPr>
        <w:tabs>
          <w:tab w:val="left" w:pos="540"/>
          <w:tab w:val="left" w:pos="569"/>
        </w:tabs>
        <w:rPr>
          <w:b/>
          <w:sz w:val="22"/>
          <w:szCs w:val="22"/>
          <w:lang w:val="sr-Latn-ME"/>
        </w:rPr>
      </w:pPr>
      <w:r w:rsidRPr="00783B4B">
        <w:rPr>
          <w:b/>
          <w:bCs/>
          <w:sz w:val="22"/>
          <w:szCs w:val="22"/>
          <w:lang w:val="sr-Latn-ME"/>
        </w:rPr>
        <w:t xml:space="preserve">4.6. </w:t>
      </w:r>
      <w:r w:rsidR="00480FB1" w:rsidRPr="00783B4B">
        <w:rPr>
          <w:b/>
          <w:bCs/>
          <w:sz w:val="22"/>
          <w:szCs w:val="22"/>
          <w:lang w:val="sr-Latn-ME"/>
        </w:rPr>
        <w:tab/>
      </w:r>
      <w:r w:rsidR="006D20A5" w:rsidRPr="00783B4B">
        <w:rPr>
          <w:b/>
          <w:sz w:val="22"/>
          <w:szCs w:val="22"/>
          <w:lang w:val="sr-Latn-ME"/>
        </w:rPr>
        <w:t>Plodnost, trudnoća i dojenje</w:t>
      </w:r>
    </w:p>
    <w:p w14:paraId="67DC938C" w14:textId="77777777" w:rsidR="002031B3" w:rsidRPr="00783B4B" w:rsidRDefault="002031B3" w:rsidP="00783B4B">
      <w:pPr>
        <w:tabs>
          <w:tab w:val="left" w:pos="540"/>
          <w:tab w:val="left" w:pos="569"/>
        </w:tabs>
        <w:rPr>
          <w:sz w:val="22"/>
          <w:szCs w:val="22"/>
          <w:u w:val="single"/>
          <w:lang w:val="sr-Latn-ME"/>
        </w:rPr>
      </w:pPr>
    </w:p>
    <w:p w14:paraId="67DC938D" w14:textId="41F6615A" w:rsidR="002031B3" w:rsidRPr="00783B4B" w:rsidRDefault="002031B3" w:rsidP="00783B4B">
      <w:pPr>
        <w:tabs>
          <w:tab w:val="left" w:pos="540"/>
          <w:tab w:val="left" w:pos="569"/>
        </w:tabs>
        <w:jc w:val="both"/>
        <w:rPr>
          <w:sz w:val="22"/>
          <w:szCs w:val="22"/>
          <w:u w:val="single"/>
          <w:lang w:val="sr-Latn-ME"/>
        </w:rPr>
      </w:pPr>
      <w:r w:rsidRPr="00783B4B">
        <w:rPr>
          <w:sz w:val="22"/>
          <w:szCs w:val="22"/>
          <w:u w:val="single"/>
          <w:lang w:val="sr-Latn-ME"/>
        </w:rPr>
        <w:t>Plodnost</w:t>
      </w:r>
    </w:p>
    <w:p w14:paraId="24017F28" w14:textId="77777777" w:rsidR="007C481D" w:rsidRPr="00783B4B" w:rsidRDefault="007C481D" w:rsidP="00783B4B">
      <w:pPr>
        <w:tabs>
          <w:tab w:val="left" w:pos="540"/>
          <w:tab w:val="left" w:pos="569"/>
        </w:tabs>
        <w:jc w:val="both"/>
        <w:rPr>
          <w:sz w:val="22"/>
          <w:szCs w:val="22"/>
          <w:u w:val="single"/>
          <w:lang w:val="sr-Latn-ME"/>
        </w:rPr>
      </w:pPr>
    </w:p>
    <w:p w14:paraId="10E0AB71" w14:textId="2EE7485D" w:rsidR="007C109E" w:rsidRPr="00783B4B" w:rsidRDefault="007C109E" w:rsidP="00783B4B">
      <w:pPr>
        <w:pStyle w:val="Header"/>
        <w:jc w:val="both"/>
        <w:rPr>
          <w:sz w:val="22"/>
          <w:szCs w:val="22"/>
          <w:lang w:val="sr-Latn-ME"/>
        </w:rPr>
      </w:pPr>
      <w:r w:rsidRPr="00783B4B">
        <w:rPr>
          <w:sz w:val="22"/>
          <w:szCs w:val="22"/>
          <w:lang w:val="sr-Latn-ME"/>
        </w:rPr>
        <w:t xml:space="preserve">Uticaj </w:t>
      </w:r>
      <w:proofErr w:type="spellStart"/>
      <w:r w:rsidR="000D3ABB" w:rsidRPr="00783B4B">
        <w:rPr>
          <w:sz w:val="22"/>
          <w:szCs w:val="22"/>
          <w:lang w:val="sr-Latn-ME"/>
        </w:rPr>
        <w:t>anastrozola</w:t>
      </w:r>
      <w:proofErr w:type="spellEnd"/>
      <w:r w:rsidRPr="00783B4B">
        <w:rPr>
          <w:sz w:val="22"/>
          <w:szCs w:val="22"/>
          <w:lang w:val="sr-Latn-ME"/>
        </w:rPr>
        <w:t xml:space="preserve"> na </w:t>
      </w:r>
      <w:r w:rsidR="00D9735A" w:rsidRPr="00783B4B">
        <w:rPr>
          <w:sz w:val="22"/>
          <w:szCs w:val="22"/>
          <w:lang w:val="sr-Latn-ME"/>
        </w:rPr>
        <w:t xml:space="preserve">plodnost </w:t>
      </w:r>
      <w:r w:rsidRPr="00783B4B">
        <w:rPr>
          <w:sz w:val="22"/>
          <w:szCs w:val="22"/>
          <w:lang w:val="sr-Latn-ME"/>
        </w:rPr>
        <w:t xml:space="preserve">kod </w:t>
      </w:r>
      <w:proofErr w:type="spellStart"/>
      <w:r w:rsidRPr="00783B4B">
        <w:rPr>
          <w:sz w:val="22"/>
          <w:szCs w:val="22"/>
          <w:lang w:val="sr-Latn-ME"/>
        </w:rPr>
        <w:t>ljudi</w:t>
      </w:r>
      <w:proofErr w:type="spellEnd"/>
      <w:r w:rsidRPr="00783B4B">
        <w:rPr>
          <w:sz w:val="22"/>
          <w:szCs w:val="22"/>
          <w:lang w:val="sr-Latn-ME"/>
        </w:rPr>
        <w:t xml:space="preserve"> nije ispitivan. </w:t>
      </w:r>
      <w:r w:rsidR="00D9735A" w:rsidRPr="00783B4B">
        <w:rPr>
          <w:sz w:val="22"/>
          <w:szCs w:val="22"/>
          <w:lang w:val="sr-Latn-ME"/>
        </w:rPr>
        <w:t xml:space="preserve">Studije </w:t>
      </w:r>
      <w:r w:rsidRPr="00783B4B">
        <w:rPr>
          <w:sz w:val="22"/>
          <w:szCs w:val="22"/>
          <w:lang w:val="sr-Latn-ME"/>
        </w:rPr>
        <w:t xml:space="preserve">na životinjama </w:t>
      </w:r>
      <w:r w:rsidR="00D9735A" w:rsidRPr="00783B4B">
        <w:rPr>
          <w:sz w:val="22"/>
          <w:szCs w:val="22"/>
          <w:lang w:val="sr-Latn-ME"/>
        </w:rPr>
        <w:t>su pokazale</w:t>
      </w:r>
      <w:r w:rsidR="00DA1087" w:rsidRPr="00783B4B">
        <w:rPr>
          <w:sz w:val="22"/>
          <w:szCs w:val="22"/>
          <w:lang w:val="sr-Latn-ME"/>
        </w:rPr>
        <w:t xml:space="preserve"> </w:t>
      </w:r>
      <w:r w:rsidRPr="00783B4B">
        <w:rPr>
          <w:sz w:val="22"/>
          <w:szCs w:val="22"/>
          <w:lang w:val="sr-Latn-ME"/>
        </w:rPr>
        <w:t>reproduktivnu toksičnost (vid</w:t>
      </w:r>
      <w:r w:rsidR="00FA4EFC" w:rsidRPr="00783B4B">
        <w:rPr>
          <w:sz w:val="22"/>
          <w:szCs w:val="22"/>
          <w:lang w:val="sr-Latn-ME"/>
        </w:rPr>
        <w:t>je</w:t>
      </w:r>
      <w:r w:rsidRPr="00783B4B">
        <w:rPr>
          <w:sz w:val="22"/>
          <w:szCs w:val="22"/>
          <w:lang w:val="sr-Latn-ME"/>
        </w:rPr>
        <w:t xml:space="preserve">ti </w:t>
      </w:r>
      <w:r w:rsidR="00DA1087" w:rsidRPr="00783B4B">
        <w:rPr>
          <w:sz w:val="22"/>
          <w:szCs w:val="22"/>
          <w:lang w:val="sr-Latn-ME"/>
        </w:rPr>
        <w:t>od</w:t>
      </w:r>
      <w:r w:rsidR="00FA4EFC" w:rsidRPr="00783B4B">
        <w:rPr>
          <w:sz w:val="22"/>
          <w:szCs w:val="22"/>
          <w:lang w:val="sr-Latn-ME"/>
        </w:rPr>
        <w:t>j</w:t>
      </w:r>
      <w:r w:rsidR="00DA1087" w:rsidRPr="00783B4B">
        <w:rPr>
          <w:sz w:val="22"/>
          <w:szCs w:val="22"/>
          <w:lang w:val="sr-Latn-ME"/>
        </w:rPr>
        <w:t xml:space="preserve">eljak </w:t>
      </w:r>
      <w:r w:rsidRPr="00783B4B">
        <w:rPr>
          <w:sz w:val="22"/>
          <w:szCs w:val="22"/>
          <w:lang w:val="sr-Latn-ME"/>
        </w:rPr>
        <w:t>5.3).</w:t>
      </w:r>
    </w:p>
    <w:p w14:paraId="0D19C2E0" w14:textId="77777777" w:rsidR="007C109E" w:rsidRPr="00783B4B" w:rsidRDefault="007C109E" w:rsidP="00783B4B">
      <w:pPr>
        <w:tabs>
          <w:tab w:val="left" w:pos="540"/>
          <w:tab w:val="left" w:pos="569"/>
        </w:tabs>
        <w:jc w:val="both"/>
        <w:rPr>
          <w:sz w:val="22"/>
          <w:szCs w:val="22"/>
          <w:u w:val="single"/>
          <w:lang w:val="sr-Latn-ME"/>
        </w:rPr>
      </w:pPr>
    </w:p>
    <w:p w14:paraId="67DC938F" w14:textId="08F2092D" w:rsidR="007A3ECB" w:rsidRPr="00783B4B" w:rsidRDefault="007A3ECB" w:rsidP="00783B4B">
      <w:pPr>
        <w:tabs>
          <w:tab w:val="left" w:pos="540"/>
          <w:tab w:val="left" w:pos="569"/>
        </w:tabs>
        <w:jc w:val="both"/>
        <w:rPr>
          <w:sz w:val="22"/>
          <w:szCs w:val="22"/>
          <w:u w:val="single"/>
          <w:lang w:val="sr-Latn-ME"/>
        </w:rPr>
      </w:pPr>
      <w:r w:rsidRPr="00783B4B">
        <w:rPr>
          <w:sz w:val="22"/>
          <w:szCs w:val="22"/>
          <w:u w:val="single"/>
          <w:lang w:val="sr-Latn-ME"/>
        </w:rPr>
        <w:t>Trudnoća</w:t>
      </w:r>
    </w:p>
    <w:p w14:paraId="4856A870" w14:textId="77777777" w:rsidR="007C481D" w:rsidRPr="00783B4B" w:rsidRDefault="007C481D" w:rsidP="00783B4B">
      <w:pPr>
        <w:tabs>
          <w:tab w:val="left" w:pos="540"/>
          <w:tab w:val="left" w:pos="569"/>
        </w:tabs>
        <w:jc w:val="both"/>
        <w:rPr>
          <w:sz w:val="22"/>
          <w:szCs w:val="22"/>
          <w:u w:val="single"/>
          <w:lang w:val="sr-Latn-ME"/>
        </w:rPr>
      </w:pPr>
    </w:p>
    <w:p w14:paraId="760F33E8" w14:textId="3BBDEF29" w:rsidR="00B53F8F" w:rsidRPr="00783B4B" w:rsidRDefault="00DA1087" w:rsidP="00783B4B">
      <w:pPr>
        <w:pStyle w:val="Header"/>
        <w:jc w:val="both"/>
        <w:rPr>
          <w:sz w:val="22"/>
          <w:szCs w:val="22"/>
          <w:lang w:val="sr-Latn-ME"/>
        </w:rPr>
      </w:pPr>
      <w:r w:rsidRPr="00783B4B">
        <w:rPr>
          <w:sz w:val="22"/>
          <w:szCs w:val="22"/>
          <w:lang w:val="sr-Latn-ME"/>
        </w:rPr>
        <w:t>Ne postoje</w:t>
      </w:r>
      <w:r w:rsidR="00B53F8F" w:rsidRPr="00783B4B">
        <w:rPr>
          <w:sz w:val="22"/>
          <w:szCs w:val="22"/>
          <w:lang w:val="sr-Latn-ME"/>
        </w:rPr>
        <w:t xml:space="preserve"> </w:t>
      </w:r>
      <w:r w:rsidRPr="00783B4B">
        <w:rPr>
          <w:sz w:val="22"/>
          <w:szCs w:val="22"/>
          <w:lang w:val="sr-Latn-ME"/>
        </w:rPr>
        <w:t xml:space="preserve">podaci </w:t>
      </w:r>
      <w:r w:rsidR="00B53F8F" w:rsidRPr="00783B4B">
        <w:rPr>
          <w:sz w:val="22"/>
          <w:szCs w:val="22"/>
          <w:lang w:val="sr-Latn-ME"/>
        </w:rPr>
        <w:t xml:space="preserve">o primjeni </w:t>
      </w:r>
      <w:proofErr w:type="spellStart"/>
      <w:r w:rsidR="00B53F8F" w:rsidRPr="00783B4B">
        <w:rPr>
          <w:sz w:val="22"/>
          <w:szCs w:val="22"/>
          <w:lang w:val="sr-Latn-ME"/>
        </w:rPr>
        <w:t>anastrozola</w:t>
      </w:r>
      <w:proofErr w:type="spellEnd"/>
      <w:r w:rsidR="00B53F8F" w:rsidRPr="00783B4B">
        <w:rPr>
          <w:sz w:val="22"/>
          <w:szCs w:val="22"/>
          <w:lang w:val="sr-Latn-ME"/>
        </w:rPr>
        <w:t xml:space="preserve"> </w:t>
      </w:r>
      <w:r w:rsidR="00606786" w:rsidRPr="00783B4B">
        <w:rPr>
          <w:sz w:val="22"/>
          <w:szCs w:val="22"/>
          <w:lang w:val="sr-Latn-ME"/>
        </w:rPr>
        <w:t>kod trudnica</w:t>
      </w:r>
      <w:r w:rsidR="00B53F8F" w:rsidRPr="00783B4B">
        <w:rPr>
          <w:sz w:val="22"/>
          <w:szCs w:val="22"/>
          <w:lang w:val="sr-Latn-ME"/>
        </w:rPr>
        <w:t xml:space="preserve">. </w:t>
      </w:r>
      <w:r w:rsidR="00606786" w:rsidRPr="00783B4B">
        <w:rPr>
          <w:sz w:val="22"/>
          <w:szCs w:val="22"/>
          <w:lang w:val="sr-Latn-ME"/>
        </w:rPr>
        <w:t xml:space="preserve">Studije na životinjama su pokazale </w:t>
      </w:r>
      <w:r w:rsidR="00B53F8F" w:rsidRPr="00783B4B">
        <w:rPr>
          <w:sz w:val="22"/>
          <w:szCs w:val="22"/>
          <w:lang w:val="sr-Latn-ME"/>
        </w:rPr>
        <w:t>reproduktivnu</w:t>
      </w:r>
      <w:r w:rsidR="00606786" w:rsidRPr="00783B4B">
        <w:rPr>
          <w:sz w:val="22"/>
          <w:szCs w:val="22"/>
          <w:lang w:val="sr-Latn-ME"/>
        </w:rPr>
        <w:t xml:space="preserve"> </w:t>
      </w:r>
      <w:r w:rsidR="00B53F8F" w:rsidRPr="00783B4B">
        <w:rPr>
          <w:sz w:val="22"/>
          <w:szCs w:val="22"/>
          <w:lang w:val="sr-Latn-ME"/>
        </w:rPr>
        <w:t xml:space="preserve">toksičnost (vidjeti </w:t>
      </w:r>
      <w:r w:rsidR="00606786" w:rsidRPr="00783B4B">
        <w:rPr>
          <w:sz w:val="22"/>
          <w:szCs w:val="22"/>
          <w:lang w:val="sr-Latn-ME"/>
        </w:rPr>
        <w:t>od</w:t>
      </w:r>
      <w:r w:rsidR="00FA4EFC" w:rsidRPr="00783B4B">
        <w:rPr>
          <w:sz w:val="22"/>
          <w:szCs w:val="22"/>
          <w:lang w:val="sr-Latn-ME"/>
        </w:rPr>
        <w:t>j</w:t>
      </w:r>
      <w:r w:rsidR="00606786" w:rsidRPr="00783B4B">
        <w:rPr>
          <w:sz w:val="22"/>
          <w:szCs w:val="22"/>
          <w:lang w:val="sr-Latn-ME"/>
        </w:rPr>
        <w:t xml:space="preserve">eljak </w:t>
      </w:r>
      <w:r w:rsidR="00B53F8F" w:rsidRPr="00783B4B">
        <w:rPr>
          <w:sz w:val="22"/>
          <w:szCs w:val="22"/>
          <w:lang w:val="sr-Latn-ME"/>
        </w:rPr>
        <w:t xml:space="preserve">5.3). Primjena lijeka </w:t>
      </w:r>
      <w:proofErr w:type="spellStart"/>
      <w:r w:rsidR="00B53F8F" w:rsidRPr="00783B4B">
        <w:rPr>
          <w:sz w:val="22"/>
          <w:szCs w:val="22"/>
          <w:lang w:val="sr-Latn-ME"/>
        </w:rPr>
        <w:t>Trasolette</w:t>
      </w:r>
      <w:proofErr w:type="spellEnd"/>
      <w:r w:rsidR="00B53F8F" w:rsidRPr="00783B4B">
        <w:rPr>
          <w:sz w:val="22"/>
          <w:szCs w:val="22"/>
          <w:lang w:val="sr-Latn-ME"/>
        </w:rPr>
        <w:t xml:space="preserve"> je kontraindikovana </w:t>
      </w:r>
      <w:r w:rsidR="00C422FD" w:rsidRPr="00783B4B">
        <w:rPr>
          <w:sz w:val="22"/>
          <w:szCs w:val="22"/>
          <w:lang w:val="sr-Latn-ME"/>
        </w:rPr>
        <w:t xml:space="preserve">tokom trudnoće </w:t>
      </w:r>
      <w:r w:rsidR="00B53F8F" w:rsidRPr="00783B4B">
        <w:rPr>
          <w:sz w:val="22"/>
          <w:szCs w:val="22"/>
          <w:lang w:val="sr-Latn-ME"/>
        </w:rPr>
        <w:t xml:space="preserve">(vidjeti </w:t>
      </w:r>
      <w:r w:rsidR="00C422FD" w:rsidRPr="00783B4B">
        <w:rPr>
          <w:sz w:val="22"/>
          <w:szCs w:val="22"/>
          <w:lang w:val="sr-Latn-ME"/>
        </w:rPr>
        <w:t>od</w:t>
      </w:r>
      <w:r w:rsidR="00FA4EFC" w:rsidRPr="00783B4B">
        <w:rPr>
          <w:sz w:val="22"/>
          <w:szCs w:val="22"/>
          <w:lang w:val="sr-Latn-ME"/>
        </w:rPr>
        <w:t>j</w:t>
      </w:r>
      <w:r w:rsidR="00C422FD" w:rsidRPr="00783B4B">
        <w:rPr>
          <w:sz w:val="22"/>
          <w:szCs w:val="22"/>
          <w:lang w:val="sr-Latn-ME"/>
        </w:rPr>
        <w:t xml:space="preserve">eljak </w:t>
      </w:r>
      <w:r w:rsidR="00B53F8F" w:rsidRPr="00783B4B">
        <w:rPr>
          <w:sz w:val="22"/>
          <w:szCs w:val="22"/>
          <w:lang w:val="sr-Latn-ME"/>
        </w:rPr>
        <w:t>4.3).</w:t>
      </w:r>
    </w:p>
    <w:p w14:paraId="67DC9390" w14:textId="77777777" w:rsidR="002031B3" w:rsidRPr="00783B4B" w:rsidRDefault="002031B3" w:rsidP="00783B4B">
      <w:pPr>
        <w:tabs>
          <w:tab w:val="left" w:pos="540"/>
          <w:tab w:val="left" w:pos="569"/>
        </w:tabs>
        <w:jc w:val="both"/>
        <w:rPr>
          <w:sz w:val="22"/>
          <w:szCs w:val="22"/>
          <w:u w:val="single"/>
          <w:lang w:val="sr-Latn-ME"/>
        </w:rPr>
      </w:pPr>
    </w:p>
    <w:p w14:paraId="67DC9391" w14:textId="473E497B" w:rsidR="0072020E" w:rsidRPr="00783B4B" w:rsidRDefault="007A3ECB" w:rsidP="00783B4B">
      <w:pPr>
        <w:tabs>
          <w:tab w:val="left" w:pos="540"/>
          <w:tab w:val="left" w:pos="569"/>
        </w:tabs>
        <w:jc w:val="both"/>
        <w:rPr>
          <w:sz w:val="22"/>
          <w:szCs w:val="22"/>
          <w:u w:val="single"/>
          <w:lang w:val="sr-Latn-ME"/>
        </w:rPr>
      </w:pPr>
      <w:r w:rsidRPr="00783B4B">
        <w:rPr>
          <w:sz w:val="22"/>
          <w:szCs w:val="22"/>
          <w:u w:val="single"/>
          <w:lang w:val="sr-Latn-ME"/>
        </w:rPr>
        <w:t xml:space="preserve">Dojenje </w:t>
      </w:r>
    </w:p>
    <w:p w14:paraId="3B95DB63" w14:textId="77777777" w:rsidR="007C481D" w:rsidRPr="00783B4B" w:rsidRDefault="007C481D" w:rsidP="00783B4B">
      <w:pPr>
        <w:tabs>
          <w:tab w:val="left" w:pos="540"/>
          <w:tab w:val="left" w:pos="569"/>
        </w:tabs>
        <w:jc w:val="both"/>
        <w:rPr>
          <w:b/>
          <w:bCs/>
          <w:sz w:val="22"/>
          <w:szCs w:val="22"/>
          <w:lang w:val="sr-Latn-ME"/>
        </w:rPr>
      </w:pPr>
    </w:p>
    <w:p w14:paraId="566DAC75" w14:textId="5A110C49" w:rsidR="00026EB8" w:rsidRPr="00783B4B" w:rsidRDefault="00C422FD" w:rsidP="00783B4B">
      <w:pPr>
        <w:pStyle w:val="Header"/>
        <w:jc w:val="both"/>
        <w:rPr>
          <w:sz w:val="22"/>
          <w:szCs w:val="22"/>
          <w:lang w:val="sr-Latn-ME"/>
        </w:rPr>
      </w:pPr>
      <w:r w:rsidRPr="00783B4B">
        <w:rPr>
          <w:sz w:val="22"/>
          <w:szCs w:val="22"/>
          <w:lang w:val="sr-Latn-ME"/>
        </w:rPr>
        <w:t xml:space="preserve">Ne postoje podaci </w:t>
      </w:r>
      <w:r w:rsidR="00026EB8" w:rsidRPr="00783B4B">
        <w:rPr>
          <w:sz w:val="22"/>
          <w:szCs w:val="22"/>
          <w:lang w:val="sr-Latn-ME"/>
        </w:rPr>
        <w:t xml:space="preserve">o primjeni </w:t>
      </w:r>
      <w:proofErr w:type="spellStart"/>
      <w:r w:rsidR="00187685" w:rsidRPr="00783B4B">
        <w:rPr>
          <w:sz w:val="22"/>
          <w:szCs w:val="22"/>
          <w:lang w:val="sr-Latn-ME"/>
        </w:rPr>
        <w:t>anastrozola</w:t>
      </w:r>
      <w:proofErr w:type="spellEnd"/>
      <w:r w:rsidR="00026EB8" w:rsidRPr="00783B4B">
        <w:rPr>
          <w:sz w:val="22"/>
          <w:szCs w:val="22"/>
          <w:lang w:val="sr-Latn-ME"/>
        </w:rPr>
        <w:t xml:space="preserve"> </w:t>
      </w:r>
      <w:r w:rsidR="00187685" w:rsidRPr="00783B4B">
        <w:rPr>
          <w:sz w:val="22"/>
          <w:szCs w:val="22"/>
          <w:lang w:val="sr-Latn-ME"/>
        </w:rPr>
        <w:t>tokom</w:t>
      </w:r>
      <w:r w:rsidR="00026EB8" w:rsidRPr="00783B4B">
        <w:rPr>
          <w:sz w:val="22"/>
          <w:szCs w:val="22"/>
          <w:lang w:val="sr-Latn-ME"/>
        </w:rPr>
        <w:t xml:space="preserve"> dojenja. </w:t>
      </w:r>
      <w:r w:rsidR="0075717D" w:rsidRPr="00783B4B">
        <w:rPr>
          <w:sz w:val="22"/>
          <w:szCs w:val="22"/>
          <w:lang w:val="sr-Latn-ME"/>
        </w:rPr>
        <w:t xml:space="preserve">Primjena lijeka </w:t>
      </w:r>
      <w:proofErr w:type="spellStart"/>
      <w:r w:rsidR="0075717D" w:rsidRPr="00783B4B">
        <w:rPr>
          <w:sz w:val="22"/>
          <w:szCs w:val="22"/>
          <w:lang w:val="sr-Latn-ME"/>
        </w:rPr>
        <w:t>Trasolette</w:t>
      </w:r>
      <w:proofErr w:type="spellEnd"/>
      <w:r w:rsidR="0075717D" w:rsidRPr="00783B4B">
        <w:rPr>
          <w:sz w:val="22"/>
          <w:szCs w:val="22"/>
          <w:lang w:val="sr-Latn-ME"/>
        </w:rPr>
        <w:t xml:space="preserve"> </w:t>
      </w:r>
      <w:r w:rsidR="00026EB8" w:rsidRPr="00783B4B">
        <w:rPr>
          <w:sz w:val="22"/>
          <w:szCs w:val="22"/>
          <w:lang w:val="sr-Latn-ME"/>
        </w:rPr>
        <w:t xml:space="preserve">je kontraindikovana </w:t>
      </w:r>
      <w:r w:rsidR="0075717D" w:rsidRPr="00783B4B">
        <w:rPr>
          <w:sz w:val="22"/>
          <w:szCs w:val="22"/>
          <w:lang w:val="sr-Latn-ME"/>
        </w:rPr>
        <w:t>tokom</w:t>
      </w:r>
      <w:r w:rsidR="00026EB8" w:rsidRPr="00783B4B">
        <w:rPr>
          <w:sz w:val="22"/>
          <w:szCs w:val="22"/>
          <w:lang w:val="sr-Latn-ME"/>
        </w:rPr>
        <w:t xml:space="preserve"> dojenja (vidjeti </w:t>
      </w:r>
      <w:r w:rsidR="00C52F05" w:rsidRPr="00783B4B">
        <w:rPr>
          <w:sz w:val="22"/>
          <w:szCs w:val="22"/>
          <w:lang w:val="sr-Latn-ME"/>
        </w:rPr>
        <w:t>od</w:t>
      </w:r>
      <w:r w:rsidR="00FA4EFC" w:rsidRPr="00783B4B">
        <w:rPr>
          <w:sz w:val="22"/>
          <w:szCs w:val="22"/>
          <w:lang w:val="sr-Latn-ME"/>
        </w:rPr>
        <w:t>j</w:t>
      </w:r>
      <w:r w:rsidR="00C52F05" w:rsidRPr="00783B4B">
        <w:rPr>
          <w:sz w:val="22"/>
          <w:szCs w:val="22"/>
          <w:lang w:val="sr-Latn-ME"/>
        </w:rPr>
        <w:t xml:space="preserve">eljak </w:t>
      </w:r>
      <w:r w:rsidR="00026EB8" w:rsidRPr="00783B4B">
        <w:rPr>
          <w:sz w:val="22"/>
          <w:szCs w:val="22"/>
          <w:lang w:val="sr-Latn-ME"/>
        </w:rPr>
        <w:t>4.3).</w:t>
      </w:r>
    </w:p>
    <w:p w14:paraId="67DC9392" w14:textId="77777777" w:rsidR="00227BDB" w:rsidRPr="00783B4B" w:rsidRDefault="00227BDB" w:rsidP="00783B4B">
      <w:pPr>
        <w:tabs>
          <w:tab w:val="left" w:pos="540"/>
          <w:tab w:val="left" w:pos="569"/>
        </w:tabs>
        <w:ind w:left="540" w:hanging="540"/>
        <w:rPr>
          <w:b/>
          <w:bCs/>
          <w:sz w:val="22"/>
          <w:szCs w:val="22"/>
          <w:lang w:val="sr-Latn-ME"/>
        </w:rPr>
      </w:pPr>
    </w:p>
    <w:p w14:paraId="42822647" w14:textId="77777777" w:rsidR="009D122F" w:rsidRDefault="009D122F" w:rsidP="00783B4B">
      <w:pPr>
        <w:tabs>
          <w:tab w:val="left" w:pos="540"/>
          <w:tab w:val="left" w:pos="569"/>
        </w:tabs>
        <w:ind w:left="540" w:hanging="540"/>
        <w:rPr>
          <w:b/>
          <w:bCs/>
          <w:sz w:val="22"/>
          <w:szCs w:val="22"/>
          <w:lang w:val="sr-Latn-ME"/>
        </w:rPr>
      </w:pPr>
    </w:p>
    <w:p w14:paraId="67DC9393" w14:textId="13F53F18" w:rsidR="0072020E" w:rsidRPr="00783B4B" w:rsidRDefault="0072020E" w:rsidP="00783B4B">
      <w:pPr>
        <w:tabs>
          <w:tab w:val="left" w:pos="540"/>
          <w:tab w:val="left" w:pos="569"/>
        </w:tabs>
        <w:ind w:left="540" w:hanging="540"/>
        <w:rPr>
          <w:b/>
          <w:bCs/>
          <w:sz w:val="22"/>
          <w:szCs w:val="22"/>
          <w:lang w:val="sr-Latn-ME"/>
        </w:rPr>
      </w:pPr>
      <w:r w:rsidRPr="00783B4B">
        <w:rPr>
          <w:b/>
          <w:bCs/>
          <w:sz w:val="22"/>
          <w:szCs w:val="22"/>
          <w:lang w:val="sr-Latn-ME"/>
        </w:rPr>
        <w:lastRenderedPageBreak/>
        <w:t xml:space="preserve">4.7. </w:t>
      </w:r>
      <w:r w:rsidR="00480FB1" w:rsidRPr="00783B4B">
        <w:rPr>
          <w:b/>
          <w:bCs/>
          <w:sz w:val="22"/>
          <w:szCs w:val="22"/>
          <w:lang w:val="sr-Latn-ME"/>
        </w:rPr>
        <w:tab/>
      </w:r>
      <w:r w:rsidRPr="00783B4B">
        <w:rPr>
          <w:b/>
          <w:bCs/>
          <w:sz w:val="22"/>
          <w:szCs w:val="22"/>
          <w:lang w:val="sr-Latn-ME"/>
        </w:rPr>
        <w:t xml:space="preserve">Uticaj na </w:t>
      </w:r>
      <w:r w:rsidR="002031B3" w:rsidRPr="00783B4B">
        <w:rPr>
          <w:b/>
          <w:bCs/>
          <w:sz w:val="22"/>
          <w:szCs w:val="22"/>
          <w:lang w:val="sr-Latn-ME"/>
        </w:rPr>
        <w:t xml:space="preserve">sposobnost </w:t>
      </w:r>
      <w:r w:rsidR="00F34554" w:rsidRPr="00783B4B">
        <w:rPr>
          <w:b/>
          <w:bCs/>
          <w:sz w:val="22"/>
          <w:szCs w:val="22"/>
          <w:lang w:val="sr-Latn-ME"/>
        </w:rPr>
        <w:t>upravljanja vozili</w:t>
      </w:r>
      <w:r w:rsidRPr="00783B4B">
        <w:rPr>
          <w:b/>
          <w:bCs/>
          <w:sz w:val="22"/>
          <w:szCs w:val="22"/>
          <w:lang w:val="sr-Latn-ME"/>
        </w:rPr>
        <w:t>m</w:t>
      </w:r>
      <w:r w:rsidR="00F34554" w:rsidRPr="00783B4B">
        <w:rPr>
          <w:b/>
          <w:bCs/>
          <w:sz w:val="22"/>
          <w:szCs w:val="22"/>
          <w:lang w:val="sr-Latn-ME"/>
        </w:rPr>
        <w:t>a</w:t>
      </w:r>
      <w:r w:rsidRPr="00783B4B">
        <w:rPr>
          <w:b/>
          <w:bCs/>
          <w:sz w:val="22"/>
          <w:szCs w:val="22"/>
          <w:lang w:val="sr-Latn-ME"/>
        </w:rPr>
        <w:t xml:space="preserve"> i </w:t>
      </w:r>
      <w:r w:rsidR="000D3449" w:rsidRPr="00783B4B">
        <w:rPr>
          <w:b/>
          <w:bCs/>
          <w:sz w:val="22"/>
          <w:szCs w:val="22"/>
          <w:lang w:val="sr-Latn-ME"/>
        </w:rPr>
        <w:t xml:space="preserve">rukovanje </w:t>
      </w:r>
      <w:r w:rsidRPr="00783B4B">
        <w:rPr>
          <w:b/>
          <w:bCs/>
          <w:sz w:val="22"/>
          <w:szCs w:val="22"/>
          <w:lang w:val="sr-Latn-ME"/>
        </w:rPr>
        <w:t>mašinama</w:t>
      </w:r>
    </w:p>
    <w:p w14:paraId="67DC9394" w14:textId="52594474" w:rsidR="0072020E" w:rsidRPr="00783B4B" w:rsidRDefault="0072020E" w:rsidP="00783B4B">
      <w:pPr>
        <w:tabs>
          <w:tab w:val="left" w:pos="540"/>
          <w:tab w:val="left" w:pos="569"/>
        </w:tabs>
        <w:rPr>
          <w:b/>
          <w:bCs/>
          <w:sz w:val="22"/>
          <w:szCs w:val="22"/>
          <w:lang w:val="sr-Latn-ME"/>
        </w:rPr>
      </w:pPr>
    </w:p>
    <w:p w14:paraId="36123101" w14:textId="55E0FC39" w:rsidR="00DA6F9B" w:rsidRPr="00783B4B" w:rsidRDefault="002F19DB" w:rsidP="00783B4B">
      <w:pPr>
        <w:pStyle w:val="Header"/>
        <w:tabs>
          <w:tab w:val="left" w:pos="284"/>
        </w:tabs>
        <w:jc w:val="both"/>
        <w:rPr>
          <w:sz w:val="22"/>
          <w:szCs w:val="22"/>
          <w:lang w:val="sr-Latn-ME"/>
        </w:rPr>
      </w:pPr>
      <w:r w:rsidRPr="00783B4B">
        <w:rPr>
          <w:sz w:val="22"/>
          <w:szCs w:val="22"/>
          <w:lang w:val="sr-Latn-ME"/>
        </w:rPr>
        <w:t>L</w:t>
      </w:r>
      <w:r w:rsidR="00FA4EFC" w:rsidRPr="00783B4B">
        <w:rPr>
          <w:sz w:val="22"/>
          <w:szCs w:val="22"/>
          <w:lang w:val="sr-Latn-ME"/>
        </w:rPr>
        <w:t>ij</w:t>
      </w:r>
      <w:r w:rsidRPr="00783B4B">
        <w:rPr>
          <w:sz w:val="22"/>
          <w:szCs w:val="22"/>
          <w:lang w:val="sr-Latn-ME"/>
        </w:rPr>
        <w:t xml:space="preserve">ek </w:t>
      </w:r>
      <w:proofErr w:type="spellStart"/>
      <w:r w:rsidRPr="00783B4B">
        <w:rPr>
          <w:sz w:val="22"/>
          <w:szCs w:val="22"/>
          <w:lang w:val="sr-Latn-ME"/>
        </w:rPr>
        <w:t>Trasolette</w:t>
      </w:r>
      <w:proofErr w:type="spellEnd"/>
      <w:r w:rsidRPr="00783B4B">
        <w:rPr>
          <w:sz w:val="22"/>
          <w:szCs w:val="22"/>
          <w:vertAlign w:val="superscript"/>
          <w:lang w:val="sr-Latn-ME"/>
        </w:rPr>
        <w:t xml:space="preserve"> </w:t>
      </w:r>
      <w:r w:rsidRPr="00783B4B">
        <w:rPr>
          <w:sz w:val="22"/>
          <w:szCs w:val="22"/>
          <w:lang w:val="sr-Latn-ME"/>
        </w:rPr>
        <w:t>nema ili ima zanemarljiv uticaj</w:t>
      </w:r>
      <w:r w:rsidRPr="00783B4B" w:rsidDel="002F19DB">
        <w:rPr>
          <w:sz w:val="22"/>
          <w:szCs w:val="22"/>
          <w:lang w:val="sr-Latn-ME"/>
        </w:rPr>
        <w:t xml:space="preserve"> </w:t>
      </w:r>
      <w:r w:rsidR="00DA6F9B" w:rsidRPr="00783B4B">
        <w:rPr>
          <w:sz w:val="22"/>
          <w:szCs w:val="22"/>
          <w:lang w:val="sr-Latn-ME"/>
        </w:rPr>
        <w:t xml:space="preserve">na sposobnost upravljanja motornim vozilima i rukovanja mašinama. Ipak, </w:t>
      </w:r>
      <w:proofErr w:type="spellStart"/>
      <w:r w:rsidR="00DA6F9B" w:rsidRPr="00783B4B">
        <w:rPr>
          <w:sz w:val="22"/>
          <w:szCs w:val="22"/>
          <w:lang w:val="sr-Latn-ME"/>
        </w:rPr>
        <w:t>pacijentkinje</w:t>
      </w:r>
      <w:proofErr w:type="spellEnd"/>
      <w:r w:rsidR="00DA6F9B" w:rsidRPr="00783B4B">
        <w:rPr>
          <w:sz w:val="22"/>
          <w:szCs w:val="22"/>
          <w:lang w:val="sr-Latn-ME"/>
        </w:rPr>
        <w:t xml:space="preserve"> treba upozoriti da se tokom liječenja mogu javiti malaksalost i pospanost. U tim fazama treba biti oprezan prilikom rukovanja mašinama i upravljanja vozilima.</w:t>
      </w:r>
    </w:p>
    <w:p w14:paraId="45A3ED95" w14:textId="77777777" w:rsidR="00DA6F9B" w:rsidRPr="00783B4B" w:rsidRDefault="00DA6F9B" w:rsidP="00783B4B">
      <w:pPr>
        <w:tabs>
          <w:tab w:val="left" w:pos="540"/>
          <w:tab w:val="left" w:pos="569"/>
        </w:tabs>
        <w:rPr>
          <w:b/>
          <w:bCs/>
          <w:sz w:val="22"/>
          <w:szCs w:val="22"/>
          <w:lang w:val="sr-Latn-ME"/>
        </w:rPr>
      </w:pPr>
    </w:p>
    <w:p w14:paraId="67DC9395" w14:textId="6804535F"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4.8. </w:t>
      </w:r>
      <w:r w:rsidR="00480FB1" w:rsidRPr="00783B4B">
        <w:rPr>
          <w:b/>
          <w:bCs/>
          <w:sz w:val="22"/>
          <w:szCs w:val="22"/>
          <w:lang w:val="sr-Latn-ME"/>
        </w:rPr>
        <w:tab/>
      </w:r>
      <w:r w:rsidRPr="00783B4B">
        <w:rPr>
          <w:b/>
          <w:bCs/>
          <w:sz w:val="22"/>
          <w:szCs w:val="22"/>
          <w:lang w:val="sr-Latn-ME"/>
        </w:rPr>
        <w:t>Neželjena dejstva</w:t>
      </w:r>
    </w:p>
    <w:p w14:paraId="08FF582E" w14:textId="77777777" w:rsidR="00D109C3" w:rsidRPr="00783B4B" w:rsidRDefault="00D109C3" w:rsidP="00783B4B">
      <w:pPr>
        <w:tabs>
          <w:tab w:val="left" w:pos="540"/>
          <w:tab w:val="left" w:pos="569"/>
        </w:tabs>
        <w:rPr>
          <w:b/>
          <w:bCs/>
          <w:sz w:val="22"/>
          <w:szCs w:val="22"/>
          <w:lang w:val="sr-Latn-ME"/>
        </w:rPr>
      </w:pPr>
    </w:p>
    <w:p w14:paraId="7572A16E" w14:textId="779276B4" w:rsidR="00D644C2" w:rsidRPr="00783B4B" w:rsidRDefault="00B802A9" w:rsidP="00783B4B">
      <w:pPr>
        <w:tabs>
          <w:tab w:val="left" w:pos="7523"/>
        </w:tabs>
        <w:autoSpaceDE w:val="0"/>
        <w:autoSpaceDN w:val="0"/>
        <w:adjustRightInd w:val="0"/>
        <w:jc w:val="both"/>
        <w:rPr>
          <w:sz w:val="22"/>
          <w:szCs w:val="22"/>
          <w:lang w:val="sr-Latn-ME"/>
        </w:rPr>
      </w:pPr>
      <w:r w:rsidRPr="00783B4B">
        <w:rPr>
          <w:sz w:val="22"/>
          <w:szCs w:val="22"/>
          <w:lang w:val="sr-Latn-ME"/>
        </w:rPr>
        <w:t>S</w:t>
      </w:r>
      <w:r w:rsidR="00D644C2" w:rsidRPr="00783B4B">
        <w:rPr>
          <w:sz w:val="22"/>
          <w:szCs w:val="22"/>
          <w:lang w:val="sr-Latn-ME"/>
        </w:rPr>
        <w:t>ljedeć</w:t>
      </w:r>
      <w:r w:rsidRPr="00783B4B">
        <w:rPr>
          <w:sz w:val="22"/>
          <w:szCs w:val="22"/>
          <w:lang w:val="sr-Latn-ME"/>
        </w:rPr>
        <w:t>a</w:t>
      </w:r>
      <w:r w:rsidR="00D644C2" w:rsidRPr="00783B4B">
        <w:rPr>
          <w:sz w:val="22"/>
          <w:szCs w:val="22"/>
          <w:lang w:val="sr-Latn-ME"/>
        </w:rPr>
        <w:t xml:space="preserve"> </w:t>
      </w:r>
      <w:r w:rsidRPr="00783B4B">
        <w:rPr>
          <w:sz w:val="22"/>
          <w:szCs w:val="22"/>
          <w:lang w:val="sr-Latn-ME"/>
        </w:rPr>
        <w:t xml:space="preserve">tabela prikazuje </w:t>
      </w:r>
      <w:r w:rsidR="00D644C2" w:rsidRPr="00783B4B">
        <w:rPr>
          <w:sz w:val="22"/>
          <w:szCs w:val="22"/>
          <w:lang w:val="sr-Latn-ME"/>
        </w:rPr>
        <w:t>neželjen</w:t>
      </w:r>
      <w:r w:rsidRPr="00783B4B">
        <w:rPr>
          <w:sz w:val="22"/>
          <w:szCs w:val="22"/>
          <w:lang w:val="sr-Latn-ME"/>
        </w:rPr>
        <w:t>e</w:t>
      </w:r>
      <w:r w:rsidR="00D644C2" w:rsidRPr="00783B4B">
        <w:rPr>
          <w:sz w:val="22"/>
          <w:szCs w:val="22"/>
          <w:lang w:val="sr-Latn-ME"/>
        </w:rPr>
        <w:t xml:space="preserve"> </w:t>
      </w:r>
      <w:r w:rsidRPr="00783B4B">
        <w:rPr>
          <w:sz w:val="22"/>
          <w:szCs w:val="22"/>
          <w:lang w:val="sr-Latn-ME"/>
        </w:rPr>
        <w:t xml:space="preserve">reakcije </w:t>
      </w:r>
      <w:r w:rsidR="00D644C2" w:rsidRPr="00783B4B">
        <w:rPr>
          <w:sz w:val="22"/>
          <w:szCs w:val="22"/>
          <w:lang w:val="sr-Latn-ME"/>
        </w:rPr>
        <w:t xml:space="preserve">iz kliničkih studija, </w:t>
      </w:r>
      <w:proofErr w:type="spellStart"/>
      <w:r w:rsidR="00D644C2" w:rsidRPr="00783B4B">
        <w:rPr>
          <w:sz w:val="22"/>
          <w:szCs w:val="22"/>
          <w:lang w:val="sr-Latn-ME"/>
        </w:rPr>
        <w:t>postmarketinških</w:t>
      </w:r>
      <w:proofErr w:type="spellEnd"/>
      <w:r w:rsidR="00D644C2" w:rsidRPr="00783B4B">
        <w:rPr>
          <w:sz w:val="22"/>
          <w:szCs w:val="22"/>
          <w:lang w:val="sr-Latn-ME"/>
        </w:rPr>
        <w:t xml:space="preserve"> studija ili </w:t>
      </w:r>
      <w:r w:rsidR="00094179" w:rsidRPr="00783B4B">
        <w:rPr>
          <w:sz w:val="22"/>
          <w:szCs w:val="22"/>
          <w:lang w:val="sr-Latn-ME"/>
        </w:rPr>
        <w:t xml:space="preserve">spontanih </w:t>
      </w:r>
      <w:r w:rsidR="00D644C2" w:rsidRPr="00783B4B">
        <w:rPr>
          <w:sz w:val="22"/>
          <w:szCs w:val="22"/>
          <w:lang w:val="sr-Latn-ME"/>
        </w:rPr>
        <w:t xml:space="preserve">prijava. </w:t>
      </w:r>
      <w:r w:rsidR="00094179" w:rsidRPr="00783B4B">
        <w:rPr>
          <w:sz w:val="22"/>
          <w:szCs w:val="22"/>
          <w:lang w:val="sr-Latn-ME"/>
        </w:rPr>
        <w:t>Osim ako nije navedeno</w:t>
      </w:r>
      <w:r w:rsidR="00D644C2" w:rsidRPr="00783B4B">
        <w:rPr>
          <w:sz w:val="22"/>
          <w:szCs w:val="22"/>
          <w:lang w:val="sr-Latn-ME"/>
        </w:rPr>
        <w:t xml:space="preserve">, </w:t>
      </w:r>
      <w:r w:rsidR="003A30CA" w:rsidRPr="00783B4B">
        <w:rPr>
          <w:sz w:val="22"/>
          <w:szCs w:val="22"/>
          <w:lang w:val="sr-Latn-ME"/>
        </w:rPr>
        <w:t>sl</w:t>
      </w:r>
      <w:r w:rsidR="00FA4EFC" w:rsidRPr="00783B4B">
        <w:rPr>
          <w:sz w:val="22"/>
          <w:szCs w:val="22"/>
          <w:lang w:val="sr-Latn-ME"/>
        </w:rPr>
        <w:t>j</w:t>
      </w:r>
      <w:r w:rsidR="003A30CA" w:rsidRPr="00783B4B">
        <w:rPr>
          <w:sz w:val="22"/>
          <w:szCs w:val="22"/>
          <w:lang w:val="sr-Latn-ME"/>
        </w:rPr>
        <w:t xml:space="preserve">edeće kategorije </w:t>
      </w:r>
      <w:r w:rsidR="00D644C2" w:rsidRPr="00783B4B">
        <w:rPr>
          <w:sz w:val="22"/>
          <w:szCs w:val="22"/>
          <w:lang w:val="sr-Latn-ME"/>
        </w:rPr>
        <w:t>učestalost</w:t>
      </w:r>
      <w:r w:rsidR="003A30CA" w:rsidRPr="00783B4B">
        <w:rPr>
          <w:sz w:val="22"/>
          <w:szCs w:val="22"/>
          <w:lang w:val="sr-Latn-ME"/>
        </w:rPr>
        <w:t>i</w:t>
      </w:r>
      <w:r w:rsidR="00D644C2" w:rsidRPr="00783B4B">
        <w:rPr>
          <w:sz w:val="22"/>
          <w:szCs w:val="22"/>
          <w:lang w:val="sr-Latn-ME"/>
        </w:rPr>
        <w:t xml:space="preserve"> </w:t>
      </w:r>
      <w:r w:rsidR="003A30CA" w:rsidRPr="00783B4B">
        <w:rPr>
          <w:sz w:val="22"/>
          <w:szCs w:val="22"/>
          <w:lang w:val="sr-Latn-ME"/>
        </w:rPr>
        <w:t>su izračunate</w:t>
      </w:r>
      <w:r w:rsidR="00EF749B" w:rsidRPr="00783B4B">
        <w:rPr>
          <w:sz w:val="22"/>
          <w:szCs w:val="22"/>
          <w:lang w:val="sr-Latn-ME"/>
        </w:rPr>
        <w:t xml:space="preserve"> iz</w:t>
      </w:r>
      <w:r w:rsidR="00D644C2" w:rsidRPr="00783B4B">
        <w:rPr>
          <w:sz w:val="22"/>
          <w:szCs w:val="22"/>
          <w:lang w:val="sr-Latn-ME"/>
        </w:rPr>
        <w:t xml:space="preserve"> broja neželjenih </w:t>
      </w:r>
      <w:r w:rsidR="00EF749B" w:rsidRPr="00783B4B">
        <w:rPr>
          <w:sz w:val="22"/>
          <w:szCs w:val="22"/>
          <w:lang w:val="sr-Latn-ME"/>
        </w:rPr>
        <w:t xml:space="preserve">reakcija </w:t>
      </w:r>
      <w:proofErr w:type="spellStart"/>
      <w:r w:rsidR="00EF749B" w:rsidRPr="00783B4B">
        <w:rPr>
          <w:sz w:val="22"/>
          <w:szCs w:val="22"/>
          <w:lang w:val="sr-Latn-ME"/>
        </w:rPr>
        <w:t>zab</w:t>
      </w:r>
      <w:r w:rsidR="00FA4EFC" w:rsidRPr="00783B4B">
        <w:rPr>
          <w:sz w:val="22"/>
          <w:szCs w:val="22"/>
          <w:lang w:val="sr-Latn-ME"/>
        </w:rPr>
        <w:t>i</w:t>
      </w:r>
      <w:r w:rsidR="00EF749B" w:rsidRPr="00783B4B">
        <w:rPr>
          <w:sz w:val="22"/>
          <w:szCs w:val="22"/>
          <w:lang w:val="sr-Latn-ME"/>
        </w:rPr>
        <w:t>l</w:t>
      </w:r>
      <w:r w:rsidR="00FA4EFC" w:rsidRPr="00783B4B">
        <w:rPr>
          <w:sz w:val="22"/>
          <w:szCs w:val="22"/>
          <w:lang w:val="sr-Latn-ME"/>
        </w:rPr>
        <w:t>j</w:t>
      </w:r>
      <w:r w:rsidR="00EF749B" w:rsidRPr="00783B4B">
        <w:rPr>
          <w:sz w:val="22"/>
          <w:szCs w:val="22"/>
          <w:lang w:val="sr-Latn-ME"/>
        </w:rPr>
        <w:t>eženih</w:t>
      </w:r>
      <w:proofErr w:type="spellEnd"/>
      <w:r w:rsidR="00EF749B" w:rsidRPr="00783B4B">
        <w:rPr>
          <w:sz w:val="22"/>
          <w:szCs w:val="22"/>
          <w:lang w:val="sr-Latn-ME"/>
        </w:rPr>
        <w:t xml:space="preserve"> </w:t>
      </w:r>
      <w:r w:rsidR="00D644C2" w:rsidRPr="00783B4B">
        <w:rPr>
          <w:sz w:val="22"/>
          <w:szCs w:val="22"/>
          <w:lang w:val="sr-Latn-ME"/>
        </w:rPr>
        <w:t xml:space="preserve">u velikoj </w:t>
      </w:r>
      <w:r w:rsidR="00AB2E94" w:rsidRPr="00783B4B">
        <w:rPr>
          <w:sz w:val="22"/>
          <w:szCs w:val="22"/>
          <w:lang w:val="sr-Latn-ME"/>
        </w:rPr>
        <w:t xml:space="preserve">fazi </w:t>
      </w:r>
      <w:r w:rsidR="00D644C2" w:rsidRPr="00783B4B">
        <w:rPr>
          <w:sz w:val="22"/>
          <w:szCs w:val="22"/>
          <w:lang w:val="sr-Latn-ME"/>
        </w:rPr>
        <w:t xml:space="preserve">III </w:t>
      </w:r>
      <w:r w:rsidR="00AB2E94" w:rsidRPr="00783B4B">
        <w:rPr>
          <w:sz w:val="22"/>
          <w:szCs w:val="22"/>
          <w:lang w:val="sr-Latn-ME"/>
        </w:rPr>
        <w:t xml:space="preserve">studije koja je sprovedena </w:t>
      </w:r>
      <w:r w:rsidR="00D644C2" w:rsidRPr="00783B4B">
        <w:rPr>
          <w:sz w:val="22"/>
          <w:szCs w:val="22"/>
          <w:lang w:val="sr-Latn-ME"/>
        </w:rPr>
        <w:t xml:space="preserve">kod 9366 žena u </w:t>
      </w:r>
      <w:proofErr w:type="spellStart"/>
      <w:r w:rsidR="00D644C2" w:rsidRPr="00783B4B">
        <w:rPr>
          <w:sz w:val="22"/>
          <w:szCs w:val="22"/>
          <w:lang w:val="sr-Latn-ME"/>
        </w:rPr>
        <w:t>postmenopauzi</w:t>
      </w:r>
      <w:proofErr w:type="spellEnd"/>
      <w:r w:rsidR="00D644C2" w:rsidRPr="00783B4B">
        <w:rPr>
          <w:sz w:val="22"/>
          <w:szCs w:val="22"/>
          <w:lang w:val="sr-Latn-ME"/>
        </w:rPr>
        <w:t xml:space="preserve"> sa </w:t>
      </w:r>
      <w:proofErr w:type="spellStart"/>
      <w:r w:rsidR="00D644C2" w:rsidRPr="00783B4B">
        <w:rPr>
          <w:sz w:val="22"/>
          <w:szCs w:val="22"/>
          <w:lang w:val="sr-Latn-ME"/>
        </w:rPr>
        <w:t>operabilnim</w:t>
      </w:r>
      <w:proofErr w:type="spellEnd"/>
      <w:r w:rsidR="00D644C2" w:rsidRPr="00783B4B">
        <w:rPr>
          <w:sz w:val="22"/>
          <w:szCs w:val="22"/>
          <w:lang w:val="sr-Latn-ME"/>
        </w:rPr>
        <w:t xml:space="preserve"> </w:t>
      </w:r>
      <w:proofErr w:type="spellStart"/>
      <w:r w:rsidR="00D644C2" w:rsidRPr="00783B4B">
        <w:rPr>
          <w:sz w:val="22"/>
          <w:szCs w:val="22"/>
          <w:lang w:val="sr-Latn-ME"/>
        </w:rPr>
        <w:t>karcinomom</w:t>
      </w:r>
      <w:proofErr w:type="spellEnd"/>
      <w:r w:rsidR="00D644C2" w:rsidRPr="00783B4B">
        <w:rPr>
          <w:sz w:val="22"/>
          <w:szCs w:val="22"/>
          <w:lang w:val="sr-Latn-ME"/>
        </w:rPr>
        <w:t xml:space="preserve"> dojke koje su</w:t>
      </w:r>
      <w:r w:rsidR="00AB2E94" w:rsidRPr="00783B4B">
        <w:rPr>
          <w:sz w:val="22"/>
          <w:szCs w:val="22"/>
          <w:lang w:val="sr-Latn-ME"/>
        </w:rPr>
        <w:t xml:space="preserve"> </w:t>
      </w:r>
      <w:proofErr w:type="spellStart"/>
      <w:r w:rsidR="00AB2E94" w:rsidRPr="00783B4B">
        <w:rPr>
          <w:sz w:val="22"/>
          <w:szCs w:val="22"/>
          <w:lang w:val="sr-Latn-ME"/>
        </w:rPr>
        <w:t>adjuvantno</w:t>
      </w:r>
      <w:proofErr w:type="spellEnd"/>
      <w:r w:rsidR="00D644C2" w:rsidRPr="00783B4B">
        <w:rPr>
          <w:sz w:val="22"/>
          <w:szCs w:val="22"/>
          <w:lang w:val="sr-Latn-ME"/>
        </w:rPr>
        <w:t xml:space="preserve"> liječene </w:t>
      </w:r>
      <w:r w:rsidR="00AB2E94" w:rsidRPr="00783B4B">
        <w:rPr>
          <w:sz w:val="22"/>
          <w:szCs w:val="22"/>
          <w:lang w:val="sr-Latn-ME"/>
        </w:rPr>
        <w:t xml:space="preserve">u trajanju od </w:t>
      </w:r>
      <w:r w:rsidR="00D644C2" w:rsidRPr="00783B4B">
        <w:rPr>
          <w:sz w:val="22"/>
          <w:szCs w:val="22"/>
          <w:lang w:val="sr-Latn-ME"/>
        </w:rPr>
        <w:t>5 godina (</w:t>
      </w:r>
      <w:r w:rsidR="00BF0926" w:rsidRPr="00783B4B">
        <w:rPr>
          <w:bCs/>
          <w:sz w:val="22"/>
          <w:szCs w:val="22"/>
          <w:lang w:val="sr-Latn-ME"/>
        </w:rPr>
        <w:t xml:space="preserve">engl. </w:t>
      </w:r>
      <w:proofErr w:type="spellStart"/>
      <w:r w:rsidR="00BF0926" w:rsidRPr="00783B4B">
        <w:rPr>
          <w:bCs/>
          <w:i/>
          <w:sz w:val="22"/>
          <w:szCs w:val="22"/>
          <w:lang w:val="sr-Latn-ME"/>
        </w:rPr>
        <w:t>the</w:t>
      </w:r>
      <w:proofErr w:type="spellEnd"/>
      <w:r w:rsidR="00BF0926" w:rsidRPr="00783B4B">
        <w:rPr>
          <w:bCs/>
          <w:i/>
          <w:sz w:val="22"/>
          <w:szCs w:val="22"/>
          <w:lang w:val="sr-Latn-ME"/>
        </w:rPr>
        <w:t xml:space="preserve"> </w:t>
      </w:r>
      <w:proofErr w:type="spellStart"/>
      <w:r w:rsidR="00BF0926" w:rsidRPr="00783B4B">
        <w:rPr>
          <w:bCs/>
          <w:i/>
          <w:sz w:val="22"/>
          <w:szCs w:val="22"/>
          <w:lang w:val="sr-Latn-ME"/>
        </w:rPr>
        <w:t>Arimidex</w:t>
      </w:r>
      <w:proofErr w:type="spellEnd"/>
      <w:r w:rsidR="00BF0926" w:rsidRPr="00783B4B">
        <w:rPr>
          <w:bCs/>
          <w:i/>
          <w:sz w:val="22"/>
          <w:szCs w:val="22"/>
          <w:lang w:val="sr-Latn-ME"/>
        </w:rPr>
        <w:t xml:space="preserve">, </w:t>
      </w:r>
      <w:proofErr w:type="spellStart"/>
      <w:r w:rsidR="00BF0926" w:rsidRPr="00783B4B">
        <w:rPr>
          <w:bCs/>
          <w:i/>
          <w:sz w:val="22"/>
          <w:szCs w:val="22"/>
          <w:lang w:val="sr-Latn-ME"/>
        </w:rPr>
        <w:t>Tamoxifen</w:t>
      </w:r>
      <w:proofErr w:type="spellEnd"/>
      <w:r w:rsidR="00BF0926" w:rsidRPr="00783B4B">
        <w:rPr>
          <w:bCs/>
          <w:i/>
          <w:sz w:val="22"/>
          <w:szCs w:val="22"/>
          <w:lang w:val="sr-Latn-ME"/>
        </w:rPr>
        <w:t xml:space="preserve">, </w:t>
      </w:r>
      <w:proofErr w:type="spellStart"/>
      <w:r w:rsidR="00BF0926" w:rsidRPr="00783B4B">
        <w:rPr>
          <w:bCs/>
          <w:i/>
          <w:sz w:val="22"/>
          <w:szCs w:val="22"/>
          <w:lang w:val="sr-Latn-ME"/>
        </w:rPr>
        <w:t>Alone</w:t>
      </w:r>
      <w:proofErr w:type="spellEnd"/>
      <w:r w:rsidR="00BF0926" w:rsidRPr="00783B4B">
        <w:rPr>
          <w:bCs/>
          <w:i/>
          <w:sz w:val="22"/>
          <w:szCs w:val="22"/>
          <w:lang w:val="sr-Latn-ME"/>
        </w:rPr>
        <w:t xml:space="preserve"> </w:t>
      </w:r>
      <w:proofErr w:type="spellStart"/>
      <w:r w:rsidR="00BF0926" w:rsidRPr="00783B4B">
        <w:rPr>
          <w:bCs/>
          <w:i/>
          <w:sz w:val="22"/>
          <w:szCs w:val="22"/>
          <w:lang w:val="sr-Latn-ME"/>
        </w:rPr>
        <w:t>or</w:t>
      </w:r>
      <w:proofErr w:type="spellEnd"/>
      <w:r w:rsidR="00BF0926" w:rsidRPr="00783B4B">
        <w:rPr>
          <w:bCs/>
          <w:i/>
          <w:sz w:val="22"/>
          <w:szCs w:val="22"/>
          <w:lang w:val="sr-Latn-ME"/>
        </w:rPr>
        <w:t xml:space="preserve"> in </w:t>
      </w:r>
      <w:proofErr w:type="spellStart"/>
      <w:r w:rsidR="00BF0926" w:rsidRPr="00783B4B">
        <w:rPr>
          <w:bCs/>
          <w:i/>
          <w:sz w:val="22"/>
          <w:szCs w:val="22"/>
          <w:lang w:val="sr-Latn-ME"/>
        </w:rPr>
        <w:t>Combination</w:t>
      </w:r>
      <w:proofErr w:type="spellEnd"/>
      <w:r w:rsidR="00BF0926" w:rsidRPr="00783B4B">
        <w:rPr>
          <w:bCs/>
          <w:i/>
          <w:sz w:val="22"/>
          <w:szCs w:val="22"/>
          <w:lang w:val="sr-Latn-ME"/>
        </w:rPr>
        <w:t xml:space="preserve"> [</w:t>
      </w:r>
      <w:proofErr w:type="spellStart"/>
      <w:r w:rsidR="00BF0926" w:rsidRPr="00783B4B">
        <w:rPr>
          <w:bCs/>
          <w:i/>
          <w:sz w:val="22"/>
          <w:szCs w:val="22"/>
          <w:lang w:val="sr-Latn-ME"/>
        </w:rPr>
        <w:t>ATAC</w:t>
      </w:r>
      <w:proofErr w:type="spellEnd"/>
      <w:r w:rsidR="00BF0926" w:rsidRPr="00783B4B">
        <w:rPr>
          <w:bCs/>
          <w:i/>
          <w:sz w:val="22"/>
          <w:szCs w:val="22"/>
          <w:lang w:val="sr-Latn-ME"/>
        </w:rPr>
        <w:t xml:space="preserve">] </w:t>
      </w:r>
      <w:proofErr w:type="spellStart"/>
      <w:r w:rsidR="00BF0926" w:rsidRPr="00783B4B">
        <w:rPr>
          <w:bCs/>
          <w:i/>
          <w:sz w:val="22"/>
          <w:szCs w:val="22"/>
          <w:lang w:val="sr-Latn-ME"/>
        </w:rPr>
        <w:t>study</w:t>
      </w:r>
      <w:proofErr w:type="spellEnd"/>
      <w:r w:rsidR="00BF0926" w:rsidRPr="00783B4B">
        <w:rPr>
          <w:bCs/>
          <w:sz w:val="22"/>
          <w:szCs w:val="22"/>
          <w:lang w:val="sr-Latn-ME"/>
        </w:rPr>
        <w:t>)</w:t>
      </w:r>
      <w:r w:rsidR="00D644C2" w:rsidRPr="00783B4B">
        <w:rPr>
          <w:sz w:val="22"/>
          <w:szCs w:val="22"/>
          <w:lang w:val="sr-Latn-ME"/>
        </w:rPr>
        <w:t>.</w:t>
      </w:r>
    </w:p>
    <w:p w14:paraId="49A7EDA0" w14:textId="77777777" w:rsidR="00D644C2" w:rsidRPr="00783B4B" w:rsidRDefault="00D644C2" w:rsidP="00783B4B">
      <w:pPr>
        <w:autoSpaceDE w:val="0"/>
        <w:autoSpaceDN w:val="0"/>
        <w:adjustRightInd w:val="0"/>
        <w:jc w:val="both"/>
        <w:rPr>
          <w:rFonts w:eastAsia="TimesNewRoman"/>
          <w:sz w:val="22"/>
          <w:szCs w:val="22"/>
          <w:lang w:val="sr-Latn-ME" w:eastAsia="sr-Latn-CS"/>
        </w:rPr>
      </w:pPr>
    </w:p>
    <w:p w14:paraId="491A1416" w14:textId="4CB98660" w:rsidR="00D644C2" w:rsidRPr="00783B4B" w:rsidRDefault="00D644C2" w:rsidP="00783B4B">
      <w:pPr>
        <w:autoSpaceDE w:val="0"/>
        <w:autoSpaceDN w:val="0"/>
        <w:adjustRightInd w:val="0"/>
        <w:jc w:val="both"/>
        <w:rPr>
          <w:sz w:val="22"/>
          <w:szCs w:val="22"/>
          <w:lang w:val="sr-Latn-ME"/>
        </w:rPr>
      </w:pPr>
      <w:r w:rsidRPr="00783B4B">
        <w:rPr>
          <w:rFonts w:eastAsia="TimesNewRoman"/>
          <w:sz w:val="22"/>
          <w:szCs w:val="22"/>
          <w:lang w:val="sr-Latn-ME" w:eastAsia="sr-Latn-CS"/>
        </w:rPr>
        <w:t>Neželjene reakcije navedene u nastavku su klasifikovane prema učestalosti i klas</w:t>
      </w:r>
      <w:r w:rsidR="009A55A0" w:rsidRPr="00783B4B">
        <w:rPr>
          <w:rFonts w:eastAsia="TimesNewRoman"/>
          <w:sz w:val="22"/>
          <w:szCs w:val="22"/>
          <w:lang w:val="sr-Latn-ME" w:eastAsia="sr-Latn-CS"/>
        </w:rPr>
        <w:t>ama</w:t>
      </w:r>
      <w:r w:rsidRPr="00783B4B">
        <w:rPr>
          <w:rFonts w:eastAsia="TimesNewRoman"/>
          <w:sz w:val="22"/>
          <w:szCs w:val="22"/>
          <w:lang w:val="sr-Latn-ME" w:eastAsia="sr-Latn-CS"/>
        </w:rPr>
        <w:t xml:space="preserve"> </w:t>
      </w:r>
      <w:r w:rsidR="009A55A0" w:rsidRPr="00783B4B">
        <w:rPr>
          <w:rFonts w:eastAsia="TimesNewRoman"/>
          <w:sz w:val="22"/>
          <w:szCs w:val="22"/>
          <w:lang w:val="sr-Latn-ME" w:eastAsia="sr-Latn-CS"/>
        </w:rPr>
        <w:t xml:space="preserve">sistema </w:t>
      </w:r>
      <w:r w:rsidRPr="00783B4B">
        <w:rPr>
          <w:rFonts w:eastAsia="TimesNewRoman"/>
          <w:sz w:val="22"/>
          <w:szCs w:val="22"/>
          <w:lang w:val="sr-Latn-ME" w:eastAsia="sr-Latn-CS"/>
        </w:rPr>
        <w:t>organ</w:t>
      </w:r>
      <w:r w:rsidR="00FB587E" w:rsidRPr="00783B4B">
        <w:rPr>
          <w:rFonts w:eastAsia="TimesNewRoman"/>
          <w:sz w:val="22"/>
          <w:szCs w:val="22"/>
          <w:lang w:val="sr-Latn-ME" w:eastAsia="sr-Latn-CS"/>
        </w:rPr>
        <w:t>a</w:t>
      </w:r>
      <w:r w:rsidRPr="00783B4B">
        <w:rPr>
          <w:rFonts w:eastAsia="TimesNewRoman"/>
          <w:sz w:val="22"/>
          <w:szCs w:val="22"/>
          <w:lang w:val="sr-Latn-ME" w:eastAsia="sr-Latn-CS"/>
        </w:rPr>
        <w:t xml:space="preserve"> (</w:t>
      </w:r>
      <w:proofErr w:type="spellStart"/>
      <w:r w:rsidRPr="00783B4B">
        <w:rPr>
          <w:rFonts w:eastAsia="TimesNewRoman"/>
          <w:i/>
          <w:iCs/>
          <w:sz w:val="22"/>
          <w:szCs w:val="22"/>
          <w:lang w:val="sr-Latn-ME" w:eastAsia="sr-Latn-CS"/>
        </w:rPr>
        <w:t>System</w:t>
      </w:r>
      <w:proofErr w:type="spellEnd"/>
      <w:r w:rsidR="0088545A" w:rsidRPr="00783B4B">
        <w:rPr>
          <w:rFonts w:eastAsia="TimesNewRoman"/>
          <w:i/>
          <w:iCs/>
          <w:sz w:val="22"/>
          <w:szCs w:val="22"/>
          <w:lang w:val="sr-Latn-ME" w:eastAsia="sr-Latn-CS"/>
        </w:rPr>
        <w:t xml:space="preserve"> </w:t>
      </w:r>
      <w:r w:rsidRPr="00783B4B">
        <w:rPr>
          <w:rFonts w:eastAsia="TimesNewRoman"/>
          <w:i/>
          <w:iCs/>
          <w:sz w:val="22"/>
          <w:szCs w:val="22"/>
          <w:lang w:val="sr-Latn-ME" w:eastAsia="sr-Latn-CS"/>
        </w:rPr>
        <w:t xml:space="preserve">Organ </w:t>
      </w:r>
      <w:proofErr w:type="spellStart"/>
      <w:r w:rsidRPr="00783B4B">
        <w:rPr>
          <w:rFonts w:eastAsia="TimesNewRoman"/>
          <w:i/>
          <w:iCs/>
          <w:sz w:val="22"/>
          <w:szCs w:val="22"/>
          <w:lang w:val="sr-Latn-ME" w:eastAsia="sr-Latn-CS"/>
        </w:rPr>
        <w:t>Class</w:t>
      </w:r>
      <w:proofErr w:type="spellEnd"/>
      <w:r w:rsidR="00FB587E" w:rsidRPr="00783B4B">
        <w:rPr>
          <w:rFonts w:eastAsia="TimesNewRoman"/>
          <w:sz w:val="22"/>
          <w:szCs w:val="22"/>
          <w:lang w:val="sr-Latn-ME" w:eastAsia="sr-Latn-CS"/>
        </w:rPr>
        <w:t>,</w:t>
      </w:r>
      <w:r w:rsidRPr="00783B4B">
        <w:rPr>
          <w:rFonts w:eastAsia="TimesNewRoman"/>
          <w:sz w:val="22"/>
          <w:szCs w:val="22"/>
          <w:lang w:val="sr-Latn-ME" w:eastAsia="sr-Latn-CS"/>
        </w:rPr>
        <w:t xml:space="preserve"> SOC). Učestalost je definisana na sljedeći način: veoma često (≥ 1/10), često (≥ 1/100 do &lt;</w:t>
      </w:r>
      <w:r w:rsidR="0088545A" w:rsidRPr="00783B4B">
        <w:rPr>
          <w:rFonts w:eastAsia="TimesNewRoman"/>
          <w:sz w:val="22"/>
          <w:szCs w:val="22"/>
          <w:lang w:val="sr-Latn-ME" w:eastAsia="sr-Latn-CS"/>
        </w:rPr>
        <w:t xml:space="preserve"> </w:t>
      </w:r>
      <w:r w:rsidRPr="00783B4B">
        <w:rPr>
          <w:rFonts w:eastAsia="TimesNewRoman"/>
          <w:sz w:val="22"/>
          <w:szCs w:val="22"/>
          <w:lang w:val="sr-Latn-ME" w:eastAsia="sr-Latn-CS"/>
        </w:rPr>
        <w:t xml:space="preserve">1/10), povremeno (≥ 1/1,000 do &lt; 1/100), rijetko (≥ 1/10000 do &lt;1/1000), i veoma rijetko (&lt;1/10000). Najčešće prijavljena neželjena dejstva su glavobolja, crvenilo lica, mučnina, osip, </w:t>
      </w:r>
      <w:proofErr w:type="spellStart"/>
      <w:r w:rsidR="006730BF" w:rsidRPr="00783B4B">
        <w:rPr>
          <w:rFonts w:eastAsia="TimesNewRoman"/>
          <w:sz w:val="22"/>
          <w:szCs w:val="22"/>
          <w:lang w:val="sr-Latn-ME" w:eastAsia="sr-Latn-CS"/>
        </w:rPr>
        <w:t>artralgija</w:t>
      </w:r>
      <w:proofErr w:type="spellEnd"/>
      <w:r w:rsidRPr="00783B4B">
        <w:rPr>
          <w:rFonts w:eastAsia="TimesNewRoman"/>
          <w:sz w:val="22"/>
          <w:szCs w:val="22"/>
          <w:lang w:val="sr-Latn-ME" w:eastAsia="sr-Latn-CS"/>
        </w:rPr>
        <w:t>, ukočenost zglobova</w:t>
      </w:r>
      <w:r w:rsidR="006730BF" w:rsidRPr="00783B4B">
        <w:rPr>
          <w:rFonts w:eastAsia="TimesNewRoman"/>
          <w:sz w:val="22"/>
          <w:szCs w:val="22"/>
          <w:lang w:val="sr-Latn-ME" w:eastAsia="sr-Latn-CS"/>
        </w:rPr>
        <w:t>, artritis</w:t>
      </w:r>
      <w:r w:rsidRPr="00783B4B">
        <w:rPr>
          <w:rFonts w:eastAsia="TimesNewRoman"/>
          <w:sz w:val="22"/>
          <w:szCs w:val="22"/>
          <w:lang w:val="sr-Latn-ME" w:eastAsia="sr-Latn-CS"/>
        </w:rPr>
        <w:t xml:space="preserve"> i astenija.</w:t>
      </w:r>
    </w:p>
    <w:p w14:paraId="0881615E" w14:textId="77777777" w:rsidR="00D644C2" w:rsidRPr="00783B4B" w:rsidRDefault="00D644C2" w:rsidP="00783B4B">
      <w:pPr>
        <w:jc w:val="both"/>
        <w:rPr>
          <w:b/>
          <w:bCs/>
          <w:sz w:val="22"/>
          <w:szCs w:val="22"/>
          <w:lang w:val="sr-Latn-ME"/>
        </w:rPr>
      </w:pPr>
    </w:p>
    <w:p w14:paraId="426DCA35" w14:textId="641757EF" w:rsidR="001126CB" w:rsidRPr="00783B4B" w:rsidRDefault="00D644C2" w:rsidP="00783B4B">
      <w:pPr>
        <w:jc w:val="both"/>
        <w:rPr>
          <w:bCs/>
          <w:sz w:val="22"/>
          <w:szCs w:val="22"/>
          <w:lang w:val="sr-Latn-ME"/>
        </w:rPr>
      </w:pPr>
      <w:r w:rsidRPr="00783B4B">
        <w:rPr>
          <w:b/>
          <w:sz w:val="22"/>
          <w:szCs w:val="22"/>
          <w:lang w:val="sr-Latn-ME"/>
        </w:rPr>
        <w:t>Tabela 1. Neželjena dejstva</w:t>
      </w:r>
      <w:r w:rsidR="001126CB" w:rsidRPr="00783B4B">
        <w:rPr>
          <w:b/>
          <w:sz w:val="22"/>
          <w:szCs w:val="22"/>
          <w:lang w:val="sr-Latn-ME"/>
        </w:rPr>
        <w:t xml:space="preserve"> prema učestalosti i klasama sistema organa</w:t>
      </w:r>
    </w:p>
    <w:p w14:paraId="6B317965" w14:textId="77777777" w:rsidR="00BC7638" w:rsidRPr="00783B4B" w:rsidRDefault="00BC7638" w:rsidP="00783B4B">
      <w:pPr>
        <w:rPr>
          <w:sz w:val="22"/>
          <w:szCs w:val="22"/>
          <w:lang w:val="sr-Latn-M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693"/>
        <w:gridCol w:w="4389"/>
      </w:tblGrid>
      <w:tr w:rsidR="00BC7638" w:rsidRPr="00783B4B" w14:paraId="48191BBC" w14:textId="77777777" w:rsidTr="00B26DF2">
        <w:trPr>
          <w:trHeight w:val="750"/>
        </w:trPr>
        <w:tc>
          <w:tcPr>
            <w:tcW w:w="1985" w:type="dxa"/>
          </w:tcPr>
          <w:p w14:paraId="0D25B67D" w14:textId="77777777" w:rsidR="00BC7638" w:rsidRPr="00783B4B" w:rsidRDefault="00BC7638" w:rsidP="00783B4B">
            <w:pPr>
              <w:pStyle w:val="Default"/>
              <w:rPr>
                <w:b/>
                <w:sz w:val="22"/>
                <w:szCs w:val="22"/>
                <w:lang w:val="sr-Latn-ME"/>
              </w:rPr>
            </w:pPr>
            <w:r w:rsidRPr="00783B4B">
              <w:rPr>
                <w:b/>
                <w:sz w:val="22"/>
                <w:szCs w:val="22"/>
                <w:lang w:val="sr-Latn-ME"/>
              </w:rPr>
              <w:t>Klasa sistema organa</w:t>
            </w:r>
          </w:p>
        </w:tc>
        <w:tc>
          <w:tcPr>
            <w:tcW w:w="2693" w:type="dxa"/>
          </w:tcPr>
          <w:p w14:paraId="7AD69AE5" w14:textId="77777777" w:rsidR="00BC7638" w:rsidRPr="00783B4B" w:rsidRDefault="00BC7638" w:rsidP="00783B4B">
            <w:pPr>
              <w:pStyle w:val="Default"/>
              <w:rPr>
                <w:b/>
                <w:sz w:val="22"/>
                <w:szCs w:val="22"/>
                <w:lang w:val="sr-Latn-ME"/>
              </w:rPr>
            </w:pPr>
            <w:r w:rsidRPr="00783B4B">
              <w:rPr>
                <w:b/>
                <w:sz w:val="22"/>
                <w:szCs w:val="22"/>
                <w:lang w:val="sr-Latn-ME"/>
              </w:rPr>
              <w:t>Učestalost</w:t>
            </w:r>
          </w:p>
        </w:tc>
        <w:tc>
          <w:tcPr>
            <w:tcW w:w="4389" w:type="dxa"/>
          </w:tcPr>
          <w:p w14:paraId="160139F5" w14:textId="77777777" w:rsidR="00BC7638" w:rsidRPr="00783B4B" w:rsidRDefault="00BC7638" w:rsidP="00783B4B">
            <w:pPr>
              <w:pStyle w:val="Default"/>
              <w:rPr>
                <w:b/>
                <w:sz w:val="22"/>
                <w:szCs w:val="22"/>
                <w:lang w:val="sr-Latn-ME"/>
              </w:rPr>
            </w:pPr>
            <w:r w:rsidRPr="00783B4B">
              <w:rPr>
                <w:b/>
                <w:sz w:val="22"/>
                <w:szCs w:val="22"/>
                <w:lang w:val="sr-Latn-ME"/>
              </w:rPr>
              <w:t>Neželjena reakcija</w:t>
            </w:r>
          </w:p>
        </w:tc>
      </w:tr>
      <w:tr w:rsidR="00BC7638" w:rsidRPr="00783B4B" w14:paraId="13C3E387" w14:textId="77777777" w:rsidTr="00B26DF2">
        <w:trPr>
          <w:trHeight w:val="386"/>
        </w:trPr>
        <w:tc>
          <w:tcPr>
            <w:tcW w:w="1985" w:type="dxa"/>
            <w:vMerge w:val="restart"/>
          </w:tcPr>
          <w:p w14:paraId="0649C9D3" w14:textId="77777777" w:rsidR="00BC7638" w:rsidRPr="00783B4B" w:rsidRDefault="00BC7638" w:rsidP="00783B4B">
            <w:pPr>
              <w:pStyle w:val="Default"/>
              <w:rPr>
                <w:sz w:val="22"/>
                <w:szCs w:val="22"/>
                <w:lang w:val="sr-Latn-ME"/>
              </w:rPr>
            </w:pPr>
            <w:r w:rsidRPr="00783B4B">
              <w:rPr>
                <w:sz w:val="22"/>
                <w:szCs w:val="22"/>
                <w:lang w:val="sr-Latn-ME"/>
              </w:rPr>
              <w:t>Poremećaji metabolizma i ishrane</w:t>
            </w:r>
          </w:p>
        </w:tc>
        <w:tc>
          <w:tcPr>
            <w:tcW w:w="2693" w:type="dxa"/>
          </w:tcPr>
          <w:p w14:paraId="57D064EA" w14:textId="11F2E612" w:rsidR="00BC7638" w:rsidRPr="00783B4B" w:rsidRDefault="006830DD" w:rsidP="00783B4B">
            <w:pPr>
              <w:pStyle w:val="Default"/>
              <w:rPr>
                <w:sz w:val="22"/>
                <w:szCs w:val="22"/>
                <w:lang w:val="sr-Latn-ME"/>
              </w:rPr>
            </w:pPr>
            <w:r w:rsidRPr="00783B4B">
              <w:rPr>
                <w:sz w:val="22"/>
                <w:szCs w:val="22"/>
                <w:lang w:val="sr-Latn-ME"/>
              </w:rPr>
              <w:t>Č</w:t>
            </w:r>
            <w:r w:rsidR="00BC7638" w:rsidRPr="00783B4B">
              <w:rPr>
                <w:sz w:val="22"/>
                <w:szCs w:val="22"/>
                <w:lang w:val="sr-Latn-ME"/>
              </w:rPr>
              <w:t xml:space="preserve">esto </w:t>
            </w:r>
          </w:p>
          <w:p w14:paraId="70BC46DD" w14:textId="77777777" w:rsidR="00BC7638" w:rsidRPr="00783B4B" w:rsidRDefault="00BC7638" w:rsidP="00783B4B">
            <w:pPr>
              <w:pStyle w:val="Default"/>
              <w:rPr>
                <w:sz w:val="22"/>
                <w:szCs w:val="22"/>
                <w:lang w:val="sr-Latn-ME"/>
              </w:rPr>
            </w:pPr>
          </w:p>
          <w:p w14:paraId="01F76EAC" w14:textId="77777777" w:rsidR="00BC7638" w:rsidRPr="00783B4B" w:rsidRDefault="00BC7638" w:rsidP="00783B4B">
            <w:pPr>
              <w:pStyle w:val="Default"/>
              <w:rPr>
                <w:sz w:val="22"/>
                <w:szCs w:val="22"/>
                <w:lang w:val="sr-Latn-ME"/>
              </w:rPr>
            </w:pPr>
          </w:p>
        </w:tc>
        <w:tc>
          <w:tcPr>
            <w:tcW w:w="4389" w:type="dxa"/>
          </w:tcPr>
          <w:p w14:paraId="0C5D5CA2" w14:textId="6E955B04" w:rsidR="00BC7638" w:rsidRPr="00783B4B" w:rsidRDefault="006830DD" w:rsidP="00783B4B">
            <w:pPr>
              <w:pStyle w:val="Default"/>
              <w:rPr>
                <w:sz w:val="22"/>
                <w:szCs w:val="22"/>
                <w:lang w:val="sr-Latn-ME"/>
              </w:rPr>
            </w:pPr>
            <w:proofErr w:type="spellStart"/>
            <w:r w:rsidRPr="00783B4B">
              <w:rPr>
                <w:sz w:val="22"/>
                <w:szCs w:val="22"/>
                <w:lang w:val="sr-Latn-ME"/>
              </w:rPr>
              <w:t>A</w:t>
            </w:r>
            <w:r w:rsidR="00BC7638" w:rsidRPr="00783B4B">
              <w:rPr>
                <w:sz w:val="22"/>
                <w:szCs w:val="22"/>
                <w:lang w:val="sr-Latn-ME"/>
              </w:rPr>
              <w:t>noreksija</w:t>
            </w:r>
            <w:proofErr w:type="spellEnd"/>
          </w:p>
          <w:p w14:paraId="74B76368" w14:textId="1A563C7A" w:rsidR="00BC7638" w:rsidRPr="00783B4B" w:rsidRDefault="00C77BFC" w:rsidP="00783B4B">
            <w:pPr>
              <w:pStyle w:val="Default"/>
              <w:rPr>
                <w:sz w:val="22"/>
                <w:szCs w:val="22"/>
                <w:lang w:val="sr-Latn-ME"/>
              </w:rPr>
            </w:pPr>
            <w:proofErr w:type="spellStart"/>
            <w:r w:rsidRPr="00783B4B">
              <w:rPr>
                <w:sz w:val="22"/>
                <w:szCs w:val="22"/>
                <w:lang w:val="sr-Latn-ME"/>
              </w:rPr>
              <w:t>H</w:t>
            </w:r>
            <w:r w:rsidR="00BC7638" w:rsidRPr="00783B4B">
              <w:rPr>
                <w:sz w:val="22"/>
                <w:szCs w:val="22"/>
                <w:lang w:val="sr-Latn-ME"/>
              </w:rPr>
              <w:t>iperholesterolemija</w:t>
            </w:r>
            <w:proofErr w:type="spellEnd"/>
            <w:r w:rsidR="00BC7638" w:rsidRPr="00783B4B">
              <w:rPr>
                <w:sz w:val="22"/>
                <w:szCs w:val="22"/>
                <w:lang w:val="sr-Latn-ME"/>
              </w:rPr>
              <w:t xml:space="preserve"> </w:t>
            </w:r>
          </w:p>
          <w:p w14:paraId="3A6D723A" w14:textId="77777777" w:rsidR="00BC7638" w:rsidRPr="00783B4B" w:rsidRDefault="00BC7638" w:rsidP="00783B4B">
            <w:pPr>
              <w:pStyle w:val="Default"/>
              <w:rPr>
                <w:sz w:val="22"/>
                <w:szCs w:val="22"/>
                <w:lang w:val="sr-Latn-ME"/>
              </w:rPr>
            </w:pPr>
          </w:p>
        </w:tc>
      </w:tr>
      <w:tr w:rsidR="00BC7638" w:rsidRPr="00783B4B" w14:paraId="02B5D251" w14:textId="77777777" w:rsidTr="00B26DF2">
        <w:trPr>
          <w:trHeight w:val="386"/>
        </w:trPr>
        <w:tc>
          <w:tcPr>
            <w:tcW w:w="1985" w:type="dxa"/>
            <w:vMerge/>
          </w:tcPr>
          <w:p w14:paraId="5CFC7E52" w14:textId="77777777" w:rsidR="00BC7638" w:rsidRPr="00783B4B" w:rsidRDefault="00BC7638" w:rsidP="00783B4B">
            <w:pPr>
              <w:pStyle w:val="Default"/>
              <w:rPr>
                <w:sz w:val="22"/>
                <w:szCs w:val="22"/>
                <w:lang w:val="sr-Latn-ME"/>
              </w:rPr>
            </w:pPr>
          </w:p>
        </w:tc>
        <w:tc>
          <w:tcPr>
            <w:tcW w:w="2693" w:type="dxa"/>
          </w:tcPr>
          <w:p w14:paraId="5D86E62E" w14:textId="4AE9604B" w:rsidR="00BC7638" w:rsidRPr="00783B4B" w:rsidRDefault="006830DD" w:rsidP="00783B4B">
            <w:pPr>
              <w:pStyle w:val="Default"/>
              <w:rPr>
                <w:sz w:val="22"/>
                <w:szCs w:val="22"/>
                <w:lang w:val="sr-Latn-ME"/>
              </w:rPr>
            </w:pPr>
            <w:r w:rsidRPr="00783B4B">
              <w:rPr>
                <w:sz w:val="22"/>
                <w:szCs w:val="22"/>
                <w:lang w:val="sr-Latn-ME"/>
              </w:rPr>
              <w:t>P</w:t>
            </w:r>
            <w:r w:rsidR="00BC7638" w:rsidRPr="00783B4B">
              <w:rPr>
                <w:sz w:val="22"/>
                <w:szCs w:val="22"/>
                <w:lang w:val="sr-Latn-ME"/>
              </w:rPr>
              <w:t>ovremeno</w:t>
            </w:r>
          </w:p>
        </w:tc>
        <w:tc>
          <w:tcPr>
            <w:tcW w:w="4389" w:type="dxa"/>
          </w:tcPr>
          <w:p w14:paraId="1B395D1D" w14:textId="64D2DDC9" w:rsidR="00BC7638" w:rsidRPr="00783B4B" w:rsidRDefault="0058648A" w:rsidP="00783B4B">
            <w:pPr>
              <w:pStyle w:val="Default"/>
              <w:rPr>
                <w:sz w:val="22"/>
                <w:szCs w:val="22"/>
                <w:lang w:val="sr-Latn-ME"/>
              </w:rPr>
            </w:pPr>
            <w:proofErr w:type="spellStart"/>
            <w:r w:rsidRPr="00783B4B">
              <w:rPr>
                <w:sz w:val="22"/>
                <w:szCs w:val="22"/>
                <w:lang w:val="sr-Latn-ME"/>
              </w:rPr>
              <w:t>Hiperkalcemija</w:t>
            </w:r>
            <w:proofErr w:type="spellEnd"/>
            <w:r w:rsidRPr="00783B4B">
              <w:rPr>
                <w:sz w:val="22"/>
                <w:szCs w:val="22"/>
                <w:lang w:val="sr-Latn-ME"/>
              </w:rPr>
              <w:t xml:space="preserve"> </w:t>
            </w:r>
            <w:r w:rsidR="00BC7638" w:rsidRPr="00783B4B">
              <w:rPr>
                <w:sz w:val="22"/>
                <w:szCs w:val="22"/>
                <w:lang w:val="sr-Latn-ME"/>
              </w:rPr>
              <w:t xml:space="preserve">(sa ili bez povećanja vrijednosti </w:t>
            </w:r>
            <w:proofErr w:type="spellStart"/>
            <w:r w:rsidR="00BC7638" w:rsidRPr="00783B4B">
              <w:rPr>
                <w:sz w:val="22"/>
                <w:szCs w:val="22"/>
                <w:lang w:val="sr-Latn-ME"/>
              </w:rPr>
              <w:t>paratiroidnog</w:t>
            </w:r>
            <w:proofErr w:type="spellEnd"/>
            <w:r w:rsidR="00BC7638" w:rsidRPr="00783B4B">
              <w:rPr>
                <w:sz w:val="22"/>
                <w:szCs w:val="22"/>
                <w:lang w:val="sr-Latn-ME"/>
              </w:rPr>
              <w:t xml:space="preserve"> hormona)</w:t>
            </w:r>
          </w:p>
        </w:tc>
      </w:tr>
      <w:tr w:rsidR="007C481D" w:rsidRPr="00783B4B" w14:paraId="500D81A6" w14:textId="77777777" w:rsidTr="00B26DF2">
        <w:trPr>
          <w:trHeight w:val="386"/>
        </w:trPr>
        <w:tc>
          <w:tcPr>
            <w:tcW w:w="1985" w:type="dxa"/>
          </w:tcPr>
          <w:p w14:paraId="7424139B" w14:textId="7A64B5F0" w:rsidR="007C481D" w:rsidRPr="00783B4B" w:rsidRDefault="007C481D" w:rsidP="00783B4B">
            <w:pPr>
              <w:pStyle w:val="Default"/>
              <w:rPr>
                <w:sz w:val="22"/>
                <w:szCs w:val="22"/>
                <w:lang w:val="sr-Latn-ME"/>
              </w:rPr>
            </w:pPr>
            <w:r w:rsidRPr="00783B4B">
              <w:rPr>
                <w:sz w:val="22"/>
                <w:szCs w:val="22"/>
                <w:lang w:val="sr-Latn-ME"/>
              </w:rPr>
              <w:t>Psihijatrijski poremećaji</w:t>
            </w:r>
          </w:p>
        </w:tc>
        <w:tc>
          <w:tcPr>
            <w:tcW w:w="2693" w:type="dxa"/>
          </w:tcPr>
          <w:p w14:paraId="27110770" w14:textId="144B4DE2" w:rsidR="007C481D" w:rsidRPr="00783B4B" w:rsidRDefault="007C481D" w:rsidP="00783B4B">
            <w:pPr>
              <w:pStyle w:val="Default"/>
              <w:rPr>
                <w:sz w:val="22"/>
                <w:szCs w:val="22"/>
                <w:lang w:val="sr-Latn-ME"/>
              </w:rPr>
            </w:pPr>
            <w:r w:rsidRPr="00783B4B">
              <w:rPr>
                <w:sz w:val="22"/>
                <w:szCs w:val="22"/>
                <w:lang w:val="sr-Latn-ME"/>
              </w:rPr>
              <w:t>Vrlo često</w:t>
            </w:r>
          </w:p>
        </w:tc>
        <w:tc>
          <w:tcPr>
            <w:tcW w:w="4389" w:type="dxa"/>
          </w:tcPr>
          <w:p w14:paraId="53571D57" w14:textId="69595852" w:rsidR="007C481D" w:rsidRPr="00783B4B" w:rsidRDefault="007C481D" w:rsidP="00783B4B">
            <w:pPr>
              <w:pStyle w:val="Default"/>
              <w:rPr>
                <w:sz w:val="22"/>
                <w:szCs w:val="22"/>
                <w:lang w:val="sr-Latn-ME"/>
              </w:rPr>
            </w:pPr>
            <w:r w:rsidRPr="00783B4B">
              <w:rPr>
                <w:sz w:val="22"/>
                <w:szCs w:val="22"/>
                <w:lang w:val="sr-Latn-ME"/>
              </w:rPr>
              <w:t>Depresija</w:t>
            </w:r>
          </w:p>
        </w:tc>
      </w:tr>
      <w:tr w:rsidR="00BC7638" w:rsidRPr="00783B4B" w14:paraId="7E2F9A28" w14:textId="77777777" w:rsidTr="00B26DF2">
        <w:trPr>
          <w:trHeight w:val="730"/>
        </w:trPr>
        <w:tc>
          <w:tcPr>
            <w:tcW w:w="1985" w:type="dxa"/>
            <w:vMerge w:val="restart"/>
          </w:tcPr>
          <w:p w14:paraId="14522A6C" w14:textId="77777777" w:rsidR="00BC7638" w:rsidRPr="00783B4B" w:rsidRDefault="00BC7638" w:rsidP="00783B4B">
            <w:pPr>
              <w:pStyle w:val="Default"/>
              <w:rPr>
                <w:sz w:val="22"/>
                <w:szCs w:val="22"/>
                <w:lang w:val="sr-Latn-ME"/>
              </w:rPr>
            </w:pPr>
            <w:r w:rsidRPr="00783B4B">
              <w:rPr>
                <w:sz w:val="22"/>
                <w:szCs w:val="22"/>
                <w:lang w:val="sr-Latn-ME"/>
              </w:rPr>
              <w:t>Poremećaji nervnog sistema</w:t>
            </w:r>
          </w:p>
        </w:tc>
        <w:tc>
          <w:tcPr>
            <w:tcW w:w="2693" w:type="dxa"/>
          </w:tcPr>
          <w:p w14:paraId="2F321F2B" w14:textId="2C275288" w:rsidR="00BC7638" w:rsidRPr="00783B4B" w:rsidRDefault="00C77BFC" w:rsidP="00783B4B">
            <w:pPr>
              <w:pStyle w:val="Default"/>
              <w:rPr>
                <w:sz w:val="22"/>
                <w:szCs w:val="22"/>
                <w:lang w:val="sr-Latn-ME"/>
              </w:rPr>
            </w:pPr>
            <w:r w:rsidRPr="00783B4B">
              <w:rPr>
                <w:sz w:val="22"/>
                <w:szCs w:val="22"/>
                <w:lang w:val="sr-Latn-ME"/>
              </w:rPr>
              <w:t xml:space="preserve">Veoma </w:t>
            </w:r>
            <w:r w:rsidR="00BC7638" w:rsidRPr="00783B4B">
              <w:rPr>
                <w:sz w:val="22"/>
                <w:szCs w:val="22"/>
                <w:lang w:val="sr-Latn-ME"/>
              </w:rPr>
              <w:t xml:space="preserve">često </w:t>
            </w:r>
          </w:p>
        </w:tc>
        <w:tc>
          <w:tcPr>
            <w:tcW w:w="4389" w:type="dxa"/>
          </w:tcPr>
          <w:p w14:paraId="30E28C5D" w14:textId="50663236" w:rsidR="00BC7638" w:rsidRPr="00783B4B" w:rsidRDefault="00C77BFC" w:rsidP="00783B4B">
            <w:pPr>
              <w:pStyle w:val="Default"/>
              <w:rPr>
                <w:sz w:val="22"/>
                <w:szCs w:val="22"/>
                <w:lang w:val="sr-Latn-ME"/>
              </w:rPr>
            </w:pPr>
            <w:r w:rsidRPr="00783B4B">
              <w:rPr>
                <w:sz w:val="22"/>
                <w:szCs w:val="22"/>
                <w:lang w:val="sr-Latn-ME"/>
              </w:rPr>
              <w:t>Glavobolja</w:t>
            </w:r>
          </w:p>
        </w:tc>
      </w:tr>
      <w:tr w:rsidR="00BC7638" w:rsidRPr="00783B4B" w14:paraId="217A95F2" w14:textId="77777777" w:rsidTr="00B26DF2">
        <w:trPr>
          <w:trHeight w:val="888"/>
        </w:trPr>
        <w:tc>
          <w:tcPr>
            <w:tcW w:w="1985" w:type="dxa"/>
            <w:vMerge/>
          </w:tcPr>
          <w:p w14:paraId="0339F096" w14:textId="77777777" w:rsidR="00BC7638" w:rsidRPr="00783B4B" w:rsidRDefault="00BC7638" w:rsidP="00783B4B">
            <w:pPr>
              <w:pStyle w:val="Default"/>
              <w:rPr>
                <w:color w:val="auto"/>
                <w:sz w:val="22"/>
                <w:szCs w:val="22"/>
                <w:lang w:val="sr-Latn-ME"/>
              </w:rPr>
            </w:pPr>
          </w:p>
        </w:tc>
        <w:tc>
          <w:tcPr>
            <w:tcW w:w="2693" w:type="dxa"/>
          </w:tcPr>
          <w:p w14:paraId="60CF6E4D" w14:textId="5CDCBD3C" w:rsidR="00BC7638" w:rsidRPr="00783B4B" w:rsidRDefault="00C77BFC" w:rsidP="00783B4B">
            <w:pPr>
              <w:pStyle w:val="Default"/>
              <w:rPr>
                <w:sz w:val="22"/>
                <w:szCs w:val="22"/>
                <w:lang w:val="sr-Latn-ME"/>
              </w:rPr>
            </w:pPr>
            <w:r w:rsidRPr="00783B4B">
              <w:rPr>
                <w:sz w:val="22"/>
                <w:szCs w:val="22"/>
                <w:lang w:val="sr-Latn-ME"/>
              </w:rPr>
              <w:t xml:space="preserve">Često </w:t>
            </w:r>
          </w:p>
        </w:tc>
        <w:tc>
          <w:tcPr>
            <w:tcW w:w="4389" w:type="dxa"/>
            <w:shd w:val="clear" w:color="auto" w:fill="auto"/>
          </w:tcPr>
          <w:p w14:paraId="10C76894" w14:textId="6DB0A443" w:rsidR="00BC7638" w:rsidRPr="00783B4B" w:rsidRDefault="00C77BFC" w:rsidP="00783B4B">
            <w:pPr>
              <w:pStyle w:val="Default"/>
              <w:rPr>
                <w:sz w:val="22"/>
                <w:szCs w:val="22"/>
                <w:lang w:val="sr-Latn-ME"/>
              </w:rPr>
            </w:pPr>
            <w:proofErr w:type="spellStart"/>
            <w:r w:rsidRPr="00783B4B">
              <w:rPr>
                <w:sz w:val="22"/>
                <w:szCs w:val="22"/>
                <w:lang w:val="sr-Latn-ME"/>
              </w:rPr>
              <w:t>Somnolencija</w:t>
            </w:r>
            <w:proofErr w:type="spellEnd"/>
          </w:p>
          <w:p w14:paraId="53EF4228" w14:textId="77777777" w:rsidR="006830DD" w:rsidRPr="00783B4B" w:rsidRDefault="006830DD" w:rsidP="00783B4B">
            <w:pPr>
              <w:tabs>
                <w:tab w:val="left" w:pos="284"/>
              </w:tabs>
              <w:jc w:val="both"/>
              <w:rPr>
                <w:sz w:val="22"/>
                <w:szCs w:val="22"/>
                <w:lang w:val="sr-Latn-ME"/>
              </w:rPr>
            </w:pPr>
            <w:proofErr w:type="spellStart"/>
            <w:r w:rsidRPr="00783B4B">
              <w:rPr>
                <w:i/>
                <w:sz w:val="22"/>
                <w:szCs w:val="22"/>
                <w:lang w:val="sr-Latn-ME"/>
              </w:rPr>
              <w:t>Carpal</w:t>
            </w:r>
            <w:proofErr w:type="spellEnd"/>
            <w:r w:rsidRPr="00783B4B">
              <w:rPr>
                <w:i/>
                <w:sz w:val="22"/>
                <w:szCs w:val="22"/>
                <w:lang w:val="sr-Latn-ME"/>
              </w:rPr>
              <w:t xml:space="preserve"> </w:t>
            </w:r>
            <w:proofErr w:type="spellStart"/>
            <w:r w:rsidRPr="00783B4B">
              <w:rPr>
                <w:i/>
                <w:sz w:val="22"/>
                <w:szCs w:val="22"/>
                <w:lang w:val="sr-Latn-ME"/>
              </w:rPr>
              <w:t>Tunnel</w:t>
            </w:r>
            <w:proofErr w:type="spellEnd"/>
            <w:r w:rsidRPr="00783B4B">
              <w:rPr>
                <w:sz w:val="22"/>
                <w:szCs w:val="22"/>
                <w:lang w:val="sr-Latn-ME"/>
              </w:rPr>
              <w:t xml:space="preserve"> sindrom*</w:t>
            </w:r>
          </w:p>
          <w:p w14:paraId="4D03AFC2" w14:textId="2C9A91A8" w:rsidR="00CE5144" w:rsidRPr="00783B4B" w:rsidRDefault="006830DD" w:rsidP="00783B4B">
            <w:pPr>
              <w:pStyle w:val="Default"/>
              <w:rPr>
                <w:sz w:val="22"/>
                <w:szCs w:val="22"/>
                <w:lang w:val="sr-Latn-ME"/>
              </w:rPr>
            </w:pPr>
            <w:proofErr w:type="spellStart"/>
            <w:r w:rsidRPr="00783B4B">
              <w:rPr>
                <w:color w:val="auto"/>
                <w:sz w:val="22"/>
                <w:szCs w:val="22"/>
                <w:lang w:val="sr-Latn-ME" w:eastAsia="en-US"/>
              </w:rPr>
              <w:t>Senzorni</w:t>
            </w:r>
            <w:proofErr w:type="spellEnd"/>
            <w:r w:rsidRPr="00783B4B">
              <w:rPr>
                <w:color w:val="auto"/>
                <w:sz w:val="22"/>
                <w:szCs w:val="22"/>
                <w:lang w:val="sr-Latn-ME" w:eastAsia="en-US"/>
              </w:rPr>
              <w:t xml:space="preserve"> poremećaji (uključujući </w:t>
            </w:r>
            <w:proofErr w:type="spellStart"/>
            <w:r w:rsidRPr="00783B4B">
              <w:rPr>
                <w:color w:val="auto"/>
                <w:sz w:val="22"/>
                <w:szCs w:val="22"/>
                <w:lang w:val="sr-Latn-ME" w:eastAsia="en-US"/>
              </w:rPr>
              <w:t>paresteziju</w:t>
            </w:r>
            <w:proofErr w:type="spellEnd"/>
            <w:r w:rsidRPr="00783B4B">
              <w:rPr>
                <w:color w:val="auto"/>
                <w:sz w:val="22"/>
                <w:szCs w:val="22"/>
                <w:lang w:val="sr-Latn-ME" w:eastAsia="en-US"/>
              </w:rPr>
              <w:t>, gubitak čula ukusa i poremećaj (perverziju) ukusa)</w:t>
            </w:r>
          </w:p>
        </w:tc>
      </w:tr>
      <w:tr w:rsidR="00BC7638" w:rsidRPr="00783B4B" w14:paraId="3AF0C822" w14:textId="77777777" w:rsidTr="00B26DF2">
        <w:trPr>
          <w:trHeight w:val="730"/>
        </w:trPr>
        <w:tc>
          <w:tcPr>
            <w:tcW w:w="1985" w:type="dxa"/>
          </w:tcPr>
          <w:p w14:paraId="76D7310A" w14:textId="77777777" w:rsidR="00BC7638" w:rsidRPr="00783B4B" w:rsidRDefault="00BC7638" w:rsidP="00783B4B">
            <w:pPr>
              <w:pStyle w:val="Default"/>
              <w:rPr>
                <w:sz w:val="22"/>
                <w:szCs w:val="22"/>
                <w:lang w:val="sr-Latn-ME"/>
              </w:rPr>
            </w:pPr>
            <w:r w:rsidRPr="00783B4B">
              <w:rPr>
                <w:sz w:val="22"/>
                <w:szCs w:val="22"/>
                <w:lang w:val="sr-Latn-ME"/>
              </w:rPr>
              <w:t>Vaskularni poremećaji</w:t>
            </w:r>
          </w:p>
        </w:tc>
        <w:tc>
          <w:tcPr>
            <w:tcW w:w="2693" w:type="dxa"/>
          </w:tcPr>
          <w:p w14:paraId="38813B74" w14:textId="027125E9" w:rsidR="00BC7638" w:rsidRPr="00783B4B" w:rsidRDefault="0058648A" w:rsidP="00783B4B">
            <w:pPr>
              <w:pStyle w:val="Default"/>
              <w:rPr>
                <w:sz w:val="22"/>
                <w:szCs w:val="22"/>
                <w:lang w:val="sr-Latn-ME"/>
              </w:rPr>
            </w:pPr>
            <w:r w:rsidRPr="00783B4B">
              <w:rPr>
                <w:sz w:val="22"/>
                <w:szCs w:val="22"/>
                <w:lang w:val="sr-Latn-ME"/>
              </w:rPr>
              <w:t xml:space="preserve">Veoma </w:t>
            </w:r>
            <w:r w:rsidR="00BC7638" w:rsidRPr="00783B4B">
              <w:rPr>
                <w:sz w:val="22"/>
                <w:szCs w:val="22"/>
                <w:lang w:val="sr-Latn-ME"/>
              </w:rPr>
              <w:t xml:space="preserve">često </w:t>
            </w:r>
          </w:p>
        </w:tc>
        <w:tc>
          <w:tcPr>
            <w:tcW w:w="4389" w:type="dxa"/>
            <w:shd w:val="clear" w:color="auto" w:fill="auto"/>
          </w:tcPr>
          <w:p w14:paraId="50D29D7E" w14:textId="6BB061AF" w:rsidR="00BC7638" w:rsidRPr="00783B4B" w:rsidRDefault="00AC03FE" w:rsidP="00783B4B">
            <w:pPr>
              <w:pStyle w:val="Default"/>
              <w:rPr>
                <w:sz w:val="22"/>
                <w:szCs w:val="22"/>
                <w:lang w:val="sr-Latn-ME"/>
              </w:rPr>
            </w:pPr>
            <w:r w:rsidRPr="00783B4B">
              <w:rPr>
                <w:color w:val="auto"/>
                <w:sz w:val="22"/>
                <w:szCs w:val="22"/>
                <w:lang w:val="sr-Latn-ME" w:eastAsia="en-US"/>
              </w:rPr>
              <w:t>Naleti vrućine</w:t>
            </w:r>
          </w:p>
        </w:tc>
      </w:tr>
      <w:tr w:rsidR="00BC7638" w:rsidRPr="00783B4B" w14:paraId="6FA78837" w14:textId="77777777" w:rsidTr="00B26DF2">
        <w:trPr>
          <w:trHeight w:val="728"/>
        </w:trPr>
        <w:tc>
          <w:tcPr>
            <w:tcW w:w="1985" w:type="dxa"/>
            <w:vMerge w:val="restart"/>
          </w:tcPr>
          <w:p w14:paraId="423AA6A1" w14:textId="77777777" w:rsidR="00BC7638" w:rsidRPr="00783B4B" w:rsidRDefault="00BC7638" w:rsidP="00783B4B">
            <w:pPr>
              <w:pStyle w:val="Default"/>
              <w:rPr>
                <w:sz w:val="22"/>
                <w:szCs w:val="22"/>
                <w:lang w:val="sr-Latn-ME"/>
              </w:rPr>
            </w:pPr>
            <w:r w:rsidRPr="00783B4B">
              <w:rPr>
                <w:sz w:val="22"/>
                <w:szCs w:val="22"/>
                <w:lang w:val="sr-Latn-ME"/>
              </w:rPr>
              <w:t>Gastrointestinalni poremećaji</w:t>
            </w:r>
          </w:p>
        </w:tc>
        <w:tc>
          <w:tcPr>
            <w:tcW w:w="2693" w:type="dxa"/>
          </w:tcPr>
          <w:p w14:paraId="5F174601" w14:textId="0F62EECA" w:rsidR="00BC7638" w:rsidRPr="00783B4B" w:rsidRDefault="00AC03FE" w:rsidP="00783B4B">
            <w:pPr>
              <w:pStyle w:val="Default"/>
              <w:rPr>
                <w:sz w:val="22"/>
                <w:szCs w:val="22"/>
                <w:lang w:val="sr-Latn-ME"/>
              </w:rPr>
            </w:pPr>
            <w:r w:rsidRPr="00783B4B">
              <w:rPr>
                <w:sz w:val="22"/>
                <w:szCs w:val="22"/>
                <w:lang w:val="sr-Latn-ME"/>
              </w:rPr>
              <w:t xml:space="preserve">Veoma </w:t>
            </w:r>
            <w:r w:rsidR="00BC7638" w:rsidRPr="00783B4B">
              <w:rPr>
                <w:sz w:val="22"/>
                <w:szCs w:val="22"/>
                <w:lang w:val="sr-Latn-ME"/>
              </w:rPr>
              <w:t xml:space="preserve">često </w:t>
            </w:r>
          </w:p>
        </w:tc>
        <w:tc>
          <w:tcPr>
            <w:tcW w:w="4389" w:type="dxa"/>
          </w:tcPr>
          <w:p w14:paraId="1AE57433" w14:textId="290F1678" w:rsidR="00BC7638" w:rsidRPr="00783B4B" w:rsidRDefault="00AC03FE" w:rsidP="00783B4B">
            <w:pPr>
              <w:pStyle w:val="Default"/>
              <w:rPr>
                <w:sz w:val="22"/>
                <w:szCs w:val="22"/>
                <w:lang w:val="sr-Latn-ME"/>
              </w:rPr>
            </w:pPr>
            <w:r w:rsidRPr="00783B4B">
              <w:rPr>
                <w:sz w:val="22"/>
                <w:szCs w:val="22"/>
                <w:lang w:val="sr-Latn-ME"/>
              </w:rPr>
              <w:t>Mučnina</w:t>
            </w:r>
          </w:p>
        </w:tc>
      </w:tr>
      <w:tr w:rsidR="00BC7638" w:rsidRPr="00783B4B" w14:paraId="609167E2" w14:textId="77777777" w:rsidTr="00B26DF2">
        <w:trPr>
          <w:trHeight w:val="728"/>
        </w:trPr>
        <w:tc>
          <w:tcPr>
            <w:tcW w:w="1985" w:type="dxa"/>
            <w:vMerge/>
          </w:tcPr>
          <w:p w14:paraId="09218EF5"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677612E9" w14:textId="3B256DA8" w:rsidR="00BC7638" w:rsidRPr="00783B4B" w:rsidRDefault="00AC03FE"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Često </w:t>
            </w:r>
          </w:p>
        </w:tc>
        <w:tc>
          <w:tcPr>
            <w:tcW w:w="4389" w:type="dxa"/>
          </w:tcPr>
          <w:p w14:paraId="37C0608B" w14:textId="24579306" w:rsidR="00BC7638" w:rsidRPr="00783B4B" w:rsidRDefault="00AC03FE" w:rsidP="00783B4B">
            <w:pPr>
              <w:pStyle w:val="FootnoteText"/>
              <w:tabs>
                <w:tab w:val="clear" w:pos="425"/>
                <w:tab w:val="left" w:pos="34"/>
              </w:tabs>
              <w:autoSpaceDE w:val="0"/>
              <w:autoSpaceDN w:val="0"/>
              <w:adjustRightInd w:val="0"/>
              <w:spacing w:line="240" w:lineRule="auto"/>
              <w:ind w:left="0" w:firstLine="0"/>
              <w:rPr>
                <w:sz w:val="22"/>
                <w:szCs w:val="22"/>
                <w:lang w:val="sr-Latn-ME"/>
              </w:rPr>
            </w:pPr>
            <w:r w:rsidRPr="00783B4B">
              <w:rPr>
                <w:sz w:val="22"/>
                <w:szCs w:val="22"/>
                <w:lang w:val="sr-Latn-ME"/>
              </w:rPr>
              <w:t>Dijarej</w:t>
            </w:r>
            <w:r w:rsidR="001C5DA5" w:rsidRPr="00783B4B">
              <w:rPr>
                <w:sz w:val="22"/>
                <w:szCs w:val="22"/>
                <w:lang w:val="sr-Latn-ME"/>
              </w:rPr>
              <w:t>a</w:t>
            </w:r>
          </w:p>
          <w:p w14:paraId="6A447D8D" w14:textId="50F612BD" w:rsidR="00BC7638" w:rsidRPr="00783B4B" w:rsidRDefault="00AC03FE" w:rsidP="00783B4B">
            <w:pPr>
              <w:pStyle w:val="FootnoteText"/>
              <w:tabs>
                <w:tab w:val="clear" w:pos="425"/>
                <w:tab w:val="left" w:pos="34"/>
              </w:tabs>
              <w:autoSpaceDE w:val="0"/>
              <w:autoSpaceDN w:val="0"/>
              <w:adjustRightInd w:val="0"/>
              <w:spacing w:line="240" w:lineRule="auto"/>
              <w:ind w:left="0" w:firstLine="0"/>
              <w:rPr>
                <w:sz w:val="22"/>
                <w:szCs w:val="22"/>
                <w:lang w:val="sr-Latn-ME"/>
              </w:rPr>
            </w:pPr>
            <w:r w:rsidRPr="00783B4B">
              <w:rPr>
                <w:sz w:val="22"/>
                <w:szCs w:val="22"/>
                <w:lang w:val="sr-Latn-ME"/>
              </w:rPr>
              <w:t xml:space="preserve">Povraćanje </w:t>
            </w:r>
          </w:p>
        </w:tc>
      </w:tr>
      <w:tr w:rsidR="00BC7638" w:rsidRPr="00783B4B" w14:paraId="525457A7" w14:textId="77777777" w:rsidTr="00B26DF2">
        <w:trPr>
          <w:trHeight w:val="728"/>
        </w:trPr>
        <w:tc>
          <w:tcPr>
            <w:tcW w:w="1985" w:type="dxa"/>
            <w:vMerge w:val="restart"/>
          </w:tcPr>
          <w:p w14:paraId="454B24E4" w14:textId="77777777" w:rsidR="00BC7638" w:rsidRPr="00783B4B" w:rsidRDefault="00BC7638" w:rsidP="00783B4B">
            <w:pPr>
              <w:pStyle w:val="FootnoteText"/>
              <w:autoSpaceDE w:val="0"/>
              <w:autoSpaceDN w:val="0"/>
              <w:adjustRightInd w:val="0"/>
              <w:spacing w:line="240" w:lineRule="auto"/>
              <w:ind w:left="0" w:firstLine="0"/>
              <w:jc w:val="left"/>
              <w:rPr>
                <w:sz w:val="22"/>
                <w:szCs w:val="22"/>
                <w:lang w:val="sr-Latn-ME"/>
              </w:rPr>
            </w:pPr>
            <w:proofErr w:type="spellStart"/>
            <w:r w:rsidRPr="00783B4B">
              <w:rPr>
                <w:sz w:val="22"/>
                <w:szCs w:val="22"/>
                <w:lang w:val="sr-Latn-ME"/>
              </w:rPr>
              <w:t>Hepatobiliarni</w:t>
            </w:r>
            <w:proofErr w:type="spellEnd"/>
            <w:r w:rsidRPr="00783B4B">
              <w:rPr>
                <w:sz w:val="22"/>
                <w:szCs w:val="22"/>
                <w:lang w:val="sr-Latn-ME"/>
              </w:rPr>
              <w:t xml:space="preserve"> poremećaji</w:t>
            </w:r>
          </w:p>
        </w:tc>
        <w:tc>
          <w:tcPr>
            <w:tcW w:w="2693" w:type="dxa"/>
          </w:tcPr>
          <w:p w14:paraId="6ED305DC" w14:textId="4D011DC7" w:rsidR="00BC7638" w:rsidRPr="00783B4B" w:rsidRDefault="00AC03FE"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Često </w:t>
            </w:r>
          </w:p>
        </w:tc>
        <w:tc>
          <w:tcPr>
            <w:tcW w:w="4389" w:type="dxa"/>
          </w:tcPr>
          <w:p w14:paraId="3094AA41" w14:textId="51E4F564" w:rsidR="00BC7638" w:rsidRPr="00783B4B" w:rsidRDefault="00CA0A52"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r w:rsidRPr="00783B4B">
              <w:rPr>
                <w:sz w:val="22"/>
                <w:szCs w:val="22"/>
                <w:lang w:val="sr-Latn-ME" w:eastAsia="en-US"/>
              </w:rPr>
              <w:t>Povećanje vr</w:t>
            </w:r>
            <w:r w:rsidR="00FA4EFC" w:rsidRPr="00783B4B">
              <w:rPr>
                <w:sz w:val="22"/>
                <w:szCs w:val="22"/>
                <w:lang w:val="sr-Latn-ME" w:eastAsia="en-US"/>
              </w:rPr>
              <w:t>ij</w:t>
            </w:r>
            <w:r w:rsidRPr="00783B4B">
              <w:rPr>
                <w:sz w:val="22"/>
                <w:szCs w:val="22"/>
                <w:lang w:val="sr-Latn-ME" w:eastAsia="en-US"/>
              </w:rPr>
              <w:t xml:space="preserve">ednosti </w:t>
            </w:r>
            <w:r w:rsidR="00BC7638" w:rsidRPr="00783B4B">
              <w:rPr>
                <w:sz w:val="22"/>
                <w:szCs w:val="22"/>
                <w:lang w:val="sr-Latn-ME"/>
              </w:rPr>
              <w:t xml:space="preserve">alkalne </w:t>
            </w:r>
            <w:proofErr w:type="spellStart"/>
            <w:r w:rsidR="00BC7638" w:rsidRPr="00783B4B">
              <w:rPr>
                <w:sz w:val="22"/>
                <w:szCs w:val="22"/>
                <w:lang w:val="sr-Latn-ME"/>
              </w:rPr>
              <w:t>fosfataze</w:t>
            </w:r>
            <w:proofErr w:type="spellEnd"/>
            <w:r w:rsidR="00BC7638" w:rsidRPr="00783B4B">
              <w:rPr>
                <w:sz w:val="22"/>
                <w:szCs w:val="22"/>
                <w:lang w:val="sr-Latn-ME"/>
              </w:rPr>
              <w:t>,</w:t>
            </w:r>
            <w:r w:rsidR="001C5DA5" w:rsidRPr="00783B4B">
              <w:rPr>
                <w:sz w:val="22"/>
                <w:szCs w:val="22"/>
                <w:lang w:val="sr-Latn-ME"/>
              </w:rPr>
              <w:t xml:space="preserve"> </w:t>
            </w:r>
            <w:proofErr w:type="spellStart"/>
            <w:r w:rsidR="00BC7638" w:rsidRPr="00783B4B">
              <w:rPr>
                <w:sz w:val="22"/>
                <w:szCs w:val="22"/>
                <w:lang w:val="sr-Latn-ME"/>
              </w:rPr>
              <w:t>alanin</w:t>
            </w:r>
            <w:proofErr w:type="spellEnd"/>
            <w:r w:rsidR="00BC7638" w:rsidRPr="00783B4B">
              <w:rPr>
                <w:sz w:val="22"/>
                <w:szCs w:val="22"/>
                <w:lang w:val="sr-Latn-ME"/>
              </w:rPr>
              <w:t xml:space="preserve"> </w:t>
            </w:r>
            <w:proofErr w:type="spellStart"/>
            <w:r w:rsidR="00BC7638" w:rsidRPr="00783B4B">
              <w:rPr>
                <w:sz w:val="22"/>
                <w:szCs w:val="22"/>
                <w:lang w:val="sr-Latn-ME"/>
              </w:rPr>
              <w:t>aminotransferase</w:t>
            </w:r>
            <w:proofErr w:type="spellEnd"/>
            <w:r w:rsidR="00BC7638" w:rsidRPr="00783B4B">
              <w:rPr>
                <w:sz w:val="22"/>
                <w:szCs w:val="22"/>
                <w:lang w:val="sr-Latn-ME"/>
              </w:rPr>
              <w:t xml:space="preserve"> i </w:t>
            </w:r>
            <w:proofErr w:type="spellStart"/>
            <w:r w:rsidR="00BC7638" w:rsidRPr="00783B4B">
              <w:rPr>
                <w:sz w:val="22"/>
                <w:szCs w:val="22"/>
                <w:lang w:val="sr-Latn-ME"/>
              </w:rPr>
              <w:t>aspartat</w:t>
            </w:r>
            <w:proofErr w:type="spellEnd"/>
            <w:r w:rsidR="00BC7638" w:rsidRPr="00783B4B">
              <w:rPr>
                <w:sz w:val="22"/>
                <w:szCs w:val="22"/>
                <w:lang w:val="sr-Latn-ME"/>
              </w:rPr>
              <w:t xml:space="preserve"> </w:t>
            </w:r>
            <w:proofErr w:type="spellStart"/>
            <w:r w:rsidR="00BC7638" w:rsidRPr="00783B4B">
              <w:rPr>
                <w:sz w:val="22"/>
                <w:szCs w:val="22"/>
                <w:lang w:val="sr-Latn-ME"/>
              </w:rPr>
              <w:t>aminotransferaze</w:t>
            </w:r>
            <w:proofErr w:type="spellEnd"/>
            <w:r w:rsidR="00BC7638" w:rsidRPr="00783B4B">
              <w:rPr>
                <w:sz w:val="22"/>
                <w:szCs w:val="22"/>
                <w:lang w:val="sr-Latn-ME"/>
              </w:rPr>
              <w:t xml:space="preserve"> u serumu</w:t>
            </w:r>
          </w:p>
        </w:tc>
      </w:tr>
      <w:tr w:rsidR="00BC7638" w:rsidRPr="00783B4B" w14:paraId="7E65AFA3" w14:textId="77777777" w:rsidTr="00B26DF2">
        <w:trPr>
          <w:trHeight w:val="728"/>
        </w:trPr>
        <w:tc>
          <w:tcPr>
            <w:tcW w:w="1985" w:type="dxa"/>
            <w:vMerge/>
          </w:tcPr>
          <w:p w14:paraId="08B38BEC"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6B0B7F93" w14:textId="3EEF1E20" w:rsidR="00BC7638" w:rsidRPr="00783B4B" w:rsidRDefault="00AC03FE"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Povremeno </w:t>
            </w:r>
          </w:p>
        </w:tc>
        <w:tc>
          <w:tcPr>
            <w:tcW w:w="4389" w:type="dxa"/>
          </w:tcPr>
          <w:p w14:paraId="332A1600" w14:textId="3485026C" w:rsidR="00BC7638" w:rsidRPr="00783B4B" w:rsidRDefault="00617D40"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eastAsia="en-US"/>
              </w:rPr>
              <w:t>Povećanje vr</w:t>
            </w:r>
            <w:r w:rsidR="00FA4EFC" w:rsidRPr="00783B4B">
              <w:rPr>
                <w:sz w:val="22"/>
                <w:szCs w:val="22"/>
                <w:lang w:val="sr-Latn-ME" w:eastAsia="en-US"/>
              </w:rPr>
              <w:t>ij</w:t>
            </w:r>
            <w:r w:rsidRPr="00783B4B">
              <w:rPr>
                <w:sz w:val="22"/>
                <w:szCs w:val="22"/>
                <w:lang w:val="sr-Latn-ME" w:eastAsia="en-US"/>
              </w:rPr>
              <w:t xml:space="preserve">ednosti </w:t>
            </w:r>
            <w:proofErr w:type="spellStart"/>
            <w:r w:rsidR="00BC7638" w:rsidRPr="00783B4B">
              <w:rPr>
                <w:sz w:val="22"/>
                <w:szCs w:val="22"/>
                <w:lang w:val="sr-Latn-ME"/>
              </w:rPr>
              <w:t>GGT</w:t>
            </w:r>
            <w:proofErr w:type="spellEnd"/>
            <w:r w:rsidR="00BC7638" w:rsidRPr="00783B4B">
              <w:rPr>
                <w:sz w:val="22"/>
                <w:szCs w:val="22"/>
                <w:lang w:val="sr-Latn-ME"/>
              </w:rPr>
              <w:t xml:space="preserve"> i </w:t>
            </w:r>
            <w:proofErr w:type="spellStart"/>
            <w:r w:rsidR="00BC7638" w:rsidRPr="00783B4B">
              <w:rPr>
                <w:sz w:val="22"/>
                <w:szCs w:val="22"/>
                <w:lang w:val="sr-Latn-ME"/>
              </w:rPr>
              <w:t>bilirubina</w:t>
            </w:r>
            <w:proofErr w:type="spellEnd"/>
            <w:r w:rsidR="00BC7638" w:rsidRPr="00783B4B">
              <w:rPr>
                <w:sz w:val="22"/>
                <w:szCs w:val="22"/>
                <w:lang w:val="sr-Latn-ME"/>
              </w:rPr>
              <w:t xml:space="preserve"> </w:t>
            </w:r>
          </w:p>
          <w:p w14:paraId="709AD18B" w14:textId="6352086F" w:rsidR="00BC7638" w:rsidRPr="00783B4B" w:rsidRDefault="00617D40"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 xml:space="preserve">Hepatitis </w:t>
            </w:r>
          </w:p>
        </w:tc>
      </w:tr>
      <w:tr w:rsidR="00BC7638" w:rsidRPr="00783B4B" w14:paraId="51AAC134" w14:textId="77777777" w:rsidTr="00B26DF2">
        <w:trPr>
          <w:trHeight w:val="728"/>
        </w:trPr>
        <w:tc>
          <w:tcPr>
            <w:tcW w:w="1985" w:type="dxa"/>
            <w:vMerge w:val="restart"/>
          </w:tcPr>
          <w:p w14:paraId="1E100105" w14:textId="77777777" w:rsidR="00BC7638" w:rsidRPr="00783B4B" w:rsidRDefault="00BC7638"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lastRenderedPageBreak/>
              <w:t>Poremećaj kože i potkožnog tkiva</w:t>
            </w:r>
          </w:p>
        </w:tc>
        <w:tc>
          <w:tcPr>
            <w:tcW w:w="2693" w:type="dxa"/>
          </w:tcPr>
          <w:p w14:paraId="6703D995" w14:textId="7EFCC88F" w:rsidR="00BC7638" w:rsidRPr="00783B4B" w:rsidRDefault="00617D40"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Veoma </w:t>
            </w:r>
            <w:r w:rsidR="00BC7638" w:rsidRPr="00783B4B">
              <w:rPr>
                <w:sz w:val="22"/>
                <w:szCs w:val="22"/>
                <w:lang w:val="sr-Latn-ME"/>
              </w:rPr>
              <w:t xml:space="preserve">često </w:t>
            </w:r>
          </w:p>
        </w:tc>
        <w:tc>
          <w:tcPr>
            <w:tcW w:w="4389" w:type="dxa"/>
          </w:tcPr>
          <w:p w14:paraId="19BF0EE2" w14:textId="199215CC" w:rsidR="00BC7638" w:rsidRPr="00783B4B" w:rsidRDefault="00617D40"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 xml:space="preserve">Osip </w:t>
            </w:r>
          </w:p>
        </w:tc>
      </w:tr>
      <w:tr w:rsidR="00BC7638" w:rsidRPr="00783B4B" w14:paraId="7E9F2B05" w14:textId="77777777" w:rsidTr="00B26DF2">
        <w:trPr>
          <w:trHeight w:val="728"/>
        </w:trPr>
        <w:tc>
          <w:tcPr>
            <w:tcW w:w="1985" w:type="dxa"/>
            <w:vMerge/>
          </w:tcPr>
          <w:p w14:paraId="1EC2BE36"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3007DAAF" w14:textId="5CB57D86" w:rsidR="00BC7638" w:rsidRPr="00783B4B" w:rsidRDefault="00617D40"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Često </w:t>
            </w:r>
          </w:p>
        </w:tc>
        <w:tc>
          <w:tcPr>
            <w:tcW w:w="4389" w:type="dxa"/>
          </w:tcPr>
          <w:p w14:paraId="385D46D6" w14:textId="6DBAC1CC" w:rsidR="00BC7638" w:rsidRPr="00783B4B" w:rsidRDefault="00617D40"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 xml:space="preserve">Proređivanje </w:t>
            </w:r>
            <w:r w:rsidR="00BC7638" w:rsidRPr="00783B4B">
              <w:rPr>
                <w:sz w:val="22"/>
                <w:szCs w:val="22"/>
                <w:lang w:val="sr-Latn-ME"/>
              </w:rPr>
              <w:t>kose (alopecija)</w:t>
            </w:r>
          </w:p>
          <w:p w14:paraId="6D7362B8" w14:textId="7EEC0B9E" w:rsidR="00BC7638" w:rsidRPr="00783B4B" w:rsidRDefault="00617D40"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 xml:space="preserve">Alergijske </w:t>
            </w:r>
            <w:r w:rsidR="00BC7638" w:rsidRPr="00783B4B">
              <w:rPr>
                <w:sz w:val="22"/>
                <w:szCs w:val="22"/>
                <w:lang w:val="sr-Latn-ME"/>
              </w:rPr>
              <w:t xml:space="preserve">reakcije </w:t>
            </w:r>
          </w:p>
        </w:tc>
      </w:tr>
      <w:tr w:rsidR="00BC7638" w:rsidRPr="00783B4B" w14:paraId="067E7A97" w14:textId="77777777" w:rsidTr="00B26DF2">
        <w:trPr>
          <w:trHeight w:val="618"/>
        </w:trPr>
        <w:tc>
          <w:tcPr>
            <w:tcW w:w="1985" w:type="dxa"/>
            <w:vMerge/>
          </w:tcPr>
          <w:p w14:paraId="3B425A86"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7B979C52" w14:textId="1DBBB4A7" w:rsidR="00BC7638" w:rsidRPr="00783B4B" w:rsidRDefault="00617D40"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Povremeno </w:t>
            </w:r>
          </w:p>
          <w:p w14:paraId="0254E73C" w14:textId="77777777" w:rsidR="00BC7638" w:rsidRPr="00783B4B" w:rsidRDefault="00BC7638" w:rsidP="00783B4B">
            <w:pPr>
              <w:pStyle w:val="FootnoteText"/>
              <w:autoSpaceDE w:val="0"/>
              <w:autoSpaceDN w:val="0"/>
              <w:adjustRightInd w:val="0"/>
              <w:spacing w:line="240" w:lineRule="auto"/>
              <w:ind w:left="0" w:firstLine="0"/>
              <w:jc w:val="left"/>
              <w:rPr>
                <w:sz w:val="22"/>
                <w:szCs w:val="22"/>
                <w:lang w:val="sr-Latn-ME"/>
              </w:rPr>
            </w:pPr>
          </w:p>
        </w:tc>
        <w:tc>
          <w:tcPr>
            <w:tcW w:w="4389" w:type="dxa"/>
          </w:tcPr>
          <w:p w14:paraId="0E379C93" w14:textId="4EFCF818" w:rsidR="00BC7638" w:rsidRPr="00783B4B" w:rsidRDefault="00617D40"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 xml:space="preserve">Urtikarija </w:t>
            </w:r>
          </w:p>
        </w:tc>
      </w:tr>
      <w:tr w:rsidR="00BC7638" w:rsidRPr="00783B4B" w14:paraId="059A891F" w14:textId="77777777" w:rsidTr="00B26DF2">
        <w:trPr>
          <w:trHeight w:val="728"/>
        </w:trPr>
        <w:tc>
          <w:tcPr>
            <w:tcW w:w="1985" w:type="dxa"/>
            <w:vMerge/>
          </w:tcPr>
          <w:p w14:paraId="3D31AC67"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35AFB214" w14:textId="1BCB8EA1" w:rsidR="00BC7638" w:rsidRPr="00783B4B" w:rsidRDefault="00617D40"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Rijetko </w:t>
            </w:r>
          </w:p>
        </w:tc>
        <w:tc>
          <w:tcPr>
            <w:tcW w:w="4389" w:type="dxa"/>
          </w:tcPr>
          <w:p w14:paraId="304F67C2" w14:textId="30A9A3C6" w:rsidR="00BC7638" w:rsidRPr="00783B4B" w:rsidRDefault="007050FE"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proofErr w:type="spellStart"/>
            <w:r w:rsidRPr="00783B4B">
              <w:rPr>
                <w:sz w:val="22"/>
                <w:szCs w:val="22"/>
                <w:lang w:val="sr-Latn-ME"/>
              </w:rPr>
              <w:t>Multiformni</w:t>
            </w:r>
            <w:proofErr w:type="spellEnd"/>
            <w:r w:rsidRPr="00783B4B">
              <w:rPr>
                <w:sz w:val="22"/>
                <w:szCs w:val="22"/>
                <w:lang w:val="sr-Latn-ME"/>
              </w:rPr>
              <w:t xml:space="preserve"> </w:t>
            </w:r>
            <w:proofErr w:type="spellStart"/>
            <w:r w:rsidR="00BC7638" w:rsidRPr="00783B4B">
              <w:rPr>
                <w:sz w:val="22"/>
                <w:szCs w:val="22"/>
                <w:lang w:val="sr-Latn-ME"/>
              </w:rPr>
              <w:t>eritem</w:t>
            </w:r>
            <w:proofErr w:type="spellEnd"/>
          </w:p>
          <w:p w14:paraId="714C43AF" w14:textId="76FCB5B9" w:rsidR="00BC7638" w:rsidRPr="00783B4B" w:rsidRDefault="007050FE"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proofErr w:type="spellStart"/>
            <w:r w:rsidRPr="00783B4B">
              <w:rPr>
                <w:sz w:val="22"/>
                <w:szCs w:val="22"/>
                <w:lang w:val="sr-Latn-ME"/>
              </w:rPr>
              <w:t>Anafilaktoidne</w:t>
            </w:r>
            <w:proofErr w:type="spellEnd"/>
            <w:r w:rsidRPr="00783B4B">
              <w:rPr>
                <w:sz w:val="22"/>
                <w:szCs w:val="22"/>
                <w:lang w:val="sr-Latn-ME"/>
              </w:rPr>
              <w:t xml:space="preserve"> </w:t>
            </w:r>
            <w:r w:rsidR="00BC7638" w:rsidRPr="00783B4B">
              <w:rPr>
                <w:sz w:val="22"/>
                <w:szCs w:val="22"/>
                <w:lang w:val="sr-Latn-ME"/>
              </w:rPr>
              <w:t>reakcije,</w:t>
            </w:r>
          </w:p>
          <w:p w14:paraId="15CD71FC" w14:textId="0BC252D5" w:rsidR="00BC7638" w:rsidRPr="00783B4B" w:rsidRDefault="007050FE"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proofErr w:type="spellStart"/>
            <w:r w:rsidRPr="00783B4B">
              <w:rPr>
                <w:sz w:val="22"/>
                <w:szCs w:val="22"/>
                <w:lang w:val="sr-Latn-ME"/>
              </w:rPr>
              <w:t>Kutanozni</w:t>
            </w:r>
            <w:proofErr w:type="spellEnd"/>
            <w:r w:rsidRPr="00783B4B">
              <w:rPr>
                <w:sz w:val="22"/>
                <w:szCs w:val="22"/>
                <w:lang w:val="sr-Latn-ME"/>
              </w:rPr>
              <w:t xml:space="preserve"> </w:t>
            </w:r>
            <w:proofErr w:type="spellStart"/>
            <w:r w:rsidR="00BC7638" w:rsidRPr="00783B4B">
              <w:rPr>
                <w:sz w:val="22"/>
                <w:szCs w:val="22"/>
                <w:lang w:val="sr-Latn-ME"/>
              </w:rPr>
              <w:t>vaskulitis</w:t>
            </w:r>
            <w:proofErr w:type="spellEnd"/>
            <w:r w:rsidR="00BC7638" w:rsidRPr="00783B4B">
              <w:rPr>
                <w:sz w:val="22"/>
                <w:szCs w:val="22"/>
                <w:lang w:val="sr-Latn-ME"/>
              </w:rPr>
              <w:t xml:space="preserve"> (uključujući </w:t>
            </w:r>
            <w:r w:rsidRPr="00783B4B">
              <w:rPr>
                <w:sz w:val="22"/>
                <w:szCs w:val="22"/>
                <w:lang w:val="sr-Latn-ME" w:eastAsia="en-US"/>
              </w:rPr>
              <w:t>slučajeve</w:t>
            </w:r>
            <w:r w:rsidR="00BC7638" w:rsidRPr="00783B4B">
              <w:rPr>
                <w:sz w:val="22"/>
                <w:szCs w:val="22"/>
                <w:lang w:val="sr-Latn-ME"/>
              </w:rPr>
              <w:t xml:space="preserve"> </w:t>
            </w:r>
            <w:proofErr w:type="spellStart"/>
            <w:r w:rsidR="00BC7638" w:rsidRPr="00783B4B">
              <w:rPr>
                <w:i/>
                <w:iCs/>
                <w:sz w:val="22"/>
                <w:szCs w:val="22"/>
                <w:lang w:val="sr-Latn-ME"/>
              </w:rPr>
              <w:t>Henoch-Schönlein</w:t>
            </w:r>
            <w:proofErr w:type="spellEnd"/>
            <w:r w:rsidR="00BC7638" w:rsidRPr="00783B4B">
              <w:rPr>
                <w:sz w:val="22"/>
                <w:szCs w:val="22"/>
                <w:lang w:val="sr-Latn-ME"/>
              </w:rPr>
              <w:t xml:space="preserve"> purpur</w:t>
            </w:r>
            <w:r w:rsidRPr="00783B4B">
              <w:rPr>
                <w:sz w:val="22"/>
                <w:szCs w:val="22"/>
                <w:lang w:val="sr-Latn-ME"/>
              </w:rPr>
              <w:t>e</w:t>
            </w:r>
            <w:r w:rsidR="00BC7638" w:rsidRPr="00783B4B">
              <w:rPr>
                <w:sz w:val="22"/>
                <w:szCs w:val="22"/>
                <w:lang w:val="sr-Latn-ME"/>
              </w:rPr>
              <w:t>)**</w:t>
            </w:r>
          </w:p>
        </w:tc>
      </w:tr>
      <w:tr w:rsidR="00BC7638" w:rsidRPr="00783B4B" w14:paraId="039A5C34" w14:textId="77777777" w:rsidTr="00B26DF2">
        <w:trPr>
          <w:trHeight w:val="728"/>
        </w:trPr>
        <w:tc>
          <w:tcPr>
            <w:tcW w:w="1985" w:type="dxa"/>
            <w:vMerge/>
          </w:tcPr>
          <w:p w14:paraId="148B230F"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38CCC427" w14:textId="44ECEEFF" w:rsidR="00BC7638" w:rsidRPr="00783B4B" w:rsidRDefault="00617D40"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 xml:space="preserve">Veoma </w:t>
            </w:r>
            <w:r w:rsidR="00BC7638" w:rsidRPr="00783B4B">
              <w:rPr>
                <w:sz w:val="22"/>
                <w:szCs w:val="22"/>
                <w:lang w:val="sr-Latn-ME"/>
              </w:rPr>
              <w:t xml:space="preserve">rijetko </w:t>
            </w:r>
          </w:p>
        </w:tc>
        <w:tc>
          <w:tcPr>
            <w:tcW w:w="4389" w:type="dxa"/>
          </w:tcPr>
          <w:p w14:paraId="228DCD82" w14:textId="38F06063" w:rsidR="00BC7638" w:rsidRPr="00783B4B" w:rsidRDefault="00BC7638"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proofErr w:type="spellStart"/>
            <w:r w:rsidRPr="00783B4B">
              <w:rPr>
                <w:i/>
                <w:iCs/>
                <w:sz w:val="22"/>
                <w:szCs w:val="22"/>
                <w:lang w:val="sr-Latn-ME"/>
              </w:rPr>
              <w:t>Stevens</w:t>
            </w:r>
            <w:proofErr w:type="spellEnd"/>
            <w:r w:rsidRPr="00783B4B">
              <w:rPr>
                <w:i/>
                <w:iCs/>
                <w:sz w:val="22"/>
                <w:szCs w:val="22"/>
                <w:lang w:val="sr-Latn-ME"/>
              </w:rPr>
              <w:t>-Johnson</w:t>
            </w:r>
            <w:r w:rsidR="00961837" w:rsidRPr="00783B4B">
              <w:rPr>
                <w:sz w:val="22"/>
                <w:szCs w:val="22"/>
                <w:lang w:val="sr-Latn-ME"/>
              </w:rPr>
              <w:t>-ov</w:t>
            </w:r>
            <w:r w:rsidRPr="00783B4B">
              <w:rPr>
                <w:sz w:val="22"/>
                <w:szCs w:val="22"/>
                <w:lang w:val="sr-Latn-ME"/>
              </w:rPr>
              <w:t xml:space="preserve"> sindrom</w:t>
            </w:r>
          </w:p>
          <w:p w14:paraId="3511B6B0" w14:textId="124971C4" w:rsidR="00BC7638" w:rsidRPr="00783B4B" w:rsidRDefault="00961837" w:rsidP="00783B4B">
            <w:pPr>
              <w:pStyle w:val="FootnoteText"/>
              <w:tabs>
                <w:tab w:val="clear" w:pos="425"/>
                <w:tab w:val="left" w:pos="0"/>
              </w:tabs>
              <w:autoSpaceDE w:val="0"/>
              <w:autoSpaceDN w:val="0"/>
              <w:adjustRightInd w:val="0"/>
              <w:spacing w:line="240" w:lineRule="auto"/>
              <w:ind w:left="0" w:firstLine="0"/>
              <w:jc w:val="left"/>
              <w:rPr>
                <w:sz w:val="22"/>
                <w:szCs w:val="22"/>
                <w:lang w:val="sr-Latn-ME"/>
              </w:rPr>
            </w:pPr>
            <w:proofErr w:type="spellStart"/>
            <w:r w:rsidRPr="00783B4B">
              <w:rPr>
                <w:sz w:val="22"/>
                <w:szCs w:val="22"/>
                <w:lang w:val="sr-Latn-ME"/>
              </w:rPr>
              <w:t>Angioedem</w:t>
            </w:r>
            <w:proofErr w:type="spellEnd"/>
          </w:p>
        </w:tc>
      </w:tr>
      <w:tr w:rsidR="00BC7638" w:rsidRPr="00783B4B" w14:paraId="6B88C7DD" w14:textId="77777777" w:rsidTr="00B26DF2">
        <w:trPr>
          <w:trHeight w:val="728"/>
        </w:trPr>
        <w:tc>
          <w:tcPr>
            <w:tcW w:w="1985" w:type="dxa"/>
            <w:vMerge w:val="restart"/>
          </w:tcPr>
          <w:p w14:paraId="53CFD755" w14:textId="78AE99D7" w:rsidR="00BC7638" w:rsidRPr="00783B4B" w:rsidRDefault="00BC7638"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Poremećaj</w:t>
            </w:r>
            <w:r w:rsidR="001D50A5" w:rsidRPr="00783B4B">
              <w:rPr>
                <w:sz w:val="22"/>
                <w:szCs w:val="22"/>
                <w:lang w:val="sr-Latn-ME"/>
              </w:rPr>
              <w:t>i</w:t>
            </w:r>
            <w:r w:rsidRPr="00783B4B">
              <w:rPr>
                <w:sz w:val="22"/>
                <w:szCs w:val="22"/>
                <w:lang w:val="sr-Latn-ME"/>
              </w:rPr>
              <w:t xml:space="preserve"> </w:t>
            </w:r>
            <w:r w:rsidR="001D50A5" w:rsidRPr="00783B4B">
              <w:rPr>
                <w:sz w:val="22"/>
                <w:szCs w:val="22"/>
                <w:lang w:val="sr-Latn-ME" w:eastAsia="en-US"/>
              </w:rPr>
              <w:t>mišićno-koštanog  sistema</w:t>
            </w:r>
            <w:r w:rsidRPr="00783B4B">
              <w:rPr>
                <w:sz w:val="22"/>
                <w:szCs w:val="22"/>
                <w:lang w:val="sr-Latn-ME"/>
              </w:rPr>
              <w:t xml:space="preserve"> i vezivnog tkiva </w:t>
            </w:r>
          </w:p>
        </w:tc>
        <w:tc>
          <w:tcPr>
            <w:tcW w:w="2693" w:type="dxa"/>
          </w:tcPr>
          <w:p w14:paraId="6784CAAB" w14:textId="2365D5AD" w:rsidR="00BC7638" w:rsidRPr="00783B4B" w:rsidRDefault="00B05ED2"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 xml:space="preserve">Veoma </w:t>
            </w:r>
            <w:r w:rsidR="00BC7638" w:rsidRPr="00783B4B">
              <w:rPr>
                <w:sz w:val="22"/>
                <w:szCs w:val="22"/>
                <w:lang w:val="sr-Latn-ME"/>
              </w:rPr>
              <w:t xml:space="preserve">često </w:t>
            </w:r>
          </w:p>
        </w:tc>
        <w:tc>
          <w:tcPr>
            <w:tcW w:w="4389" w:type="dxa"/>
          </w:tcPr>
          <w:p w14:paraId="6C5FE673" w14:textId="5D50D22D" w:rsidR="00BC7638" w:rsidRPr="00783B4B" w:rsidRDefault="00A552D7" w:rsidP="00783B4B">
            <w:pPr>
              <w:pStyle w:val="FootnoteText"/>
              <w:tabs>
                <w:tab w:val="clear" w:pos="425"/>
                <w:tab w:val="left" w:pos="34"/>
              </w:tabs>
              <w:autoSpaceDE w:val="0"/>
              <w:autoSpaceDN w:val="0"/>
              <w:adjustRightInd w:val="0"/>
              <w:spacing w:line="240" w:lineRule="auto"/>
              <w:ind w:left="0" w:firstLine="0"/>
              <w:rPr>
                <w:sz w:val="22"/>
                <w:szCs w:val="22"/>
                <w:lang w:val="sr-Latn-ME"/>
              </w:rPr>
            </w:pPr>
            <w:proofErr w:type="spellStart"/>
            <w:r w:rsidRPr="00783B4B">
              <w:rPr>
                <w:sz w:val="22"/>
                <w:szCs w:val="22"/>
                <w:lang w:val="sr-Latn-ME"/>
              </w:rPr>
              <w:t>Artralgija</w:t>
            </w:r>
            <w:proofErr w:type="spellEnd"/>
            <w:r w:rsidR="00BC7638" w:rsidRPr="00783B4B">
              <w:rPr>
                <w:sz w:val="22"/>
                <w:szCs w:val="22"/>
                <w:lang w:val="sr-Latn-ME"/>
              </w:rPr>
              <w:t xml:space="preserve">/ukočenost zglobova </w:t>
            </w:r>
          </w:p>
          <w:p w14:paraId="43F5DC7C" w14:textId="51567DED" w:rsidR="00A552D7" w:rsidRPr="00783B4B" w:rsidRDefault="00A552D7" w:rsidP="00783B4B">
            <w:pPr>
              <w:pStyle w:val="FootnoteText"/>
              <w:tabs>
                <w:tab w:val="clear" w:pos="425"/>
                <w:tab w:val="left" w:pos="34"/>
              </w:tabs>
              <w:autoSpaceDE w:val="0"/>
              <w:autoSpaceDN w:val="0"/>
              <w:adjustRightInd w:val="0"/>
              <w:spacing w:line="240" w:lineRule="auto"/>
              <w:ind w:left="0" w:firstLine="0"/>
              <w:rPr>
                <w:sz w:val="22"/>
                <w:szCs w:val="22"/>
                <w:lang w:val="sr-Latn-ME"/>
              </w:rPr>
            </w:pPr>
            <w:r w:rsidRPr="00783B4B">
              <w:rPr>
                <w:sz w:val="22"/>
                <w:szCs w:val="22"/>
                <w:lang w:val="sr-Latn-ME"/>
              </w:rPr>
              <w:t>Artritis</w:t>
            </w:r>
          </w:p>
          <w:p w14:paraId="3618ABEF" w14:textId="009BF8F8" w:rsidR="00BC7638" w:rsidRPr="00783B4B" w:rsidRDefault="00A552D7" w:rsidP="00783B4B">
            <w:pPr>
              <w:pStyle w:val="FootnoteText"/>
              <w:tabs>
                <w:tab w:val="clear" w:pos="425"/>
                <w:tab w:val="left" w:pos="34"/>
              </w:tabs>
              <w:autoSpaceDE w:val="0"/>
              <w:autoSpaceDN w:val="0"/>
              <w:adjustRightInd w:val="0"/>
              <w:spacing w:line="240" w:lineRule="auto"/>
              <w:ind w:left="0" w:firstLine="0"/>
              <w:rPr>
                <w:sz w:val="22"/>
                <w:szCs w:val="22"/>
                <w:lang w:val="sr-Latn-ME"/>
              </w:rPr>
            </w:pPr>
            <w:proofErr w:type="spellStart"/>
            <w:r w:rsidRPr="00783B4B">
              <w:rPr>
                <w:sz w:val="22"/>
                <w:szCs w:val="22"/>
                <w:lang w:val="sr-Latn-ME"/>
              </w:rPr>
              <w:t>Osteoporoza</w:t>
            </w:r>
            <w:proofErr w:type="spellEnd"/>
          </w:p>
        </w:tc>
      </w:tr>
      <w:tr w:rsidR="00BC7638" w:rsidRPr="00783B4B" w14:paraId="13F6D515" w14:textId="77777777" w:rsidTr="00B26DF2">
        <w:trPr>
          <w:trHeight w:val="699"/>
        </w:trPr>
        <w:tc>
          <w:tcPr>
            <w:tcW w:w="1985" w:type="dxa"/>
            <w:vMerge/>
          </w:tcPr>
          <w:p w14:paraId="79685388"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32597820" w14:textId="297A2DED" w:rsidR="00BC7638" w:rsidRPr="00783B4B" w:rsidRDefault="00B05ED2"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 xml:space="preserve">Često </w:t>
            </w:r>
          </w:p>
          <w:p w14:paraId="2D6236DF" w14:textId="77777777" w:rsidR="00BC7638" w:rsidRPr="00783B4B" w:rsidRDefault="00BC7638" w:rsidP="00783B4B">
            <w:pPr>
              <w:pStyle w:val="FootnoteText"/>
              <w:autoSpaceDE w:val="0"/>
              <w:autoSpaceDN w:val="0"/>
              <w:adjustRightInd w:val="0"/>
              <w:spacing w:line="240" w:lineRule="auto"/>
              <w:ind w:left="0" w:firstLine="0"/>
              <w:rPr>
                <w:sz w:val="22"/>
                <w:szCs w:val="22"/>
                <w:lang w:val="sr-Latn-ME"/>
              </w:rPr>
            </w:pPr>
          </w:p>
        </w:tc>
        <w:tc>
          <w:tcPr>
            <w:tcW w:w="4389" w:type="dxa"/>
          </w:tcPr>
          <w:p w14:paraId="2BDFDB49" w14:textId="7AAAF5CB" w:rsidR="00BC7638" w:rsidRPr="00783B4B" w:rsidRDefault="00A552D7"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 xml:space="preserve">Bolovi </w:t>
            </w:r>
            <w:r w:rsidR="00BC7638" w:rsidRPr="00783B4B">
              <w:rPr>
                <w:sz w:val="22"/>
                <w:szCs w:val="22"/>
                <w:lang w:val="sr-Latn-ME"/>
              </w:rPr>
              <w:t xml:space="preserve">u kostima </w:t>
            </w:r>
          </w:p>
          <w:p w14:paraId="45EC43EE" w14:textId="3A31CCAB" w:rsidR="00BC7638" w:rsidRPr="00783B4B" w:rsidRDefault="00A552D7" w:rsidP="00783B4B">
            <w:pPr>
              <w:pStyle w:val="FootnoteText"/>
              <w:autoSpaceDE w:val="0"/>
              <w:autoSpaceDN w:val="0"/>
              <w:adjustRightInd w:val="0"/>
              <w:spacing w:line="240" w:lineRule="auto"/>
              <w:ind w:left="0" w:firstLine="0"/>
              <w:rPr>
                <w:sz w:val="22"/>
                <w:szCs w:val="22"/>
                <w:lang w:val="sr-Latn-ME"/>
              </w:rPr>
            </w:pPr>
            <w:proofErr w:type="spellStart"/>
            <w:r w:rsidRPr="00783B4B">
              <w:rPr>
                <w:sz w:val="22"/>
                <w:szCs w:val="22"/>
                <w:lang w:val="sr-Latn-ME"/>
              </w:rPr>
              <w:t>Mijalgija</w:t>
            </w:r>
            <w:proofErr w:type="spellEnd"/>
          </w:p>
        </w:tc>
      </w:tr>
      <w:tr w:rsidR="00BC7638" w:rsidRPr="00783B4B" w14:paraId="20ACA9D7" w14:textId="77777777" w:rsidTr="00B26DF2">
        <w:trPr>
          <w:trHeight w:val="790"/>
        </w:trPr>
        <w:tc>
          <w:tcPr>
            <w:tcW w:w="1985" w:type="dxa"/>
            <w:vMerge/>
          </w:tcPr>
          <w:p w14:paraId="7F595560" w14:textId="77777777" w:rsidR="00BC7638" w:rsidRPr="00783B4B" w:rsidRDefault="00BC7638" w:rsidP="00783B4B">
            <w:pPr>
              <w:pStyle w:val="FootnoteText"/>
              <w:autoSpaceDE w:val="0"/>
              <w:autoSpaceDN w:val="0"/>
              <w:adjustRightInd w:val="0"/>
              <w:spacing w:line="240" w:lineRule="auto"/>
              <w:ind w:left="0" w:firstLine="0"/>
              <w:jc w:val="left"/>
              <w:rPr>
                <w:color w:val="000000"/>
                <w:sz w:val="22"/>
                <w:szCs w:val="22"/>
                <w:lang w:val="sr-Latn-ME"/>
              </w:rPr>
            </w:pPr>
          </w:p>
        </w:tc>
        <w:tc>
          <w:tcPr>
            <w:tcW w:w="2693" w:type="dxa"/>
          </w:tcPr>
          <w:p w14:paraId="212D4068" w14:textId="2A8B1BC0" w:rsidR="00BC7638" w:rsidRPr="00783B4B" w:rsidRDefault="00B05ED2"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 xml:space="preserve">Povremeno </w:t>
            </w:r>
          </w:p>
          <w:p w14:paraId="600CAB6C" w14:textId="77777777" w:rsidR="00BC7638" w:rsidRPr="00783B4B" w:rsidRDefault="00BC7638" w:rsidP="00783B4B">
            <w:pPr>
              <w:pStyle w:val="FootnoteText"/>
              <w:autoSpaceDE w:val="0"/>
              <w:autoSpaceDN w:val="0"/>
              <w:adjustRightInd w:val="0"/>
              <w:spacing w:line="240" w:lineRule="auto"/>
              <w:ind w:left="0" w:firstLine="0"/>
              <w:rPr>
                <w:sz w:val="22"/>
                <w:szCs w:val="22"/>
                <w:lang w:val="sr-Latn-ME"/>
              </w:rPr>
            </w:pPr>
          </w:p>
        </w:tc>
        <w:tc>
          <w:tcPr>
            <w:tcW w:w="4389" w:type="dxa"/>
          </w:tcPr>
          <w:p w14:paraId="61193FAD" w14:textId="3A1D6FCB" w:rsidR="000B5740" w:rsidRPr="00783B4B" w:rsidRDefault="004F2DF8"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Savijeni prst</w:t>
            </w:r>
          </w:p>
        </w:tc>
      </w:tr>
      <w:tr w:rsidR="00BC7638" w:rsidRPr="00783B4B" w14:paraId="003ED2C3" w14:textId="77777777" w:rsidTr="00B26DF2">
        <w:trPr>
          <w:trHeight w:val="728"/>
        </w:trPr>
        <w:tc>
          <w:tcPr>
            <w:tcW w:w="1985" w:type="dxa"/>
          </w:tcPr>
          <w:p w14:paraId="1AFC565A" w14:textId="12792C0E" w:rsidR="00BC7638" w:rsidRPr="00783B4B" w:rsidRDefault="00BC7638" w:rsidP="00783B4B">
            <w:pPr>
              <w:pStyle w:val="FootnoteText"/>
              <w:autoSpaceDE w:val="0"/>
              <w:autoSpaceDN w:val="0"/>
              <w:adjustRightInd w:val="0"/>
              <w:spacing w:line="240" w:lineRule="auto"/>
              <w:ind w:left="0" w:firstLine="0"/>
              <w:jc w:val="left"/>
              <w:rPr>
                <w:sz w:val="22"/>
                <w:szCs w:val="22"/>
                <w:lang w:val="sr-Latn-ME"/>
              </w:rPr>
            </w:pPr>
            <w:r w:rsidRPr="00783B4B">
              <w:rPr>
                <w:sz w:val="22"/>
                <w:szCs w:val="22"/>
                <w:lang w:val="sr-Latn-ME"/>
              </w:rPr>
              <w:t>Poremećaji reproduktivnog sistema i dojki</w:t>
            </w:r>
          </w:p>
        </w:tc>
        <w:tc>
          <w:tcPr>
            <w:tcW w:w="2693" w:type="dxa"/>
          </w:tcPr>
          <w:p w14:paraId="5D898BD7" w14:textId="4D9BDD51" w:rsidR="00BC7638" w:rsidRPr="00783B4B" w:rsidRDefault="00F03D76" w:rsidP="00783B4B">
            <w:pPr>
              <w:pStyle w:val="FootnoteText"/>
              <w:autoSpaceDE w:val="0"/>
              <w:autoSpaceDN w:val="0"/>
              <w:adjustRightInd w:val="0"/>
              <w:spacing w:line="240" w:lineRule="auto"/>
              <w:ind w:left="0" w:firstLine="0"/>
              <w:rPr>
                <w:sz w:val="22"/>
                <w:szCs w:val="22"/>
                <w:lang w:val="sr-Latn-ME"/>
              </w:rPr>
            </w:pPr>
            <w:r w:rsidRPr="00783B4B">
              <w:rPr>
                <w:sz w:val="22"/>
                <w:szCs w:val="22"/>
                <w:lang w:val="sr-Latn-ME"/>
              </w:rPr>
              <w:t>Č</w:t>
            </w:r>
            <w:r w:rsidR="00BC7638" w:rsidRPr="00783B4B">
              <w:rPr>
                <w:sz w:val="22"/>
                <w:szCs w:val="22"/>
                <w:lang w:val="sr-Latn-ME"/>
              </w:rPr>
              <w:t xml:space="preserve">esto </w:t>
            </w:r>
          </w:p>
        </w:tc>
        <w:tc>
          <w:tcPr>
            <w:tcW w:w="4389" w:type="dxa"/>
          </w:tcPr>
          <w:p w14:paraId="00C6AC73" w14:textId="0DD7E9A7" w:rsidR="00BC7638" w:rsidRPr="00783B4B" w:rsidRDefault="004F7EA1"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Suvoća vagine</w:t>
            </w:r>
          </w:p>
          <w:p w14:paraId="60D2561F" w14:textId="2F2B6EBB" w:rsidR="00BC7638" w:rsidRPr="00783B4B" w:rsidRDefault="00F03D76" w:rsidP="00783B4B">
            <w:pPr>
              <w:pStyle w:val="FootnoteText"/>
              <w:tabs>
                <w:tab w:val="clear" w:pos="425"/>
                <w:tab w:val="left" w:pos="0"/>
              </w:tabs>
              <w:autoSpaceDE w:val="0"/>
              <w:autoSpaceDN w:val="0"/>
              <w:adjustRightInd w:val="0"/>
              <w:spacing w:line="240" w:lineRule="auto"/>
              <w:ind w:left="0" w:firstLine="0"/>
              <w:rPr>
                <w:sz w:val="22"/>
                <w:szCs w:val="22"/>
                <w:lang w:val="sr-Latn-ME"/>
              </w:rPr>
            </w:pPr>
            <w:r w:rsidRPr="00783B4B">
              <w:rPr>
                <w:sz w:val="22"/>
                <w:szCs w:val="22"/>
                <w:lang w:val="sr-Latn-ME"/>
              </w:rPr>
              <w:t>V</w:t>
            </w:r>
            <w:r w:rsidR="00BC7638" w:rsidRPr="00783B4B">
              <w:rPr>
                <w:sz w:val="22"/>
                <w:szCs w:val="22"/>
                <w:lang w:val="sr-Latn-ME"/>
              </w:rPr>
              <w:t>aginalno krvarenje***</w:t>
            </w:r>
          </w:p>
        </w:tc>
      </w:tr>
      <w:tr w:rsidR="00BC7638" w:rsidRPr="00783B4B" w14:paraId="283894E4" w14:textId="77777777" w:rsidTr="00B26DF2">
        <w:trPr>
          <w:trHeight w:val="728"/>
        </w:trPr>
        <w:tc>
          <w:tcPr>
            <w:tcW w:w="1985" w:type="dxa"/>
          </w:tcPr>
          <w:p w14:paraId="05282636" w14:textId="3043C537" w:rsidR="00BC7638" w:rsidRPr="00783B4B" w:rsidRDefault="00BC7638" w:rsidP="00783B4B">
            <w:pPr>
              <w:pStyle w:val="Picture"/>
              <w:tabs>
                <w:tab w:val="left" w:pos="425"/>
              </w:tabs>
              <w:autoSpaceDE w:val="0"/>
              <w:autoSpaceDN w:val="0"/>
              <w:adjustRightInd w:val="0"/>
              <w:spacing w:after="0" w:line="240" w:lineRule="auto"/>
              <w:jc w:val="left"/>
              <w:rPr>
                <w:sz w:val="22"/>
                <w:szCs w:val="22"/>
                <w:lang w:val="sr-Latn-ME"/>
              </w:rPr>
            </w:pPr>
            <w:r w:rsidRPr="00783B4B">
              <w:rPr>
                <w:sz w:val="22"/>
                <w:szCs w:val="22"/>
                <w:lang w:val="sr-Latn-ME"/>
              </w:rPr>
              <w:t xml:space="preserve">Opšti poremećaji i </w:t>
            </w:r>
            <w:r w:rsidR="00F03D76" w:rsidRPr="00783B4B">
              <w:rPr>
                <w:sz w:val="22"/>
                <w:szCs w:val="22"/>
                <w:lang w:val="sr-Latn-ME"/>
              </w:rPr>
              <w:t xml:space="preserve">reakcije </w:t>
            </w:r>
            <w:r w:rsidRPr="00783B4B">
              <w:rPr>
                <w:sz w:val="22"/>
                <w:szCs w:val="22"/>
                <w:lang w:val="sr-Latn-ME"/>
              </w:rPr>
              <w:t xml:space="preserve">na mjestu primjene </w:t>
            </w:r>
          </w:p>
        </w:tc>
        <w:tc>
          <w:tcPr>
            <w:tcW w:w="2693" w:type="dxa"/>
          </w:tcPr>
          <w:p w14:paraId="704E8EE7" w14:textId="32F19B2F" w:rsidR="00BC7638" w:rsidRPr="00783B4B" w:rsidRDefault="00F03D76" w:rsidP="00783B4B">
            <w:pPr>
              <w:pStyle w:val="Picture"/>
              <w:tabs>
                <w:tab w:val="left" w:pos="425"/>
              </w:tabs>
              <w:autoSpaceDE w:val="0"/>
              <w:autoSpaceDN w:val="0"/>
              <w:adjustRightInd w:val="0"/>
              <w:spacing w:after="0" w:line="240" w:lineRule="auto"/>
              <w:rPr>
                <w:sz w:val="22"/>
                <w:szCs w:val="22"/>
                <w:lang w:val="sr-Latn-ME"/>
              </w:rPr>
            </w:pPr>
            <w:r w:rsidRPr="00783B4B">
              <w:rPr>
                <w:sz w:val="22"/>
                <w:szCs w:val="22"/>
                <w:lang w:val="sr-Latn-ME"/>
              </w:rPr>
              <w:t>V</w:t>
            </w:r>
            <w:r w:rsidR="00BC7638" w:rsidRPr="00783B4B">
              <w:rPr>
                <w:sz w:val="22"/>
                <w:szCs w:val="22"/>
                <w:lang w:val="sr-Latn-ME"/>
              </w:rPr>
              <w:t xml:space="preserve">eoma često </w:t>
            </w:r>
          </w:p>
        </w:tc>
        <w:tc>
          <w:tcPr>
            <w:tcW w:w="4389" w:type="dxa"/>
          </w:tcPr>
          <w:p w14:paraId="10CD1F5B" w14:textId="79DB297F" w:rsidR="00BC7638" w:rsidRPr="00783B4B" w:rsidRDefault="00F03D76" w:rsidP="00783B4B">
            <w:pPr>
              <w:pStyle w:val="Picture"/>
              <w:tabs>
                <w:tab w:val="left" w:pos="0"/>
              </w:tabs>
              <w:autoSpaceDE w:val="0"/>
              <w:autoSpaceDN w:val="0"/>
              <w:adjustRightInd w:val="0"/>
              <w:spacing w:after="0" w:line="240" w:lineRule="auto"/>
              <w:rPr>
                <w:sz w:val="22"/>
                <w:szCs w:val="22"/>
                <w:lang w:val="sr-Latn-ME"/>
              </w:rPr>
            </w:pPr>
            <w:r w:rsidRPr="00783B4B">
              <w:rPr>
                <w:sz w:val="22"/>
                <w:szCs w:val="22"/>
                <w:lang w:val="sr-Latn-ME"/>
              </w:rPr>
              <w:t>A</w:t>
            </w:r>
            <w:r w:rsidR="00BC7638" w:rsidRPr="00783B4B">
              <w:rPr>
                <w:sz w:val="22"/>
                <w:szCs w:val="22"/>
                <w:lang w:val="sr-Latn-ME"/>
              </w:rPr>
              <w:t xml:space="preserve">stenija </w:t>
            </w:r>
          </w:p>
        </w:tc>
      </w:tr>
    </w:tbl>
    <w:p w14:paraId="67DC9396" w14:textId="4701C328" w:rsidR="004E70AD" w:rsidRPr="00783B4B" w:rsidRDefault="004E70AD" w:rsidP="00783B4B">
      <w:pPr>
        <w:tabs>
          <w:tab w:val="left" w:pos="540"/>
          <w:tab w:val="left" w:pos="569"/>
        </w:tabs>
        <w:rPr>
          <w:b/>
          <w:bCs/>
          <w:sz w:val="22"/>
          <w:szCs w:val="22"/>
          <w:lang w:val="sr-Latn-ME"/>
        </w:rPr>
      </w:pPr>
    </w:p>
    <w:p w14:paraId="74F2AA3B" w14:textId="72E01C24" w:rsidR="00443BA3" w:rsidRPr="00783B4B" w:rsidRDefault="00443BA3" w:rsidP="00783B4B">
      <w:pPr>
        <w:autoSpaceDE w:val="0"/>
        <w:autoSpaceDN w:val="0"/>
        <w:adjustRightInd w:val="0"/>
        <w:jc w:val="both"/>
        <w:rPr>
          <w:sz w:val="22"/>
          <w:szCs w:val="22"/>
          <w:lang w:val="sr-Latn-ME"/>
        </w:rPr>
      </w:pPr>
      <w:r w:rsidRPr="00783B4B">
        <w:rPr>
          <w:sz w:val="22"/>
          <w:szCs w:val="22"/>
          <w:lang w:val="sr-Latn-ME"/>
        </w:rPr>
        <w:t xml:space="preserve">* Sindrom </w:t>
      </w:r>
      <w:proofErr w:type="spellStart"/>
      <w:r w:rsidRPr="00783B4B">
        <w:rPr>
          <w:sz w:val="22"/>
          <w:szCs w:val="22"/>
          <w:lang w:val="sr-Latn-ME"/>
        </w:rPr>
        <w:t>karpalnog</w:t>
      </w:r>
      <w:proofErr w:type="spellEnd"/>
      <w:r w:rsidRPr="00783B4B">
        <w:rPr>
          <w:sz w:val="22"/>
          <w:szCs w:val="22"/>
          <w:lang w:val="sr-Latn-ME"/>
        </w:rPr>
        <w:t xml:space="preserve"> tunela </w:t>
      </w:r>
      <w:r w:rsidR="00201DCA" w:rsidRPr="00783B4B">
        <w:rPr>
          <w:sz w:val="22"/>
          <w:szCs w:val="22"/>
          <w:lang w:val="sr-Latn-ME"/>
        </w:rPr>
        <w:t xml:space="preserve">je </w:t>
      </w:r>
      <w:r w:rsidRPr="00783B4B">
        <w:rPr>
          <w:sz w:val="22"/>
          <w:szCs w:val="22"/>
          <w:lang w:val="sr-Latn-ME"/>
        </w:rPr>
        <w:t xml:space="preserve">prijavljen kod </w:t>
      </w:r>
      <w:proofErr w:type="spellStart"/>
      <w:r w:rsidRPr="00783B4B">
        <w:rPr>
          <w:sz w:val="22"/>
          <w:szCs w:val="22"/>
          <w:lang w:val="sr-Latn-ME"/>
        </w:rPr>
        <w:t>pacijentkinja</w:t>
      </w:r>
      <w:proofErr w:type="spellEnd"/>
      <w:r w:rsidRPr="00783B4B">
        <w:rPr>
          <w:sz w:val="22"/>
          <w:szCs w:val="22"/>
          <w:lang w:val="sr-Latn-ME"/>
        </w:rPr>
        <w:t xml:space="preserve"> koje su </w:t>
      </w:r>
      <w:r w:rsidR="00201DCA" w:rsidRPr="00783B4B">
        <w:rPr>
          <w:sz w:val="22"/>
          <w:szCs w:val="22"/>
          <w:lang w:val="sr-Latn-ME"/>
        </w:rPr>
        <w:t>primale</w:t>
      </w:r>
      <w:r w:rsidRPr="00783B4B">
        <w:rPr>
          <w:sz w:val="22"/>
          <w:szCs w:val="22"/>
          <w:lang w:val="sr-Latn-ME"/>
        </w:rPr>
        <w:t xml:space="preserve"> </w:t>
      </w:r>
      <w:proofErr w:type="spellStart"/>
      <w:r w:rsidRPr="00783B4B">
        <w:rPr>
          <w:sz w:val="22"/>
          <w:szCs w:val="22"/>
          <w:lang w:val="sr-Latn-ME"/>
        </w:rPr>
        <w:t>anastrozol</w:t>
      </w:r>
      <w:proofErr w:type="spellEnd"/>
      <w:r w:rsidR="00E76CE2" w:rsidRPr="00783B4B">
        <w:rPr>
          <w:sz w:val="22"/>
          <w:szCs w:val="22"/>
          <w:lang w:val="sr-Latn-ME"/>
        </w:rPr>
        <w:t>,</w:t>
      </w:r>
      <w:r w:rsidRPr="00783B4B">
        <w:rPr>
          <w:sz w:val="22"/>
          <w:szCs w:val="22"/>
          <w:lang w:val="sr-Latn-ME"/>
        </w:rPr>
        <w:t xml:space="preserve"> u kliničkim</w:t>
      </w:r>
      <w:r w:rsidR="0088545A" w:rsidRPr="00783B4B">
        <w:rPr>
          <w:sz w:val="22"/>
          <w:szCs w:val="22"/>
          <w:lang w:val="sr-Latn-ME"/>
        </w:rPr>
        <w:t xml:space="preserve"> </w:t>
      </w:r>
      <w:r w:rsidRPr="00783B4B">
        <w:rPr>
          <w:sz w:val="22"/>
          <w:szCs w:val="22"/>
          <w:lang w:val="sr-Latn-ME"/>
        </w:rPr>
        <w:t>studijama</w:t>
      </w:r>
      <w:r w:rsidR="00E76CE2" w:rsidRPr="00783B4B">
        <w:rPr>
          <w:sz w:val="22"/>
          <w:szCs w:val="22"/>
          <w:lang w:val="sr-Latn-ME"/>
        </w:rPr>
        <w:t>,</w:t>
      </w:r>
      <w:r w:rsidRPr="00783B4B">
        <w:rPr>
          <w:sz w:val="22"/>
          <w:szCs w:val="22"/>
          <w:lang w:val="sr-Latn-ME"/>
        </w:rPr>
        <w:t xml:space="preserve"> u većem broju u </w:t>
      </w:r>
      <w:r w:rsidR="00E76CE2" w:rsidRPr="00783B4B">
        <w:rPr>
          <w:sz w:val="22"/>
          <w:szCs w:val="22"/>
          <w:lang w:val="sr-Latn-ME"/>
        </w:rPr>
        <w:t xml:space="preserve">poređenju sa </w:t>
      </w:r>
      <w:proofErr w:type="spellStart"/>
      <w:r w:rsidR="00E76CE2" w:rsidRPr="00783B4B">
        <w:rPr>
          <w:sz w:val="22"/>
          <w:szCs w:val="22"/>
          <w:lang w:val="sr-Latn-ME"/>
        </w:rPr>
        <w:t>pacijentkinjama</w:t>
      </w:r>
      <w:proofErr w:type="spellEnd"/>
      <w:r w:rsidRPr="00783B4B">
        <w:rPr>
          <w:sz w:val="22"/>
          <w:szCs w:val="22"/>
          <w:lang w:val="sr-Latn-ME"/>
        </w:rPr>
        <w:t xml:space="preserve"> koje su primale </w:t>
      </w:r>
      <w:proofErr w:type="spellStart"/>
      <w:r w:rsidRPr="00783B4B">
        <w:rPr>
          <w:sz w:val="22"/>
          <w:szCs w:val="22"/>
          <w:lang w:val="sr-Latn-ME"/>
        </w:rPr>
        <w:t>tamoksifen</w:t>
      </w:r>
      <w:proofErr w:type="spellEnd"/>
      <w:r w:rsidRPr="00783B4B">
        <w:rPr>
          <w:sz w:val="22"/>
          <w:szCs w:val="22"/>
          <w:lang w:val="sr-Latn-ME"/>
        </w:rPr>
        <w:t>. Međutim, većina ovih slučajeva</w:t>
      </w:r>
      <w:r w:rsidR="006B0D8A" w:rsidRPr="00783B4B">
        <w:rPr>
          <w:sz w:val="22"/>
          <w:szCs w:val="22"/>
          <w:lang w:val="sr-Latn-ME"/>
        </w:rPr>
        <w:t xml:space="preserve"> se desila</w:t>
      </w:r>
      <w:r w:rsidRPr="00783B4B">
        <w:rPr>
          <w:sz w:val="22"/>
          <w:szCs w:val="22"/>
          <w:lang w:val="sr-Latn-ME"/>
        </w:rPr>
        <w:t xml:space="preserve"> kod </w:t>
      </w:r>
      <w:proofErr w:type="spellStart"/>
      <w:r w:rsidRPr="00783B4B">
        <w:rPr>
          <w:sz w:val="22"/>
          <w:szCs w:val="22"/>
          <w:lang w:val="sr-Latn-ME"/>
        </w:rPr>
        <w:t>pacijentkinja</w:t>
      </w:r>
      <w:proofErr w:type="spellEnd"/>
      <w:r w:rsidRPr="00783B4B">
        <w:rPr>
          <w:sz w:val="22"/>
          <w:szCs w:val="22"/>
          <w:lang w:val="sr-Latn-ME"/>
        </w:rPr>
        <w:t xml:space="preserve"> sa identifikovanim faktorima rizika za </w:t>
      </w:r>
      <w:r w:rsidR="00BF1B16" w:rsidRPr="00783B4B">
        <w:rPr>
          <w:sz w:val="22"/>
          <w:szCs w:val="22"/>
          <w:lang w:val="sr-Latn-ME"/>
        </w:rPr>
        <w:t xml:space="preserve">nastanak </w:t>
      </w:r>
      <w:r w:rsidRPr="00783B4B">
        <w:rPr>
          <w:sz w:val="22"/>
          <w:szCs w:val="22"/>
          <w:lang w:val="sr-Latn-ME"/>
        </w:rPr>
        <w:t>ovog stanja.</w:t>
      </w:r>
    </w:p>
    <w:p w14:paraId="1C798123" w14:textId="77777777" w:rsidR="00443BA3" w:rsidRPr="00783B4B" w:rsidRDefault="00443BA3" w:rsidP="00783B4B">
      <w:pPr>
        <w:autoSpaceDE w:val="0"/>
        <w:autoSpaceDN w:val="0"/>
        <w:adjustRightInd w:val="0"/>
        <w:jc w:val="both"/>
        <w:rPr>
          <w:sz w:val="22"/>
          <w:szCs w:val="22"/>
          <w:lang w:val="sr-Latn-ME"/>
        </w:rPr>
      </w:pPr>
    </w:p>
    <w:p w14:paraId="7C5BDE2C" w14:textId="5107B514" w:rsidR="00443BA3" w:rsidRPr="00783B4B" w:rsidRDefault="00443BA3" w:rsidP="00783B4B">
      <w:pPr>
        <w:autoSpaceDE w:val="0"/>
        <w:autoSpaceDN w:val="0"/>
        <w:adjustRightInd w:val="0"/>
        <w:jc w:val="both"/>
        <w:rPr>
          <w:sz w:val="22"/>
          <w:szCs w:val="22"/>
          <w:lang w:val="sr-Latn-ME"/>
        </w:rPr>
      </w:pPr>
      <w:r w:rsidRPr="00783B4B">
        <w:rPr>
          <w:sz w:val="22"/>
          <w:szCs w:val="22"/>
          <w:lang w:val="sr-Latn-ME"/>
        </w:rPr>
        <w:t xml:space="preserve">** Kako </w:t>
      </w:r>
      <w:proofErr w:type="spellStart"/>
      <w:r w:rsidRPr="00783B4B">
        <w:rPr>
          <w:sz w:val="22"/>
          <w:szCs w:val="22"/>
          <w:lang w:val="sr-Latn-ME"/>
        </w:rPr>
        <w:t>kutani</w:t>
      </w:r>
      <w:proofErr w:type="spellEnd"/>
      <w:r w:rsidRPr="00783B4B">
        <w:rPr>
          <w:sz w:val="22"/>
          <w:szCs w:val="22"/>
          <w:lang w:val="sr-Latn-ME"/>
        </w:rPr>
        <w:t xml:space="preserve"> </w:t>
      </w:r>
      <w:proofErr w:type="spellStart"/>
      <w:r w:rsidRPr="00783B4B">
        <w:rPr>
          <w:sz w:val="22"/>
          <w:szCs w:val="22"/>
          <w:lang w:val="sr-Latn-ME"/>
        </w:rPr>
        <w:t>vaskulitis</w:t>
      </w:r>
      <w:proofErr w:type="spellEnd"/>
      <w:r w:rsidRPr="00783B4B">
        <w:rPr>
          <w:sz w:val="22"/>
          <w:szCs w:val="22"/>
          <w:lang w:val="sr-Latn-ME"/>
        </w:rPr>
        <w:t xml:space="preserve"> i </w:t>
      </w:r>
      <w:proofErr w:type="spellStart"/>
      <w:r w:rsidRPr="00783B4B">
        <w:rPr>
          <w:i/>
          <w:iCs/>
          <w:sz w:val="22"/>
          <w:szCs w:val="22"/>
          <w:lang w:val="sr-Latn-ME"/>
        </w:rPr>
        <w:t>Henoch-Schönlein</w:t>
      </w:r>
      <w:proofErr w:type="spellEnd"/>
      <w:r w:rsidRPr="00783B4B">
        <w:rPr>
          <w:sz w:val="22"/>
          <w:szCs w:val="22"/>
          <w:lang w:val="sr-Latn-ME"/>
        </w:rPr>
        <w:t xml:space="preserve"> purpura nijesu primjećeni tokom </w:t>
      </w:r>
      <w:proofErr w:type="spellStart"/>
      <w:r w:rsidRPr="00783B4B">
        <w:rPr>
          <w:sz w:val="22"/>
          <w:szCs w:val="22"/>
          <w:lang w:val="sr-Latn-ME"/>
        </w:rPr>
        <w:t>ATAC</w:t>
      </w:r>
      <w:proofErr w:type="spellEnd"/>
      <w:r w:rsidRPr="00783B4B">
        <w:rPr>
          <w:sz w:val="22"/>
          <w:szCs w:val="22"/>
          <w:lang w:val="sr-Latn-ME"/>
        </w:rPr>
        <w:t xml:space="preserve"> studije, učestalost pojave  ovih događaja se može smatrati  rijetkom (≥ 0,01% i &lt; 0,1%), </w:t>
      </w:r>
      <w:r w:rsidR="00A16683" w:rsidRPr="00783B4B">
        <w:rPr>
          <w:sz w:val="22"/>
          <w:szCs w:val="22"/>
          <w:lang w:val="sr-Latn-ME"/>
        </w:rPr>
        <w:t>bazirano na</w:t>
      </w:r>
      <w:r w:rsidRPr="00783B4B">
        <w:rPr>
          <w:sz w:val="22"/>
          <w:szCs w:val="22"/>
          <w:lang w:val="sr-Latn-ME"/>
        </w:rPr>
        <w:t xml:space="preserve"> </w:t>
      </w:r>
      <w:r w:rsidR="00A16683" w:rsidRPr="00783B4B">
        <w:rPr>
          <w:sz w:val="22"/>
          <w:szCs w:val="22"/>
          <w:lang w:val="sr-Latn-ME"/>
        </w:rPr>
        <w:t>najlošijoj proc</w:t>
      </w:r>
      <w:r w:rsidR="00FA4EFC" w:rsidRPr="00783B4B">
        <w:rPr>
          <w:sz w:val="22"/>
          <w:szCs w:val="22"/>
          <w:lang w:val="sr-Latn-ME"/>
        </w:rPr>
        <w:t>ij</w:t>
      </w:r>
      <w:r w:rsidR="00A16683" w:rsidRPr="00783B4B">
        <w:rPr>
          <w:sz w:val="22"/>
          <w:szCs w:val="22"/>
          <w:lang w:val="sr-Latn-ME"/>
        </w:rPr>
        <w:t xml:space="preserve">enjenoj </w:t>
      </w:r>
      <w:r w:rsidRPr="00783B4B">
        <w:rPr>
          <w:sz w:val="22"/>
          <w:szCs w:val="22"/>
          <w:lang w:val="sr-Latn-ME"/>
        </w:rPr>
        <w:t xml:space="preserve">vrijednosti. </w:t>
      </w:r>
    </w:p>
    <w:p w14:paraId="6B67429B" w14:textId="77777777" w:rsidR="00443BA3" w:rsidRPr="00783B4B" w:rsidRDefault="00443BA3" w:rsidP="00783B4B">
      <w:pPr>
        <w:jc w:val="both"/>
        <w:rPr>
          <w:sz w:val="22"/>
          <w:szCs w:val="22"/>
          <w:lang w:val="sr-Latn-ME"/>
        </w:rPr>
      </w:pPr>
    </w:p>
    <w:p w14:paraId="737321A0" w14:textId="526BA7F4" w:rsidR="00443BA3" w:rsidRPr="00783B4B" w:rsidRDefault="00443BA3" w:rsidP="00783B4B">
      <w:pPr>
        <w:autoSpaceDE w:val="0"/>
        <w:autoSpaceDN w:val="0"/>
        <w:adjustRightInd w:val="0"/>
        <w:jc w:val="both"/>
        <w:rPr>
          <w:color w:val="000000"/>
          <w:sz w:val="22"/>
          <w:szCs w:val="22"/>
          <w:lang w:val="sr-Latn-ME"/>
        </w:rPr>
      </w:pPr>
      <w:r w:rsidRPr="00783B4B">
        <w:rPr>
          <w:color w:val="000000"/>
          <w:sz w:val="22"/>
          <w:szCs w:val="22"/>
          <w:lang w:val="sr-Latn-ME"/>
        </w:rPr>
        <w:t xml:space="preserve">***Vaginalno krvarenje </w:t>
      </w:r>
      <w:r w:rsidR="004C27F7" w:rsidRPr="00783B4B">
        <w:rPr>
          <w:color w:val="000000"/>
          <w:sz w:val="22"/>
          <w:szCs w:val="22"/>
          <w:lang w:val="sr-Latn-ME"/>
        </w:rPr>
        <w:t>javlja se</w:t>
      </w:r>
      <w:r w:rsidRPr="00783B4B">
        <w:rPr>
          <w:color w:val="000000"/>
          <w:sz w:val="22"/>
          <w:szCs w:val="22"/>
          <w:lang w:val="sr-Latn-ME"/>
        </w:rPr>
        <w:t xml:space="preserve"> povremeno, uglavnom kod </w:t>
      </w:r>
      <w:proofErr w:type="spellStart"/>
      <w:r w:rsidRPr="00783B4B">
        <w:rPr>
          <w:color w:val="000000"/>
          <w:sz w:val="22"/>
          <w:szCs w:val="22"/>
          <w:lang w:val="sr-Latn-ME"/>
        </w:rPr>
        <w:t>pacijentkinja</w:t>
      </w:r>
      <w:proofErr w:type="spellEnd"/>
      <w:r w:rsidRPr="00783B4B">
        <w:rPr>
          <w:color w:val="000000"/>
          <w:sz w:val="22"/>
          <w:szCs w:val="22"/>
          <w:lang w:val="sr-Latn-ME"/>
        </w:rPr>
        <w:t xml:space="preserve"> sa </w:t>
      </w:r>
      <w:proofErr w:type="spellStart"/>
      <w:r w:rsidRPr="00783B4B">
        <w:rPr>
          <w:color w:val="000000"/>
          <w:sz w:val="22"/>
          <w:szCs w:val="22"/>
          <w:lang w:val="sr-Latn-ME"/>
        </w:rPr>
        <w:t>uznapredovalim</w:t>
      </w:r>
      <w:proofErr w:type="spellEnd"/>
    </w:p>
    <w:p w14:paraId="387D223B" w14:textId="6BDC5445" w:rsidR="00443BA3" w:rsidRPr="00783B4B" w:rsidRDefault="00443BA3" w:rsidP="00783B4B">
      <w:pPr>
        <w:autoSpaceDE w:val="0"/>
        <w:autoSpaceDN w:val="0"/>
        <w:adjustRightInd w:val="0"/>
        <w:jc w:val="both"/>
        <w:rPr>
          <w:color w:val="000000"/>
          <w:sz w:val="22"/>
          <w:szCs w:val="22"/>
          <w:lang w:val="sr-Latn-ME"/>
        </w:rPr>
      </w:pPr>
      <w:proofErr w:type="spellStart"/>
      <w:r w:rsidRPr="00783B4B">
        <w:rPr>
          <w:color w:val="000000"/>
          <w:sz w:val="22"/>
          <w:szCs w:val="22"/>
          <w:lang w:val="sr-Latn-ME"/>
        </w:rPr>
        <w:t>karcinomom</w:t>
      </w:r>
      <w:proofErr w:type="spellEnd"/>
      <w:r w:rsidRPr="00783B4B">
        <w:rPr>
          <w:color w:val="000000"/>
          <w:sz w:val="22"/>
          <w:szCs w:val="22"/>
          <w:lang w:val="sr-Latn-ME"/>
        </w:rPr>
        <w:t xml:space="preserve"> dojke</w:t>
      </w:r>
      <w:r w:rsidR="004C27F7" w:rsidRPr="00783B4B">
        <w:rPr>
          <w:color w:val="000000"/>
          <w:sz w:val="22"/>
          <w:szCs w:val="22"/>
          <w:lang w:val="sr-Latn-ME"/>
        </w:rPr>
        <w:t xml:space="preserve"> u</w:t>
      </w:r>
      <w:r w:rsidRPr="00783B4B">
        <w:rPr>
          <w:color w:val="000000"/>
          <w:sz w:val="22"/>
          <w:szCs w:val="22"/>
          <w:lang w:val="sr-Latn-ME"/>
        </w:rPr>
        <w:t xml:space="preserve"> prvi</w:t>
      </w:r>
      <w:r w:rsidR="004C27F7" w:rsidRPr="00783B4B">
        <w:rPr>
          <w:color w:val="000000"/>
          <w:sz w:val="22"/>
          <w:szCs w:val="22"/>
          <w:lang w:val="sr-Latn-ME"/>
        </w:rPr>
        <w:t xml:space="preserve">m </w:t>
      </w:r>
      <w:r w:rsidRPr="00783B4B">
        <w:rPr>
          <w:color w:val="000000"/>
          <w:sz w:val="22"/>
          <w:szCs w:val="22"/>
          <w:lang w:val="sr-Latn-ME"/>
        </w:rPr>
        <w:t>nedjelja</w:t>
      </w:r>
      <w:r w:rsidR="004C27F7" w:rsidRPr="00783B4B">
        <w:rPr>
          <w:color w:val="000000"/>
          <w:sz w:val="22"/>
          <w:szCs w:val="22"/>
          <w:lang w:val="sr-Latn-ME"/>
        </w:rPr>
        <w:t>ma</w:t>
      </w:r>
      <w:r w:rsidRPr="00783B4B">
        <w:rPr>
          <w:color w:val="000000"/>
          <w:sz w:val="22"/>
          <w:szCs w:val="22"/>
          <w:lang w:val="sr-Latn-ME"/>
        </w:rPr>
        <w:t xml:space="preserve"> nakon </w:t>
      </w:r>
      <w:r w:rsidR="001C5DA5" w:rsidRPr="00783B4B">
        <w:rPr>
          <w:color w:val="000000"/>
          <w:sz w:val="22"/>
          <w:szCs w:val="22"/>
          <w:lang w:val="sr-Latn-ME"/>
        </w:rPr>
        <w:t xml:space="preserve">prevođenja </w:t>
      </w:r>
      <w:r w:rsidRPr="00783B4B">
        <w:rPr>
          <w:color w:val="000000"/>
          <w:sz w:val="22"/>
          <w:szCs w:val="22"/>
          <w:lang w:val="sr-Latn-ME"/>
        </w:rPr>
        <w:t xml:space="preserve">sa </w:t>
      </w:r>
      <w:r w:rsidR="001C5DA5" w:rsidRPr="00783B4B">
        <w:rPr>
          <w:color w:val="000000"/>
          <w:sz w:val="22"/>
          <w:szCs w:val="22"/>
          <w:lang w:val="sr-Latn-ME"/>
        </w:rPr>
        <w:t>postojeće</w:t>
      </w:r>
      <w:r w:rsidRPr="00783B4B">
        <w:rPr>
          <w:color w:val="000000"/>
          <w:sz w:val="22"/>
          <w:szCs w:val="22"/>
          <w:lang w:val="sr-Latn-ME"/>
        </w:rPr>
        <w:t xml:space="preserve"> hormonske terapije na </w:t>
      </w:r>
      <w:r w:rsidR="001C5DA5" w:rsidRPr="00783B4B">
        <w:rPr>
          <w:color w:val="000000"/>
          <w:sz w:val="22"/>
          <w:szCs w:val="22"/>
          <w:lang w:val="sr-Latn-ME"/>
        </w:rPr>
        <w:t xml:space="preserve">terapiju </w:t>
      </w:r>
      <w:proofErr w:type="spellStart"/>
      <w:r w:rsidRPr="00783B4B">
        <w:rPr>
          <w:color w:val="000000"/>
          <w:sz w:val="22"/>
          <w:szCs w:val="22"/>
          <w:lang w:val="sr-Latn-ME"/>
        </w:rPr>
        <w:t>anastrozolom</w:t>
      </w:r>
      <w:proofErr w:type="spellEnd"/>
      <w:r w:rsidRPr="00783B4B">
        <w:rPr>
          <w:color w:val="000000"/>
          <w:sz w:val="22"/>
          <w:szCs w:val="22"/>
          <w:lang w:val="sr-Latn-ME"/>
        </w:rPr>
        <w:t>. Ukoliko se krvarenje ne zaustavi spontano, neophodno je sprovesti dodatne dijagnostičke postupke.</w:t>
      </w:r>
    </w:p>
    <w:p w14:paraId="3396F0D3" w14:textId="77777777" w:rsidR="00443BA3" w:rsidRPr="00783B4B" w:rsidRDefault="00443BA3" w:rsidP="00783B4B">
      <w:pPr>
        <w:autoSpaceDE w:val="0"/>
        <w:autoSpaceDN w:val="0"/>
        <w:adjustRightInd w:val="0"/>
        <w:jc w:val="both"/>
        <w:rPr>
          <w:sz w:val="22"/>
          <w:szCs w:val="22"/>
          <w:lang w:val="sr-Latn-ME"/>
        </w:rPr>
      </w:pPr>
    </w:p>
    <w:p w14:paraId="40A19BC1" w14:textId="18D4B67B" w:rsidR="00443BA3" w:rsidRPr="00783B4B" w:rsidRDefault="00BE5F62" w:rsidP="00783B4B">
      <w:pPr>
        <w:autoSpaceDE w:val="0"/>
        <w:autoSpaceDN w:val="0"/>
        <w:adjustRightInd w:val="0"/>
        <w:jc w:val="both"/>
        <w:rPr>
          <w:sz w:val="22"/>
          <w:szCs w:val="22"/>
          <w:lang w:val="sr-Latn-ME"/>
        </w:rPr>
      </w:pPr>
      <w:r w:rsidRPr="00783B4B">
        <w:rPr>
          <w:sz w:val="22"/>
          <w:szCs w:val="22"/>
          <w:lang w:val="sr-Latn-ME"/>
        </w:rPr>
        <w:t>U sl</w:t>
      </w:r>
      <w:r w:rsidR="00FA4EFC" w:rsidRPr="00783B4B">
        <w:rPr>
          <w:sz w:val="22"/>
          <w:szCs w:val="22"/>
          <w:lang w:val="sr-Latn-ME"/>
        </w:rPr>
        <w:t>j</w:t>
      </w:r>
      <w:r w:rsidRPr="00783B4B">
        <w:rPr>
          <w:sz w:val="22"/>
          <w:szCs w:val="22"/>
          <w:lang w:val="sr-Latn-ME"/>
        </w:rPr>
        <w:t xml:space="preserve">edećoj tabeli predstavljena je </w:t>
      </w:r>
      <w:r w:rsidR="00443BA3" w:rsidRPr="00783B4B">
        <w:rPr>
          <w:sz w:val="22"/>
          <w:szCs w:val="22"/>
          <w:lang w:val="sr-Latn-ME"/>
        </w:rPr>
        <w:t xml:space="preserve">učestalost prethodno definisanih neželjenih dejstava u </w:t>
      </w:r>
      <w:proofErr w:type="spellStart"/>
      <w:r w:rsidR="00443BA3" w:rsidRPr="00783B4B">
        <w:rPr>
          <w:sz w:val="22"/>
          <w:szCs w:val="22"/>
          <w:lang w:val="sr-Latn-ME"/>
        </w:rPr>
        <w:t>ATAC</w:t>
      </w:r>
      <w:proofErr w:type="spellEnd"/>
      <w:r w:rsidR="00443BA3" w:rsidRPr="00783B4B">
        <w:rPr>
          <w:sz w:val="22"/>
          <w:szCs w:val="22"/>
          <w:lang w:val="sr-Latn-ME"/>
        </w:rPr>
        <w:t xml:space="preserve"> studiji, </w:t>
      </w:r>
      <w:r w:rsidRPr="00783B4B">
        <w:rPr>
          <w:sz w:val="22"/>
          <w:szCs w:val="22"/>
          <w:lang w:val="sr-Latn-ME"/>
        </w:rPr>
        <w:t>posl</w:t>
      </w:r>
      <w:r w:rsidR="00FA4EFC" w:rsidRPr="00783B4B">
        <w:rPr>
          <w:sz w:val="22"/>
          <w:szCs w:val="22"/>
          <w:lang w:val="sr-Latn-ME"/>
        </w:rPr>
        <w:t>ij</w:t>
      </w:r>
      <w:r w:rsidRPr="00783B4B">
        <w:rPr>
          <w:sz w:val="22"/>
          <w:szCs w:val="22"/>
          <w:lang w:val="sr-Latn-ME"/>
        </w:rPr>
        <w:t xml:space="preserve">e </w:t>
      </w:r>
      <w:proofErr w:type="spellStart"/>
      <w:r w:rsidR="00443BA3" w:rsidRPr="00783B4B">
        <w:rPr>
          <w:sz w:val="22"/>
          <w:szCs w:val="22"/>
          <w:lang w:val="sr-Latn-ME"/>
        </w:rPr>
        <w:t>medija</w:t>
      </w:r>
      <w:r w:rsidR="00B875A9" w:rsidRPr="00783B4B">
        <w:rPr>
          <w:sz w:val="22"/>
          <w:szCs w:val="22"/>
          <w:lang w:val="sr-Latn-ME"/>
        </w:rPr>
        <w:t>ne</w:t>
      </w:r>
      <w:proofErr w:type="spellEnd"/>
      <w:r w:rsidR="00443BA3" w:rsidRPr="00783B4B">
        <w:rPr>
          <w:sz w:val="22"/>
          <w:szCs w:val="22"/>
          <w:lang w:val="sr-Latn-ME"/>
        </w:rPr>
        <w:t xml:space="preserve"> </w:t>
      </w:r>
      <w:r w:rsidR="00555BBF" w:rsidRPr="00783B4B">
        <w:rPr>
          <w:sz w:val="22"/>
          <w:szCs w:val="22"/>
          <w:lang w:val="sr-Latn-ME"/>
        </w:rPr>
        <w:t>perioda praćenja</w:t>
      </w:r>
      <w:r w:rsidR="00555BBF" w:rsidRPr="00783B4B" w:rsidDel="00555BBF">
        <w:rPr>
          <w:sz w:val="22"/>
          <w:szCs w:val="22"/>
          <w:lang w:val="sr-Latn-ME"/>
        </w:rPr>
        <w:t xml:space="preserve"> </w:t>
      </w:r>
      <w:r w:rsidR="00443BA3" w:rsidRPr="00783B4B">
        <w:rPr>
          <w:sz w:val="22"/>
          <w:szCs w:val="22"/>
          <w:lang w:val="sr-Latn-ME"/>
        </w:rPr>
        <w:t xml:space="preserve">od 68 mjeseci nezavisno od uzroka, koji su zabilježeni kod </w:t>
      </w:r>
      <w:proofErr w:type="spellStart"/>
      <w:r w:rsidR="00443BA3" w:rsidRPr="00783B4B">
        <w:rPr>
          <w:sz w:val="22"/>
          <w:szCs w:val="22"/>
          <w:lang w:val="sr-Latn-ME"/>
        </w:rPr>
        <w:t>pacijentkinja</w:t>
      </w:r>
      <w:proofErr w:type="spellEnd"/>
      <w:r w:rsidR="00443BA3" w:rsidRPr="00783B4B">
        <w:rPr>
          <w:sz w:val="22"/>
          <w:szCs w:val="22"/>
          <w:lang w:val="sr-Latn-ME"/>
        </w:rPr>
        <w:t xml:space="preserve"> za vrijeme terapije i tokom 14 dana poslije završetka liječenja.</w:t>
      </w:r>
    </w:p>
    <w:p w14:paraId="12E1116F" w14:textId="77777777" w:rsidR="00443BA3" w:rsidRPr="00783B4B" w:rsidRDefault="00443BA3" w:rsidP="00783B4B">
      <w:pPr>
        <w:autoSpaceDE w:val="0"/>
        <w:autoSpaceDN w:val="0"/>
        <w:adjustRightInd w:val="0"/>
        <w:jc w:val="both"/>
        <w:rPr>
          <w:sz w:val="22"/>
          <w:szCs w:val="22"/>
          <w:lang w:val="sr-Latn-ME"/>
        </w:rPr>
      </w:pPr>
    </w:p>
    <w:p w14:paraId="29A8BECF" w14:textId="6AE2D321" w:rsidR="00D644C2" w:rsidRPr="00783B4B" w:rsidRDefault="00443BA3" w:rsidP="00783B4B">
      <w:pPr>
        <w:tabs>
          <w:tab w:val="left" w:pos="540"/>
          <w:tab w:val="left" w:pos="569"/>
        </w:tabs>
        <w:jc w:val="both"/>
        <w:rPr>
          <w:color w:val="000000"/>
          <w:sz w:val="22"/>
          <w:szCs w:val="22"/>
          <w:lang w:val="sr-Latn-ME"/>
        </w:rPr>
      </w:pPr>
      <w:r w:rsidRPr="00783B4B">
        <w:rPr>
          <w:b/>
          <w:bCs/>
          <w:iCs/>
          <w:color w:val="000000"/>
          <w:sz w:val="22"/>
          <w:szCs w:val="22"/>
          <w:lang w:val="sr-Latn-ME"/>
        </w:rPr>
        <w:t>Tabela 2</w:t>
      </w:r>
      <w:r w:rsidRPr="00783B4B">
        <w:rPr>
          <w:b/>
          <w:bCs/>
          <w:color w:val="000000"/>
          <w:sz w:val="22"/>
          <w:szCs w:val="22"/>
          <w:lang w:val="sr-Latn-ME"/>
        </w:rPr>
        <w:t>.</w:t>
      </w:r>
      <w:r w:rsidRPr="00783B4B">
        <w:rPr>
          <w:color w:val="000000"/>
          <w:sz w:val="22"/>
          <w:szCs w:val="22"/>
          <w:lang w:val="sr-Latn-ME"/>
        </w:rPr>
        <w:t xml:space="preserve"> </w:t>
      </w:r>
      <w:r w:rsidR="0016733F" w:rsidRPr="00783B4B">
        <w:rPr>
          <w:b/>
          <w:sz w:val="22"/>
          <w:szCs w:val="22"/>
          <w:lang w:val="sr-Latn-ME"/>
        </w:rPr>
        <w:t>Unapr</w:t>
      </w:r>
      <w:r w:rsidR="00FA4EFC" w:rsidRPr="00783B4B">
        <w:rPr>
          <w:b/>
          <w:sz w:val="22"/>
          <w:szCs w:val="22"/>
          <w:lang w:val="sr-Latn-ME"/>
        </w:rPr>
        <w:t>ij</w:t>
      </w:r>
      <w:r w:rsidR="0016733F" w:rsidRPr="00783B4B">
        <w:rPr>
          <w:b/>
          <w:sz w:val="22"/>
          <w:szCs w:val="22"/>
          <w:lang w:val="sr-Latn-ME"/>
        </w:rPr>
        <w:t xml:space="preserve">ed određena neželjena dejstva u </w:t>
      </w:r>
      <w:proofErr w:type="spellStart"/>
      <w:r w:rsidR="0016733F" w:rsidRPr="00783B4B">
        <w:rPr>
          <w:b/>
          <w:sz w:val="22"/>
          <w:szCs w:val="22"/>
          <w:lang w:val="sr-Latn-ME"/>
        </w:rPr>
        <w:t>ATAC</w:t>
      </w:r>
      <w:proofErr w:type="spellEnd"/>
      <w:r w:rsidR="0016733F" w:rsidRPr="00783B4B">
        <w:rPr>
          <w:b/>
          <w:sz w:val="22"/>
          <w:szCs w:val="22"/>
          <w:lang w:val="sr-Latn-ME"/>
        </w:rPr>
        <w:t xml:space="preserve"> studiji</w:t>
      </w:r>
    </w:p>
    <w:p w14:paraId="6BCFC6B6" w14:textId="1D071647" w:rsidR="00443BA3" w:rsidRPr="00783B4B" w:rsidRDefault="00443BA3" w:rsidP="00783B4B">
      <w:pPr>
        <w:tabs>
          <w:tab w:val="left" w:pos="540"/>
          <w:tab w:val="left" w:pos="569"/>
        </w:tabs>
        <w:rPr>
          <w:color w:val="000000"/>
          <w:sz w:val="22"/>
          <w:szCs w:val="22"/>
          <w:lang w:val="sr-Latn-ME"/>
        </w:rPr>
      </w:pPr>
    </w:p>
    <w:tbl>
      <w:tblPr>
        <w:tblW w:w="48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06"/>
        <w:gridCol w:w="1707"/>
        <w:gridCol w:w="1921"/>
      </w:tblGrid>
      <w:tr w:rsidR="008E0A04" w:rsidRPr="00783B4B" w14:paraId="58F6460F" w14:textId="77777777" w:rsidTr="001A3838">
        <w:trPr>
          <w:trHeight w:val="683"/>
          <w:tblCellSpacing w:w="0" w:type="dxa"/>
        </w:trPr>
        <w:tc>
          <w:tcPr>
            <w:tcW w:w="5804" w:type="dxa"/>
            <w:tcBorders>
              <w:top w:val="outset" w:sz="6" w:space="0" w:color="auto"/>
              <w:left w:val="outset" w:sz="6" w:space="0" w:color="auto"/>
              <w:bottom w:val="outset" w:sz="6" w:space="0" w:color="auto"/>
              <w:right w:val="outset" w:sz="6" w:space="0" w:color="auto"/>
            </w:tcBorders>
          </w:tcPr>
          <w:p w14:paraId="7656250C" w14:textId="1ACA881C" w:rsidR="008E0A04" w:rsidRPr="00783B4B" w:rsidRDefault="008E0A04" w:rsidP="00783B4B">
            <w:pPr>
              <w:pStyle w:val="NormalWeb"/>
              <w:rPr>
                <w:sz w:val="22"/>
                <w:szCs w:val="22"/>
                <w:lang w:val="sr-Latn-ME"/>
              </w:rPr>
            </w:pPr>
            <w:r w:rsidRPr="00783B4B">
              <w:rPr>
                <w:bCs/>
                <w:sz w:val="22"/>
                <w:szCs w:val="22"/>
                <w:lang w:val="sr-Latn-ME"/>
              </w:rPr>
              <w:t xml:space="preserve">Neželjeni </w:t>
            </w:r>
            <w:r w:rsidR="0016733F" w:rsidRPr="00783B4B">
              <w:rPr>
                <w:bCs/>
                <w:sz w:val="22"/>
                <w:szCs w:val="22"/>
                <w:lang w:val="sr-Latn-ME"/>
              </w:rPr>
              <w:t>događaji</w:t>
            </w:r>
          </w:p>
        </w:tc>
        <w:tc>
          <w:tcPr>
            <w:tcW w:w="1843" w:type="dxa"/>
            <w:tcBorders>
              <w:top w:val="outset" w:sz="6" w:space="0" w:color="auto"/>
              <w:left w:val="outset" w:sz="6" w:space="0" w:color="auto"/>
              <w:bottom w:val="outset" w:sz="6" w:space="0" w:color="auto"/>
              <w:right w:val="outset" w:sz="6" w:space="0" w:color="auto"/>
            </w:tcBorders>
            <w:vAlign w:val="center"/>
          </w:tcPr>
          <w:p w14:paraId="61D83A30" w14:textId="2FBAAE7D" w:rsidR="008E0A04" w:rsidRPr="00783B4B" w:rsidRDefault="005479D6" w:rsidP="00783B4B">
            <w:pPr>
              <w:pStyle w:val="NormalWeb"/>
              <w:jc w:val="center"/>
              <w:rPr>
                <w:bCs/>
                <w:sz w:val="22"/>
                <w:szCs w:val="22"/>
                <w:lang w:val="sr-Latn-ME"/>
              </w:rPr>
            </w:pPr>
            <w:proofErr w:type="spellStart"/>
            <w:r w:rsidRPr="00783B4B">
              <w:rPr>
                <w:sz w:val="22"/>
                <w:szCs w:val="22"/>
                <w:lang w:val="sr-Latn-ME"/>
              </w:rPr>
              <w:t>Trasolette</w:t>
            </w:r>
            <w:proofErr w:type="spellEnd"/>
          </w:p>
          <w:p w14:paraId="3F3D34F4" w14:textId="77777777" w:rsidR="008E0A04" w:rsidRPr="00783B4B" w:rsidRDefault="008E0A04" w:rsidP="00783B4B">
            <w:pPr>
              <w:pStyle w:val="NormalWeb"/>
              <w:jc w:val="center"/>
              <w:rPr>
                <w:bCs/>
                <w:sz w:val="22"/>
                <w:szCs w:val="22"/>
                <w:lang w:val="sr-Latn-ME"/>
              </w:rPr>
            </w:pPr>
            <w:r w:rsidRPr="00783B4B">
              <w:rPr>
                <w:bCs/>
                <w:sz w:val="22"/>
                <w:szCs w:val="22"/>
                <w:lang w:val="sr-Latn-ME"/>
              </w:rPr>
              <w:t>(N=3092)</w:t>
            </w:r>
          </w:p>
        </w:tc>
        <w:tc>
          <w:tcPr>
            <w:tcW w:w="2064" w:type="dxa"/>
            <w:tcBorders>
              <w:top w:val="outset" w:sz="6" w:space="0" w:color="auto"/>
              <w:left w:val="outset" w:sz="6" w:space="0" w:color="auto"/>
              <w:bottom w:val="outset" w:sz="6" w:space="0" w:color="auto"/>
              <w:right w:val="outset" w:sz="6" w:space="0" w:color="auto"/>
            </w:tcBorders>
            <w:vAlign w:val="center"/>
          </w:tcPr>
          <w:p w14:paraId="2A255599" w14:textId="77777777" w:rsidR="008E0A04" w:rsidRPr="00783B4B" w:rsidRDefault="008E0A04" w:rsidP="00783B4B">
            <w:pPr>
              <w:pStyle w:val="NormalWeb"/>
              <w:jc w:val="center"/>
              <w:rPr>
                <w:bCs/>
                <w:sz w:val="22"/>
                <w:szCs w:val="22"/>
                <w:lang w:val="sr-Latn-ME"/>
              </w:rPr>
            </w:pPr>
            <w:proofErr w:type="spellStart"/>
            <w:r w:rsidRPr="00783B4B">
              <w:rPr>
                <w:bCs/>
                <w:sz w:val="22"/>
                <w:szCs w:val="22"/>
                <w:lang w:val="sr-Latn-ME"/>
              </w:rPr>
              <w:t>Tamoksifen</w:t>
            </w:r>
            <w:proofErr w:type="spellEnd"/>
          </w:p>
          <w:p w14:paraId="7551AA11" w14:textId="77777777" w:rsidR="008E0A04" w:rsidRPr="00783B4B" w:rsidRDefault="008E0A04" w:rsidP="00783B4B">
            <w:pPr>
              <w:pStyle w:val="NormalWeb"/>
              <w:jc w:val="center"/>
              <w:rPr>
                <w:bCs/>
                <w:sz w:val="22"/>
                <w:szCs w:val="22"/>
                <w:lang w:val="sr-Latn-ME"/>
              </w:rPr>
            </w:pPr>
            <w:r w:rsidRPr="00783B4B">
              <w:rPr>
                <w:bCs/>
                <w:sz w:val="22"/>
                <w:szCs w:val="22"/>
                <w:lang w:val="sr-Latn-ME"/>
              </w:rPr>
              <w:t>(N=3094)</w:t>
            </w:r>
          </w:p>
        </w:tc>
      </w:tr>
      <w:tr w:rsidR="008E0A04" w:rsidRPr="00783B4B" w14:paraId="0FDBB0AD"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7AEA9F43" w14:textId="66D45C08" w:rsidR="008E0A04" w:rsidRPr="00783B4B" w:rsidRDefault="0002637B" w:rsidP="00783B4B">
            <w:pPr>
              <w:pStyle w:val="NormalWeb"/>
              <w:rPr>
                <w:sz w:val="22"/>
                <w:szCs w:val="22"/>
                <w:lang w:val="sr-Latn-ME"/>
              </w:rPr>
            </w:pPr>
            <w:r w:rsidRPr="00783B4B">
              <w:rPr>
                <w:sz w:val="22"/>
                <w:szCs w:val="22"/>
                <w:lang w:val="sr-Latn-ME"/>
              </w:rPr>
              <w:t>Naleti vrućine</w:t>
            </w:r>
          </w:p>
        </w:tc>
        <w:tc>
          <w:tcPr>
            <w:tcW w:w="1843" w:type="dxa"/>
            <w:tcBorders>
              <w:top w:val="outset" w:sz="6" w:space="0" w:color="auto"/>
              <w:left w:val="outset" w:sz="6" w:space="0" w:color="auto"/>
              <w:bottom w:val="outset" w:sz="6" w:space="0" w:color="auto"/>
              <w:right w:val="outset" w:sz="6" w:space="0" w:color="auto"/>
            </w:tcBorders>
            <w:vAlign w:val="center"/>
          </w:tcPr>
          <w:p w14:paraId="15ECCA2C" w14:textId="7BDB9225" w:rsidR="008E0A04" w:rsidRPr="00783B4B" w:rsidRDefault="008E0A04" w:rsidP="00783B4B">
            <w:pPr>
              <w:pStyle w:val="NormalWeb"/>
              <w:jc w:val="right"/>
              <w:rPr>
                <w:sz w:val="22"/>
                <w:szCs w:val="22"/>
                <w:lang w:val="sr-Latn-ME"/>
              </w:rPr>
            </w:pPr>
            <w:r w:rsidRPr="00783B4B">
              <w:rPr>
                <w:sz w:val="22"/>
                <w:szCs w:val="22"/>
                <w:lang w:val="sr-Latn-ME"/>
              </w:rPr>
              <w:t>1104 (35</w:t>
            </w:r>
            <w:r w:rsidR="000F5D90" w:rsidRPr="00783B4B">
              <w:rPr>
                <w:sz w:val="22"/>
                <w:szCs w:val="22"/>
                <w:lang w:val="sr-Latn-ME"/>
              </w:rPr>
              <w:t>,</w:t>
            </w:r>
            <w:r w:rsidRPr="00783B4B">
              <w:rPr>
                <w:sz w:val="22"/>
                <w:szCs w:val="22"/>
                <w:lang w:val="sr-Latn-ME"/>
              </w:rPr>
              <w:t>7%)</w:t>
            </w:r>
          </w:p>
        </w:tc>
        <w:tc>
          <w:tcPr>
            <w:tcW w:w="2064" w:type="dxa"/>
            <w:tcBorders>
              <w:top w:val="outset" w:sz="6" w:space="0" w:color="auto"/>
              <w:left w:val="outset" w:sz="6" w:space="0" w:color="auto"/>
              <w:bottom w:val="outset" w:sz="6" w:space="0" w:color="auto"/>
              <w:right w:val="outset" w:sz="6" w:space="0" w:color="auto"/>
            </w:tcBorders>
            <w:vAlign w:val="center"/>
          </w:tcPr>
          <w:p w14:paraId="3814C523" w14:textId="31827D38" w:rsidR="008E0A04" w:rsidRPr="00783B4B" w:rsidRDefault="008E0A04" w:rsidP="00783B4B">
            <w:pPr>
              <w:pStyle w:val="NormalWeb"/>
              <w:jc w:val="right"/>
              <w:rPr>
                <w:sz w:val="22"/>
                <w:szCs w:val="22"/>
                <w:lang w:val="sr-Latn-ME"/>
              </w:rPr>
            </w:pPr>
            <w:r w:rsidRPr="00783B4B">
              <w:rPr>
                <w:sz w:val="22"/>
                <w:szCs w:val="22"/>
                <w:lang w:val="sr-Latn-ME"/>
              </w:rPr>
              <w:t>1264 (40</w:t>
            </w:r>
            <w:r w:rsidR="000F5D90" w:rsidRPr="00783B4B">
              <w:rPr>
                <w:sz w:val="22"/>
                <w:szCs w:val="22"/>
                <w:lang w:val="sr-Latn-ME"/>
              </w:rPr>
              <w:t>,</w:t>
            </w:r>
            <w:r w:rsidRPr="00783B4B">
              <w:rPr>
                <w:sz w:val="22"/>
                <w:szCs w:val="22"/>
                <w:lang w:val="sr-Latn-ME"/>
              </w:rPr>
              <w:t>9%)</w:t>
            </w:r>
          </w:p>
        </w:tc>
      </w:tr>
      <w:tr w:rsidR="008E0A04" w:rsidRPr="00783B4B" w14:paraId="3251C9AF"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7A1591F8" w14:textId="20BA579D" w:rsidR="008E0A04" w:rsidRPr="00783B4B" w:rsidRDefault="00EB3037" w:rsidP="00783B4B">
            <w:pPr>
              <w:pStyle w:val="NormalWeb"/>
              <w:rPr>
                <w:sz w:val="22"/>
                <w:szCs w:val="22"/>
                <w:lang w:val="sr-Latn-ME"/>
              </w:rPr>
            </w:pPr>
            <w:r w:rsidRPr="00783B4B">
              <w:rPr>
                <w:sz w:val="22"/>
                <w:szCs w:val="22"/>
                <w:lang w:val="sr-Latn-ME" w:eastAsia="en-US"/>
              </w:rPr>
              <w:t>Bolovi u zglobovima</w:t>
            </w:r>
            <w:r w:rsidRPr="00783B4B" w:rsidDel="00EB3037">
              <w:rPr>
                <w:sz w:val="22"/>
                <w:szCs w:val="22"/>
                <w:lang w:val="sr-Latn-ME"/>
              </w:rPr>
              <w:t xml:space="preserve"> </w:t>
            </w:r>
            <w:r w:rsidR="008E0A04" w:rsidRPr="00783B4B">
              <w:rPr>
                <w:sz w:val="22"/>
                <w:szCs w:val="22"/>
                <w:lang w:val="sr-Latn-ME"/>
              </w:rPr>
              <w:t>/ukočenost zglobov</w:t>
            </w:r>
            <w:r w:rsidRPr="00783B4B">
              <w:rPr>
                <w:sz w:val="22"/>
                <w:szCs w:val="22"/>
                <w:lang w:val="sr-Latn-ME"/>
              </w:rPr>
              <w:t>a</w:t>
            </w:r>
          </w:p>
        </w:tc>
        <w:tc>
          <w:tcPr>
            <w:tcW w:w="1843" w:type="dxa"/>
            <w:tcBorders>
              <w:top w:val="outset" w:sz="6" w:space="0" w:color="auto"/>
              <w:left w:val="outset" w:sz="6" w:space="0" w:color="auto"/>
              <w:bottom w:val="outset" w:sz="6" w:space="0" w:color="auto"/>
              <w:right w:val="outset" w:sz="6" w:space="0" w:color="auto"/>
            </w:tcBorders>
            <w:vAlign w:val="center"/>
          </w:tcPr>
          <w:p w14:paraId="288DCEFB" w14:textId="27BFEB51" w:rsidR="008E0A04" w:rsidRPr="00783B4B" w:rsidRDefault="008E0A04" w:rsidP="00783B4B">
            <w:pPr>
              <w:pStyle w:val="NormalWeb"/>
              <w:jc w:val="right"/>
              <w:rPr>
                <w:sz w:val="22"/>
                <w:szCs w:val="22"/>
                <w:lang w:val="sr-Latn-ME"/>
              </w:rPr>
            </w:pPr>
            <w:r w:rsidRPr="00783B4B">
              <w:rPr>
                <w:sz w:val="22"/>
                <w:szCs w:val="22"/>
                <w:lang w:val="sr-Latn-ME"/>
              </w:rPr>
              <w:t>1100 (35</w:t>
            </w:r>
            <w:r w:rsidR="000F5D90" w:rsidRPr="00783B4B">
              <w:rPr>
                <w:sz w:val="22"/>
                <w:szCs w:val="22"/>
                <w:lang w:val="sr-Latn-ME"/>
              </w:rPr>
              <w:t>,</w:t>
            </w:r>
            <w:r w:rsidRPr="00783B4B">
              <w:rPr>
                <w:sz w:val="22"/>
                <w:szCs w:val="22"/>
                <w:lang w:val="sr-Latn-ME"/>
              </w:rPr>
              <w:t>6%)</w:t>
            </w:r>
          </w:p>
        </w:tc>
        <w:tc>
          <w:tcPr>
            <w:tcW w:w="2064" w:type="dxa"/>
            <w:tcBorders>
              <w:top w:val="outset" w:sz="6" w:space="0" w:color="auto"/>
              <w:left w:val="outset" w:sz="6" w:space="0" w:color="auto"/>
              <w:bottom w:val="outset" w:sz="6" w:space="0" w:color="auto"/>
              <w:right w:val="outset" w:sz="6" w:space="0" w:color="auto"/>
            </w:tcBorders>
            <w:vAlign w:val="center"/>
          </w:tcPr>
          <w:p w14:paraId="634A3EA2" w14:textId="08B34EA2" w:rsidR="008E0A04" w:rsidRPr="00783B4B" w:rsidRDefault="008E0A04" w:rsidP="00783B4B">
            <w:pPr>
              <w:pStyle w:val="NormalWeb"/>
              <w:jc w:val="right"/>
              <w:rPr>
                <w:sz w:val="22"/>
                <w:szCs w:val="22"/>
                <w:lang w:val="sr-Latn-ME"/>
              </w:rPr>
            </w:pPr>
            <w:r w:rsidRPr="00783B4B">
              <w:rPr>
                <w:sz w:val="22"/>
                <w:szCs w:val="22"/>
                <w:lang w:val="sr-Latn-ME"/>
              </w:rPr>
              <w:t>911 (29</w:t>
            </w:r>
            <w:r w:rsidR="000F5D90" w:rsidRPr="00783B4B">
              <w:rPr>
                <w:sz w:val="22"/>
                <w:szCs w:val="22"/>
                <w:lang w:val="sr-Latn-ME"/>
              </w:rPr>
              <w:t>,</w:t>
            </w:r>
            <w:r w:rsidRPr="00783B4B">
              <w:rPr>
                <w:sz w:val="22"/>
                <w:szCs w:val="22"/>
                <w:lang w:val="sr-Latn-ME"/>
              </w:rPr>
              <w:t>4%)</w:t>
            </w:r>
          </w:p>
        </w:tc>
      </w:tr>
      <w:tr w:rsidR="008E0A04" w:rsidRPr="00783B4B" w14:paraId="6D177D85"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06B30995" w14:textId="77777777" w:rsidR="008E0A04" w:rsidRPr="00783B4B" w:rsidRDefault="008E0A04" w:rsidP="00783B4B">
            <w:pPr>
              <w:pStyle w:val="NormalWeb"/>
              <w:rPr>
                <w:sz w:val="22"/>
                <w:szCs w:val="22"/>
                <w:lang w:val="sr-Latn-ME"/>
              </w:rPr>
            </w:pPr>
            <w:r w:rsidRPr="00783B4B">
              <w:rPr>
                <w:sz w:val="22"/>
                <w:szCs w:val="22"/>
                <w:lang w:val="sr-Latn-ME"/>
              </w:rPr>
              <w:t>Poremećaji raspoloženja</w:t>
            </w:r>
          </w:p>
        </w:tc>
        <w:tc>
          <w:tcPr>
            <w:tcW w:w="1843" w:type="dxa"/>
            <w:tcBorders>
              <w:top w:val="outset" w:sz="6" w:space="0" w:color="auto"/>
              <w:left w:val="outset" w:sz="6" w:space="0" w:color="auto"/>
              <w:bottom w:val="outset" w:sz="6" w:space="0" w:color="auto"/>
              <w:right w:val="outset" w:sz="6" w:space="0" w:color="auto"/>
            </w:tcBorders>
            <w:vAlign w:val="center"/>
          </w:tcPr>
          <w:p w14:paraId="1D8345CA" w14:textId="61DC45E9" w:rsidR="008E0A04" w:rsidRPr="00783B4B" w:rsidRDefault="008E0A04" w:rsidP="00783B4B">
            <w:pPr>
              <w:pStyle w:val="NormalWeb"/>
              <w:jc w:val="right"/>
              <w:rPr>
                <w:sz w:val="22"/>
                <w:szCs w:val="22"/>
                <w:lang w:val="sr-Latn-ME"/>
              </w:rPr>
            </w:pPr>
            <w:r w:rsidRPr="00783B4B">
              <w:rPr>
                <w:sz w:val="22"/>
                <w:szCs w:val="22"/>
                <w:lang w:val="sr-Latn-ME"/>
              </w:rPr>
              <w:t>597 (19</w:t>
            </w:r>
            <w:r w:rsidR="000F5D90" w:rsidRPr="00783B4B">
              <w:rPr>
                <w:sz w:val="22"/>
                <w:szCs w:val="22"/>
                <w:lang w:val="sr-Latn-ME"/>
              </w:rPr>
              <w:t>,</w:t>
            </w:r>
            <w:r w:rsidRPr="00783B4B">
              <w:rPr>
                <w:sz w:val="22"/>
                <w:szCs w:val="22"/>
                <w:lang w:val="sr-Latn-ME"/>
              </w:rPr>
              <w:t>3%)</w:t>
            </w:r>
          </w:p>
        </w:tc>
        <w:tc>
          <w:tcPr>
            <w:tcW w:w="2064" w:type="dxa"/>
            <w:tcBorders>
              <w:top w:val="outset" w:sz="6" w:space="0" w:color="auto"/>
              <w:left w:val="outset" w:sz="6" w:space="0" w:color="auto"/>
              <w:bottom w:val="outset" w:sz="6" w:space="0" w:color="auto"/>
              <w:right w:val="outset" w:sz="6" w:space="0" w:color="auto"/>
            </w:tcBorders>
            <w:vAlign w:val="center"/>
          </w:tcPr>
          <w:p w14:paraId="501913C0" w14:textId="5A72EA2A" w:rsidR="008E0A04" w:rsidRPr="00783B4B" w:rsidRDefault="008E0A04" w:rsidP="00783B4B">
            <w:pPr>
              <w:pStyle w:val="NormalWeb"/>
              <w:jc w:val="right"/>
              <w:rPr>
                <w:sz w:val="22"/>
                <w:szCs w:val="22"/>
                <w:lang w:val="sr-Latn-ME"/>
              </w:rPr>
            </w:pPr>
            <w:r w:rsidRPr="00783B4B">
              <w:rPr>
                <w:sz w:val="22"/>
                <w:szCs w:val="22"/>
                <w:lang w:val="sr-Latn-ME"/>
              </w:rPr>
              <w:t>554 (17</w:t>
            </w:r>
            <w:r w:rsidR="000F5D90" w:rsidRPr="00783B4B">
              <w:rPr>
                <w:sz w:val="22"/>
                <w:szCs w:val="22"/>
                <w:lang w:val="sr-Latn-ME"/>
              </w:rPr>
              <w:t>,</w:t>
            </w:r>
            <w:r w:rsidRPr="00783B4B">
              <w:rPr>
                <w:sz w:val="22"/>
                <w:szCs w:val="22"/>
                <w:lang w:val="sr-Latn-ME"/>
              </w:rPr>
              <w:t>9%)</w:t>
            </w:r>
          </w:p>
        </w:tc>
      </w:tr>
      <w:tr w:rsidR="008E0A04" w:rsidRPr="00783B4B" w14:paraId="3A508F38"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3937502D" w14:textId="058E2407" w:rsidR="008E0A04" w:rsidRPr="00783B4B" w:rsidRDefault="006E1970" w:rsidP="00783B4B">
            <w:pPr>
              <w:pStyle w:val="NormalWeb"/>
              <w:rPr>
                <w:sz w:val="22"/>
                <w:szCs w:val="22"/>
                <w:lang w:val="sr-Latn-ME"/>
              </w:rPr>
            </w:pPr>
            <w:r w:rsidRPr="00783B4B">
              <w:rPr>
                <w:sz w:val="22"/>
                <w:szCs w:val="22"/>
                <w:lang w:val="sr-Latn-ME"/>
              </w:rPr>
              <w:lastRenderedPageBreak/>
              <w:t>Umor</w:t>
            </w:r>
            <w:r w:rsidR="008E0A04" w:rsidRPr="00783B4B">
              <w:rPr>
                <w:sz w:val="22"/>
                <w:szCs w:val="22"/>
                <w:lang w:val="sr-Latn-ME"/>
              </w:rPr>
              <w:t>/astenija</w:t>
            </w:r>
          </w:p>
        </w:tc>
        <w:tc>
          <w:tcPr>
            <w:tcW w:w="1843" w:type="dxa"/>
            <w:tcBorders>
              <w:top w:val="outset" w:sz="6" w:space="0" w:color="auto"/>
              <w:left w:val="outset" w:sz="6" w:space="0" w:color="auto"/>
              <w:bottom w:val="outset" w:sz="6" w:space="0" w:color="auto"/>
              <w:right w:val="outset" w:sz="6" w:space="0" w:color="auto"/>
            </w:tcBorders>
            <w:vAlign w:val="center"/>
          </w:tcPr>
          <w:p w14:paraId="1A0BA7BD" w14:textId="3908E10F" w:rsidR="008E0A04" w:rsidRPr="00783B4B" w:rsidRDefault="008E0A04" w:rsidP="00783B4B">
            <w:pPr>
              <w:pStyle w:val="NormalWeb"/>
              <w:jc w:val="right"/>
              <w:rPr>
                <w:sz w:val="22"/>
                <w:szCs w:val="22"/>
                <w:lang w:val="sr-Latn-ME"/>
              </w:rPr>
            </w:pPr>
            <w:r w:rsidRPr="00783B4B">
              <w:rPr>
                <w:sz w:val="22"/>
                <w:szCs w:val="22"/>
                <w:lang w:val="sr-Latn-ME"/>
              </w:rPr>
              <w:t>575 (18</w:t>
            </w:r>
            <w:r w:rsidR="000F5D90" w:rsidRPr="00783B4B">
              <w:rPr>
                <w:sz w:val="22"/>
                <w:szCs w:val="22"/>
                <w:lang w:val="sr-Latn-ME"/>
              </w:rPr>
              <w:t>,</w:t>
            </w:r>
            <w:r w:rsidRPr="00783B4B">
              <w:rPr>
                <w:sz w:val="22"/>
                <w:szCs w:val="22"/>
                <w:lang w:val="sr-Latn-ME"/>
              </w:rPr>
              <w:t>6%)</w:t>
            </w:r>
          </w:p>
        </w:tc>
        <w:tc>
          <w:tcPr>
            <w:tcW w:w="2064" w:type="dxa"/>
            <w:tcBorders>
              <w:top w:val="outset" w:sz="6" w:space="0" w:color="auto"/>
              <w:left w:val="outset" w:sz="6" w:space="0" w:color="auto"/>
              <w:bottom w:val="outset" w:sz="6" w:space="0" w:color="auto"/>
              <w:right w:val="outset" w:sz="6" w:space="0" w:color="auto"/>
            </w:tcBorders>
            <w:vAlign w:val="center"/>
          </w:tcPr>
          <w:p w14:paraId="4C2ECBE3" w14:textId="24AEBEFD" w:rsidR="008E0A04" w:rsidRPr="00783B4B" w:rsidRDefault="008E0A04" w:rsidP="00783B4B">
            <w:pPr>
              <w:pStyle w:val="NormalWeb"/>
              <w:jc w:val="right"/>
              <w:rPr>
                <w:sz w:val="22"/>
                <w:szCs w:val="22"/>
                <w:lang w:val="sr-Latn-ME"/>
              </w:rPr>
            </w:pPr>
            <w:r w:rsidRPr="00783B4B">
              <w:rPr>
                <w:sz w:val="22"/>
                <w:szCs w:val="22"/>
                <w:lang w:val="sr-Latn-ME"/>
              </w:rPr>
              <w:t>544 (17</w:t>
            </w:r>
            <w:r w:rsidR="000F5D90" w:rsidRPr="00783B4B">
              <w:rPr>
                <w:sz w:val="22"/>
                <w:szCs w:val="22"/>
                <w:lang w:val="sr-Latn-ME"/>
              </w:rPr>
              <w:t>,</w:t>
            </w:r>
            <w:r w:rsidRPr="00783B4B">
              <w:rPr>
                <w:sz w:val="22"/>
                <w:szCs w:val="22"/>
                <w:lang w:val="sr-Latn-ME"/>
              </w:rPr>
              <w:t>6%)</w:t>
            </w:r>
          </w:p>
        </w:tc>
      </w:tr>
      <w:tr w:rsidR="008E0A04" w:rsidRPr="00783B4B" w14:paraId="6E10F401"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3F932352" w14:textId="77777777" w:rsidR="008E0A04" w:rsidRPr="00783B4B" w:rsidRDefault="008E0A04" w:rsidP="00783B4B">
            <w:pPr>
              <w:pStyle w:val="NormalWeb"/>
              <w:rPr>
                <w:sz w:val="22"/>
                <w:szCs w:val="22"/>
                <w:lang w:val="sr-Latn-ME"/>
              </w:rPr>
            </w:pPr>
            <w:r w:rsidRPr="00783B4B">
              <w:rPr>
                <w:sz w:val="22"/>
                <w:szCs w:val="22"/>
                <w:lang w:val="sr-Latn-ME"/>
              </w:rPr>
              <w:t>Mučnina i povraćanje</w:t>
            </w:r>
          </w:p>
        </w:tc>
        <w:tc>
          <w:tcPr>
            <w:tcW w:w="1843" w:type="dxa"/>
            <w:tcBorders>
              <w:top w:val="outset" w:sz="6" w:space="0" w:color="auto"/>
              <w:left w:val="outset" w:sz="6" w:space="0" w:color="auto"/>
              <w:bottom w:val="outset" w:sz="6" w:space="0" w:color="auto"/>
              <w:right w:val="outset" w:sz="6" w:space="0" w:color="auto"/>
            </w:tcBorders>
            <w:vAlign w:val="center"/>
          </w:tcPr>
          <w:p w14:paraId="0ABEE1AD" w14:textId="5EE1AEC6" w:rsidR="008E0A04" w:rsidRPr="00783B4B" w:rsidRDefault="008E0A04" w:rsidP="00783B4B">
            <w:pPr>
              <w:pStyle w:val="NormalWeb"/>
              <w:jc w:val="right"/>
              <w:rPr>
                <w:sz w:val="22"/>
                <w:szCs w:val="22"/>
                <w:lang w:val="sr-Latn-ME"/>
              </w:rPr>
            </w:pPr>
            <w:r w:rsidRPr="00783B4B">
              <w:rPr>
                <w:sz w:val="22"/>
                <w:szCs w:val="22"/>
                <w:lang w:val="sr-Latn-ME"/>
              </w:rPr>
              <w:t>393 (12</w:t>
            </w:r>
            <w:r w:rsidR="000F5D90" w:rsidRPr="00783B4B">
              <w:rPr>
                <w:sz w:val="22"/>
                <w:szCs w:val="22"/>
                <w:lang w:val="sr-Latn-ME"/>
              </w:rPr>
              <w:t>,</w:t>
            </w:r>
            <w:r w:rsidRPr="00783B4B">
              <w:rPr>
                <w:sz w:val="22"/>
                <w:szCs w:val="22"/>
                <w:lang w:val="sr-Latn-ME"/>
              </w:rPr>
              <w:t>7%)</w:t>
            </w:r>
          </w:p>
        </w:tc>
        <w:tc>
          <w:tcPr>
            <w:tcW w:w="2064" w:type="dxa"/>
            <w:tcBorders>
              <w:top w:val="outset" w:sz="6" w:space="0" w:color="auto"/>
              <w:left w:val="outset" w:sz="6" w:space="0" w:color="auto"/>
              <w:bottom w:val="outset" w:sz="6" w:space="0" w:color="auto"/>
              <w:right w:val="outset" w:sz="6" w:space="0" w:color="auto"/>
            </w:tcBorders>
            <w:vAlign w:val="center"/>
          </w:tcPr>
          <w:p w14:paraId="57E45801" w14:textId="12FACAFB" w:rsidR="008E0A04" w:rsidRPr="00783B4B" w:rsidRDefault="008E0A04" w:rsidP="00783B4B">
            <w:pPr>
              <w:pStyle w:val="NormalWeb"/>
              <w:jc w:val="right"/>
              <w:rPr>
                <w:sz w:val="22"/>
                <w:szCs w:val="22"/>
                <w:lang w:val="sr-Latn-ME"/>
              </w:rPr>
            </w:pPr>
            <w:r w:rsidRPr="00783B4B">
              <w:rPr>
                <w:sz w:val="22"/>
                <w:szCs w:val="22"/>
                <w:lang w:val="sr-Latn-ME"/>
              </w:rPr>
              <w:t>384 (12</w:t>
            </w:r>
            <w:r w:rsidR="000F5D90" w:rsidRPr="00783B4B">
              <w:rPr>
                <w:sz w:val="22"/>
                <w:szCs w:val="22"/>
                <w:lang w:val="sr-Latn-ME"/>
              </w:rPr>
              <w:t>,</w:t>
            </w:r>
            <w:r w:rsidRPr="00783B4B">
              <w:rPr>
                <w:sz w:val="22"/>
                <w:szCs w:val="22"/>
                <w:lang w:val="sr-Latn-ME"/>
              </w:rPr>
              <w:t>4%)</w:t>
            </w:r>
          </w:p>
        </w:tc>
      </w:tr>
      <w:tr w:rsidR="008E0A04" w:rsidRPr="00783B4B" w14:paraId="39E99445"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1B6DBBCF" w14:textId="3A49CBFC" w:rsidR="008E0A04" w:rsidRPr="00783B4B" w:rsidRDefault="00DF35D3" w:rsidP="00783B4B">
            <w:pPr>
              <w:pStyle w:val="NormalWeb"/>
              <w:rPr>
                <w:sz w:val="22"/>
                <w:szCs w:val="22"/>
                <w:lang w:val="sr-Latn-ME"/>
              </w:rPr>
            </w:pPr>
            <w:r w:rsidRPr="00783B4B">
              <w:rPr>
                <w:sz w:val="22"/>
                <w:szCs w:val="22"/>
                <w:lang w:val="sr-Latn-ME"/>
              </w:rPr>
              <w:t>Prelomi (f</w:t>
            </w:r>
            <w:r w:rsidR="008E0A04" w:rsidRPr="00783B4B">
              <w:rPr>
                <w:sz w:val="22"/>
                <w:szCs w:val="22"/>
                <w:lang w:val="sr-Latn-ME"/>
              </w:rPr>
              <w:t>rakture</w:t>
            </w:r>
            <w:r w:rsidRPr="00783B4B">
              <w:rPr>
                <w:sz w:val="22"/>
                <w:szCs w:val="22"/>
                <w:lang w:val="sr-Latn-ME"/>
              </w:rPr>
              <w:t>)</w:t>
            </w:r>
          </w:p>
        </w:tc>
        <w:tc>
          <w:tcPr>
            <w:tcW w:w="1843" w:type="dxa"/>
            <w:tcBorders>
              <w:top w:val="outset" w:sz="6" w:space="0" w:color="auto"/>
              <w:left w:val="outset" w:sz="6" w:space="0" w:color="auto"/>
              <w:bottom w:val="outset" w:sz="6" w:space="0" w:color="auto"/>
              <w:right w:val="outset" w:sz="6" w:space="0" w:color="auto"/>
            </w:tcBorders>
            <w:vAlign w:val="center"/>
          </w:tcPr>
          <w:p w14:paraId="5BCAA7F9" w14:textId="3C23635B" w:rsidR="008E0A04" w:rsidRPr="00783B4B" w:rsidRDefault="008E0A04" w:rsidP="00783B4B">
            <w:pPr>
              <w:pStyle w:val="NormalWeb"/>
              <w:jc w:val="right"/>
              <w:rPr>
                <w:sz w:val="22"/>
                <w:szCs w:val="22"/>
                <w:lang w:val="sr-Latn-ME"/>
              </w:rPr>
            </w:pPr>
            <w:r w:rsidRPr="00783B4B">
              <w:rPr>
                <w:sz w:val="22"/>
                <w:szCs w:val="22"/>
                <w:lang w:val="sr-Latn-ME"/>
              </w:rPr>
              <w:t>315 (10</w:t>
            </w:r>
            <w:r w:rsidR="000F5D90" w:rsidRPr="00783B4B">
              <w:rPr>
                <w:sz w:val="22"/>
                <w:szCs w:val="22"/>
                <w:lang w:val="sr-Latn-ME"/>
              </w:rPr>
              <w:t>,</w:t>
            </w:r>
            <w:r w:rsidRPr="00783B4B">
              <w:rPr>
                <w:sz w:val="22"/>
                <w:szCs w:val="22"/>
                <w:lang w:val="sr-Latn-ME"/>
              </w:rPr>
              <w:t>2%)</w:t>
            </w:r>
          </w:p>
        </w:tc>
        <w:tc>
          <w:tcPr>
            <w:tcW w:w="2064" w:type="dxa"/>
            <w:tcBorders>
              <w:top w:val="outset" w:sz="6" w:space="0" w:color="auto"/>
              <w:left w:val="outset" w:sz="6" w:space="0" w:color="auto"/>
              <w:bottom w:val="outset" w:sz="6" w:space="0" w:color="auto"/>
              <w:right w:val="outset" w:sz="6" w:space="0" w:color="auto"/>
            </w:tcBorders>
            <w:vAlign w:val="center"/>
          </w:tcPr>
          <w:p w14:paraId="089AE902" w14:textId="34A7679C" w:rsidR="008E0A04" w:rsidRPr="00783B4B" w:rsidRDefault="008E0A04" w:rsidP="00783B4B">
            <w:pPr>
              <w:pStyle w:val="NormalWeb"/>
              <w:jc w:val="right"/>
              <w:rPr>
                <w:sz w:val="22"/>
                <w:szCs w:val="22"/>
                <w:lang w:val="sr-Latn-ME"/>
              </w:rPr>
            </w:pPr>
            <w:r w:rsidRPr="00783B4B">
              <w:rPr>
                <w:sz w:val="22"/>
                <w:szCs w:val="22"/>
                <w:lang w:val="sr-Latn-ME"/>
              </w:rPr>
              <w:t>209 (6</w:t>
            </w:r>
            <w:r w:rsidR="000F5D90" w:rsidRPr="00783B4B">
              <w:rPr>
                <w:sz w:val="22"/>
                <w:szCs w:val="22"/>
                <w:lang w:val="sr-Latn-ME"/>
              </w:rPr>
              <w:t>,</w:t>
            </w:r>
            <w:r w:rsidRPr="00783B4B">
              <w:rPr>
                <w:sz w:val="22"/>
                <w:szCs w:val="22"/>
                <w:lang w:val="sr-Latn-ME"/>
              </w:rPr>
              <w:t>8%)</w:t>
            </w:r>
          </w:p>
        </w:tc>
      </w:tr>
      <w:tr w:rsidR="008E0A04" w:rsidRPr="00783B4B" w14:paraId="300DF8C2"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50E9EACA" w14:textId="153EA570" w:rsidR="008E0A04" w:rsidRPr="00783B4B" w:rsidRDefault="00F162AD" w:rsidP="00783B4B">
            <w:pPr>
              <w:pStyle w:val="NormalWeb"/>
              <w:rPr>
                <w:sz w:val="22"/>
                <w:szCs w:val="22"/>
                <w:lang w:val="sr-Latn-ME"/>
              </w:rPr>
            </w:pPr>
            <w:r w:rsidRPr="00783B4B">
              <w:rPr>
                <w:sz w:val="22"/>
                <w:szCs w:val="22"/>
                <w:lang w:val="sr-Latn-ME" w:eastAsia="en-US"/>
              </w:rPr>
              <w:t>Kičme, kuka ili zgloba šake</w:t>
            </w:r>
          </w:p>
        </w:tc>
        <w:tc>
          <w:tcPr>
            <w:tcW w:w="1843" w:type="dxa"/>
            <w:tcBorders>
              <w:top w:val="outset" w:sz="6" w:space="0" w:color="auto"/>
              <w:left w:val="outset" w:sz="6" w:space="0" w:color="auto"/>
              <w:bottom w:val="outset" w:sz="6" w:space="0" w:color="auto"/>
              <w:right w:val="outset" w:sz="6" w:space="0" w:color="auto"/>
            </w:tcBorders>
            <w:vAlign w:val="center"/>
          </w:tcPr>
          <w:p w14:paraId="38E12B6A" w14:textId="1F5D8465" w:rsidR="008E0A04" w:rsidRPr="00783B4B" w:rsidRDefault="008E0A04" w:rsidP="00783B4B">
            <w:pPr>
              <w:pStyle w:val="NormalWeb"/>
              <w:jc w:val="right"/>
              <w:rPr>
                <w:sz w:val="22"/>
                <w:szCs w:val="22"/>
                <w:lang w:val="sr-Latn-ME"/>
              </w:rPr>
            </w:pPr>
            <w:r w:rsidRPr="00783B4B">
              <w:rPr>
                <w:sz w:val="22"/>
                <w:szCs w:val="22"/>
                <w:lang w:val="sr-Latn-ME"/>
              </w:rPr>
              <w:t>133 (4</w:t>
            </w:r>
            <w:r w:rsidR="000F5D90" w:rsidRPr="00783B4B">
              <w:rPr>
                <w:sz w:val="22"/>
                <w:szCs w:val="22"/>
                <w:lang w:val="sr-Latn-ME"/>
              </w:rPr>
              <w:t>,</w:t>
            </w:r>
            <w:r w:rsidRPr="00783B4B">
              <w:rPr>
                <w:sz w:val="22"/>
                <w:szCs w:val="22"/>
                <w:lang w:val="sr-Latn-ME"/>
              </w:rPr>
              <w:t>3%)</w:t>
            </w:r>
          </w:p>
        </w:tc>
        <w:tc>
          <w:tcPr>
            <w:tcW w:w="2064" w:type="dxa"/>
            <w:tcBorders>
              <w:top w:val="outset" w:sz="6" w:space="0" w:color="auto"/>
              <w:left w:val="outset" w:sz="6" w:space="0" w:color="auto"/>
              <w:bottom w:val="outset" w:sz="6" w:space="0" w:color="auto"/>
              <w:right w:val="outset" w:sz="6" w:space="0" w:color="auto"/>
            </w:tcBorders>
            <w:vAlign w:val="center"/>
          </w:tcPr>
          <w:p w14:paraId="314B47CB" w14:textId="61ACCDD6" w:rsidR="008E0A04" w:rsidRPr="00783B4B" w:rsidRDefault="008E0A04" w:rsidP="00783B4B">
            <w:pPr>
              <w:pStyle w:val="NormalWeb"/>
              <w:jc w:val="right"/>
              <w:rPr>
                <w:sz w:val="22"/>
                <w:szCs w:val="22"/>
                <w:lang w:val="sr-Latn-ME"/>
              </w:rPr>
            </w:pPr>
            <w:r w:rsidRPr="00783B4B">
              <w:rPr>
                <w:sz w:val="22"/>
                <w:szCs w:val="22"/>
                <w:lang w:val="sr-Latn-ME"/>
              </w:rPr>
              <w:t>91 (2</w:t>
            </w:r>
            <w:r w:rsidR="00B534A3" w:rsidRPr="00783B4B">
              <w:rPr>
                <w:sz w:val="22"/>
                <w:szCs w:val="22"/>
                <w:lang w:val="sr-Latn-ME"/>
              </w:rPr>
              <w:t>,</w:t>
            </w:r>
            <w:r w:rsidRPr="00783B4B">
              <w:rPr>
                <w:sz w:val="22"/>
                <w:szCs w:val="22"/>
                <w:lang w:val="sr-Latn-ME"/>
              </w:rPr>
              <w:t>9%)</w:t>
            </w:r>
          </w:p>
        </w:tc>
      </w:tr>
      <w:tr w:rsidR="008E0A04" w:rsidRPr="00783B4B" w14:paraId="3670ABD2"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230D054B" w14:textId="3D617EF5" w:rsidR="008E0A04" w:rsidRPr="00783B4B" w:rsidRDefault="00341D42" w:rsidP="00783B4B">
            <w:pPr>
              <w:pStyle w:val="NormalWeb"/>
              <w:rPr>
                <w:sz w:val="22"/>
                <w:szCs w:val="22"/>
                <w:lang w:val="sr-Latn-ME"/>
              </w:rPr>
            </w:pPr>
            <w:r w:rsidRPr="00783B4B">
              <w:rPr>
                <w:sz w:val="22"/>
                <w:szCs w:val="22"/>
                <w:lang w:val="sr-Latn-ME" w:eastAsia="en-US"/>
              </w:rPr>
              <w:t>Frakture zgloba šake</w:t>
            </w:r>
          </w:p>
        </w:tc>
        <w:tc>
          <w:tcPr>
            <w:tcW w:w="1843" w:type="dxa"/>
            <w:tcBorders>
              <w:top w:val="outset" w:sz="6" w:space="0" w:color="auto"/>
              <w:left w:val="outset" w:sz="6" w:space="0" w:color="auto"/>
              <w:bottom w:val="outset" w:sz="6" w:space="0" w:color="auto"/>
              <w:right w:val="outset" w:sz="6" w:space="0" w:color="auto"/>
            </w:tcBorders>
            <w:vAlign w:val="center"/>
          </w:tcPr>
          <w:p w14:paraId="4590C76B" w14:textId="60504C47" w:rsidR="008E0A04" w:rsidRPr="00783B4B" w:rsidRDefault="008E0A04" w:rsidP="00783B4B">
            <w:pPr>
              <w:pStyle w:val="NormalWeb"/>
              <w:jc w:val="right"/>
              <w:rPr>
                <w:sz w:val="22"/>
                <w:szCs w:val="22"/>
                <w:lang w:val="sr-Latn-ME"/>
              </w:rPr>
            </w:pPr>
            <w:r w:rsidRPr="00783B4B">
              <w:rPr>
                <w:sz w:val="22"/>
                <w:szCs w:val="22"/>
                <w:lang w:val="sr-Latn-ME"/>
              </w:rPr>
              <w:t>67 (2</w:t>
            </w:r>
            <w:r w:rsidR="000F5D90" w:rsidRPr="00783B4B">
              <w:rPr>
                <w:sz w:val="22"/>
                <w:szCs w:val="22"/>
                <w:lang w:val="sr-Latn-ME"/>
              </w:rPr>
              <w:t>,</w:t>
            </w:r>
            <w:r w:rsidRPr="00783B4B">
              <w:rPr>
                <w:sz w:val="22"/>
                <w:szCs w:val="22"/>
                <w:lang w:val="sr-Latn-ME"/>
              </w:rPr>
              <w:t>2%)</w:t>
            </w:r>
          </w:p>
        </w:tc>
        <w:tc>
          <w:tcPr>
            <w:tcW w:w="2064" w:type="dxa"/>
            <w:tcBorders>
              <w:top w:val="outset" w:sz="6" w:space="0" w:color="auto"/>
              <w:left w:val="outset" w:sz="6" w:space="0" w:color="auto"/>
              <w:bottom w:val="outset" w:sz="6" w:space="0" w:color="auto"/>
              <w:right w:val="outset" w:sz="6" w:space="0" w:color="auto"/>
            </w:tcBorders>
            <w:vAlign w:val="center"/>
          </w:tcPr>
          <w:p w14:paraId="5E3F1E0C" w14:textId="038B2061" w:rsidR="008E0A04" w:rsidRPr="00783B4B" w:rsidRDefault="008E0A04" w:rsidP="00783B4B">
            <w:pPr>
              <w:pStyle w:val="NormalWeb"/>
              <w:jc w:val="right"/>
              <w:rPr>
                <w:sz w:val="22"/>
                <w:szCs w:val="22"/>
                <w:lang w:val="sr-Latn-ME"/>
              </w:rPr>
            </w:pPr>
            <w:r w:rsidRPr="00783B4B">
              <w:rPr>
                <w:sz w:val="22"/>
                <w:szCs w:val="22"/>
                <w:lang w:val="sr-Latn-ME"/>
              </w:rPr>
              <w:t>50 (1</w:t>
            </w:r>
            <w:r w:rsidR="00C12403" w:rsidRPr="00783B4B">
              <w:rPr>
                <w:sz w:val="22"/>
                <w:szCs w:val="22"/>
                <w:lang w:val="sr-Latn-ME"/>
              </w:rPr>
              <w:t>,</w:t>
            </w:r>
            <w:r w:rsidRPr="00783B4B">
              <w:rPr>
                <w:sz w:val="22"/>
                <w:szCs w:val="22"/>
                <w:lang w:val="sr-Latn-ME"/>
              </w:rPr>
              <w:t>6%)</w:t>
            </w:r>
          </w:p>
        </w:tc>
      </w:tr>
      <w:tr w:rsidR="008E0A04" w:rsidRPr="00783B4B" w14:paraId="2FA24F0D"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1B7C5BA0" w14:textId="0B65E1E3" w:rsidR="008E0A04" w:rsidRPr="00783B4B" w:rsidRDefault="00341D42" w:rsidP="00783B4B">
            <w:pPr>
              <w:pStyle w:val="NormalWeb"/>
              <w:rPr>
                <w:sz w:val="22"/>
                <w:szCs w:val="22"/>
                <w:lang w:val="sr-Latn-ME"/>
              </w:rPr>
            </w:pPr>
            <w:r w:rsidRPr="00783B4B">
              <w:rPr>
                <w:sz w:val="22"/>
                <w:szCs w:val="22"/>
                <w:lang w:val="sr-Latn-ME"/>
              </w:rPr>
              <w:t xml:space="preserve">Frakture </w:t>
            </w:r>
            <w:r w:rsidR="008E0A04" w:rsidRPr="00783B4B">
              <w:rPr>
                <w:sz w:val="22"/>
                <w:szCs w:val="22"/>
                <w:lang w:val="sr-Latn-ME"/>
              </w:rPr>
              <w:t>kičme</w:t>
            </w:r>
          </w:p>
        </w:tc>
        <w:tc>
          <w:tcPr>
            <w:tcW w:w="1843" w:type="dxa"/>
            <w:tcBorders>
              <w:top w:val="outset" w:sz="6" w:space="0" w:color="auto"/>
              <w:left w:val="outset" w:sz="6" w:space="0" w:color="auto"/>
              <w:bottom w:val="outset" w:sz="6" w:space="0" w:color="auto"/>
              <w:right w:val="outset" w:sz="6" w:space="0" w:color="auto"/>
            </w:tcBorders>
            <w:vAlign w:val="center"/>
          </w:tcPr>
          <w:p w14:paraId="0CD3D5C8" w14:textId="5E97813A" w:rsidR="008E0A04" w:rsidRPr="00783B4B" w:rsidRDefault="008E0A04" w:rsidP="00783B4B">
            <w:pPr>
              <w:pStyle w:val="NormalWeb"/>
              <w:jc w:val="right"/>
              <w:rPr>
                <w:sz w:val="22"/>
                <w:szCs w:val="22"/>
                <w:lang w:val="sr-Latn-ME"/>
              </w:rPr>
            </w:pPr>
            <w:r w:rsidRPr="00783B4B">
              <w:rPr>
                <w:sz w:val="22"/>
                <w:szCs w:val="22"/>
                <w:lang w:val="sr-Latn-ME"/>
              </w:rPr>
              <w:t>43 (1</w:t>
            </w:r>
            <w:r w:rsidR="00C12403" w:rsidRPr="00783B4B">
              <w:rPr>
                <w:sz w:val="22"/>
                <w:szCs w:val="22"/>
                <w:lang w:val="sr-Latn-ME"/>
              </w:rPr>
              <w:t>,</w:t>
            </w:r>
            <w:r w:rsidRPr="00783B4B">
              <w:rPr>
                <w:sz w:val="22"/>
                <w:szCs w:val="22"/>
                <w:lang w:val="sr-Latn-ME"/>
              </w:rPr>
              <w:t>4%)</w:t>
            </w:r>
          </w:p>
        </w:tc>
        <w:tc>
          <w:tcPr>
            <w:tcW w:w="2064" w:type="dxa"/>
            <w:tcBorders>
              <w:top w:val="outset" w:sz="6" w:space="0" w:color="auto"/>
              <w:left w:val="outset" w:sz="6" w:space="0" w:color="auto"/>
              <w:bottom w:val="outset" w:sz="6" w:space="0" w:color="auto"/>
              <w:right w:val="outset" w:sz="6" w:space="0" w:color="auto"/>
            </w:tcBorders>
            <w:vAlign w:val="center"/>
          </w:tcPr>
          <w:p w14:paraId="35BD062A" w14:textId="75457E03" w:rsidR="008E0A04" w:rsidRPr="00783B4B" w:rsidRDefault="008E0A04" w:rsidP="00783B4B">
            <w:pPr>
              <w:pStyle w:val="NormalWeb"/>
              <w:jc w:val="right"/>
              <w:rPr>
                <w:sz w:val="22"/>
                <w:szCs w:val="22"/>
                <w:lang w:val="sr-Latn-ME"/>
              </w:rPr>
            </w:pPr>
            <w:r w:rsidRPr="00783B4B">
              <w:rPr>
                <w:sz w:val="22"/>
                <w:szCs w:val="22"/>
                <w:lang w:val="sr-Latn-ME"/>
              </w:rPr>
              <w:t>22 (0</w:t>
            </w:r>
            <w:r w:rsidR="00C12403" w:rsidRPr="00783B4B">
              <w:rPr>
                <w:sz w:val="22"/>
                <w:szCs w:val="22"/>
                <w:lang w:val="sr-Latn-ME"/>
              </w:rPr>
              <w:t>,</w:t>
            </w:r>
            <w:r w:rsidRPr="00783B4B">
              <w:rPr>
                <w:sz w:val="22"/>
                <w:szCs w:val="22"/>
                <w:lang w:val="sr-Latn-ME"/>
              </w:rPr>
              <w:t>7%)</w:t>
            </w:r>
          </w:p>
        </w:tc>
      </w:tr>
      <w:tr w:rsidR="008E0A04" w:rsidRPr="00783B4B" w14:paraId="34FBD2A6"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00BF7EBE" w14:textId="0600212B" w:rsidR="008E0A04" w:rsidRPr="00783B4B" w:rsidRDefault="00971235" w:rsidP="00783B4B">
            <w:pPr>
              <w:pStyle w:val="NormalWeb"/>
              <w:rPr>
                <w:sz w:val="22"/>
                <w:szCs w:val="22"/>
                <w:lang w:val="sr-Latn-ME"/>
              </w:rPr>
            </w:pPr>
            <w:r w:rsidRPr="00783B4B">
              <w:rPr>
                <w:sz w:val="22"/>
                <w:szCs w:val="22"/>
                <w:lang w:val="sr-Latn-ME"/>
              </w:rPr>
              <w:t xml:space="preserve">Frakture </w:t>
            </w:r>
            <w:r w:rsidR="008E0A04" w:rsidRPr="00783B4B">
              <w:rPr>
                <w:sz w:val="22"/>
                <w:szCs w:val="22"/>
                <w:lang w:val="sr-Latn-ME"/>
              </w:rPr>
              <w:t>kuka</w:t>
            </w:r>
          </w:p>
        </w:tc>
        <w:tc>
          <w:tcPr>
            <w:tcW w:w="1843" w:type="dxa"/>
            <w:tcBorders>
              <w:top w:val="outset" w:sz="6" w:space="0" w:color="auto"/>
              <w:left w:val="outset" w:sz="6" w:space="0" w:color="auto"/>
              <w:bottom w:val="outset" w:sz="6" w:space="0" w:color="auto"/>
              <w:right w:val="outset" w:sz="6" w:space="0" w:color="auto"/>
            </w:tcBorders>
            <w:vAlign w:val="center"/>
          </w:tcPr>
          <w:p w14:paraId="4D6DEA68" w14:textId="4E052DA3" w:rsidR="008E0A04" w:rsidRPr="00783B4B" w:rsidRDefault="008E0A04" w:rsidP="00783B4B">
            <w:pPr>
              <w:pStyle w:val="NormalWeb"/>
              <w:jc w:val="right"/>
              <w:rPr>
                <w:sz w:val="22"/>
                <w:szCs w:val="22"/>
                <w:lang w:val="sr-Latn-ME"/>
              </w:rPr>
            </w:pPr>
            <w:r w:rsidRPr="00783B4B">
              <w:rPr>
                <w:sz w:val="22"/>
                <w:szCs w:val="22"/>
                <w:lang w:val="sr-Latn-ME"/>
              </w:rPr>
              <w:t>28 (0</w:t>
            </w:r>
            <w:r w:rsidR="00C12403" w:rsidRPr="00783B4B">
              <w:rPr>
                <w:sz w:val="22"/>
                <w:szCs w:val="22"/>
                <w:lang w:val="sr-Latn-ME"/>
              </w:rPr>
              <w:t>,</w:t>
            </w:r>
            <w:r w:rsidRPr="00783B4B">
              <w:rPr>
                <w:sz w:val="22"/>
                <w:szCs w:val="22"/>
                <w:lang w:val="sr-Latn-ME"/>
              </w:rPr>
              <w:t>9%)</w:t>
            </w:r>
          </w:p>
        </w:tc>
        <w:tc>
          <w:tcPr>
            <w:tcW w:w="2064" w:type="dxa"/>
            <w:tcBorders>
              <w:top w:val="outset" w:sz="6" w:space="0" w:color="auto"/>
              <w:left w:val="outset" w:sz="6" w:space="0" w:color="auto"/>
              <w:bottom w:val="outset" w:sz="6" w:space="0" w:color="auto"/>
              <w:right w:val="outset" w:sz="6" w:space="0" w:color="auto"/>
            </w:tcBorders>
            <w:vAlign w:val="center"/>
          </w:tcPr>
          <w:p w14:paraId="0CC67825" w14:textId="37B496D7" w:rsidR="008E0A04" w:rsidRPr="00783B4B" w:rsidRDefault="008E0A04" w:rsidP="00783B4B">
            <w:pPr>
              <w:pStyle w:val="NormalWeb"/>
              <w:jc w:val="right"/>
              <w:rPr>
                <w:sz w:val="22"/>
                <w:szCs w:val="22"/>
                <w:lang w:val="sr-Latn-ME"/>
              </w:rPr>
            </w:pPr>
            <w:r w:rsidRPr="00783B4B">
              <w:rPr>
                <w:sz w:val="22"/>
                <w:szCs w:val="22"/>
                <w:lang w:val="sr-Latn-ME"/>
              </w:rPr>
              <w:t>26 (0</w:t>
            </w:r>
            <w:r w:rsidR="00C12403" w:rsidRPr="00783B4B">
              <w:rPr>
                <w:sz w:val="22"/>
                <w:szCs w:val="22"/>
                <w:lang w:val="sr-Latn-ME"/>
              </w:rPr>
              <w:t>,</w:t>
            </w:r>
            <w:r w:rsidRPr="00783B4B">
              <w:rPr>
                <w:sz w:val="22"/>
                <w:szCs w:val="22"/>
                <w:lang w:val="sr-Latn-ME"/>
              </w:rPr>
              <w:t>8%)</w:t>
            </w:r>
          </w:p>
        </w:tc>
      </w:tr>
      <w:tr w:rsidR="008E0A04" w:rsidRPr="00783B4B" w14:paraId="16775D86"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3BCCEE6A" w14:textId="77777777" w:rsidR="008E0A04" w:rsidRPr="00783B4B" w:rsidRDefault="008E0A04" w:rsidP="00783B4B">
            <w:pPr>
              <w:pStyle w:val="NormalWeb"/>
              <w:rPr>
                <w:sz w:val="22"/>
                <w:szCs w:val="22"/>
                <w:lang w:val="sr-Latn-ME"/>
              </w:rPr>
            </w:pPr>
            <w:r w:rsidRPr="00783B4B">
              <w:rPr>
                <w:sz w:val="22"/>
                <w:szCs w:val="22"/>
                <w:lang w:val="sr-Latn-ME"/>
              </w:rPr>
              <w:t>Katarakta</w:t>
            </w:r>
          </w:p>
        </w:tc>
        <w:tc>
          <w:tcPr>
            <w:tcW w:w="1843" w:type="dxa"/>
            <w:tcBorders>
              <w:top w:val="outset" w:sz="6" w:space="0" w:color="auto"/>
              <w:left w:val="outset" w:sz="6" w:space="0" w:color="auto"/>
              <w:bottom w:val="outset" w:sz="6" w:space="0" w:color="auto"/>
              <w:right w:val="outset" w:sz="6" w:space="0" w:color="auto"/>
            </w:tcBorders>
            <w:vAlign w:val="center"/>
          </w:tcPr>
          <w:p w14:paraId="3FE3369E" w14:textId="260B7AAB" w:rsidR="008E0A04" w:rsidRPr="00783B4B" w:rsidRDefault="008E0A04" w:rsidP="00783B4B">
            <w:pPr>
              <w:pStyle w:val="NormalWeb"/>
              <w:jc w:val="right"/>
              <w:rPr>
                <w:sz w:val="22"/>
                <w:szCs w:val="22"/>
                <w:lang w:val="sr-Latn-ME"/>
              </w:rPr>
            </w:pPr>
            <w:r w:rsidRPr="00783B4B">
              <w:rPr>
                <w:sz w:val="22"/>
                <w:szCs w:val="22"/>
                <w:lang w:val="sr-Latn-ME"/>
              </w:rPr>
              <w:t>182 (5</w:t>
            </w:r>
            <w:r w:rsidR="00C12403" w:rsidRPr="00783B4B">
              <w:rPr>
                <w:sz w:val="22"/>
                <w:szCs w:val="22"/>
                <w:lang w:val="sr-Latn-ME"/>
              </w:rPr>
              <w:t>,</w:t>
            </w:r>
            <w:r w:rsidRPr="00783B4B">
              <w:rPr>
                <w:sz w:val="22"/>
                <w:szCs w:val="22"/>
                <w:lang w:val="sr-Latn-ME"/>
              </w:rPr>
              <w:t>9%)</w:t>
            </w:r>
          </w:p>
        </w:tc>
        <w:tc>
          <w:tcPr>
            <w:tcW w:w="2064" w:type="dxa"/>
            <w:tcBorders>
              <w:top w:val="outset" w:sz="6" w:space="0" w:color="auto"/>
              <w:left w:val="outset" w:sz="6" w:space="0" w:color="auto"/>
              <w:bottom w:val="outset" w:sz="6" w:space="0" w:color="auto"/>
              <w:right w:val="outset" w:sz="6" w:space="0" w:color="auto"/>
            </w:tcBorders>
            <w:vAlign w:val="center"/>
          </w:tcPr>
          <w:p w14:paraId="0AB32AA3" w14:textId="216DAD51" w:rsidR="008E0A04" w:rsidRPr="00783B4B" w:rsidRDefault="008E0A04" w:rsidP="00783B4B">
            <w:pPr>
              <w:pStyle w:val="NormalWeb"/>
              <w:jc w:val="right"/>
              <w:rPr>
                <w:sz w:val="22"/>
                <w:szCs w:val="22"/>
                <w:lang w:val="sr-Latn-ME"/>
              </w:rPr>
            </w:pPr>
            <w:r w:rsidRPr="00783B4B">
              <w:rPr>
                <w:sz w:val="22"/>
                <w:szCs w:val="22"/>
                <w:lang w:val="sr-Latn-ME"/>
              </w:rPr>
              <w:t>213 (6</w:t>
            </w:r>
            <w:r w:rsidR="00C12403" w:rsidRPr="00783B4B">
              <w:rPr>
                <w:sz w:val="22"/>
                <w:szCs w:val="22"/>
                <w:lang w:val="sr-Latn-ME"/>
              </w:rPr>
              <w:t>,</w:t>
            </w:r>
            <w:r w:rsidRPr="00783B4B">
              <w:rPr>
                <w:sz w:val="22"/>
                <w:szCs w:val="22"/>
                <w:lang w:val="sr-Latn-ME"/>
              </w:rPr>
              <w:t>9%)</w:t>
            </w:r>
          </w:p>
        </w:tc>
      </w:tr>
      <w:tr w:rsidR="008E0A04" w:rsidRPr="00783B4B" w14:paraId="7DC70BD0"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7C4B9AE5" w14:textId="77777777" w:rsidR="008E0A04" w:rsidRPr="00783B4B" w:rsidRDefault="008E0A04" w:rsidP="00783B4B">
            <w:pPr>
              <w:pStyle w:val="NormalWeb"/>
              <w:rPr>
                <w:sz w:val="22"/>
                <w:szCs w:val="22"/>
                <w:lang w:val="sr-Latn-ME"/>
              </w:rPr>
            </w:pPr>
            <w:r w:rsidRPr="00783B4B">
              <w:rPr>
                <w:sz w:val="22"/>
                <w:szCs w:val="22"/>
                <w:lang w:val="sr-Latn-ME"/>
              </w:rPr>
              <w:t>Vaginalno krvarenje</w:t>
            </w:r>
          </w:p>
        </w:tc>
        <w:tc>
          <w:tcPr>
            <w:tcW w:w="1843" w:type="dxa"/>
            <w:tcBorders>
              <w:top w:val="outset" w:sz="6" w:space="0" w:color="auto"/>
              <w:left w:val="outset" w:sz="6" w:space="0" w:color="auto"/>
              <w:bottom w:val="outset" w:sz="6" w:space="0" w:color="auto"/>
              <w:right w:val="outset" w:sz="6" w:space="0" w:color="auto"/>
            </w:tcBorders>
            <w:vAlign w:val="center"/>
          </w:tcPr>
          <w:p w14:paraId="7B822C63" w14:textId="079EC2F0" w:rsidR="008E0A04" w:rsidRPr="00783B4B" w:rsidRDefault="008E0A04" w:rsidP="00783B4B">
            <w:pPr>
              <w:pStyle w:val="NormalWeb"/>
              <w:jc w:val="right"/>
              <w:rPr>
                <w:sz w:val="22"/>
                <w:szCs w:val="22"/>
                <w:lang w:val="sr-Latn-ME"/>
              </w:rPr>
            </w:pPr>
            <w:r w:rsidRPr="00783B4B">
              <w:rPr>
                <w:sz w:val="22"/>
                <w:szCs w:val="22"/>
                <w:lang w:val="sr-Latn-ME"/>
              </w:rPr>
              <w:t>167 (5</w:t>
            </w:r>
            <w:r w:rsidR="00C12403" w:rsidRPr="00783B4B">
              <w:rPr>
                <w:sz w:val="22"/>
                <w:szCs w:val="22"/>
                <w:lang w:val="sr-Latn-ME"/>
              </w:rPr>
              <w:t>,</w:t>
            </w:r>
            <w:r w:rsidRPr="00783B4B">
              <w:rPr>
                <w:sz w:val="22"/>
                <w:szCs w:val="22"/>
                <w:lang w:val="sr-Latn-ME"/>
              </w:rPr>
              <w:t>4%)</w:t>
            </w:r>
          </w:p>
        </w:tc>
        <w:tc>
          <w:tcPr>
            <w:tcW w:w="2064" w:type="dxa"/>
            <w:tcBorders>
              <w:top w:val="outset" w:sz="6" w:space="0" w:color="auto"/>
              <w:left w:val="outset" w:sz="6" w:space="0" w:color="auto"/>
              <w:bottom w:val="outset" w:sz="6" w:space="0" w:color="auto"/>
              <w:right w:val="outset" w:sz="6" w:space="0" w:color="auto"/>
            </w:tcBorders>
            <w:vAlign w:val="center"/>
          </w:tcPr>
          <w:p w14:paraId="4BEDD311" w14:textId="70A921BD" w:rsidR="008E0A04" w:rsidRPr="00783B4B" w:rsidRDefault="008E0A04" w:rsidP="00783B4B">
            <w:pPr>
              <w:pStyle w:val="NormalWeb"/>
              <w:jc w:val="right"/>
              <w:rPr>
                <w:sz w:val="22"/>
                <w:szCs w:val="22"/>
                <w:lang w:val="sr-Latn-ME"/>
              </w:rPr>
            </w:pPr>
            <w:r w:rsidRPr="00783B4B">
              <w:rPr>
                <w:sz w:val="22"/>
                <w:szCs w:val="22"/>
                <w:lang w:val="sr-Latn-ME"/>
              </w:rPr>
              <w:t>317 (10</w:t>
            </w:r>
            <w:r w:rsidR="00C12403" w:rsidRPr="00783B4B">
              <w:rPr>
                <w:sz w:val="22"/>
                <w:szCs w:val="22"/>
                <w:lang w:val="sr-Latn-ME"/>
              </w:rPr>
              <w:t>,</w:t>
            </w:r>
            <w:r w:rsidRPr="00783B4B">
              <w:rPr>
                <w:sz w:val="22"/>
                <w:szCs w:val="22"/>
                <w:lang w:val="sr-Latn-ME"/>
              </w:rPr>
              <w:t>2%)</w:t>
            </w:r>
          </w:p>
        </w:tc>
      </w:tr>
      <w:tr w:rsidR="008E0A04" w:rsidRPr="00783B4B" w14:paraId="5B11E8FD"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581D2631" w14:textId="77777777" w:rsidR="008E0A04" w:rsidRPr="00783B4B" w:rsidRDefault="008E0A04" w:rsidP="00783B4B">
            <w:pPr>
              <w:pStyle w:val="NormalWeb"/>
              <w:rPr>
                <w:sz w:val="22"/>
                <w:szCs w:val="22"/>
                <w:lang w:val="sr-Latn-ME"/>
              </w:rPr>
            </w:pPr>
            <w:proofErr w:type="spellStart"/>
            <w:r w:rsidRPr="00783B4B">
              <w:rPr>
                <w:sz w:val="22"/>
                <w:szCs w:val="22"/>
                <w:lang w:val="sr-Latn-ME"/>
              </w:rPr>
              <w:t>Ishemijska</w:t>
            </w:r>
            <w:proofErr w:type="spellEnd"/>
            <w:r w:rsidRPr="00783B4B">
              <w:rPr>
                <w:sz w:val="22"/>
                <w:szCs w:val="22"/>
                <w:lang w:val="sr-Latn-ME"/>
              </w:rPr>
              <w:t xml:space="preserve"> bolest srca</w:t>
            </w:r>
          </w:p>
        </w:tc>
        <w:tc>
          <w:tcPr>
            <w:tcW w:w="1843" w:type="dxa"/>
            <w:tcBorders>
              <w:top w:val="outset" w:sz="6" w:space="0" w:color="auto"/>
              <w:left w:val="outset" w:sz="6" w:space="0" w:color="auto"/>
              <w:bottom w:val="outset" w:sz="6" w:space="0" w:color="auto"/>
              <w:right w:val="outset" w:sz="6" w:space="0" w:color="auto"/>
            </w:tcBorders>
            <w:vAlign w:val="center"/>
          </w:tcPr>
          <w:p w14:paraId="714F1AE9" w14:textId="2380447A" w:rsidR="008E0A04" w:rsidRPr="00783B4B" w:rsidRDefault="008E0A04" w:rsidP="00783B4B">
            <w:pPr>
              <w:pStyle w:val="NormalWeb"/>
              <w:jc w:val="right"/>
              <w:rPr>
                <w:sz w:val="22"/>
                <w:szCs w:val="22"/>
                <w:lang w:val="sr-Latn-ME"/>
              </w:rPr>
            </w:pPr>
            <w:r w:rsidRPr="00783B4B">
              <w:rPr>
                <w:sz w:val="22"/>
                <w:szCs w:val="22"/>
                <w:lang w:val="sr-Latn-ME"/>
              </w:rPr>
              <w:t>127 (4</w:t>
            </w:r>
            <w:r w:rsidR="00C12403" w:rsidRPr="00783B4B">
              <w:rPr>
                <w:sz w:val="22"/>
                <w:szCs w:val="22"/>
                <w:lang w:val="sr-Latn-ME"/>
              </w:rPr>
              <w:t>,</w:t>
            </w:r>
            <w:r w:rsidRPr="00783B4B">
              <w:rPr>
                <w:sz w:val="22"/>
                <w:szCs w:val="22"/>
                <w:lang w:val="sr-Latn-ME"/>
              </w:rPr>
              <w:t>1%)</w:t>
            </w:r>
          </w:p>
        </w:tc>
        <w:tc>
          <w:tcPr>
            <w:tcW w:w="2064" w:type="dxa"/>
            <w:tcBorders>
              <w:top w:val="outset" w:sz="6" w:space="0" w:color="auto"/>
              <w:left w:val="outset" w:sz="6" w:space="0" w:color="auto"/>
              <w:bottom w:val="outset" w:sz="6" w:space="0" w:color="auto"/>
              <w:right w:val="outset" w:sz="6" w:space="0" w:color="auto"/>
            </w:tcBorders>
            <w:vAlign w:val="center"/>
          </w:tcPr>
          <w:p w14:paraId="02C8592E" w14:textId="0ACFB6B1" w:rsidR="008E0A04" w:rsidRPr="00783B4B" w:rsidRDefault="008E0A04" w:rsidP="00783B4B">
            <w:pPr>
              <w:pStyle w:val="NormalWeb"/>
              <w:jc w:val="right"/>
              <w:rPr>
                <w:sz w:val="22"/>
                <w:szCs w:val="22"/>
                <w:lang w:val="sr-Latn-ME"/>
              </w:rPr>
            </w:pPr>
            <w:r w:rsidRPr="00783B4B">
              <w:rPr>
                <w:sz w:val="22"/>
                <w:szCs w:val="22"/>
                <w:lang w:val="sr-Latn-ME"/>
              </w:rPr>
              <w:t>104 (3</w:t>
            </w:r>
            <w:r w:rsidR="00C12403" w:rsidRPr="00783B4B">
              <w:rPr>
                <w:sz w:val="22"/>
                <w:szCs w:val="22"/>
                <w:lang w:val="sr-Latn-ME"/>
              </w:rPr>
              <w:t>,</w:t>
            </w:r>
            <w:r w:rsidRPr="00783B4B">
              <w:rPr>
                <w:sz w:val="22"/>
                <w:szCs w:val="22"/>
                <w:lang w:val="sr-Latn-ME"/>
              </w:rPr>
              <w:t>4%)</w:t>
            </w:r>
          </w:p>
        </w:tc>
      </w:tr>
      <w:tr w:rsidR="008E0A04" w:rsidRPr="00783B4B" w14:paraId="39A722A8"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5924235A" w14:textId="77777777" w:rsidR="008E0A04" w:rsidRPr="00783B4B" w:rsidRDefault="008E0A04" w:rsidP="00783B4B">
            <w:pPr>
              <w:pStyle w:val="NormalWeb"/>
              <w:rPr>
                <w:sz w:val="22"/>
                <w:szCs w:val="22"/>
                <w:lang w:val="sr-Latn-ME"/>
              </w:rPr>
            </w:pPr>
            <w:r w:rsidRPr="00783B4B">
              <w:rPr>
                <w:sz w:val="22"/>
                <w:szCs w:val="22"/>
                <w:lang w:val="sr-Latn-ME"/>
              </w:rPr>
              <w:t xml:space="preserve">Angina </w:t>
            </w:r>
            <w:proofErr w:type="spellStart"/>
            <w:r w:rsidRPr="00783B4B">
              <w:rPr>
                <w:sz w:val="22"/>
                <w:szCs w:val="22"/>
                <w:lang w:val="sr-Latn-ME"/>
              </w:rPr>
              <w:t>pektoris</w:t>
            </w:r>
            <w:proofErr w:type="spellEnd"/>
          </w:p>
        </w:tc>
        <w:tc>
          <w:tcPr>
            <w:tcW w:w="1843" w:type="dxa"/>
            <w:tcBorders>
              <w:top w:val="outset" w:sz="6" w:space="0" w:color="auto"/>
              <w:left w:val="outset" w:sz="6" w:space="0" w:color="auto"/>
              <w:bottom w:val="outset" w:sz="6" w:space="0" w:color="auto"/>
              <w:right w:val="outset" w:sz="6" w:space="0" w:color="auto"/>
            </w:tcBorders>
            <w:vAlign w:val="center"/>
          </w:tcPr>
          <w:p w14:paraId="5A6D24B0" w14:textId="5DA06AE2" w:rsidR="008E0A04" w:rsidRPr="00783B4B" w:rsidRDefault="008E0A04" w:rsidP="00783B4B">
            <w:pPr>
              <w:pStyle w:val="NormalWeb"/>
              <w:jc w:val="right"/>
              <w:rPr>
                <w:sz w:val="22"/>
                <w:szCs w:val="22"/>
                <w:lang w:val="sr-Latn-ME"/>
              </w:rPr>
            </w:pPr>
            <w:r w:rsidRPr="00783B4B">
              <w:rPr>
                <w:sz w:val="22"/>
                <w:szCs w:val="22"/>
                <w:lang w:val="sr-Latn-ME"/>
              </w:rPr>
              <w:t>71 (2</w:t>
            </w:r>
            <w:r w:rsidR="00C12403" w:rsidRPr="00783B4B">
              <w:rPr>
                <w:sz w:val="22"/>
                <w:szCs w:val="22"/>
                <w:lang w:val="sr-Latn-ME"/>
              </w:rPr>
              <w:t>,</w:t>
            </w:r>
            <w:r w:rsidRPr="00783B4B">
              <w:rPr>
                <w:sz w:val="22"/>
                <w:szCs w:val="22"/>
                <w:lang w:val="sr-Latn-ME"/>
              </w:rPr>
              <w:t>3%)</w:t>
            </w:r>
          </w:p>
        </w:tc>
        <w:tc>
          <w:tcPr>
            <w:tcW w:w="2064" w:type="dxa"/>
            <w:tcBorders>
              <w:top w:val="outset" w:sz="6" w:space="0" w:color="auto"/>
              <w:left w:val="outset" w:sz="6" w:space="0" w:color="auto"/>
              <w:bottom w:val="outset" w:sz="6" w:space="0" w:color="auto"/>
              <w:right w:val="outset" w:sz="6" w:space="0" w:color="auto"/>
            </w:tcBorders>
            <w:vAlign w:val="center"/>
          </w:tcPr>
          <w:p w14:paraId="28254A7B" w14:textId="6E313DFC" w:rsidR="008E0A04" w:rsidRPr="00783B4B" w:rsidRDefault="008E0A04" w:rsidP="00783B4B">
            <w:pPr>
              <w:pStyle w:val="NormalWeb"/>
              <w:jc w:val="right"/>
              <w:rPr>
                <w:sz w:val="22"/>
                <w:szCs w:val="22"/>
                <w:lang w:val="sr-Latn-ME"/>
              </w:rPr>
            </w:pPr>
            <w:r w:rsidRPr="00783B4B">
              <w:rPr>
                <w:sz w:val="22"/>
                <w:szCs w:val="22"/>
                <w:lang w:val="sr-Latn-ME"/>
              </w:rPr>
              <w:t>51 (1</w:t>
            </w:r>
            <w:r w:rsidR="00C12403" w:rsidRPr="00783B4B">
              <w:rPr>
                <w:sz w:val="22"/>
                <w:szCs w:val="22"/>
                <w:lang w:val="sr-Latn-ME"/>
              </w:rPr>
              <w:t>,</w:t>
            </w:r>
            <w:r w:rsidRPr="00783B4B">
              <w:rPr>
                <w:sz w:val="22"/>
                <w:szCs w:val="22"/>
                <w:lang w:val="sr-Latn-ME"/>
              </w:rPr>
              <w:t>6%)</w:t>
            </w:r>
          </w:p>
        </w:tc>
      </w:tr>
      <w:tr w:rsidR="008E0A04" w:rsidRPr="00783B4B" w14:paraId="5FB19A5A"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5BE955EE" w14:textId="77777777" w:rsidR="008E0A04" w:rsidRPr="00783B4B" w:rsidRDefault="008E0A04" w:rsidP="00783B4B">
            <w:pPr>
              <w:pStyle w:val="NormalWeb"/>
              <w:rPr>
                <w:sz w:val="22"/>
                <w:szCs w:val="22"/>
                <w:lang w:val="sr-Latn-ME"/>
              </w:rPr>
            </w:pPr>
            <w:r w:rsidRPr="00783B4B">
              <w:rPr>
                <w:sz w:val="22"/>
                <w:szCs w:val="22"/>
                <w:lang w:val="sr-Latn-ME"/>
              </w:rPr>
              <w:t xml:space="preserve">Infarkt </w:t>
            </w:r>
            <w:proofErr w:type="spellStart"/>
            <w:r w:rsidRPr="00783B4B">
              <w:rPr>
                <w:sz w:val="22"/>
                <w:szCs w:val="22"/>
                <w:lang w:val="sr-Latn-ME"/>
              </w:rPr>
              <w:t>miokarda</w:t>
            </w:r>
            <w:proofErr w:type="spellEnd"/>
          </w:p>
        </w:tc>
        <w:tc>
          <w:tcPr>
            <w:tcW w:w="1843" w:type="dxa"/>
            <w:tcBorders>
              <w:top w:val="outset" w:sz="6" w:space="0" w:color="auto"/>
              <w:left w:val="outset" w:sz="6" w:space="0" w:color="auto"/>
              <w:bottom w:val="outset" w:sz="6" w:space="0" w:color="auto"/>
              <w:right w:val="outset" w:sz="6" w:space="0" w:color="auto"/>
            </w:tcBorders>
            <w:vAlign w:val="center"/>
          </w:tcPr>
          <w:p w14:paraId="21926F91" w14:textId="7223DD3C" w:rsidR="008E0A04" w:rsidRPr="00783B4B" w:rsidRDefault="008E0A04" w:rsidP="00783B4B">
            <w:pPr>
              <w:pStyle w:val="NormalWeb"/>
              <w:jc w:val="right"/>
              <w:rPr>
                <w:sz w:val="22"/>
                <w:szCs w:val="22"/>
                <w:lang w:val="sr-Latn-ME"/>
              </w:rPr>
            </w:pPr>
            <w:r w:rsidRPr="00783B4B">
              <w:rPr>
                <w:sz w:val="22"/>
                <w:szCs w:val="22"/>
                <w:lang w:val="sr-Latn-ME"/>
              </w:rPr>
              <w:t>37 (1</w:t>
            </w:r>
            <w:r w:rsidR="00C12403" w:rsidRPr="00783B4B">
              <w:rPr>
                <w:sz w:val="22"/>
                <w:szCs w:val="22"/>
                <w:lang w:val="sr-Latn-ME"/>
              </w:rPr>
              <w:t>,</w:t>
            </w:r>
            <w:r w:rsidRPr="00783B4B">
              <w:rPr>
                <w:sz w:val="22"/>
                <w:szCs w:val="22"/>
                <w:lang w:val="sr-Latn-ME"/>
              </w:rPr>
              <w:t>2%)</w:t>
            </w:r>
          </w:p>
        </w:tc>
        <w:tc>
          <w:tcPr>
            <w:tcW w:w="2064" w:type="dxa"/>
            <w:tcBorders>
              <w:top w:val="outset" w:sz="6" w:space="0" w:color="auto"/>
              <w:left w:val="outset" w:sz="6" w:space="0" w:color="auto"/>
              <w:bottom w:val="outset" w:sz="6" w:space="0" w:color="auto"/>
              <w:right w:val="outset" w:sz="6" w:space="0" w:color="auto"/>
            </w:tcBorders>
            <w:vAlign w:val="center"/>
          </w:tcPr>
          <w:p w14:paraId="09CEDAEE" w14:textId="64EB4E31" w:rsidR="008E0A04" w:rsidRPr="00783B4B" w:rsidRDefault="008E0A04" w:rsidP="00783B4B">
            <w:pPr>
              <w:pStyle w:val="NormalWeb"/>
              <w:jc w:val="right"/>
              <w:rPr>
                <w:sz w:val="22"/>
                <w:szCs w:val="22"/>
                <w:lang w:val="sr-Latn-ME"/>
              </w:rPr>
            </w:pPr>
            <w:r w:rsidRPr="00783B4B">
              <w:rPr>
                <w:sz w:val="22"/>
                <w:szCs w:val="22"/>
                <w:lang w:val="sr-Latn-ME"/>
              </w:rPr>
              <w:t>34 (1</w:t>
            </w:r>
            <w:r w:rsidR="00C12403" w:rsidRPr="00783B4B">
              <w:rPr>
                <w:sz w:val="22"/>
                <w:szCs w:val="22"/>
                <w:lang w:val="sr-Latn-ME"/>
              </w:rPr>
              <w:t>,</w:t>
            </w:r>
            <w:r w:rsidRPr="00783B4B">
              <w:rPr>
                <w:sz w:val="22"/>
                <w:szCs w:val="22"/>
                <w:lang w:val="sr-Latn-ME"/>
              </w:rPr>
              <w:t>1%)</w:t>
            </w:r>
          </w:p>
        </w:tc>
      </w:tr>
      <w:tr w:rsidR="008E0A04" w:rsidRPr="00783B4B" w14:paraId="408951ED"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3B7B49E2" w14:textId="77777777" w:rsidR="008E0A04" w:rsidRPr="00783B4B" w:rsidRDefault="008E0A04" w:rsidP="00783B4B">
            <w:pPr>
              <w:pStyle w:val="NormalWeb"/>
              <w:rPr>
                <w:sz w:val="22"/>
                <w:szCs w:val="22"/>
                <w:lang w:val="sr-Latn-ME"/>
              </w:rPr>
            </w:pPr>
            <w:r w:rsidRPr="00783B4B">
              <w:rPr>
                <w:sz w:val="22"/>
                <w:szCs w:val="22"/>
                <w:lang w:val="sr-Latn-ME"/>
              </w:rPr>
              <w:t xml:space="preserve">Koronarna arterijska bolest </w:t>
            </w:r>
          </w:p>
        </w:tc>
        <w:tc>
          <w:tcPr>
            <w:tcW w:w="1843" w:type="dxa"/>
            <w:tcBorders>
              <w:top w:val="outset" w:sz="6" w:space="0" w:color="auto"/>
              <w:left w:val="outset" w:sz="6" w:space="0" w:color="auto"/>
              <w:bottom w:val="outset" w:sz="6" w:space="0" w:color="auto"/>
              <w:right w:val="outset" w:sz="6" w:space="0" w:color="auto"/>
            </w:tcBorders>
            <w:vAlign w:val="center"/>
          </w:tcPr>
          <w:p w14:paraId="03CE3F1E" w14:textId="32239055" w:rsidR="008E0A04" w:rsidRPr="00783B4B" w:rsidRDefault="008E0A04" w:rsidP="00783B4B">
            <w:pPr>
              <w:pStyle w:val="NormalWeb"/>
              <w:jc w:val="right"/>
              <w:rPr>
                <w:sz w:val="22"/>
                <w:szCs w:val="22"/>
                <w:lang w:val="sr-Latn-ME"/>
              </w:rPr>
            </w:pPr>
            <w:r w:rsidRPr="00783B4B">
              <w:rPr>
                <w:sz w:val="22"/>
                <w:szCs w:val="22"/>
                <w:lang w:val="sr-Latn-ME"/>
              </w:rPr>
              <w:t>25 (0</w:t>
            </w:r>
            <w:r w:rsidR="00C12403" w:rsidRPr="00783B4B">
              <w:rPr>
                <w:sz w:val="22"/>
                <w:szCs w:val="22"/>
                <w:lang w:val="sr-Latn-ME"/>
              </w:rPr>
              <w:t>,</w:t>
            </w:r>
            <w:r w:rsidRPr="00783B4B">
              <w:rPr>
                <w:sz w:val="22"/>
                <w:szCs w:val="22"/>
                <w:lang w:val="sr-Latn-ME"/>
              </w:rPr>
              <w:t>8%)</w:t>
            </w:r>
          </w:p>
        </w:tc>
        <w:tc>
          <w:tcPr>
            <w:tcW w:w="2064" w:type="dxa"/>
            <w:tcBorders>
              <w:top w:val="outset" w:sz="6" w:space="0" w:color="auto"/>
              <w:left w:val="outset" w:sz="6" w:space="0" w:color="auto"/>
              <w:bottom w:val="outset" w:sz="6" w:space="0" w:color="auto"/>
              <w:right w:val="outset" w:sz="6" w:space="0" w:color="auto"/>
            </w:tcBorders>
            <w:vAlign w:val="center"/>
          </w:tcPr>
          <w:p w14:paraId="1A58177A" w14:textId="1964E140" w:rsidR="008E0A04" w:rsidRPr="00783B4B" w:rsidRDefault="008E0A04" w:rsidP="00783B4B">
            <w:pPr>
              <w:pStyle w:val="NormalWeb"/>
              <w:jc w:val="right"/>
              <w:rPr>
                <w:sz w:val="22"/>
                <w:szCs w:val="22"/>
                <w:lang w:val="sr-Latn-ME"/>
              </w:rPr>
            </w:pPr>
            <w:r w:rsidRPr="00783B4B">
              <w:rPr>
                <w:sz w:val="22"/>
                <w:szCs w:val="22"/>
                <w:lang w:val="sr-Latn-ME"/>
              </w:rPr>
              <w:t>23 (0</w:t>
            </w:r>
            <w:r w:rsidR="00C12403" w:rsidRPr="00783B4B">
              <w:rPr>
                <w:sz w:val="22"/>
                <w:szCs w:val="22"/>
                <w:lang w:val="sr-Latn-ME"/>
              </w:rPr>
              <w:t>,</w:t>
            </w:r>
            <w:r w:rsidRPr="00783B4B">
              <w:rPr>
                <w:sz w:val="22"/>
                <w:szCs w:val="22"/>
                <w:lang w:val="sr-Latn-ME"/>
              </w:rPr>
              <w:t>7%)</w:t>
            </w:r>
          </w:p>
        </w:tc>
      </w:tr>
      <w:tr w:rsidR="008E0A04" w:rsidRPr="00783B4B" w14:paraId="43099043"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6F18CA2F" w14:textId="77777777" w:rsidR="008E0A04" w:rsidRPr="00783B4B" w:rsidRDefault="008E0A04" w:rsidP="00783B4B">
            <w:pPr>
              <w:pStyle w:val="NormalWeb"/>
              <w:rPr>
                <w:sz w:val="22"/>
                <w:szCs w:val="22"/>
                <w:lang w:val="sr-Latn-ME"/>
              </w:rPr>
            </w:pPr>
            <w:proofErr w:type="spellStart"/>
            <w:r w:rsidRPr="00783B4B">
              <w:rPr>
                <w:sz w:val="22"/>
                <w:szCs w:val="22"/>
                <w:lang w:val="sr-Latn-ME"/>
              </w:rPr>
              <w:t>Ishemija</w:t>
            </w:r>
            <w:proofErr w:type="spellEnd"/>
            <w:r w:rsidRPr="00783B4B">
              <w:rPr>
                <w:sz w:val="22"/>
                <w:szCs w:val="22"/>
                <w:lang w:val="sr-Latn-ME"/>
              </w:rPr>
              <w:t xml:space="preserve"> </w:t>
            </w:r>
            <w:proofErr w:type="spellStart"/>
            <w:r w:rsidRPr="00783B4B">
              <w:rPr>
                <w:sz w:val="22"/>
                <w:szCs w:val="22"/>
                <w:lang w:val="sr-Latn-ME"/>
              </w:rPr>
              <w:t>miokarda</w:t>
            </w:r>
            <w:proofErr w:type="spellEnd"/>
          </w:p>
        </w:tc>
        <w:tc>
          <w:tcPr>
            <w:tcW w:w="1843" w:type="dxa"/>
            <w:tcBorders>
              <w:top w:val="outset" w:sz="6" w:space="0" w:color="auto"/>
              <w:left w:val="outset" w:sz="6" w:space="0" w:color="auto"/>
              <w:bottom w:val="outset" w:sz="6" w:space="0" w:color="auto"/>
              <w:right w:val="outset" w:sz="6" w:space="0" w:color="auto"/>
            </w:tcBorders>
            <w:vAlign w:val="center"/>
          </w:tcPr>
          <w:p w14:paraId="25116C28" w14:textId="4E221BF5" w:rsidR="008E0A04" w:rsidRPr="00783B4B" w:rsidRDefault="008E0A04" w:rsidP="00783B4B">
            <w:pPr>
              <w:pStyle w:val="NormalWeb"/>
              <w:jc w:val="right"/>
              <w:rPr>
                <w:sz w:val="22"/>
                <w:szCs w:val="22"/>
                <w:lang w:val="sr-Latn-ME"/>
              </w:rPr>
            </w:pPr>
            <w:r w:rsidRPr="00783B4B">
              <w:rPr>
                <w:sz w:val="22"/>
                <w:szCs w:val="22"/>
                <w:lang w:val="sr-Latn-ME"/>
              </w:rPr>
              <w:t>22 (0</w:t>
            </w:r>
            <w:r w:rsidR="00C12403" w:rsidRPr="00783B4B">
              <w:rPr>
                <w:sz w:val="22"/>
                <w:szCs w:val="22"/>
                <w:lang w:val="sr-Latn-ME"/>
              </w:rPr>
              <w:t>,</w:t>
            </w:r>
            <w:r w:rsidRPr="00783B4B">
              <w:rPr>
                <w:sz w:val="22"/>
                <w:szCs w:val="22"/>
                <w:lang w:val="sr-Latn-ME"/>
              </w:rPr>
              <w:t>7%)</w:t>
            </w:r>
          </w:p>
        </w:tc>
        <w:tc>
          <w:tcPr>
            <w:tcW w:w="2064" w:type="dxa"/>
            <w:tcBorders>
              <w:top w:val="outset" w:sz="6" w:space="0" w:color="auto"/>
              <w:left w:val="outset" w:sz="6" w:space="0" w:color="auto"/>
              <w:bottom w:val="outset" w:sz="6" w:space="0" w:color="auto"/>
              <w:right w:val="outset" w:sz="6" w:space="0" w:color="auto"/>
            </w:tcBorders>
            <w:vAlign w:val="center"/>
          </w:tcPr>
          <w:p w14:paraId="286EF068" w14:textId="0D975954" w:rsidR="008E0A04" w:rsidRPr="00783B4B" w:rsidRDefault="008E0A04" w:rsidP="00783B4B">
            <w:pPr>
              <w:pStyle w:val="NormalWeb"/>
              <w:jc w:val="right"/>
              <w:rPr>
                <w:sz w:val="22"/>
                <w:szCs w:val="22"/>
                <w:lang w:val="sr-Latn-ME"/>
              </w:rPr>
            </w:pPr>
            <w:r w:rsidRPr="00783B4B">
              <w:rPr>
                <w:sz w:val="22"/>
                <w:szCs w:val="22"/>
                <w:lang w:val="sr-Latn-ME"/>
              </w:rPr>
              <w:t>14 (0</w:t>
            </w:r>
            <w:r w:rsidR="00C12403" w:rsidRPr="00783B4B">
              <w:rPr>
                <w:sz w:val="22"/>
                <w:szCs w:val="22"/>
                <w:lang w:val="sr-Latn-ME"/>
              </w:rPr>
              <w:t>,</w:t>
            </w:r>
            <w:r w:rsidRPr="00783B4B">
              <w:rPr>
                <w:sz w:val="22"/>
                <w:szCs w:val="22"/>
                <w:lang w:val="sr-Latn-ME"/>
              </w:rPr>
              <w:t>5%)</w:t>
            </w:r>
          </w:p>
        </w:tc>
      </w:tr>
      <w:tr w:rsidR="008E0A04" w:rsidRPr="00783B4B" w14:paraId="16FC21F1"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60F022F2" w14:textId="03AB48FC" w:rsidR="008E0A04" w:rsidRPr="00783B4B" w:rsidRDefault="00C46A67" w:rsidP="00783B4B">
            <w:pPr>
              <w:pStyle w:val="NormalWeb"/>
              <w:rPr>
                <w:sz w:val="22"/>
                <w:szCs w:val="22"/>
                <w:lang w:val="sr-Latn-ME"/>
              </w:rPr>
            </w:pPr>
            <w:r w:rsidRPr="00783B4B">
              <w:rPr>
                <w:sz w:val="22"/>
                <w:szCs w:val="22"/>
                <w:lang w:val="sr-Latn-ME"/>
              </w:rPr>
              <w:t xml:space="preserve">Vaginalni </w:t>
            </w:r>
            <w:r w:rsidR="00637B38" w:rsidRPr="00783B4B">
              <w:rPr>
                <w:sz w:val="22"/>
                <w:szCs w:val="22"/>
                <w:lang w:val="sr-Latn-ME"/>
              </w:rPr>
              <w:t>isc</w:t>
            </w:r>
            <w:r w:rsidR="00FA4EFC" w:rsidRPr="00783B4B">
              <w:rPr>
                <w:sz w:val="22"/>
                <w:szCs w:val="22"/>
                <w:lang w:val="sr-Latn-ME"/>
              </w:rPr>
              <w:t>j</w:t>
            </w:r>
            <w:r w:rsidR="00637B38" w:rsidRPr="00783B4B">
              <w:rPr>
                <w:sz w:val="22"/>
                <w:szCs w:val="22"/>
                <w:lang w:val="sr-Latn-ME"/>
              </w:rPr>
              <w:t>edak</w:t>
            </w:r>
          </w:p>
        </w:tc>
        <w:tc>
          <w:tcPr>
            <w:tcW w:w="1843" w:type="dxa"/>
            <w:tcBorders>
              <w:top w:val="outset" w:sz="6" w:space="0" w:color="auto"/>
              <w:left w:val="outset" w:sz="6" w:space="0" w:color="auto"/>
              <w:bottom w:val="outset" w:sz="6" w:space="0" w:color="auto"/>
              <w:right w:val="outset" w:sz="6" w:space="0" w:color="auto"/>
            </w:tcBorders>
            <w:vAlign w:val="center"/>
          </w:tcPr>
          <w:p w14:paraId="77797820" w14:textId="5D1B992E" w:rsidR="008E0A04" w:rsidRPr="00783B4B" w:rsidRDefault="008E0A04" w:rsidP="00783B4B">
            <w:pPr>
              <w:pStyle w:val="NormalWeb"/>
              <w:jc w:val="right"/>
              <w:rPr>
                <w:sz w:val="22"/>
                <w:szCs w:val="22"/>
                <w:lang w:val="sr-Latn-ME"/>
              </w:rPr>
            </w:pPr>
            <w:r w:rsidRPr="00783B4B">
              <w:rPr>
                <w:sz w:val="22"/>
                <w:szCs w:val="22"/>
                <w:lang w:val="sr-Latn-ME"/>
              </w:rPr>
              <w:t>109 (3</w:t>
            </w:r>
            <w:r w:rsidR="00C12403" w:rsidRPr="00783B4B">
              <w:rPr>
                <w:sz w:val="22"/>
                <w:szCs w:val="22"/>
                <w:lang w:val="sr-Latn-ME"/>
              </w:rPr>
              <w:t>,</w:t>
            </w:r>
            <w:r w:rsidRPr="00783B4B">
              <w:rPr>
                <w:sz w:val="22"/>
                <w:szCs w:val="22"/>
                <w:lang w:val="sr-Latn-ME"/>
              </w:rPr>
              <w:t>5%)</w:t>
            </w:r>
          </w:p>
        </w:tc>
        <w:tc>
          <w:tcPr>
            <w:tcW w:w="2064" w:type="dxa"/>
            <w:tcBorders>
              <w:top w:val="outset" w:sz="6" w:space="0" w:color="auto"/>
              <w:left w:val="outset" w:sz="6" w:space="0" w:color="auto"/>
              <w:bottom w:val="outset" w:sz="6" w:space="0" w:color="auto"/>
              <w:right w:val="outset" w:sz="6" w:space="0" w:color="auto"/>
            </w:tcBorders>
            <w:vAlign w:val="center"/>
          </w:tcPr>
          <w:p w14:paraId="0A025824" w14:textId="06D05BF0" w:rsidR="008E0A04" w:rsidRPr="00783B4B" w:rsidRDefault="008E0A04" w:rsidP="00783B4B">
            <w:pPr>
              <w:pStyle w:val="NormalWeb"/>
              <w:jc w:val="right"/>
              <w:rPr>
                <w:sz w:val="22"/>
                <w:szCs w:val="22"/>
                <w:lang w:val="sr-Latn-ME"/>
              </w:rPr>
            </w:pPr>
            <w:r w:rsidRPr="00783B4B">
              <w:rPr>
                <w:sz w:val="22"/>
                <w:szCs w:val="22"/>
                <w:lang w:val="sr-Latn-ME"/>
              </w:rPr>
              <w:t>408 (13</w:t>
            </w:r>
            <w:r w:rsidR="00C12403" w:rsidRPr="00783B4B">
              <w:rPr>
                <w:sz w:val="22"/>
                <w:szCs w:val="22"/>
                <w:lang w:val="sr-Latn-ME"/>
              </w:rPr>
              <w:t>,</w:t>
            </w:r>
            <w:r w:rsidRPr="00783B4B">
              <w:rPr>
                <w:sz w:val="22"/>
                <w:szCs w:val="22"/>
                <w:lang w:val="sr-Latn-ME"/>
              </w:rPr>
              <w:t>2%)</w:t>
            </w:r>
          </w:p>
        </w:tc>
      </w:tr>
      <w:tr w:rsidR="008E0A04" w:rsidRPr="00783B4B" w14:paraId="794A223B"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61AECB41" w14:textId="0263AF67" w:rsidR="008E0A04" w:rsidRPr="00783B4B" w:rsidRDefault="00A334F5" w:rsidP="00783B4B">
            <w:pPr>
              <w:pStyle w:val="NormalWeb"/>
              <w:rPr>
                <w:sz w:val="22"/>
                <w:szCs w:val="22"/>
                <w:lang w:val="sr-Latn-ME"/>
              </w:rPr>
            </w:pPr>
            <w:proofErr w:type="spellStart"/>
            <w:r w:rsidRPr="00783B4B">
              <w:rPr>
                <w:sz w:val="22"/>
                <w:szCs w:val="22"/>
                <w:lang w:val="sr-Latn-ME" w:eastAsia="en-US"/>
              </w:rPr>
              <w:t>Tromboembolije</w:t>
            </w:r>
            <w:proofErr w:type="spellEnd"/>
            <w:r w:rsidRPr="00783B4B">
              <w:rPr>
                <w:sz w:val="22"/>
                <w:szCs w:val="22"/>
                <w:lang w:val="sr-Latn-ME" w:eastAsia="en-US"/>
              </w:rPr>
              <w:t xml:space="preserve"> vena</w:t>
            </w:r>
          </w:p>
        </w:tc>
        <w:tc>
          <w:tcPr>
            <w:tcW w:w="1843" w:type="dxa"/>
            <w:tcBorders>
              <w:top w:val="outset" w:sz="6" w:space="0" w:color="auto"/>
              <w:left w:val="outset" w:sz="6" w:space="0" w:color="auto"/>
              <w:bottom w:val="outset" w:sz="6" w:space="0" w:color="auto"/>
              <w:right w:val="outset" w:sz="6" w:space="0" w:color="auto"/>
            </w:tcBorders>
            <w:vAlign w:val="center"/>
          </w:tcPr>
          <w:p w14:paraId="09B85901" w14:textId="454CB226" w:rsidR="008E0A04" w:rsidRPr="00783B4B" w:rsidRDefault="008E0A04" w:rsidP="00783B4B">
            <w:pPr>
              <w:pStyle w:val="NormalWeb"/>
              <w:jc w:val="right"/>
              <w:rPr>
                <w:sz w:val="22"/>
                <w:szCs w:val="22"/>
                <w:lang w:val="sr-Latn-ME"/>
              </w:rPr>
            </w:pPr>
            <w:r w:rsidRPr="00783B4B">
              <w:rPr>
                <w:sz w:val="22"/>
                <w:szCs w:val="22"/>
                <w:lang w:val="sr-Latn-ME"/>
              </w:rPr>
              <w:t>87 (2</w:t>
            </w:r>
            <w:r w:rsidR="00C12403" w:rsidRPr="00783B4B">
              <w:rPr>
                <w:sz w:val="22"/>
                <w:szCs w:val="22"/>
                <w:lang w:val="sr-Latn-ME"/>
              </w:rPr>
              <w:t>,</w:t>
            </w:r>
            <w:r w:rsidRPr="00783B4B">
              <w:rPr>
                <w:sz w:val="22"/>
                <w:szCs w:val="22"/>
                <w:lang w:val="sr-Latn-ME"/>
              </w:rPr>
              <w:t>8%)</w:t>
            </w:r>
          </w:p>
        </w:tc>
        <w:tc>
          <w:tcPr>
            <w:tcW w:w="2064" w:type="dxa"/>
            <w:tcBorders>
              <w:top w:val="outset" w:sz="6" w:space="0" w:color="auto"/>
              <w:left w:val="outset" w:sz="6" w:space="0" w:color="auto"/>
              <w:bottom w:val="outset" w:sz="6" w:space="0" w:color="auto"/>
              <w:right w:val="outset" w:sz="6" w:space="0" w:color="auto"/>
            </w:tcBorders>
            <w:vAlign w:val="center"/>
          </w:tcPr>
          <w:p w14:paraId="003B2D6B" w14:textId="2A5B2A55" w:rsidR="008E0A04" w:rsidRPr="00783B4B" w:rsidRDefault="008E0A04" w:rsidP="00783B4B">
            <w:pPr>
              <w:pStyle w:val="NormalWeb"/>
              <w:jc w:val="right"/>
              <w:rPr>
                <w:sz w:val="22"/>
                <w:szCs w:val="22"/>
                <w:lang w:val="sr-Latn-ME"/>
              </w:rPr>
            </w:pPr>
            <w:r w:rsidRPr="00783B4B">
              <w:rPr>
                <w:sz w:val="22"/>
                <w:szCs w:val="22"/>
                <w:lang w:val="sr-Latn-ME"/>
              </w:rPr>
              <w:t>140 (4</w:t>
            </w:r>
            <w:r w:rsidR="00C12403" w:rsidRPr="00783B4B">
              <w:rPr>
                <w:sz w:val="22"/>
                <w:szCs w:val="22"/>
                <w:lang w:val="sr-Latn-ME"/>
              </w:rPr>
              <w:t>,</w:t>
            </w:r>
            <w:r w:rsidRPr="00783B4B">
              <w:rPr>
                <w:sz w:val="22"/>
                <w:szCs w:val="22"/>
                <w:lang w:val="sr-Latn-ME"/>
              </w:rPr>
              <w:t>5%)</w:t>
            </w:r>
          </w:p>
        </w:tc>
      </w:tr>
      <w:tr w:rsidR="008E0A04" w:rsidRPr="00783B4B" w14:paraId="4CE6A9D5"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2C1032C3" w14:textId="25117F3C" w:rsidR="008E0A04" w:rsidRPr="00783B4B" w:rsidRDefault="0092528A" w:rsidP="00783B4B">
            <w:pPr>
              <w:pStyle w:val="NormalWeb"/>
              <w:rPr>
                <w:sz w:val="22"/>
                <w:szCs w:val="22"/>
                <w:lang w:val="sr-Latn-ME"/>
              </w:rPr>
            </w:pPr>
            <w:proofErr w:type="spellStart"/>
            <w:r w:rsidRPr="00783B4B">
              <w:rPr>
                <w:sz w:val="22"/>
                <w:szCs w:val="22"/>
                <w:lang w:val="sr-Latn-ME" w:eastAsia="en-US"/>
              </w:rPr>
              <w:t>Tromboembolije</w:t>
            </w:r>
            <w:proofErr w:type="spellEnd"/>
            <w:r w:rsidRPr="00783B4B">
              <w:rPr>
                <w:sz w:val="22"/>
                <w:szCs w:val="22"/>
                <w:lang w:val="sr-Latn-ME" w:eastAsia="en-US"/>
              </w:rPr>
              <w:t xml:space="preserve"> dubokih vena, uključujući emboliju pluća</w:t>
            </w:r>
          </w:p>
        </w:tc>
        <w:tc>
          <w:tcPr>
            <w:tcW w:w="1843" w:type="dxa"/>
            <w:tcBorders>
              <w:top w:val="outset" w:sz="6" w:space="0" w:color="auto"/>
              <w:left w:val="outset" w:sz="6" w:space="0" w:color="auto"/>
              <w:bottom w:val="outset" w:sz="6" w:space="0" w:color="auto"/>
              <w:right w:val="outset" w:sz="6" w:space="0" w:color="auto"/>
            </w:tcBorders>
            <w:vAlign w:val="center"/>
          </w:tcPr>
          <w:p w14:paraId="04783856" w14:textId="2B4ADDA4" w:rsidR="008E0A04" w:rsidRPr="00783B4B" w:rsidRDefault="008E0A04" w:rsidP="00783B4B">
            <w:pPr>
              <w:pStyle w:val="NormalWeb"/>
              <w:jc w:val="right"/>
              <w:rPr>
                <w:sz w:val="22"/>
                <w:szCs w:val="22"/>
                <w:lang w:val="sr-Latn-ME"/>
              </w:rPr>
            </w:pPr>
            <w:r w:rsidRPr="00783B4B">
              <w:rPr>
                <w:sz w:val="22"/>
                <w:szCs w:val="22"/>
                <w:lang w:val="sr-Latn-ME"/>
              </w:rPr>
              <w:t>48 (1</w:t>
            </w:r>
            <w:r w:rsidR="00C12403" w:rsidRPr="00783B4B">
              <w:rPr>
                <w:sz w:val="22"/>
                <w:szCs w:val="22"/>
                <w:lang w:val="sr-Latn-ME"/>
              </w:rPr>
              <w:t>,</w:t>
            </w:r>
            <w:r w:rsidRPr="00783B4B">
              <w:rPr>
                <w:sz w:val="22"/>
                <w:szCs w:val="22"/>
                <w:lang w:val="sr-Latn-ME"/>
              </w:rPr>
              <w:t>6%)</w:t>
            </w:r>
          </w:p>
        </w:tc>
        <w:tc>
          <w:tcPr>
            <w:tcW w:w="2064" w:type="dxa"/>
            <w:tcBorders>
              <w:top w:val="outset" w:sz="6" w:space="0" w:color="auto"/>
              <w:left w:val="outset" w:sz="6" w:space="0" w:color="auto"/>
              <w:bottom w:val="outset" w:sz="6" w:space="0" w:color="auto"/>
              <w:right w:val="outset" w:sz="6" w:space="0" w:color="auto"/>
            </w:tcBorders>
            <w:vAlign w:val="center"/>
          </w:tcPr>
          <w:p w14:paraId="1315F863" w14:textId="7225A2EF" w:rsidR="008E0A04" w:rsidRPr="00783B4B" w:rsidRDefault="008E0A04" w:rsidP="00783B4B">
            <w:pPr>
              <w:pStyle w:val="NormalWeb"/>
              <w:jc w:val="right"/>
              <w:rPr>
                <w:sz w:val="22"/>
                <w:szCs w:val="22"/>
                <w:lang w:val="sr-Latn-ME"/>
              </w:rPr>
            </w:pPr>
            <w:r w:rsidRPr="00783B4B">
              <w:rPr>
                <w:sz w:val="22"/>
                <w:szCs w:val="22"/>
                <w:lang w:val="sr-Latn-ME"/>
              </w:rPr>
              <w:t>74 (2</w:t>
            </w:r>
            <w:r w:rsidR="00C12403" w:rsidRPr="00783B4B">
              <w:rPr>
                <w:sz w:val="22"/>
                <w:szCs w:val="22"/>
                <w:lang w:val="sr-Latn-ME"/>
              </w:rPr>
              <w:t>,</w:t>
            </w:r>
            <w:r w:rsidRPr="00783B4B">
              <w:rPr>
                <w:sz w:val="22"/>
                <w:szCs w:val="22"/>
                <w:lang w:val="sr-Latn-ME"/>
              </w:rPr>
              <w:t>4%)</w:t>
            </w:r>
          </w:p>
        </w:tc>
      </w:tr>
      <w:tr w:rsidR="008E0A04" w:rsidRPr="00783B4B" w14:paraId="1890CC48"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480E2F3D" w14:textId="28E89A2B" w:rsidR="008E0A04" w:rsidRPr="00783B4B" w:rsidRDefault="007429C2" w:rsidP="00783B4B">
            <w:pPr>
              <w:pStyle w:val="NormalWeb"/>
              <w:rPr>
                <w:sz w:val="22"/>
                <w:szCs w:val="22"/>
                <w:lang w:val="sr-Latn-ME"/>
              </w:rPr>
            </w:pPr>
            <w:proofErr w:type="spellStart"/>
            <w:r w:rsidRPr="00783B4B">
              <w:rPr>
                <w:sz w:val="22"/>
                <w:szCs w:val="22"/>
                <w:lang w:val="sr-Latn-ME" w:eastAsia="en-US"/>
              </w:rPr>
              <w:t>Cerebrovaskularna</w:t>
            </w:r>
            <w:proofErr w:type="spellEnd"/>
            <w:r w:rsidRPr="00783B4B">
              <w:rPr>
                <w:sz w:val="22"/>
                <w:szCs w:val="22"/>
                <w:lang w:val="sr-Latn-ME" w:eastAsia="en-US"/>
              </w:rPr>
              <w:t xml:space="preserve"> </w:t>
            </w:r>
            <w:proofErr w:type="spellStart"/>
            <w:r w:rsidRPr="00783B4B">
              <w:rPr>
                <w:sz w:val="22"/>
                <w:szCs w:val="22"/>
                <w:lang w:val="sr-Latn-ME" w:eastAsia="en-US"/>
              </w:rPr>
              <w:t>ishemija</w:t>
            </w:r>
            <w:proofErr w:type="spellEnd"/>
          </w:p>
        </w:tc>
        <w:tc>
          <w:tcPr>
            <w:tcW w:w="1843" w:type="dxa"/>
            <w:tcBorders>
              <w:top w:val="outset" w:sz="6" w:space="0" w:color="auto"/>
              <w:left w:val="outset" w:sz="6" w:space="0" w:color="auto"/>
              <w:bottom w:val="outset" w:sz="6" w:space="0" w:color="auto"/>
              <w:right w:val="outset" w:sz="6" w:space="0" w:color="auto"/>
            </w:tcBorders>
            <w:vAlign w:val="center"/>
          </w:tcPr>
          <w:p w14:paraId="63370F59" w14:textId="7E6F3A76" w:rsidR="008E0A04" w:rsidRPr="00783B4B" w:rsidRDefault="008E0A04" w:rsidP="00783B4B">
            <w:pPr>
              <w:pStyle w:val="NormalWeb"/>
              <w:jc w:val="right"/>
              <w:rPr>
                <w:sz w:val="22"/>
                <w:szCs w:val="22"/>
                <w:lang w:val="sr-Latn-ME"/>
              </w:rPr>
            </w:pPr>
            <w:r w:rsidRPr="00783B4B">
              <w:rPr>
                <w:sz w:val="22"/>
                <w:szCs w:val="22"/>
                <w:lang w:val="sr-Latn-ME"/>
              </w:rPr>
              <w:t>62 (2</w:t>
            </w:r>
            <w:r w:rsidR="00C12403" w:rsidRPr="00783B4B">
              <w:rPr>
                <w:sz w:val="22"/>
                <w:szCs w:val="22"/>
                <w:lang w:val="sr-Latn-ME"/>
              </w:rPr>
              <w:t>,</w:t>
            </w:r>
            <w:r w:rsidRPr="00783B4B">
              <w:rPr>
                <w:sz w:val="22"/>
                <w:szCs w:val="22"/>
                <w:lang w:val="sr-Latn-ME"/>
              </w:rPr>
              <w:t>0%)</w:t>
            </w:r>
          </w:p>
        </w:tc>
        <w:tc>
          <w:tcPr>
            <w:tcW w:w="2064" w:type="dxa"/>
            <w:tcBorders>
              <w:top w:val="outset" w:sz="6" w:space="0" w:color="auto"/>
              <w:left w:val="outset" w:sz="6" w:space="0" w:color="auto"/>
              <w:bottom w:val="outset" w:sz="6" w:space="0" w:color="auto"/>
              <w:right w:val="outset" w:sz="6" w:space="0" w:color="auto"/>
            </w:tcBorders>
            <w:vAlign w:val="center"/>
          </w:tcPr>
          <w:p w14:paraId="5254C184" w14:textId="0C22AEB7" w:rsidR="008E0A04" w:rsidRPr="00783B4B" w:rsidRDefault="008E0A04" w:rsidP="00783B4B">
            <w:pPr>
              <w:pStyle w:val="NormalWeb"/>
              <w:jc w:val="right"/>
              <w:rPr>
                <w:sz w:val="22"/>
                <w:szCs w:val="22"/>
                <w:lang w:val="sr-Latn-ME"/>
              </w:rPr>
            </w:pPr>
            <w:r w:rsidRPr="00783B4B">
              <w:rPr>
                <w:sz w:val="22"/>
                <w:szCs w:val="22"/>
                <w:lang w:val="sr-Latn-ME"/>
              </w:rPr>
              <w:t>88 (2</w:t>
            </w:r>
            <w:r w:rsidR="00C12403" w:rsidRPr="00783B4B">
              <w:rPr>
                <w:sz w:val="22"/>
                <w:szCs w:val="22"/>
                <w:lang w:val="sr-Latn-ME"/>
              </w:rPr>
              <w:t>,</w:t>
            </w:r>
            <w:r w:rsidRPr="00783B4B">
              <w:rPr>
                <w:sz w:val="22"/>
                <w:szCs w:val="22"/>
                <w:lang w:val="sr-Latn-ME"/>
              </w:rPr>
              <w:t>8%)</w:t>
            </w:r>
          </w:p>
        </w:tc>
      </w:tr>
      <w:tr w:rsidR="008E0A04" w:rsidRPr="00783B4B" w14:paraId="5B3B2DD9" w14:textId="77777777" w:rsidTr="001A3838">
        <w:trPr>
          <w:tblCellSpacing w:w="0" w:type="dxa"/>
        </w:trPr>
        <w:tc>
          <w:tcPr>
            <w:tcW w:w="5804" w:type="dxa"/>
            <w:tcBorders>
              <w:top w:val="outset" w:sz="6" w:space="0" w:color="auto"/>
              <w:left w:val="outset" w:sz="6" w:space="0" w:color="auto"/>
              <w:bottom w:val="outset" w:sz="6" w:space="0" w:color="auto"/>
              <w:right w:val="outset" w:sz="6" w:space="0" w:color="auto"/>
            </w:tcBorders>
          </w:tcPr>
          <w:p w14:paraId="05F9AC25" w14:textId="77777777" w:rsidR="008E0A04" w:rsidRPr="00783B4B" w:rsidRDefault="008E0A04" w:rsidP="00783B4B">
            <w:pPr>
              <w:pStyle w:val="NormalWeb"/>
              <w:rPr>
                <w:sz w:val="22"/>
                <w:szCs w:val="22"/>
                <w:lang w:val="sr-Latn-ME"/>
              </w:rPr>
            </w:pPr>
            <w:proofErr w:type="spellStart"/>
            <w:r w:rsidRPr="00783B4B">
              <w:rPr>
                <w:sz w:val="22"/>
                <w:szCs w:val="22"/>
                <w:lang w:val="sr-Latn-ME"/>
              </w:rPr>
              <w:t>Karcinom</w:t>
            </w:r>
            <w:proofErr w:type="spellEnd"/>
            <w:r w:rsidRPr="00783B4B">
              <w:rPr>
                <w:sz w:val="22"/>
                <w:szCs w:val="22"/>
                <w:lang w:val="sr-Latn-ME"/>
              </w:rPr>
              <w:t xml:space="preserve"> </w:t>
            </w:r>
            <w:proofErr w:type="spellStart"/>
            <w:r w:rsidRPr="00783B4B">
              <w:rPr>
                <w:sz w:val="22"/>
                <w:szCs w:val="22"/>
                <w:lang w:val="sr-Latn-ME"/>
              </w:rPr>
              <w:t>endometrijuma</w:t>
            </w:r>
            <w:proofErr w:type="spellEnd"/>
          </w:p>
        </w:tc>
        <w:tc>
          <w:tcPr>
            <w:tcW w:w="1843" w:type="dxa"/>
            <w:tcBorders>
              <w:top w:val="outset" w:sz="6" w:space="0" w:color="auto"/>
              <w:left w:val="outset" w:sz="6" w:space="0" w:color="auto"/>
              <w:bottom w:val="outset" w:sz="6" w:space="0" w:color="auto"/>
              <w:right w:val="outset" w:sz="6" w:space="0" w:color="auto"/>
            </w:tcBorders>
            <w:vAlign w:val="center"/>
          </w:tcPr>
          <w:p w14:paraId="564DAD94" w14:textId="2995610C" w:rsidR="008E0A04" w:rsidRPr="00783B4B" w:rsidRDefault="008E0A04" w:rsidP="00783B4B">
            <w:pPr>
              <w:pStyle w:val="NormalWeb"/>
              <w:jc w:val="right"/>
              <w:rPr>
                <w:sz w:val="22"/>
                <w:szCs w:val="22"/>
                <w:lang w:val="sr-Latn-ME"/>
              </w:rPr>
            </w:pPr>
            <w:r w:rsidRPr="00783B4B">
              <w:rPr>
                <w:sz w:val="22"/>
                <w:szCs w:val="22"/>
                <w:lang w:val="sr-Latn-ME"/>
              </w:rPr>
              <w:t>4 (0</w:t>
            </w:r>
            <w:r w:rsidR="00C12403" w:rsidRPr="00783B4B">
              <w:rPr>
                <w:sz w:val="22"/>
                <w:szCs w:val="22"/>
                <w:lang w:val="sr-Latn-ME"/>
              </w:rPr>
              <w:t>,</w:t>
            </w:r>
            <w:r w:rsidRPr="00783B4B">
              <w:rPr>
                <w:sz w:val="22"/>
                <w:szCs w:val="22"/>
                <w:lang w:val="sr-Latn-ME"/>
              </w:rPr>
              <w:t>2%)</w:t>
            </w:r>
          </w:p>
        </w:tc>
        <w:tc>
          <w:tcPr>
            <w:tcW w:w="2064" w:type="dxa"/>
            <w:tcBorders>
              <w:top w:val="outset" w:sz="6" w:space="0" w:color="auto"/>
              <w:left w:val="outset" w:sz="6" w:space="0" w:color="auto"/>
              <w:bottom w:val="outset" w:sz="6" w:space="0" w:color="auto"/>
              <w:right w:val="outset" w:sz="6" w:space="0" w:color="auto"/>
            </w:tcBorders>
            <w:vAlign w:val="center"/>
          </w:tcPr>
          <w:p w14:paraId="7D08F20F" w14:textId="62B8D689" w:rsidR="008E0A04" w:rsidRPr="00783B4B" w:rsidRDefault="008E0A04" w:rsidP="00783B4B">
            <w:pPr>
              <w:pStyle w:val="NormalWeb"/>
              <w:jc w:val="right"/>
              <w:rPr>
                <w:sz w:val="22"/>
                <w:szCs w:val="22"/>
                <w:lang w:val="sr-Latn-ME"/>
              </w:rPr>
            </w:pPr>
            <w:r w:rsidRPr="00783B4B">
              <w:rPr>
                <w:sz w:val="22"/>
                <w:szCs w:val="22"/>
                <w:lang w:val="sr-Latn-ME"/>
              </w:rPr>
              <w:t>13 (0</w:t>
            </w:r>
            <w:r w:rsidR="00C12403" w:rsidRPr="00783B4B">
              <w:rPr>
                <w:sz w:val="22"/>
                <w:szCs w:val="22"/>
                <w:lang w:val="sr-Latn-ME"/>
              </w:rPr>
              <w:t>,</w:t>
            </w:r>
            <w:r w:rsidRPr="00783B4B">
              <w:rPr>
                <w:sz w:val="22"/>
                <w:szCs w:val="22"/>
                <w:lang w:val="sr-Latn-ME"/>
              </w:rPr>
              <w:t>6%)</w:t>
            </w:r>
          </w:p>
        </w:tc>
      </w:tr>
    </w:tbl>
    <w:p w14:paraId="33EE5379" w14:textId="59050CD7" w:rsidR="00443BA3" w:rsidRPr="00783B4B" w:rsidRDefault="00443BA3" w:rsidP="00783B4B">
      <w:pPr>
        <w:tabs>
          <w:tab w:val="left" w:pos="540"/>
          <w:tab w:val="left" w:pos="569"/>
        </w:tabs>
        <w:rPr>
          <w:color w:val="000000"/>
          <w:sz w:val="22"/>
          <w:szCs w:val="22"/>
          <w:lang w:val="sr-Latn-ME"/>
        </w:rPr>
      </w:pPr>
    </w:p>
    <w:p w14:paraId="6E9BDA41" w14:textId="50A3A8E2" w:rsidR="00F07D26" w:rsidRPr="00783B4B" w:rsidRDefault="00D63EE1" w:rsidP="00783B4B">
      <w:pPr>
        <w:jc w:val="both"/>
        <w:rPr>
          <w:sz w:val="22"/>
          <w:szCs w:val="22"/>
          <w:lang w:val="sr-Latn-ME"/>
        </w:rPr>
      </w:pPr>
      <w:r w:rsidRPr="00783B4B">
        <w:rPr>
          <w:sz w:val="22"/>
          <w:szCs w:val="22"/>
          <w:lang w:val="sr-Latn-ME"/>
        </w:rPr>
        <w:t xml:space="preserve">Nakon </w:t>
      </w:r>
      <w:proofErr w:type="spellStart"/>
      <w:r w:rsidRPr="00783B4B">
        <w:rPr>
          <w:sz w:val="22"/>
          <w:szCs w:val="22"/>
          <w:lang w:val="sr-Latn-ME"/>
        </w:rPr>
        <w:t>medijane</w:t>
      </w:r>
      <w:proofErr w:type="spellEnd"/>
      <w:r w:rsidRPr="00783B4B">
        <w:rPr>
          <w:sz w:val="22"/>
          <w:szCs w:val="22"/>
          <w:lang w:val="sr-Latn-ME"/>
        </w:rPr>
        <w:t xml:space="preserve"> praćenja od 68 m</w:t>
      </w:r>
      <w:r w:rsidR="00FA4EFC" w:rsidRPr="00783B4B">
        <w:rPr>
          <w:sz w:val="22"/>
          <w:szCs w:val="22"/>
          <w:lang w:val="sr-Latn-ME"/>
        </w:rPr>
        <w:t>j</w:t>
      </w:r>
      <w:r w:rsidRPr="00783B4B">
        <w:rPr>
          <w:sz w:val="22"/>
          <w:szCs w:val="22"/>
          <w:lang w:val="sr-Latn-ME"/>
        </w:rPr>
        <w:t>eseci, zab</w:t>
      </w:r>
      <w:r w:rsidR="00FA4EFC" w:rsidRPr="00783B4B">
        <w:rPr>
          <w:sz w:val="22"/>
          <w:szCs w:val="22"/>
          <w:lang w:val="sr-Latn-ME"/>
        </w:rPr>
        <w:t>i</w:t>
      </w:r>
      <w:r w:rsidRPr="00783B4B">
        <w:rPr>
          <w:sz w:val="22"/>
          <w:szCs w:val="22"/>
          <w:lang w:val="sr-Latn-ME"/>
        </w:rPr>
        <w:t>l</w:t>
      </w:r>
      <w:r w:rsidR="00FA4EFC" w:rsidRPr="00783B4B">
        <w:rPr>
          <w:sz w:val="22"/>
          <w:szCs w:val="22"/>
          <w:lang w:val="sr-Latn-ME"/>
        </w:rPr>
        <w:t>j</w:t>
      </w:r>
      <w:r w:rsidRPr="00783B4B">
        <w:rPr>
          <w:sz w:val="22"/>
          <w:szCs w:val="22"/>
          <w:lang w:val="sr-Latn-ME"/>
        </w:rPr>
        <w:t xml:space="preserve">ežena stopa </w:t>
      </w:r>
      <w:proofErr w:type="spellStart"/>
      <w:r w:rsidRPr="00783B4B">
        <w:rPr>
          <w:sz w:val="22"/>
          <w:szCs w:val="22"/>
          <w:lang w:val="sr-Latn-ME"/>
        </w:rPr>
        <w:t>preloma</w:t>
      </w:r>
      <w:proofErr w:type="spellEnd"/>
      <w:r w:rsidRPr="00783B4B">
        <w:rPr>
          <w:sz w:val="22"/>
          <w:szCs w:val="22"/>
          <w:lang w:val="sr-Latn-ME"/>
        </w:rPr>
        <w:t xml:space="preserve"> u grupi koja je primala </w:t>
      </w:r>
      <w:proofErr w:type="spellStart"/>
      <w:r w:rsidRPr="00783B4B">
        <w:rPr>
          <w:sz w:val="22"/>
          <w:szCs w:val="22"/>
          <w:lang w:val="sr-Latn-ME"/>
        </w:rPr>
        <w:t>anastrozol</w:t>
      </w:r>
      <w:proofErr w:type="spellEnd"/>
      <w:r w:rsidRPr="00783B4B">
        <w:rPr>
          <w:sz w:val="22"/>
          <w:szCs w:val="22"/>
          <w:lang w:val="sr-Latn-ME"/>
        </w:rPr>
        <w:t xml:space="preserve"> </w:t>
      </w:r>
      <w:r w:rsidR="00F07D26" w:rsidRPr="00783B4B">
        <w:rPr>
          <w:sz w:val="22"/>
          <w:szCs w:val="22"/>
          <w:lang w:val="sr-Latn-ME"/>
        </w:rPr>
        <w:t xml:space="preserve">iznosila je 22 na 1000 </w:t>
      </w:r>
      <w:r w:rsidR="007F7C60" w:rsidRPr="00783B4B">
        <w:rPr>
          <w:sz w:val="22"/>
          <w:szCs w:val="22"/>
          <w:lang w:val="sr-Latn-ME"/>
        </w:rPr>
        <w:t xml:space="preserve">pacijent-godina, odnosno </w:t>
      </w:r>
      <w:r w:rsidR="00F07D26" w:rsidRPr="00783B4B">
        <w:rPr>
          <w:sz w:val="22"/>
          <w:szCs w:val="22"/>
          <w:lang w:val="sr-Latn-ME"/>
        </w:rPr>
        <w:t xml:space="preserve">15 na 1000 </w:t>
      </w:r>
      <w:r w:rsidR="008F03BA" w:rsidRPr="00783B4B">
        <w:rPr>
          <w:sz w:val="22"/>
          <w:szCs w:val="22"/>
          <w:lang w:val="sr-Latn-ME"/>
        </w:rPr>
        <w:t xml:space="preserve">pacijent-godina u grupi koja je primala </w:t>
      </w:r>
      <w:proofErr w:type="spellStart"/>
      <w:r w:rsidR="008F03BA" w:rsidRPr="00783B4B">
        <w:rPr>
          <w:sz w:val="22"/>
          <w:szCs w:val="22"/>
          <w:lang w:val="sr-Latn-ME"/>
        </w:rPr>
        <w:t>tamoksifen</w:t>
      </w:r>
      <w:proofErr w:type="spellEnd"/>
      <w:r w:rsidR="008F03BA" w:rsidRPr="00783B4B">
        <w:rPr>
          <w:sz w:val="22"/>
          <w:szCs w:val="22"/>
          <w:lang w:val="sr-Latn-ME"/>
        </w:rPr>
        <w:t xml:space="preserve">. </w:t>
      </w:r>
      <w:r w:rsidR="00A760CC" w:rsidRPr="00783B4B">
        <w:rPr>
          <w:sz w:val="22"/>
          <w:szCs w:val="22"/>
          <w:lang w:val="sr-Latn-ME"/>
        </w:rPr>
        <w:t xml:space="preserve">Stopa </w:t>
      </w:r>
      <w:proofErr w:type="spellStart"/>
      <w:r w:rsidR="00A760CC" w:rsidRPr="00783B4B">
        <w:rPr>
          <w:sz w:val="22"/>
          <w:szCs w:val="22"/>
          <w:lang w:val="sr-Latn-ME"/>
        </w:rPr>
        <w:t>preloma</w:t>
      </w:r>
      <w:proofErr w:type="spellEnd"/>
      <w:r w:rsidR="00A760CC" w:rsidRPr="00783B4B">
        <w:rPr>
          <w:sz w:val="22"/>
          <w:szCs w:val="22"/>
          <w:lang w:val="sr-Latn-ME"/>
        </w:rPr>
        <w:t xml:space="preserve"> pri uzimanju </w:t>
      </w:r>
      <w:proofErr w:type="spellStart"/>
      <w:r w:rsidR="00A760CC" w:rsidRPr="00783B4B">
        <w:rPr>
          <w:sz w:val="22"/>
          <w:szCs w:val="22"/>
          <w:lang w:val="sr-Latn-ME"/>
        </w:rPr>
        <w:t>anastrozola</w:t>
      </w:r>
      <w:proofErr w:type="spellEnd"/>
      <w:r w:rsidR="00A760CC" w:rsidRPr="00783B4B">
        <w:rPr>
          <w:sz w:val="22"/>
          <w:szCs w:val="22"/>
          <w:lang w:val="sr-Latn-ME"/>
        </w:rPr>
        <w:t xml:space="preserve"> slična je stopi </w:t>
      </w:r>
      <w:proofErr w:type="spellStart"/>
      <w:r w:rsidR="00A760CC" w:rsidRPr="00783B4B">
        <w:rPr>
          <w:sz w:val="22"/>
          <w:szCs w:val="22"/>
          <w:lang w:val="sr-Latn-ME"/>
        </w:rPr>
        <w:t>preloma</w:t>
      </w:r>
      <w:proofErr w:type="spellEnd"/>
      <w:r w:rsidR="00A760CC" w:rsidRPr="00783B4B">
        <w:rPr>
          <w:sz w:val="22"/>
          <w:szCs w:val="22"/>
          <w:lang w:val="sr-Latn-ME"/>
        </w:rPr>
        <w:t xml:space="preserve"> u starosno uporedivoj populaciji žena u </w:t>
      </w:r>
      <w:proofErr w:type="spellStart"/>
      <w:r w:rsidR="00A760CC" w:rsidRPr="00783B4B">
        <w:rPr>
          <w:sz w:val="22"/>
          <w:szCs w:val="22"/>
          <w:lang w:val="sr-Latn-ME"/>
        </w:rPr>
        <w:t>postmenopauzi</w:t>
      </w:r>
      <w:proofErr w:type="spellEnd"/>
      <w:r w:rsidR="00A760CC" w:rsidRPr="00783B4B">
        <w:rPr>
          <w:sz w:val="22"/>
          <w:szCs w:val="22"/>
          <w:lang w:val="sr-Latn-ME"/>
        </w:rPr>
        <w:t xml:space="preserve">. </w:t>
      </w:r>
      <w:proofErr w:type="spellStart"/>
      <w:r w:rsidR="00F07D26" w:rsidRPr="00783B4B">
        <w:rPr>
          <w:sz w:val="22"/>
          <w:szCs w:val="22"/>
          <w:lang w:val="sr-Latn-ME"/>
        </w:rPr>
        <w:t>Incidenca</w:t>
      </w:r>
      <w:proofErr w:type="spellEnd"/>
      <w:r w:rsidR="00F07D26" w:rsidRPr="00783B4B">
        <w:rPr>
          <w:sz w:val="22"/>
          <w:szCs w:val="22"/>
          <w:lang w:val="sr-Latn-ME"/>
        </w:rPr>
        <w:t xml:space="preserve"> </w:t>
      </w:r>
      <w:proofErr w:type="spellStart"/>
      <w:r w:rsidR="00F07D26" w:rsidRPr="00783B4B">
        <w:rPr>
          <w:sz w:val="22"/>
          <w:szCs w:val="22"/>
          <w:lang w:val="sr-Latn-ME"/>
        </w:rPr>
        <w:t>osteoporoze</w:t>
      </w:r>
      <w:proofErr w:type="spellEnd"/>
      <w:r w:rsidR="00F07D26" w:rsidRPr="00783B4B">
        <w:rPr>
          <w:sz w:val="22"/>
          <w:szCs w:val="22"/>
          <w:lang w:val="sr-Latn-ME"/>
        </w:rPr>
        <w:t xml:space="preserve"> </w:t>
      </w:r>
      <w:r w:rsidR="00666C3A" w:rsidRPr="00783B4B">
        <w:rPr>
          <w:sz w:val="22"/>
          <w:szCs w:val="22"/>
          <w:lang w:val="sr-Latn-ME"/>
        </w:rPr>
        <w:t>iznosila je</w:t>
      </w:r>
      <w:r w:rsidR="00666C3A" w:rsidRPr="00783B4B" w:rsidDel="00666C3A">
        <w:rPr>
          <w:sz w:val="22"/>
          <w:szCs w:val="22"/>
          <w:lang w:val="sr-Latn-ME"/>
        </w:rPr>
        <w:t xml:space="preserve"> </w:t>
      </w:r>
      <w:r w:rsidR="00F07D26" w:rsidRPr="00783B4B">
        <w:rPr>
          <w:sz w:val="22"/>
          <w:szCs w:val="22"/>
          <w:lang w:val="sr-Latn-ME"/>
        </w:rPr>
        <w:t>10</w:t>
      </w:r>
      <w:r w:rsidR="000F5D90" w:rsidRPr="00783B4B">
        <w:rPr>
          <w:sz w:val="22"/>
          <w:szCs w:val="22"/>
          <w:lang w:val="sr-Latn-ME"/>
        </w:rPr>
        <w:t>,</w:t>
      </w:r>
      <w:r w:rsidR="00F07D26" w:rsidRPr="00783B4B">
        <w:rPr>
          <w:sz w:val="22"/>
          <w:szCs w:val="22"/>
          <w:lang w:val="sr-Latn-ME"/>
        </w:rPr>
        <w:t xml:space="preserve">5% kod </w:t>
      </w:r>
      <w:proofErr w:type="spellStart"/>
      <w:r w:rsidR="00F07D26" w:rsidRPr="00783B4B">
        <w:rPr>
          <w:sz w:val="22"/>
          <w:szCs w:val="22"/>
          <w:lang w:val="sr-Latn-ME"/>
        </w:rPr>
        <w:t>pacijentkinja</w:t>
      </w:r>
      <w:proofErr w:type="spellEnd"/>
      <w:r w:rsidR="00F07D26" w:rsidRPr="00783B4B">
        <w:rPr>
          <w:sz w:val="22"/>
          <w:szCs w:val="22"/>
          <w:lang w:val="sr-Latn-ME"/>
        </w:rPr>
        <w:t xml:space="preserve"> </w:t>
      </w:r>
      <w:r w:rsidR="000F5D90" w:rsidRPr="00783B4B">
        <w:rPr>
          <w:sz w:val="22"/>
          <w:szCs w:val="22"/>
          <w:lang w:val="sr-Latn-ME"/>
        </w:rPr>
        <w:t xml:space="preserve">koje su primale </w:t>
      </w:r>
      <w:proofErr w:type="spellStart"/>
      <w:r w:rsidR="000F5D90" w:rsidRPr="00783B4B">
        <w:rPr>
          <w:sz w:val="22"/>
          <w:szCs w:val="22"/>
          <w:lang w:val="sr-Latn-ME"/>
        </w:rPr>
        <w:t>anastrozole</w:t>
      </w:r>
      <w:proofErr w:type="spellEnd"/>
      <w:r w:rsidR="000F5D90" w:rsidRPr="00783B4B">
        <w:rPr>
          <w:sz w:val="22"/>
          <w:szCs w:val="22"/>
          <w:lang w:val="sr-Latn-ME"/>
        </w:rPr>
        <w:t>, a</w:t>
      </w:r>
      <w:r w:rsidR="00F07D26" w:rsidRPr="00783B4B">
        <w:rPr>
          <w:sz w:val="22"/>
          <w:szCs w:val="22"/>
          <w:lang w:val="sr-Latn-ME"/>
        </w:rPr>
        <w:t xml:space="preserve"> 7</w:t>
      </w:r>
      <w:r w:rsidR="000F5D90" w:rsidRPr="00783B4B">
        <w:rPr>
          <w:sz w:val="22"/>
          <w:szCs w:val="22"/>
          <w:lang w:val="sr-Latn-ME"/>
        </w:rPr>
        <w:t>,</w:t>
      </w:r>
      <w:r w:rsidR="00F07D26" w:rsidRPr="00783B4B">
        <w:rPr>
          <w:sz w:val="22"/>
          <w:szCs w:val="22"/>
          <w:lang w:val="sr-Latn-ME"/>
        </w:rPr>
        <w:t xml:space="preserve">3% kod </w:t>
      </w:r>
      <w:proofErr w:type="spellStart"/>
      <w:r w:rsidR="00F07D26" w:rsidRPr="00783B4B">
        <w:rPr>
          <w:sz w:val="22"/>
          <w:szCs w:val="22"/>
          <w:lang w:val="sr-Latn-ME"/>
        </w:rPr>
        <w:t>pacijentkinja</w:t>
      </w:r>
      <w:proofErr w:type="spellEnd"/>
      <w:r w:rsidR="00F07D26" w:rsidRPr="00783B4B">
        <w:rPr>
          <w:sz w:val="22"/>
          <w:szCs w:val="22"/>
          <w:lang w:val="sr-Latn-ME"/>
        </w:rPr>
        <w:t xml:space="preserve"> </w:t>
      </w:r>
      <w:r w:rsidR="003917A4" w:rsidRPr="00783B4B">
        <w:rPr>
          <w:sz w:val="22"/>
          <w:szCs w:val="22"/>
          <w:lang w:val="sr-Latn-ME"/>
        </w:rPr>
        <w:t xml:space="preserve">koje su primale </w:t>
      </w:r>
      <w:proofErr w:type="spellStart"/>
      <w:r w:rsidR="003917A4" w:rsidRPr="00783B4B">
        <w:rPr>
          <w:sz w:val="22"/>
          <w:szCs w:val="22"/>
          <w:lang w:val="sr-Latn-ME"/>
        </w:rPr>
        <w:t>t</w:t>
      </w:r>
      <w:r w:rsidR="00F07D26" w:rsidRPr="00783B4B">
        <w:rPr>
          <w:sz w:val="22"/>
          <w:szCs w:val="22"/>
          <w:lang w:val="sr-Latn-ME"/>
        </w:rPr>
        <w:t>amoksifen</w:t>
      </w:r>
      <w:proofErr w:type="spellEnd"/>
      <w:r w:rsidR="00F07D26" w:rsidRPr="00783B4B">
        <w:rPr>
          <w:sz w:val="22"/>
          <w:szCs w:val="22"/>
          <w:lang w:val="sr-Latn-ME"/>
        </w:rPr>
        <w:t>.</w:t>
      </w:r>
    </w:p>
    <w:p w14:paraId="262E2723" w14:textId="77777777" w:rsidR="007A0579" w:rsidRPr="00783B4B" w:rsidRDefault="007A0579" w:rsidP="00783B4B">
      <w:pPr>
        <w:jc w:val="both"/>
        <w:rPr>
          <w:sz w:val="22"/>
          <w:szCs w:val="22"/>
          <w:lang w:val="sr-Latn-ME"/>
        </w:rPr>
      </w:pPr>
    </w:p>
    <w:p w14:paraId="5CAEC347" w14:textId="3F12FD55" w:rsidR="0017357B" w:rsidRPr="00783B4B" w:rsidRDefault="00F07D26" w:rsidP="00783B4B">
      <w:pPr>
        <w:jc w:val="both"/>
        <w:rPr>
          <w:b/>
          <w:bCs/>
          <w:sz w:val="22"/>
          <w:szCs w:val="22"/>
          <w:lang w:val="sr-Latn-ME"/>
        </w:rPr>
      </w:pPr>
      <w:r w:rsidRPr="00783B4B">
        <w:rPr>
          <w:sz w:val="22"/>
          <w:szCs w:val="22"/>
          <w:lang w:val="sr-Latn-ME"/>
        </w:rPr>
        <w:t xml:space="preserve">Nije </w:t>
      </w:r>
      <w:r w:rsidR="007A0579" w:rsidRPr="00783B4B">
        <w:rPr>
          <w:sz w:val="22"/>
          <w:szCs w:val="22"/>
          <w:lang w:val="sr-Latn-ME"/>
        </w:rPr>
        <w:t>utvrđeno</w:t>
      </w:r>
      <w:r w:rsidRPr="00783B4B">
        <w:rPr>
          <w:sz w:val="22"/>
          <w:szCs w:val="22"/>
          <w:lang w:val="sr-Latn-ME"/>
        </w:rPr>
        <w:t xml:space="preserve"> da li </w:t>
      </w:r>
      <w:r w:rsidR="00E56FBD" w:rsidRPr="00783B4B">
        <w:rPr>
          <w:sz w:val="22"/>
          <w:szCs w:val="22"/>
          <w:lang w:val="sr-Latn-ME"/>
        </w:rPr>
        <w:t xml:space="preserve">je stopa </w:t>
      </w:r>
      <w:proofErr w:type="spellStart"/>
      <w:r w:rsidR="00E56FBD" w:rsidRPr="00783B4B">
        <w:rPr>
          <w:sz w:val="22"/>
          <w:szCs w:val="22"/>
          <w:lang w:val="sr-Latn-ME"/>
        </w:rPr>
        <w:t>preloma</w:t>
      </w:r>
      <w:proofErr w:type="spellEnd"/>
      <w:r w:rsidR="00E56FBD" w:rsidRPr="00783B4B">
        <w:rPr>
          <w:sz w:val="22"/>
          <w:szCs w:val="22"/>
          <w:lang w:val="sr-Latn-ME"/>
        </w:rPr>
        <w:t xml:space="preserve"> </w:t>
      </w:r>
      <w:r w:rsidRPr="00783B4B">
        <w:rPr>
          <w:sz w:val="22"/>
          <w:szCs w:val="22"/>
          <w:lang w:val="sr-Latn-ME"/>
        </w:rPr>
        <w:t xml:space="preserve">i </w:t>
      </w:r>
      <w:proofErr w:type="spellStart"/>
      <w:r w:rsidRPr="00783B4B">
        <w:rPr>
          <w:sz w:val="22"/>
          <w:szCs w:val="22"/>
          <w:lang w:val="sr-Latn-ME"/>
        </w:rPr>
        <w:t>osteoporoz</w:t>
      </w:r>
      <w:r w:rsidR="008E7390" w:rsidRPr="00783B4B">
        <w:rPr>
          <w:sz w:val="22"/>
          <w:szCs w:val="22"/>
          <w:lang w:val="sr-Latn-ME"/>
        </w:rPr>
        <w:t>e</w:t>
      </w:r>
      <w:proofErr w:type="spellEnd"/>
      <w:r w:rsidR="008E7390" w:rsidRPr="00783B4B">
        <w:rPr>
          <w:sz w:val="22"/>
          <w:szCs w:val="22"/>
          <w:lang w:val="sr-Latn-ME"/>
        </w:rPr>
        <w:t>, uočena</w:t>
      </w:r>
      <w:r w:rsidR="008E7390" w:rsidRPr="00783B4B" w:rsidDel="008E7390">
        <w:rPr>
          <w:sz w:val="22"/>
          <w:szCs w:val="22"/>
          <w:lang w:val="sr-Latn-ME"/>
        </w:rPr>
        <w:t xml:space="preserve"> </w:t>
      </w:r>
      <w:r w:rsidRPr="00783B4B">
        <w:rPr>
          <w:sz w:val="22"/>
          <w:szCs w:val="22"/>
          <w:lang w:val="sr-Latn-ME"/>
        </w:rPr>
        <w:t xml:space="preserve">u </w:t>
      </w:r>
      <w:proofErr w:type="spellStart"/>
      <w:r w:rsidRPr="00783B4B">
        <w:rPr>
          <w:sz w:val="22"/>
          <w:szCs w:val="22"/>
          <w:lang w:val="sr-Latn-ME"/>
        </w:rPr>
        <w:t>ATAC</w:t>
      </w:r>
      <w:proofErr w:type="spellEnd"/>
      <w:r w:rsidRPr="00783B4B">
        <w:rPr>
          <w:sz w:val="22"/>
          <w:szCs w:val="22"/>
          <w:lang w:val="sr-Latn-ME"/>
        </w:rPr>
        <w:t xml:space="preserve"> studiji </w:t>
      </w:r>
      <w:r w:rsidR="0035241B" w:rsidRPr="00783B4B">
        <w:rPr>
          <w:sz w:val="22"/>
          <w:szCs w:val="22"/>
          <w:lang w:val="sr-Latn-ME"/>
        </w:rPr>
        <w:t>u grupi</w:t>
      </w:r>
      <w:r w:rsidRPr="00783B4B">
        <w:rPr>
          <w:sz w:val="22"/>
          <w:szCs w:val="22"/>
          <w:lang w:val="sr-Latn-ME"/>
        </w:rPr>
        <w:t xml:space="preserve"> </w:t>
      </w:r>
      <w:proofErr w:type="spellStart"/>
      <w:r w:rsidRPr="00783B4B">
        <w:rPr>
          <w:sz w:val="22"/>
          <w:szCs w:val="22"/>
          <w:lang w:val="sr-Latn-ME"/>
        </w:rPr>
        <w:t>pacijentkinja</w:t>
      </w:r>
      <w:proofErr w:type="spellEnd"/>
      <w:r w:rsidRPr="00783B4B">
        <w:rPr>
          <w:sz w:val="22"/>
          <w:szCs w:val="22"/>
          <w:lang w:val="sr-Latn-ME"/>
        </w:rPr>
        <w:t xml:space="preserve"> </w:t>
      </w:r>
      <w:r w:rsidR="00B94349" w:rsidRPr="00783B4B">
        <w:rPr>
          <w:sz w:val="22"/>
          <w:szCs w:val="22"/>
          <w:lang w:val="sr-Latn-ME"/>
        </w:rPr>
        <w:t xml:space="preserve">koje su uzimale </w:t>
      </w:r>
      <w:proofErr w:type="spellStart"/>
      <w:r w:rsidRPr="00783B4B">
        <w:rPr>
          <w:sz w:val="22"/>
          <w:szCs w:val="22"/>
          <w:lang w:val="sr-Latn-ME"/>
        </w:rPr>
        <w:t>anastrozolo</w:t>
      </w:r>
      <w:proofErr w:type="spellEnd"/>
      <w:r w:rsidRPr="00783B4B">
        <w:rPr>
          <w:sz w:val="22"/>
          <w:szCs w:val="22"/>
          <w:lang w:val="sr-Latn-ME"/>
        </w:rPr>
        <w:t xml:space="preserve">, </w:t>
      </w:r>
      <w:r w:rsidR="00810FC3" w:rsidRPr="00783B4B">
        <w:rPr>
          <w:sz w:val="22"/>
          <w:szCs w:val="22"/>
          <w:lang w:val="sr-Latn-ME"/>
        </w:rPr>
        <w:t>odraz</w:t>
      </w:r>
      <w:r w:rsidRPr="00783B4B">
        <w:rPr>
          <w:sz w:val="22"/>
          <w:szCs w:val="22"/>
          <w:lang w:val="sr-Latn-ME"/>
        </w:rPr>
        <w:t xml:space="preserve"> zaštitn</w:t>
      </w:r>
      <w:r w:rsidR="00810FC3" w:rsidRPr="00783B4B">
        <w:rPr>
          <w:sz w:val="22"/>
          <w:szCs w:val="22"/>
          <w:lang w:val="sr-Latn-ME"/>
        </w:rPr>
        <w:t>og</w:t>
      </w:r>
      <w:r w:rsidRPr="00783B4B">
        <w:rPr>
          <w:sz w:val="22"/>
          <w:szCs w:val="22"/>
          <w:lang w:val="sr-Latn-ME"/>
        </w:rPr>
        <w:t xml:space="preserve"> efekt</w:t>
      </w:r>
      <w:r w:rsidR="00810FC3" w:rsidRPr="00783B4B">
        <w:rPr>
          <w:sz w:val="22"/>
          <w:szCs w:val="22"/>
          <w:lang w:val="sr-Latn-ME"/>
        </w:rPr>
        <w:t>a</w:t>
      </w:r>
      <w:r w:rsidRPr="00783B4B">
        <w:rPr>
          <w:sz w:val="22"/>
          <w:szCs w:val="22"/>
          <w:lang w:val="sr-Latn-ME"/>
        </w:rPr>
        <w:t xml:space="preserve"> </w:t>
      </w:r>
      <w:proofErr w:type="spellStart"/>
      <w:r w:rsidRPr="00783B4B">
        <w:rPr>
          <w:sz w:val="22"/>
          <w:szCs w:val="22"/>
          <w:lang w:val="sr-Latn-ME"/>
        </w:rPr>
        <w:t>tamoksifena</w:t>
      </w:r>
      <w:proofErr w:type="spellEnd"/>
      <w:r w:rsidRPr="00783B4B">
        <w:rPr>
          <w:sz w:val="22"/>
          <w:szCs w:val="22"/>
          <w:lang w:val="sr-Latn-ME"/>
        </w:rPr>
        <w:t xml:space="preserve">, specifični efekat </w:t>
      </w:r>
      <w:proofErr w:type="spellStart"/>
      <w:r w:rsidRPr="00783B4B">
        <w:rPr>
          <w:sz w:val="22"/>
          <w:szCs w:val="22"/>
          <w:lang w:val="sr-Latn-ME"/>
        </w:rPr>
        <w:t>anastrozola</w:t>
      </w:r>
      <w:proofErr w:type="spellEnd"/>
      <w:r w:rsidRPr="00783B4B">
        <w:rPr>
          <w:sz w:val="22"/>
          <w:szCs w:val="22"/>
          <w:lang w:val="sr-Latn-ME"/>
        </w:rPr>
        <w:t xml:space="preserve"> ili </w:t>
      </w:r>
      <w:r w:rsidR="00810FC3" w:rsidRPr="00783B4B">
        <w:rPr>
          <w:sz w:val="22"/>
          <w:szCs w:val="22"/>
          <w:lang w:val="sr-Latn-ME"/>
        </w:rPr>
        <w:t>oboje.</w:t>
      </w:r>
    </w:p>
    <w:p w14:paraId="0C1AE127" w14:textId="77777777" w:rsidR="00591557" w:rsidRPr="00783B4B" w:rsidRDefault="00591557" w:rsidP="00783B4B">
      <w:pPr>
        <w:jc w:val="both"/>
        <w:rPr>
          <w:rFonts w:eastAsia="Calibri"/>
          <w:sz w:val="22"/>
          <w:szCs w:val="22"/>
          <w:u w:val="single"/>
          <w:lang w:val="sr-Latn-ME"/>
        </w:rPr>
      </w:pPr>
    </w:p>
    <w:p w14:paraId="67DC9397" w14:textId="29CBD799" w:rsidR="005A23D2" w:rsidRPr="00783B4B" w:rsidRDefault="005A23D2" w:rsidP="00783B4B">
      <w:pPr>
        <w:spacing w:after="200"/>
        <w:jc w:val="both"/>
        <w:rPr>
          <w:rFonts w:eastAsia="Calibri"/>
          <w:sz w:val="22"/>
          <w:szCs w:val="22"/>
          <w:u w:val="single"/>
          <w:lang w:val="sr-Latn-ME"/>
        </w:rPr>
      </w:pPr>
      <w:r w:rsidRPr="00783B4B">
        <w:rPr>
          <w:rFonts w:eastAsia="Calibri"/>
          <w:sz w:val="22"/>
          <w:szCs w:val="22"/>
          <w:u w:val="single"/>
          <w:lang w:val="sr-Latn-ME"/>
        </w:rPr>
        <w:t>Prijavljivanje sumnji na neželjena dejstva</w:t>
      </w:r>
    </w:p>
    <w:p w14:paraId="67DC9398" w14:textId="77777777" w:rsidR="005A23D2" w:rsidRPr="00783B4B" w:rsidRDefault="005A23D2" w:rsidP="00783B4B">
      <w:pPr>
        <w:spacing w:after="200"/>
        <w:jc w:val="both"/>
        <w:rPr>
          <w:rFonts w:eastAsia="Calibri"/>
          <w:sz w:val="22"/>
          <w:szCs w:val="22"/>
          <w:lang w:val="sr-Latn-ME"/>
        </w:rPr>
      </w:pPr>
      <w:r w:rsidRPr="00783B4B">
        <w:rPr>
          <w:rFonts w:eastAsia="Calibri"/>
          <w:sz w:val="22"/>
          <w:szCs w:val="22"/>
          <w:lang w:val="sr-Latn-ME"/>
        </w:rPr>
        <w:t>Prijavljivanje neželjenih dejstava nakon dobijanja dozvole je od velikog značaja jer obezbjeđuje kont</w:t>
      </w:r>
      <w:r w:rsidR="00EA5765" w:rsidRPr="00783B4B">
        <w:rPr>
          <w:rFonts w:eastAsia="Calibri"/>
          <w:sz w:val="22"/>
          <w:szCs w:val="22"/>
          <w:lang w:val="sr-Latn-ME"/>
        </w:rPr>
        <w:t>inuirano praćenje odnosa korist</w:t>
      </w:r>
      <w:r w:rsidRPr="00783B4B">
        <w:rPr>
          <w:rFonts w:eastAsia="Calibri"/>
          <w:sz w:val="22"/>
          <w:szCs w:val="22"/>
          <w:lang w:val="sr-Latn-ME"/>
        </w:rPr>
        <w:t>/rizik primjene lijeka. Zdravstveni radnici treba da prijave svaku sumnju na neželjeno</w:t>
      </w:r>
      <w:r w:rsidR="009B062A" w:rsidRPr="00783B4B">
        <w:rPr>
          <w:rFonts w:eastAsia="Calibri"/>
          <w:sz w:val="22"/>
          <w:szCs w:val="22"/>
          <w:lang w:val="sr-Latn-ME"/>
        </w:rPr>
        <w:t xml:space="preserve"> </w:t>
      </w:r>
      <w:r w:rsidRPr="00783B4B">
        <w:rPr>
          <w:rFonts w:eastAsia="Calibri"/>
          <w:sz w:val="22"/>
          <w:szCs w:val="22"/>
          <w:lang w:val="sr-Latn-ME"/>
        </w:rPr>
        <w:t xml:space="preserve">dejstvo ovog lijeka </w:t>
      </w:r>
      <w:r w:rsidR="004E70AD" w:rsidRPr="00783B4B">
        <w:rPr>
          <w:rFonts w:eastAsia="Calibri"/>
          <w:sz w:val="22"/>
          <w:szCs w:val="22"/>
          <w:lang w:val="sr-Latn-ME"/>
        </w:rPr>
        <w:t>Institutu</w:t>
      </w:r>
      <w:r w:rsidRPr="00783B4B">
        <w:rPr>
          <w:rFonts w:eastAsia="Calibri"/>
          <w:sz w:val="22"/>
          <w:szCs w:val="22"/>
          <w:lang w:val="sr-Latn-ME"/>
        </w:rPr>
        <w:t xml:space="preserve"> za ljekove i medicinska sredstva</w:t>
      </w:r>
      <w:r w:rsidR="004E70AD" w:rsidRPr="00783B4B">
        <w:rPr>
          <w:rFonts w:eastAsia="Calibri"/>
          <w:sz w:val="22"/>
          <w:szCs w:val="22"/>
          <w:lang w:val="sr-Latn-ME"/>
        </w:rPr>
        <w:t xml:space="preserve"> </w:t>
      </w:r>
      <w:r w:rsidRPr="00783B4B">
        <w:rPr>
          <w:rFonts w:eastAsia="Calibri"/>
          <w:sz w:val="22"/>
          <w:szCs w:val="22"/>
          <w:lang w:val="sr-Latn-ME"/>
        </w:rPr>
        <w:t>(</w:t>
      </w:r>
      <w:r w:rsidR="004E70AD" w:rsidRPr="00783B4B">
        <w:rPr>
          <w:rFonts w:eastAsia="Calibri"/>
          <w:sz w:val="22"/>
          <w:szCs w:val="22"/>
          <w:lang w:val="sr-Latn-ME"/>
        </w:rPr>
        <w:t>CInMED</w:t>
      </w:r>
      <w:r w:rsidRPr="00783B4B">
        <w:rPr>
          <w:rFonts w:eastAsia="Calibri"/>
          <w:sz w:val="22"/>
          <w:szCs w:val="22"/>
          <w:lang w:val="sr-Latn-ME"/>
        </w:rPr>
        <w:t>):</w:t>
      </w:r>
    </w:p>
    <w:p w14:paraId="67DC9399" w14:textId="77777777" w:rsidR="005A23D2" w:rsidRPr="00783B4B" w:rsidRDefault="004E70AD" w:rsidP="00783B4B">
      <w:pPr>
        <w:pStyle w:val="NoSpacing"/>
        <w:jc w:val="both"/>
        <w:rPr>
          <w:rFonts w:eastAsia="Calibri"/>
          <w:sz w:val="22"/>
          <w:szCs w:val="22"/>
          <w:lang w:val="sr-Latn-ME"/>
        </w:rPr>
      </w:pPr>
      <w:r w:rsidRPr="00783B4B">
        <w:rPr>
          <w:rFonts w:eastAsia="Calibri"/>
          <w:sz w:val="22"/>
          <w:szCs w:val="22"/>
          <w:lang w:val="sr-Latn-ME"/>
        </w:rPr>
        <w:t xml:space="preserve">Institut </w:t>
      </w:r>
      <w:r w:rsidR="005A23D2" w:rsidRPr="00783B4B">
        <w:rPr>
          <w:rFonts w:eastAsia="Calibri"/>
          <w:sz w:val="22"/>
          <w:szCs w:val="22"/>
          <w:lang w:val="sr-Latn-ME"/>
        </w:rPr>
        <w:t xml:space="preserve">za ljekove i medicinska sredstva </w:t>
      </w:r>
    </w:p>
    <w:p w14:paraId="67DC939A" w14:textId="77777777" w:rsidR="005A23D2" w:rsidRPr="00783B4B" w:rsidRDefault="005A23D2" w:rsidP="00783B4B">
      <w:pPr>
        <w:pStyle w:val="NoSpacing"/>
        <w:jc w:val="both"/>
        <w:rPr>
          <w:rFonts w:eastAsia="Calibri"/>
          <w:sz w:val="22"/>
          <w:szCs w:val="22"/>
          <w:lang w:val="sr-Latn-ME"/>
        </w:rPr>
      </w:pPr>
      <w:r w:rsidRPr="00783B4B">
        <w:rPr>
          <w:rFonts w:eastAsia="Calibri"/>
          <w:sz w:val="22"/>
          <w:szCs w:val="22"/>
          <w:lang w:val="sr-Latn-ME"/>
        </w:rPr>
        <w:t xml:space="preserve">Odjeljenje za </w:t>
      </w:r>
      <w:proofErr w:type="spellStart"/>
      <w:r w:rsidRPr="00783B4B">
        <w:rPr>
          <w:rFonts w:eastAsia="Calibri"/>
          <w:sz w:val="22"/>
          <w:szCs w:val="22"/>
          <w:lang w:val="sr-Latn-ME"/>
        </w:rPr>
        <w:t>farmakovigilancu</w:t>
      </w:r>
      <w:proofErr w:type="spellEnd"/>
    </w:p>
    <w:p w14:paraId="67DC939B" w14:textId="77777777" w:rsidR="00EA5765" w:rsidRPr="00783B4B" w:rsidRDefault="005A23D2" w:rsidP="00783B4B">
      <w:pPr>
        <w:pStyle w:val="NoSpacing"/>
        <w:jc w:val="both"/>
        <w:rPr>
          <w:rFonts w:eastAsia="Calibri"/>
          <w:sz w:val="22"/>
          <w:szCs w:val="22"/>
          <w:lang w:val="sr-Latn-ME"/>
        </w:rPr>
      </w:pPr>
      <w:r w:rsidRPr="00783B4B">
        <w:rPr>
          <w:rFonts w:eastAsia="Calibri"/>
          <w:sz w:val="22"/>
          <w:szCs w:val="22"/>
          <w:lang w:val="sr-Latn-ME"/>
        </w:rPr>
        <w:t xml:space="preserve">Bulevar Ivana Crnojevića </w:t>
      </w:r>
      <w:proofErr w:type="spellStart"/>
      <w:r w:rsidRPr="00783B4B">
        <w:rPr>
          <w:rFonts w:eastAsia="Calibri"/>
          <w:sz w:val="22"/>
          <w:szCs w:val="22"/>
          <w:lang w:val="sr-Latn-ME"/>
        </w:rPr>
        <w:t>64a</w:t>
      </w:r>
      <w:proofErr w:type="spellEnd"/>
      <w:r w:rsidRPr="00783B4B">
        <w:rPr>
          <w:rFonts w:eastAsia="Calibri"/>
          <w:sz w:val="22"/>
          <w:szCs w:val="22"/>
          <w:lang w:val="sr-Latn-ME"/>
        </w:rPr>
        <w:t>, 81000 Podgorica</w:t>
      </w:r>
    </w:p>
    <w:p w14:paraId="67DC939C" w14:textId="77777777" w:rsidR="00EA5765" w:rsidRPr="00783B4B" w:rsidRDefault="00EA5765" w:rsidP="00783B4B">
      <w:pPr>
        <w:pStyle w:val="NoSpacing"/>
        <w:jc w:val="both"/>
        <w:rPr>
          <w:rFonts w:eastAsia="Calibri"/>
          <w:sz w:val="22"/>
          <w:szCs w:val="22"/>
          <w:lang w:val="sr-Latn-ME"/>
        </w:rPr>
      </w:pPr>
    </w:p>
    <w:p w14:paraId="67DC939D" w14:textId="77777777" w:rsidR="005A23D2" w:rsidRPr="00783B4B" w:rsidRDefault="005A23D2" w:rsidP="00783B4B">
      <w:pPr>
        <w:pStyle w:val="NoSpacing"/>
        <w:jc w:val="both"/>
        <w:rPr>
          <w:rFonts w:eastAsia="Calibri"/>
          <w:sz w:val="22"/>
          <w:szCs w:val="22"/>
          <w:lang w:val="sr-Latn-ME"/>
        </w:rPr>
      </w:pPr>
      <w:r w:rsidRPr="00783B4B">
        <w:rPr>
          <w:rFonts w:eastAsia="Calibri"/>
          <w:sz w:val="22"/>
          <w:szCs w:val="22"/>
          <w:lang w:val="sr-Latn-ME"/>
        </w:rPr>
        <w:t>tel: +382 (0) 20 310 280</w:t>
      </w:r>
    </w:p>
    <w:p w14:paraId="67DC939E" w14:textId="77777777" w:rsidR="00EA5765" w:rsidRPr="00783B4B" w:rsidRDefault="005A23D2" w:rsidP="00783B4B">
      <w:pPr>
        <w:pStyle w:val="NoSpacing"/>
        <w:jc w:val="both"/>
        <w:rPr>
          <w:rFonts w:eastAsia="Calibri"/>
          <w:sz w:val="22"/>
          <w:szCs w:val="22"/>
          <w:lang w:val="sr-Latn-ME"/>
        </w:rPr>
      </w:pPr>
      <w:proofErr w:type="spellStart"/>
      <w:r w:rsidRPr="00783B4B">
        <w:rPr>
          <w:rFonts w:eastAsia="Calibri"/>
          <w:sz w:val="22"/>
          <w:szCs w:val="22"/>
          <w:lang w:val="sr-Latn-ME"/>
        </w:rPr>
        <w:t>fax</w:t>
      </w:r>
      <w:proofErr w:type="spellEnd"/>
      <w:r w:rsidRPr="00783B4B">
        <w:rPr>
          <w:rFonts w:eastAsia="Calibri"/>
          <w:sz w:val="22"/>
          <w:szCs w:val="22"/>
          <w:lang w:val="sr-Latn-ME"/>
        </w:rPr>
        <w:t>:</w:t>
      </w:r>
      <w:r w:rsidR="00EA5765" w:rsidRPr="00783B4B">
        <w:rPr>
          <w:rFonts w:eastAsia="Calibri"/>
          <w:sz w:val="22"/>
          <w:szCs w:val="22"/>
          <w:lang w:val="sr-Latn-ME"/>
        </w:rPr>
        <w:t xml:space="preserve"> </w:t>
      </w:r>
      <w:r w:rsidRPr="00783B4B">
        <w:rPr>
          <w:rFonts w:eastAsia="Calibri"/>
          <w:sz w:val="22"/>
          <w:szCs w:val="22"/>
          <w:lang w:val="sr-Latn-ME"/>
        </w:rPr>
        <w:t>+382 (0) 20 310 581</w:t>
      </w:r>
    </w:p>
    <w:p w14:paraId="67DC939F" w14:textId="77777777" w:rsidR="005A23D2" w:rsidRPr="00783B4B" w:rsidRDefault="00783B4B" w:rsidP="00783B4B">
      <w:pPr>
        <w:pStyle w:val="NoSpacing"/>
        <w:jc w:val="both"/>
        <w:rPr>
          <w:rFonts w:eastAsia="Calibri"/>
          <w:sz w:val="22"/>
          <w:szCs w:val="22"/>
          <w:lang w:val="sr-Latn-ME"/>
        </w:rPr>
      </w:pPr>
      <w:hyperlink r:id="rId11" w:history="1">
        <w:proofErr w:type="spellStart"/>
        <w:r w:rsidR="004E70AD" w:rsidRPr="00783B4B">
          <w:rPr>
            <w:rStyle w:val="Hyperlink"/>
            <w:rFonts w:eastAsia="Calibri"/>
            <w:sz w:val="22"/>
            <w:szCs w:val="22"/>
            <w:lang w:val="sr-Latn-ME"/>
          </w:rPr>
          <w:t>www.cinmed.me</w:t>
        </w:r>
        <w:proofErr w:type="spellEnd"/>
      </w:hyperlink>
    </w:p>
    <w:p w14:paraId="67DC93A0" w14:textId="77777777" w:rsidR="00EA5765" w:rsidRPr="00783B4B" w:rsidRDefault="00783B4B" w:rsidP="00783B4B">
      <w:pPr>
        <w:pStyle w:val="NoSpacing"/>
        <w:jc w:val="both"/>
        <w:rPr>
          <w:rFonts w:eastAsia="Calibri"/>
          <w:color w:val="0000FF"/>
          <w:sz w:val="22"/>
          <w:szCs w:val="22"/>
          <w:u w:val="single"/>
          <w:lang w:val="sr-Latn-ME"/>
        </w:rPr>
      </w:pPr>
      <w:hyperlink r:id="rId12" w:history="1">
        <w:proofErr w:type="spellStart"/>
        <w:r w:rsidR="004E70AD" w:rsidRPr="00783B4B">
          <w:rPr>
            <w:rStyle w:val="Hyperlink"/>
            <w:rFonts w:eastAsia="Calibri"/>
            <w:sz w:val="22"/>
            <w:szCs w:val="22"/>
            <w:lang w:val="sr-Latn-ME"/>
          </w:rPr>
          <w:t>nezeljenadejstva@cinmed.me</w:t>
        </w:r>
        <w:proofErr w:type="spellEnd"/>
      </w:hyperlink>
    </w:p>
    <w:p w14:paraId="67DC93A1" w14:textId="77777777" w:rsidR="005A23D2" w:rsidRPr="00783B4B" w:rsidRDefault="005A23D2" w:rsidP="00783B4B">
      <w:pPr>
        <w:pStyle w:val="NoSpacing"/>
        <w:jc w:val="both"/>
        <w:rPr>
          <w:rFonts w:eastAsia="Calibri"/>
          <w:sz w:val="22"/>
          <w:szCs w:val="22"/>
          <w:lang w:val="sr-Latn-ME"/>
        </w:rPr>
      </w:pPr>
      <w:r w:rsidRPr="00783B4B">
        <w:rPr>
          <w:rFonts w:eastAsia="Calibri"/>
          <w:sz w:val="22"/>
          <w:szCs w:val="22"/>
          <w:lang w:val="sr-Latn-ME"/>
        </w:rPr>
        <w:t>putem IS zdravstvene zaštite</w:t>
      </w:r>
    </w:p>
    <w:p w14:paraId="67DC93A2" w14:textId="77777777" w:rsidR="00836B35" w:rsidRPr="00783B4B" w:rsidRDefault="00836B35" w:rsidP="00783B4B">
      <w:pPr>
        <w:tabs>
          <w:tab w:val="left" w:pos="540"/>
          <w:tab w:val="left" w:pos="569"/>
        </w:tabs>
        <w:jc w:val="both"/>
        <w:rPr>
          <w:b/>
          <w:bCs/>
          <w:sz w:val="22"/>
          <w:szCs w:val="22"/>
          <w:lang w:val="sr-Latn-ME"/>
        </w:rPr>
      </w:pPr>
    </w:p>
    <w:p w14:paraId="67DC93A3" w14:textId="77777777" w:rsidR="00CD6F02"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4.9. </w:t>
      </w:r>
      <w:r w:rsidR="00480FB1" w:rsidRPr="00783B4B">
        <w:rPr>
          <w:b/>
          <w:bCs/>
          <w:sz w:val="22"/>
          <w:szCs w:val="22"/>
          <w:lang w:val="sr-Latn-ME"/>
        </w:rPr>
        <w:tab/>
      </w:r>
      <w:proofErr w:type="spellStart"/>
      <w:r w:rsidRPr="00783B4B">
        <w:rPr>
          <w:b/>
          <w:bCs/>
          <w:sz w:val="22"/>
          <w:szCs w:val="22"/>
          <w:lang w:val="sr-Latn-ME"/>
        </w:rPr>
        <w:t>Predoziranje</w:t>
      </w:r>
      <w:proofErr w:type="spellEnd"/>
      <w:r w:rsidR="002846DB" w:rsidRPr="00783B4B">
        <w:rPr>
          <w:b/>
          <w:bCs/>
          <w:sz w:val="22"/>
          <w:szCs w:val="22"/>
          <w:lang w:val="sr-Latn-ME"/>
        </w:rPr>
        <w:t xml:space="preserve"> </w:t>
      </w:r>
    </w:p>
    <w:p w14:paraId="67DC93A4" w14:textId="77777777" w:rsidR="00CD6F02" w:rsidRPr="00783B4B" w:rsidRDefault="00CD6F02" w:rsidP="00783B4B">
      <w:pPr>
        <w:tabs>
          <w:tab w:val="left" w:pos="540"/>
          <w:tab w:val="left" w:pos="569"/>
        </w:tabs>
        <w:rPr>
          <w:b/>
          <w:bCs/>
          <w:sz w:val="22"/>
          <w:szCs w:val="22"/>
          <w:lang w:val="sr-Latn-ME"/>
        </w:rPr>
      </w:pPr>
    </w:p>
    <w:p w14:paraId="21703403" w14:textId="568D8D47" w:rsidR="00CC4C1A" w:rsidRPr="00783B4B" w:rsidRDefault="00B46B4A" w:rsidP="00783B4B">
      <w:pPr>
        <w:jc w:val="both"/>
        <w:rPr>
          <w:sz w:val="22"/>
          <w:szCs w:val="22"/>
          <w:lang w:val="sr-Latn-ME"/>
        </w:rPr>
      </w:pPr>
      <w:r w:rsidRPr="00783B4B">
        <w:rPr>
          <w:sz w:val="22"/>
          <w:szCs w:val="22"/>
          <w:lang w:val="sr-Latn-ME"/>
        </w:rPr>
        <w:t xml:space="preserve">Malo je dostupnih kliničkih podataka o </w:t>
      </w:r>
      <w:proofErr w:type="spellStart"/>
      <w:r w:rsidRPr="00783B4B">
        <w:rPr>
          <w:sz w:val="22"/>
          <w:szCs w:val="22"/>
          <w:lang w:val="sr-Latn-ME"/>
        </w:rPr>
        <w:t>predoziranju</w:t>
      </w:r>
      <w:proofErr w:type="spellEnd"/>
      <w:r w:rsidRPr="00783B4B">
        <w:rPr>
          <w:sz w:val="22"/>
          <w:szCs w:val="22"/>
          <w:lang w:val="sr-Latn-ME"/>
        </w:rPr>
        <w:t xml:space="preserve"> </w:t>
      </w:r>
      <w:proofErr w:type="spellStart"/>
      <w:r w:rsidRPr="00783B4B">
        <w:rPr>
          <w:sz w:val="22"/>
          <w:szCs w:val="22"/>
          <w:lang w:val="sr-Latn-ME"/>
        </w:rPr>
        <w:t>anastrozolom</w:t>
      </w:r>
      <w:proofErr w:type="spellEnd"/>
      <w:r w:rsidRPr="00783B4B">
        <w:rPr>
          <w:sz w:val="22"/>
          <w:szCs w:val="22"/>
          <w:lang w:val="sr-Latn-ME"/>
        </w:rPr>
        <w:t>. Ispitivanja na laboratorijskim</w:t>
      </w:r>
      <w:r w:rsidR="002B07A9" w:rsidRPr="00783B4B">
        <w:rPr>
          <w:sz w:val="22"/>
          <w:szCs w:val="22"/>
          <w:lang w:val="sr-Latn-ME"/>
        </w:rPr>
        <w:t xml:space="preserve"> životinjama </w:t>
      </w:r>
      <w:r w:rsidR="00613D60" w:rsidRPr="00783B4B">
        <w:rPr>
          <w:sz w:val="22"/>
          <w:szCs w:val="22"/>
          <w:lang w:val="sr-Latn-ME"/>
        </w:rPr>
        <w:t>pokazala su da je r</w:t>
      </w:r>
      <w:r w:rsidR="00FA4EFC" w:rsidRPr="00783B4B">
        <w:rPr>
          <w:sz w:val="22"/>
          <w:szCs w:val="22"/>
          <w:lang w:val="sr-Latn-ME"/>
        </w:rPr>
        <w:t>ij</w:t>
      </w:r>
      <w:r w:rsidR="00613D60" w:rsidRPr="00783B4B">
        <w:rPr>
          <w:sz w:val="22"/>
          <w:szCs w:val="22"/>
          <w:lang w:val="sr-Latn-ME"/>
        </w:rPr>
        <w:t>eč o jedinjenju male toksičnosti</w:t>
      </w:r>
      <w:r w:rsidR="002B07A9" w:rsidRPr="00783B4B">
        <w:rPr>
          <w:sz w:val="22"/>
          <w:szCs w:val="22"/>
          <w:lang w:val="sr-Latn-ME"/>
        </w:rPr>
        <w:t xml:space="preserve">. Klinička ispitivanja </w:t>
      </w:r>
      <w:r w:rsidR="007547FA" w:rsidRPr="00783B4B">
        <w:rPr>
          <w:sz w:val="22"/>
          <w:szCs w:val="22"/>
          <w:lang w:val="sr-Latn-ME"/>
        </w:rPr>
        <w:t xml:space="preserve">sprovedena su sa različitim dozama </w:t>
      </w:r>
      <w:proofErr w:type="spellStart"/>
      <w:r w:rsidR="007547FA" w:rsidRPr="00783B4B">
        <w:rPr>
          <w:sz w:val="22"/>
          <w:szCs w:val="22"/>
          <w:lang w:val="sr-Latn-ME"/>
        </w:rPr>
        <w:t>anastrozola</w:t>
      </w:r>
      <w:proofErr w:type="spellEnd"/>
      <w:r w:rsidR="007547FA" w:rsidRPr="00783B4B">
        <w:rPr>
          <w:sz w:val="22"/>
          <w:szCs w:val="22"/>
          <w:lang w:val="sr-Latn-ME"/>
        </w:rPr>
        <w:t>: jednokratne doze do najviše</w:t>
      </w:r>
      <w:r w:rsidR="002B07A9" w:rsidRPr="00783B4B">
        <w:rPr>
          <w:sz w:val="22"/>
          <w:szCs w:val="22"/>
          <w:lang w:val="sr-Latn-ME"/>
        </w:rPr>
        <w:t xml:space="preserve"> 60</w:t>
      </w:r>
      <w:r w:rsidR="00855B41" w:rsidRPr="00783B4B">
        <w:rPr>
          <w:sz w:val="22"/>
          <w:szCs w:val="22"/>
          <w:lang w:val="sr-Latn-ME"/>
        </w:rPr>
        <w:t>, prim</w:t>
      </w:r>
      <w:r w:rsidR="00FA4EFC" w:rsidRPr="00783B4B">
        <w:rPr>
          <w:sz w:val="22"/>
          <w:szCs w:val="22"/>
          <w:lang w:val="sr-Latn-ME"/>
        </w:rPr>
        <w:t>j</w:t>
      </w:r>
      <w:r w:rsidR="00855B41" w:rsidRPr="00783B4B">
        <w:rPr>
          <w:sz w:val="22"/>
          <w:szCs w:val="22"/>
          <w:lang w:val="sr-Latn-ME"/>
        </w:rPr>
        <w:t xml:space="preserve">enjivane su kod zdravih muškaraca, dobrovoljaca, a pojedinačne doze do najviše 10 mg/dan dobijale su svakodnevno </w:t>
      </w:r>
      <w:proofErr w:type="spellStart"/>
      <w:r w:rsidR="00855B41" w:rsidRPr="00783B4B">
        <w:rPr>
          <w:sz w:val="22"/>
          <w:szCs w:val="22"/>
          <w:lang w:val="sr-Latn-ME"/>
        </w:rPr>
        <w:t>pacijentkinje</w:t>
      </w:r>
      <w:proofErr w:type="spellEnd"/>
      <w:r w:rsidR="00855B41" w:rsidRPr="00783B4B">
        <w:rPr>
          <w:sz w:val="22"/>
          <w:szCs w:val="22"/>
          <w:lang w:val="sr-Latn-ME"/>
        </w:rPr>
        <w:t xml:space="preserve"> sa </w:t>
      </w:r>
      <w:proofErr w:type="spellStart"/>
      <w:r w:rsidR="00855B41" w:rsidRPr="00783B4B">
        <w:rPr>
          <w:sz w:val="22"/>
          <w:szCs w:val="22"/>
          <w:lang w:val="sr-Latn-ME"/>
        </w:rPr>
        <w:t>uznapredovalim</w:t>
      </w:r>
      <w:proofErr w:type="spellEnd"/>
      <w:r w:rsidR="00855B41" w:rsidRPr="00783B4B">
        <w:rPr>
          <w:sz w:val="22"/>
          <w:szCs w:val="22"/>
          <w:lang w:val="sr-Latn-ME"/>
        </w:rPr>
        <w:t xml:space="preserve"> </w:t>
      </w:r>
      <w:proofErr w:type="spellStart"/>
      <w:r w:rsidR="00855B41" w:rsidRPr="00783B4B">
        <w:rPr>
          <w:sz w:val="22"/>
          <w:szCs w:val="22"/>
          <w:lang w:val="sr-Latn-ME"/>
        </w:rPr>
        <w:t>karcinomom</w:t>
      </w:r>
      <w:proofErr w:type="spellEnd"/>
      <w:r w:rsidR="00855B41" w:rsidRPr="00783B4B">
        <w:rPr>
          <w:sz w:val="22"/>
          <w:szCs w:val="22"/>
          <w:lang w:val="sr-Latn-ME"/>
        </w:rPr>
        <w:t xml:space="preserve"> dojke;</w:t>
      </w:r>
      <w:r w:rsidR="002B07A9" w:rsidRPr="00783B4B">
        <w:rPr>
          <w:sz w:val="22"/>
          <w:szCs w:val="22"/>
          <w:lang w:val="sr-Latn-ME"/>
        </w:rPr>
        <w:t xml:space="preserve"> ove doze su se dobro podnosile. </w:t>
      </w:r>
      <w:r w:rsidR="003F6124" w:rsidRPr="00783B4B">
        <w:rPr>
          <w:sz w:val="22"/>
          <w:szCs w:val="22"/>
          <w:lang w:val="sr-Latn-ME"/>
        </w:rPr>
        <w:t xml:space="preserve">Do sada nije ustanovljena </w:t>
      </w:r>
      <w:r w:rsidR="002B07A9" w:rsidRPr="00783B4B">
        <w:rPr>
          <w:sz w:val="22"/>
          <w:szCs w:val="22"/>
          <w:lang w:val="sr-Latn-ME"/>
        </w:rPr>
        <w:t xml:space="preserve">pojedinačna doza </w:t>
      </w:r>
      <w:proofErr w:type="spellStart"/>
      <w:r w:rsidR="002B07A9" w:rsidRPr="00783B4B">
        <w:rPr>
          <w:sz w:val="22"/>
          <w:szCs w:val="22"/>
          <w:lang w:val="sr-Latn-ME"/>
        </w:rPr>
        <w:t>anastrozola</w:t>
      </w:r>
      <w:proofErr w:type="spellEnd"/>
      <w:r w:rsidR="002B07A9" w:rsidRPr="00783B4B" w:rsidDel="0008022F">
        <w:rPr>
          <w:sz w:val="22"/>
          <w:szCs w:val="22"/>
          <w:lang w:val="sr-Latn-ME"/>
        </w:rPr>
        <w:t xml:space="preserve"> </w:t>
      </w:r>
      <w:r w:rsidR="002B07A9" w:rsidRPr="00783B4B">
        <w:rPr>
          <w:sz w:val="22"/>
          <w:szCs w:val="22"/>
          <w:lang w:val="sr-Latn-ME"/>
        </w:rPr>
        <w:t xml:space="preserve">koja </w:t>
      </w:r>
      <w:r w:rsidR="000F2202" w:rsidRPr="00783B4B">
        <w:rPr>
          <w:sz w:val="22"/>
          <w:szCs w:val="22"/>
          <w:lang w:val="sr-Latn-ME"/>
        </w:rPr>
        <w:t>izaziva</w:t>
      </w:r>
      <w:r w:rsidR="000F2202" w:rsidRPr="00783B4B" w:rsidDel="000F2202">
        <w:rPr>
          <w:sz w:val="22"/>
          <w:szCs w:val="22"/>
          <w:lang w:val="sr-Latn-ME"/>
        </w:rPr>
        <w:t xml:space="preserve"> </w:t>
      </w:r>
      <w:r w:rsidR="002B07A9" w:rsidRPr="00783B4B">
        <w:rPr>
          <w:sz w:val="22"/>
          <w:szCs w:val="22"/>
          <w:lang w:val="sr-Latn-ME"/>
        </w:rPr>
        <w:t>simptom</w:t>
      </w:r>
      <w:r w:rsidR="000F2202" w:rsidRPr="00783B4B">
        <w:rPr>
          <w:sz w:val="22"/>
          <w:szCs w:val="22"/>
          <w:lang w:val="sr-Latn-ME"/>
        </w:rPr>
        <w:t>e</w:t>
      </w:r>
      <w:r w:rsidR="002B07A9" w:rsidRPr="00783B4B">
        <w:rPr>
          <w:sz w:val="22"/>
          <w:szCs w:val="22"/>
          <w:lang w:val="sr-Latn-ME"/>
        </w:rPr>
        <w:t xml:space="preserve"> </w:t>
      </w:r>
      <w:r w:rsidR="000F2202" w:rsidRPr="00783B4B">
        <w:rPr>
          <w:sz w:val="22"/>
          <w:szCs w:val="22"/>
          <w:lang w:val="sr-Latn-ME"/>
        </w:rPr>
        <w:t xml:space="preserve">opasne </w:t>
      </w:r>
      <w:r w:rsidR="002B07A9" w:rsidRPr="00783B4B">
        <w:rPr>
          <w:sz w:val="22"/>
          <w:szCs w:val="22"/>
          <w:lang w:val="sr-Latn-ME"/>
        </w:rPr>
        <w:t>po život. Ne postoji specifič</w:t>
      </w:r>
      <w:r w:rsidR="00D3661C" w:rsidRPr="00783B4B">
        <w:rPr>
          <w:sz w:val="22"/>
          <w:szCs w:val="22"/>
          <w:lang w:val="sr-Latn-ME"/>
        </w:rPr>
        <w:t>ni</w:t>
      </w:r>
      <w:r w:rsidR="002B07A9" w:rsidRPr="00783B4B">
        <w:rPr>
          <w:sz w:val="22"/>
          <w:szCs w:val="22"/>
          <w:lang w:val="sr-Latn-ME"/>
        </w:rPr>
        <w:t xml:space="preserve"> antidot</w:t>
      </w:r>
      <w:r w:rsidR="00CC4C1A" w:rsidRPr="00783B4B">
        <w:rPr>
          <w:sz w:val="22"/>
          <w:szCs w:val="22"/>
          <w:lang w:val="sr-Latn-ME"/>
        </w:rPr>
        <w:t xml:space="preserve">, pa je terapija </w:t>
      </w:r>
      <w:proofErr w:type="spellStart"/>
      <w:r w:rsidR="00CC4C1A" w:rsidRPr="00783B4B">
        <w:rPr>
          <w:sz w:val="22"/>
          <w:szCs w:val="22"/>
          <w:lang w:val="sr-Latn-ME"/>
        </w:rPr>
        <w:t>predoziranja</w:t>
      </w:r>
      <w:proofErr w:type="spellEnd"/>
      <w:r w:rsidR="00CC4C1A" w:rsidRPr="00783B4B">
        <w:rPr>
          <w:sz w:val="22"/>
          <w:szCs w:val="22"/>
          <w:lang w:val="sr-Latn-ME"/>
        </w:rPr>
        <w:t xml:space="preserve"> isključivo </w:t>
      </w:r>
      <w:proofErr w:type="spellStart"/>
      <w:r w:rsidR="00CC4C1A" w:rsidRPr="00783B4B">
        <w:rPr>
          <w:sz w:val="22"/>
          <w:szCs w:val="22"/>
          <w:lang w:val="sr-Latn-ME"/>
        </w:rPr>
        <w:t>simptomatska</w:t>
      </w:r>
      <w:proofErr w:type="spellEnd"/>
      <w:r w:rsidR="00CC4C1A" w:rsidRPr="00783B4B">
        <w:rPr>
          <w:sz w:val="22"/>
          <w:szCs w:val="22"/>
          <w:lang w:val="sr-Latn-ME"/>
        </w:rPr>
        <w:t>.</w:t>
      </w:r>
    </w:p>
    <w:p w14:paraId="3528299A" w14:textId="1E6B4BC8" w:rsidR="002B07A9" w:rsidRPr="00783B4B" w:rsidRDefault="002B07A9" w:rsidP="00783B4B">
      <w:pPr>
        <w:pStyle w:val="Header"/>
        <w:tabs>
          <w:tab w:val="left" w:pos="284"/>
        </w:tabs>
        <w:jc w:val="both"/>
        <w:rPr>
          <w:sz w:val="22"/>
          <w:szCs w:val="22"/>
          <w:lang w:val="sr-Latn-ME"/>
        </w:rPr>
      </w:pPr>
      <w:r w:rsidRPr="00783B4B">
        <w:rPr>
          <w:sz w:val="22"/>
          <w:szCs w:val="22"/>
          <w:lang w:val="sr-Latn-ME"/>
        </w:rPr>
        <w:lastRenderedPageBreak/>
        <w:t xml:space="preserve">U </w:t>
      </w:r>
      <w:r w:rsidR="008877E9" w:rsidRPr="00783B4B">
        <w:rPr>
          <w:sz w:val="22"/>
          <w:szCs w:val="22"/>
          <w:lang w:val="sr-Latn-ME"/>
        </w:rPr>
        <w:t>l</w:t>
      </w:r>
      <w:r w:rsidR="00FA4EFC" w:rsidRPr="00783B4B">
        <w:rPr>
          <w:sz w:val="22"/>
          <w:szCs w:val="22"/>
          <w:lang w:val="sr-Latn-ME"/>
        </w:rPr>
        <w:t>ij</w:t>
      </w:r>
      <w:r w:rsidR="008877E9" w:rsidRPr="00783B4B">
        <w:rPr>
          <w:sz w:val="22"/>
          <w:szCs w:val="22"/>
          <w:lang w:val="sr-Latn-ME"/>
        </w:rPr>
        <w:t>ečenju</w:t>
      </w:r>
      <w:r w:rsidRPr="00783B4B">
        <w:rPr>
          <w:sz w:val="22"/>
          <w:szCs w:val="22"/>
          <w:lang w:val="sr-Latn-ME"/>
        </w:rPr>
        <w:t xml:space="preserve"> </w:t>
      </w:r>
      <w:proofErr w:type="spellStart"/>
      <w:r w:rsidRPr="00783B4B">
        <w:rPr>
          <w:sz w:val="22"/>
          <w:szCs w:val="22"/>
          <w:lang w:val="sr-Latn-ME"/>
        </w:rPr>
        <w:t>predoziranja</w:t>
      </w:r>
      <w:proofErr w:type="spellEnd"/>
      <w:r w:rsidRPr="00783B4B">
        <w:rPr>
          <w:sz w:val="22"/>
          <w:szCs w:val="22"/>
          <w:lang w:val="sr-Latn-ME"/>
        </w:rPr>
        <w:t xml:space="preserve">, </w:t>
      </w:r>
      <w:r w:rsidR="00374E22" w:rsidRPr="00783B4B">
        <w:rPr>
          <w:sz w:val="22"/>
          <w:szCs w:val="22"/>
          <w:lang w:val="sr-Latn-ME"/>
        </w:rPr>
        <w:t xml:space="preserve">treba ispitati </w:t>
      </w:r>
      <w:r w:rsidRPr="00783B4B">
        <w:rPr>
          <w:sz w:val="22"/>
          <w:szCs w:val="22"/>
          <w:lang w:val="sr-Latn-ME"/>
        </w:rPr>
        <w:t xml:space="preserve">mogućnost mješovitog trovanja. Opšte terapijske mjere podrazumijevaju </w:t>
      </w:r>
      <w:r w:rsidR="00E310AD" w:rsidRPr="00783B4B">
        <w:rPr>
          <w:sz w:val="22"/>
          <w:szCs w:val="22"/>
          <w:lang w:val="sr-Latn-ME"/>
        </w:rPr>
        <w:t>provocirano</w:t>
      </w:r>
      <w:r w:rsidRPr="00783B4B">
        <w:rPr>
          <w:sz w:val="22"/>
          <w:szCs w:val="22"/>
          <w:lang w:val="sr-Latn-ME"/>
        </w:rPr>
        <w:t xml:space="preserve"> povraćanje </w:t>
      </w:r>
      <w:r w:rsidR="00E310AD" w:rsidRPr="00783B4B">
        <w:rPr>
          <w:sz w:val="22"/>
          <w:szCs w:val="22"/>
          <w:lang w:val="sr-Latn-ME"/>
        </w:rPr>
        <w:t xml:space="preserve">kod </w:t>
      </w:r>
      <w:r w:rsidRPr="00783B4B">
        <w:rPr>
          <w:sz w:val="22"/>
          <w:szCs w:val="22"/>
          <w:lang w:val="sr-Latn-ME"/>
        </w:rPr>
        <w:t xml:space="preserve">svjesnih </w:t>
      </w:r>
      <w:r w:rsidR="00E310AD" w:rsidRPr="00783B4B">
        <w:rPr>
          <w:sz w:val="22"/>
          <w:szCs w:val="22"/>
          <w:lang w:val="sr-Latn-ME"/>
        </w:rPr>
        <w:t>pacijenata</w:t>
      </w:r>
      <w:r w:rsidR="00213F1C" w:rsidRPr="00783B4B">
        <w:rPr>
          <w:sz w:val="22"/>
          <w:szCs w:val="22"/>
          <w:lang w:val="sr-Latn-ME"/>
        </w:rPr>
        <w:t>.</w:t>
      </w:r>
      <w:r w:rsidR="00E310AD" w:rsidRPr="00783B4B">
        <w:rPr>
          <w:sz w:val="22"/>
          <w:szCs w:val="22"/>
          <w:lang w:val="sr-Latn-ME"/>
        </w:rPr>
        <w:t xml:space="preserve"> </w:t>
      </w:r>
      <w:r w:rsidR="00C7496D" w:rsidRPr="00783B4B">
        <w:rPr>
          <w:sz w:val="22"/>
          <w:szCs w:val="22"/>
          <w:lang w:val="sr-Latn-ME"/>
        </w:rPr>
        <w:t xml:space="preserve">Zbog malog vezivanja </w:t>
      </w:r>
      <w:proofErr w:type="spellStart"/>
      <w:r w:rsidR="00C7496D" w:rsidRPr="00783B4B">
        <w:rPr>
          <w:sz w:val="22"/>
          <w:szCs w:val="22"/>
          <w:lang w:val="sr-Latn-ME"/>
        </w:rPr>
        <w:t>anastrozola</w:t>
      </w:r>
      <w:proofErr w:type="spellEnd"/>
      <w:r w:rsidR="00C7496D" w:rsidRPr="00783B4B">
        <w:rPr>
          <w:sz w:val="22"/>
          <w:szCs w:val="22"/>
          <w:lang w:val="sr-Latn-ME"/>
        </w:rPr>
        <w:t xml:space="preserve"> za proteine plazme dijaliza može biti od pomoći. </w:t>
      </w:r>
      <w:r w:rsidRPr="00783B4B">
        <w:rPr>
          <w:sz w:val="22"/>
          <w:szCs w:val="22"/>
          <w:lang w:val="sr-Latn-ME"/>
        </w:rPr>
        <w:t xml:space="preserve">Treba </w:t>
      </w:r>
      <w:r w:rsidR="00684EF2" w:rsidRPr="00783B4B">
        <w:rPr>
          <w:sz w:val="22"/>
          <w:szCs w:val="22"/>
          <w:lang w:val="sr-Latn-ME"/>
        </w:rPr>
        <w:t>preduzeti</w:t>
      </w:r>
      <w:r w:rsidRPr="00783B4B">
        <w:rPr>
          <w:sz w:val="22"/>
          <w:szCs w:val="22"/>
          <w:lang w:val="sr-Latn-ME"/>
        </w:rPr>
        <w:t xml:space="preserve"> opšte </w:t>
      </w:r>
      <w:proofErr w:type="spellStart"/>
      <w:r w:rsidRPr="00783B4B">
        <w:rPr>
          <w:sz w:val="22"/>
          <w:szCs w:val="22"/>
          <w:lang w:val="sr-Latn-ME"/>
        </w:rPr>
        <w:t>suportivne</w:t>
      </w:r>
      <w:proofErr w:type="spellEnd"/>
      <w:r w:rsidRPr="00783B4B">
        <w:rPr>
          <w:sz w:val="22"/>
          <w:szCs w:val="22"/>
          <w:lang w:val="sr-Latn-ME"/>
        </w:rPr>
        <w:t xml:space="preserve"> mjere, uključujući </w:t>
      </w:r>
      <w:r w:rsidR="00684EF2" w:rsidRPr="00783B4B">
        <w:rPr>
          <w:sz w:val="22"/>
          <w:szCs w:val="22"/>
          <w:lang w:val="sr-Latn-ME"/>
        </w:rPr>
        <w:t xml:space="preserve">učestalo </w:t>
      </w:r>
      <w:r w:rsidRPr="00783B4B">
        <w:rPr>
          <w:sz w:val="22"/>
          <w:szCs w:val="22"/>
          <w:lang w:val="sr-Latn-ME"/>
        </w:rPr>
        <w:t xml:space="preserve">praćenje vitalnih </w:t>
      </w:r>
      <w:r w:rsidR="00684EF2" w:rsidRPr="00783B4B">
        <w:rPr>
          <w:sz w:val="22"/>
          <w:szCs w:val="22"/>
          <w:lang w:val="sr-Latn-ME"/>
        </w:rPr>
        <w:t xml:space="preserve">znakova </w:t>
      </w:r>
      <w:r w:rsidRPr="00783B4B">
        <w:rPr>
          <w:sz w:val="22"/>
          <w:szCs w:val="22"/>
          <w:lang w:val="sr-Latn-ME"/>
        </w:rPr>
        <w:t>i pažljivo praćenje pacijen</w:t>
      </w:r>
      <w:r w:rsidR="00684EF2" w:rsidRPr="00783B4B">
        <w:rPr>
          <w:sz w:val="22"/>
          <w:szCs w:val="22"/>
          <w:lang w:val="sr-Latn-ME"/>
        </w:rPr>
        <w:t>a</w:t>
      </w:r>
      <w:r w:rsidRPr="00783B4B">
        <w:rPr>
          <w:sz w:val="22"/>
          <w:szCs w:val="22"/>
          <w:lang w:val="sr-Latn-ME"/>
        </w:rPr>
        <w:t>ta.</w:t>
      </w:r>
    </w:p>
    <w:p w14:paraId="67DC93A5" w14:textId="3AEAA00C" w:rsidR="00227BDB" w:rsidRDefault="00227BDB" w:rsidP="00783B4B">
      <w:pPr>
        <w:tabs>
          <w:tab w:val="left" w:pos="540"/>
          <w:tab w:val="left" w:pos="569"/>
        </w:tabs>
        <w:rPr>
          <w:b/>
          <w:bCs/>
          <w:sz w:val="22"/>
          <w:szCs w:val="22"/>
          <w:lang w:val="sr-Latn-ME"/>
        </w:rPr>
      </w:pPr>
    </w:p>
    <w:p w14:paraId="560ACCA4" w14:textId="77777777" w:rsidR="009D122F" w:rsidRPr="00783B4B" w:rsidRDefault="009D122F" w:rsidP="00783B4B">
      <w:pPr>
        <w:tabs>
          <w:tab w:val="left" w:pos="540"/>
          <w:tab w:val="left" w:pos="569"/>
        </w:tabs>
        <w:rPr>
          <w:b/>
          <w:bCs/>
          <w:sz w:val="22"/>
          <w:szCs w:val="22"/>
          <w:lang w:val="sr-Latn-ME"/>
        </w:rPr>
      </w:pPr>
    </w:p>
    <w:p w14:paraId="67DC93A6"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5. </w:t>
      </w:r>
      <w:r w:rsidR="00480FB1" w:rsidRPr="00783B4B">
        <w:rPr>
          <w:b/>
          <w:bCs/>
          <w:sz w:val="22"/>
          <w:szCs w:val="22"/>
          <w:lang w:val="sr-Latn-ME"/>
        </w:rPr>
        <w:tab/>
      </w:r>
      <w:r w:rsidRPr="00783B4B">
        <w:rPr>
          <w:b/>
          <w:bCs/>
          <w:sz w:val="22"/>
          <w:szCs w:val="22"/>
          <w:lang w:val="sr-Latn-ME"/>
        </w:rPr>
        <w:t>FARMAKOLOŠK</w:t>
      </w:r>
      <w:r w:rsidR="000D425A" w:rsidRPr="00783B4B">
        <w:rPr>
          <w:b/>
          <w:bCs/>
          <w:sz w:val="22"/>
          <w:szCs w:val="22"/>
          <w:lang w:val="sr-Latn-ME"/>
        </w:rPr>
        <w:t>I</w:t>
      </w:r>
      <w:r w:rsidRPr="00783B4B">
        <w:rPr>
          <w:b/>
          <w:bCs/>
          <w:sz w:val="22"/>
          <w:szCs w:val="22"/>
          <w:lang w:val="sr-Latn-ME"/>
        </w:rPr>
        <w:t xml:space="preserve"> PODACI</w:t>
      </w:r>
    </w:p>
    <w:p w14:paraId="67DC93A7" w14:textId="77777777" w:rsidR="0072020E" w:rsidRPr="00783B4B" w:rsidRDefault="0072020E" w:rsidP="00783B4B">
      <w:pPr>
        <w:tabs>
          <w:tab w:val="left" w:pos="540"/>
          <w:tab w:val="left" w:pos="569"/>
        </w:tabs>
        <w:rPr>
          <w:b/>
          <w:bCs/>
          <w:sz w:val="22"/>
          <w:szCs w:val="22"/>
          <w:lang w:val="sr-Latn-ME"/>
        </w:rPr>
      </w:pPr>
    </w:p>
    <w:p w14:paraId="67DC93A8"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5.1. </w:t>
      </w:r>
      <w:r w:rsidR="00480FB1" w:rsidRPr="00783B4B">
        <w:rPr>
          <w:b/>
          <w:bCs/>
          <w:sz w:val="22"/>
          <w:szCs w:val="22"/>
          <w:lang w:val="sr-Latn-ME"/>
        </w:rPr>
        <w:tab/>
      </w:r>
      <w:proofErr w:type="spellStart"/>
      <w:r w:rsidRPr="00783B4B">
        <w:rPr>
          <w:b/>
          <w:bCs/>
          <w:sz w:val="22"/>
          <w:szCs w:val="22"/>
          <w:lang w:val="sr-Latn-ME"/>
        </w:rPr>
        <w:t>Farmakodinamski</w:t>
      </w:r>
      <w:proofErr w:type="spellEnd"/>
      <w:r w:rsidRPr="00783B4B">
        <w:rPr>
          <w:b/>
          <w:bCs/>
          <w:sz w:val="22"/>
          <w:szCs w:val="22"/>
          <w:lang w:val="sr-Latn-ME"/>
        </w:rPr>
        <w:t xml:space="preserve"> podaci</w:t>
      </w:r>
      <w:r w:rsidR="003A7059" w:rsidRPr="00783B4B">
        <w:rPr>
          <w:b/>
          <w:bCs/>
          <w:sz w:val="22"/>
          <w:szCs w:val="22"/>
          <w:lang w:val="sr-Latn-ME"/>
        </w:rPr>
        <w:t xml:space="preserve"> </w:t>
      </w:r>
    </w:p>
    <w:p w14:paraId="67DC93A9" w14:textId="77777777" w:rsidR="00F45F77" w:rsidRPr="00783B4B" w:rsidRDefault="00F45F77" w:rsidP="00783B4B">
      <w:pPr>
        <w:tabs>
          <w:tab w:val="left" w:pos="540"/>
          <w:tab w:val="left" w:pos="569"/>
        </w:tabs>
        <w:rPr>
          <w:b/>
          <w:bCs/>
          <w:sz w:val="22"/>
          <w:szCs w:val="22"/>
          <w:lang w:val="sr-Latn-ME"/>
        </w:rPr>
      </w:pPr>
    </w:p>
    <w:p w14:paraId="67DC93AA" w14:textId="65F28E9B" w:rsidR="0072020E" w:rsidRPr="00783B4B" w:rsidRDefault="0072020E" w:rsidP="00783B4B">
      <w:pPr>
        <w:tabs>
          <w:tab w:val="left" w:pos="540"/>
          <w:tab w:val="left" w:pos="569"/>
        </w:tabs>
        <w:rPr>
          <w:bCs/>
          <w:sz w:val="22"/>
          <w:szCs w:val="22"/>
          <w:lang w:val="sr-Latn-ME"/>
        </w:rPr>
      </w:pPr>
      <w:proofErr w:type="spellStart"/>
      <w:r w:rsidRPr="00783B4B">
        <w:rPr>
          <w:b/>
          <w:sz w:val="22"/>
          <w:szCs w:val="22"/>
          <w:lang w:val="sr-Latn-ME"/>
        </w:rPr>
        <w:t>Farmakoterapijska</w:t>
      </w:r>
      <w:proofErr w:type="spellEnd"/>
      <w:r w:rsidRPr="00783B4B">
        <w:rPr>
          <w:b/>
          <w:sz w:val="22"/>
          <w:szCs w:val="22"/>
          <w:lang w:val="sr-Latn-ME"/>
        </w:rPr>
        <w:t xml:space="preserve"> grupa:</w:t>
      </w:r>
      <w:r w:rsidR="00721E19" w:rsidRPr="00783B4B">
        <w:rPr>
          <w:sz w:val="22"/>
          <w:szCs w:val="22"/>
          <w:lang w:val="sr-Latn-ME"/>
        </w:rPr>
        <w:t xml:space="preserve"> </w:t>
      </w:r>
      <w:proofErr w:type="spellStart"/>
      <w:r w:rsidR="00721E19" w:rsidRPr="00783B4B">
        <w:rPr>
          <w:sz w:val="22"/>
          <w:szCs w:val="22"/>
          <w:lang w:val="sr-Latn-ME"/>
        </w:rPr>
        <w:t>inhibitori</w:t>
      </w:r>
      <w:proofErr w:type="spellEnd"/>
      <w:r w:rsidR="00721E19" w:rsidRPr="00783B4B">
        <w:rPr>
          <w:sz w:val="22"/>
          <w:szCs w:val="22"/>
          <w:lang w:val="sr-Latn-ME"/>
        </w:rPr>
        <w:t xml:space="preserve"> enzima </w:t>
      </w:r>
      <w:proofErr w:type="spellStart"/>
      <w:r w:rsidR="00721E19" w:rsidRPr="00783B4B">
        <w:rPr>
          <w:sz w:val="22"/>
          <w:szCs w:val="22"/>
          <w:lang w:val="sr-Latn-ME"/>
        </w:rPr>
        <w:t>aromataze</w:t>
      </w:r>
      <w:proofErr w:type="spellEnd"/>
    </w:p>
    <w:p w14:paraId="67DC93AB" w14:textId="77777777" w:rsidR="0072020E" w:rsidRPr="00783B4B" w:rsidRDefault="0072020E" w:rsidP="00783B4B">
      <w:pPr>
        <w:tabs>
          <w:tab w:val="left" w:pos="540"/>
          <w:tab w:val="left" w:pos="569"/>
        </w:tabs>
        <w:rPr>
          <w:bCs/>
          <w:sz w:val="22"/>
          <w:szCs w:val="22"/>
          <w:lang w:val="sr-Latn-ME"/>
        </w:rPr>
      </w:pPr>
    </w:p>
    <w:p w14:paraId="67DC93AC" w14:textId="1546F5C6" w:rsidR="0072020E" w:rsidRPr="00783B4B" w:rsidRDefault="0072020E" w:rsidP="00783B4B">
      <w:pPr>
        <w:tabs>
          <w:tab w:val="left" w:pos="540"/>
          <w:tab w:val="left" w:pos="569"/>
        </w:tabs>
        <w:rPr>
          <w:bCs/>
          <w:sz w:val="22"/>
          <w:szCs w:val="22"/>
          <w:lang w:val="sr-Latn-ME"/>
        </w:rPr>
      </w:pPr>
      <w:r w:rsidRPr="00783B4B">
        <w:rPr>
          <w:b/>
          <w:sz w:val="22"/>
          <w:szCs w:val="22"/>
          <w:lang w:val="sr-Latn-ME"/>
        </w:rPr>
        <w:t>ATC kod:</w:t>
      </w:r>
      <w:r w:rsidR="000C33B4" w:rsidRPr="00783B4B">
        <w:rPr>
          <w:bCs/>
          <w:sz w:val="22"/>
          <w:szCs w:val="22"/>
          <w:lang w:val="sr-Latn-ME"/>
        </w:rPr>
        <w:t xml:space="preserve"> </w:t>
      </w:r>
      <w:proofErr w:type="spellStart"/>
      <w:r w:rsidR="000C33B4" w:rsidRPr="00783B4B">
        <w:rPr>
          <w:sz w:val="22"/>
          <w:szCs w:val="22"/>
          <w:lang w:val="sr-Latn-ME"/>
        </w:rPr>
        <w:t>L02BG03</w:t>
      </w:r>
      <w:proofErr w:type="spellEnd"/>
    </w:p>
    <w:p w14:paraId="67DC93AD" w14:textId="527E54D0" w:rsidR="002E37A5" w:rsidRPr="00783B4B" w:rsidRDefault="002E37A5" w:rsidP="00783B4B">
      <w:pPr>
        <w:tabs>
          <w:tab w:val="left" w:pos="540"/>
          <w:tab w:val="left" w:pos="569"/>
        </w:tabs>
        <w:rPr>
          <w:b/>
          <w:bCs/>
          <w:sz w:val="22"/>
          <w:szCs w:val="22"/>
          <w:lang w:val="sr-Latn-ME"/>
        </w:rPr>
      </w:pPr>
    </w:p>
    <w:p w14:paraId="27D00113" w14:textId="2988010C" w:rsidR="006E4173" w:rsidRPr="00783B4B" w:rsidRDefault="006E4173" w:rsidP="00783B4B">
      <w:pPr>
        <w:jc w:val="both"/>
        <w:rPr>
          <w:iCs/>
          <w:sz w:val="22"/>
          <w:szCs w:val="22"/>
          <w:u w:val="single"/>
          <w:lang w:val="sr-Latn-ME"/>
        </w:rPr>
      </w:pPr>
      <w:r w:rsidRPr="00783B4B">
        <w:rPr>
          <w:iCs/>
          <w:sz w:val="22"/>
          <w:szCs w:val="22"/>
          <w:u w:val="single"/>
          <w:lang w:val="sr-Latn-ME"/>
        </w:rPr>
        <w:t xml:space="preserve">Mehanizam djelovanja i </w:t>
      </w:r>
      <w:proofErr w:type="spellStart"/>
      <w:r w:rsidR="00B50CA6" w:rsidRPr="00783B4B">
        <w:rPr>
          <w:iCs/>
          <w:sz w:val="22"/>
          <w:szCs w:val="22"/>
          <w:u w:val="single"/>
          <w:lang w:val="sr-Latn-ME"/>
        </w:rPr>
        <w:t>farmakodinamska</w:t>
      </w:r>
      <w:proofErr w:type="spellEnd"/>
      <w:r w:rsidR="00B50CA6" w:rsidRPr="00783B4B">
        <w:rPr>
          <w:iCs/>
          <w:sz w:val="22"/>
          <w:szCs w:val="22"/>
          <w:u w:val="single"/>
          <w:lang w:val="sr-Latn-ME"/>
        </w:rPr>
        <w:t xml:space="preserve"> dejstva</w:t>
      </w:r>
    </w:p>
    <w:p w14:paraId="71C5EF5F" w14:textId="77777777" w:rsidR="006E4173" w:rsidRPr="00783B4B" w:rsidRDefault="006E4173" w:rsidP="00783B4B">
      <w:pPr>
        <w:jc w:val="both"/>
        <w:rPr>
          <w:i/>
          <w:sz w:val="22"/>
          <w:szCs w:val="22"/>
          <w:lang w:val="sr-Latn-ME"/>
        </w:rPr>
      </w:pPr>
    </w:p>
    <w:p w14:paraId="517CF590" w14:textId="301C8176" w:rsidR="006E4173" w:rsidRPr="00783B4B" w:rsidRDefault="006E4173" w:rsidP="00783B4B">
      <w:pPr>
        <w:jc w:val="both"/>
        <w:rPr>
          <w:sz w:val="22"/>
          <w:szCs w:val="22"/>
          <w:lang w:val="sr-Latn-ME"/>
        </w:rPr>
      </w:pPr>
      <w:proofErr w:type="spellStart"/>
      <w:r w:rsidRPr="00783B4B">
        <w:rPr>
          <w:sz w:val="22"/>
          <w:szCs w:val="22"/>
          <w:lang w:val="sr-Latn-ME"/>
        </w:rPr>
        <w:t>Anastrozol</w:t>
      </w:r>
      <w:proofErr w:type="spellEnd"/>
      <w:r w:rsidRPr="00783B4B">
        <w:rPr>
          <w:sz w:val="22"/>
          <w:szCs w:val="22"/>
          <w:lang w:val="sr-Latn-ME"/>
        </w:rPr>
        <w:t xml:space="preserve"> je </w:t>
      </w:r>
      <w:r w:rsidR="00586E3A" w:rsidRPr="00783B4B">
        <w:rPr>
          <w:sz w:val="22"/>
          <w:szCs w:val="22"/>
          <w:lang w:val="sr-Latn-ME"/>
        </w:rPr>
        <w:t xml:space="preserve">snažan </w:t>
      </w:r>
      <w:r w:rsidRPr="00783B4B">
        <w:rPr>
          <w:sz w:val="22"/>
          <w:szCs w:val="22"/>
          <w:lang w:val="sr-Latn-ME"/>
        </w:rPr>
        <w:t xml:space="preserve">i visoko selektivan </w:t>
      </w:r>
      <w:proofErr w:type="spellStart"/>
      <w:r w:rsidRPr="00783B4B">
        <w:rPr>
          <w:sz w:val="22"/>
          <w:szCs w:val="22"/>
          <w:lang w:val="sr-Latn-ME"/>
        </w:rPr>
        <w:t>nesteroidni</w:t>
      </w:r>
      <w:proofErr w:type="spellEnd"/>
      <w:r w:rsidRPr="00783B4B">
        <w:rPr>
          <w:sz w:val="22"/>
          <w:szCs w:val="22"/>
          <w:lang w:val="sr-Latn-ME"/>
        </w:rPr>
        <w:t xml:space="preserve"> </w:t>
      </w:r>
      <w:proofErr w:type="spellStart"/>
      <w:r w:rsidRPr="00783B4B">
        <w:rPr>
          <w:sz w:val="22"/>
          <w:szCs w:val="22"/>
          <w:lang w:val="sr-Latn-ME"/>
        </w:rPr>
        <w:t>inhibitor</w:t>
      </w:r>
      <w:proofErr w:type="spellEnd"/>
      <w:r w:rsidRPr="00783B4B">
        <w:rPr>
          <w:sz w:val="22"/>
          <w:szCs w:val="22"/>
          <w:lang w:val="sr-Latn-ME"/>
        </w:rPr>
        <w:t xml:space="preserve"> </w:t>
      </w:r>
      <w:proofErr w:type="spellStart"/>
      <w:r w:rsidRPr="00783B4B">
        <w:rPr>
          <w:sz w:val="22"/>
          <w:szCs w:val="22"/>
          <w:lang w:val="sr-Latn-ME"/>
        </w:rPr>
        <w:t>aromataze</w:t>
      </w:r>
      <w:proofErr w:type="spellEnd"/>
      <w:r w:rsidRPr="00783B4B">
        <w:rPr>
          <w:sz w:val="22"/>
          <w:szCs w:val="22"/>
          <w:lang w:val="sr-Latn-ME"/>
        </w:rPr>
        <w:t xml:space="preserve">. Kod žena u </w:t>
      </w:r>
      <w:proofErr w:type="spellStart"/>
      <w:r w:rsidRPr="00783B4B">
        <w:rPr>
          <w:sz w:val="22"/>
          <w:szCs w:val="22"/>
          <w:lang w:val="sr-Latn-ME"/>
        </w:rPr>
        <w:t>postmenopauzi</w:t>
      </w:r>
      <w:proofErr w:type="spellEnd"/>
      <w:r w:rsidRPr="00783B4B">
        <w:rPr>
          <w:sz w:val="22"/>
          <w:szCs w:val="22"/>
          <w:lang w:val="sr-Latn-ME"/>
        </w:rPr>
        <w:t xml:space="preserve">, </w:t>
      </w:r>
      <w:proofErr w:type="spellStart"/>
      <w:r w:rsidRPr="00783B4B">
        <w:rPr>
          <w:sz w:val="22"/>
          <w:szCs w:val="22"/>
          <w:lang w:val="sr-Latn-ME"/>
        </w:rPr>
        <w:t>estradiol</w:t>
      </w:r>
      <w:proofErr w:type="spellEnd"/>
      <w:r w:rsidRPr="00783B4B">
        <w:rPr>
          <w:sz w:val="22"/>
          <w:szCs w:val="22"/>
          <w:lang w:val="sr-Latn-ME"/>
        </w:rPr>
        <w:t xml:space="preserve"> gotovo isključivo nastaje konverzijom </w:t>
      </w:r>
      <w:proofErr w:type="spellStart"/>
      <w:r w:rsidRPr="00783B4B">
        <w:rPr>
          <w:sz w:val="22"/>
          <w:szCs w:val="22"/>
          <w:lang w:val="sr-Latn-ME"/>
        </w:rPr>
        <w:t>androstendiona</w:t>
      </w:r>
      <w:proofErr w:type="spellEnd"/>
      <w:r w:rsidRPr="00783B4B">
        <w:rPr>
          <w:sz w:val="22"/>
          <w:szCs w:val="22"/>
          <w:lang w:val="sr-Latn-ME"/>
        </w:rPr>
        <w:t xml:space="preserve"> </w:t>
      </w:r>
      <w:r w:rsidR="00586E3A" w:rsidRPr="00783B4B">
        <w:rPr>
          <w:sz w:val="22"/>
          <w:szCs w:val="22"/>
          <w:lang w:val="sr-Latn-ME"/>
        </w:rPr>
        <w:t>u perifernim tkivima</w:t>
      </w:r>
      <w:r w:rsidR="00546B57" w:rsidRPr="00783B4B">
        <w:rPr>
          <w:sz w:val="22"/>
          <w:szCs w:val="22"/>
          <w:lang w:val="sr-Latn-ME"/>
        </w:rPr>
        <w:t xml:space="preserve">, a nju </w:t>
      </w:r>
      <w:proofErr w:type="spellStart"/>
      <w:r w:rsidR="00546B57" w:rsidRPr="00783B4B">
        <w:rPr>
          <w:sz w:val="22"/>
          <w:szCs w:val="22"/>
          <w:lang w:val="sr-Latn-ME"/>
        </w:rPr>
        <w:t>katališ</w:t>
      </w:r>
      <w:r w:rsidR="00D85829" w:rsidRPr="00783B4B">
        <w:rPr>
          <w:sz w:val="22"/>
          <w:szCs w:val="22"/>
          <w:lang w:val="sr-Latn-ME"/>
        </w:rPr>
        <w:t>e</w:t>
      </w:r>
      <w:proofErr w:type="spellEnd"/>
      <w:r w:rsidR="00D85829" w:rsidRPr="00783B4B">
        <w:rPr>
          <w:sz w:val="22"/>
          <w:szCs w:val="22"/>
          <w:lang w:val="sr-Latn-ME"/>
        </w:rPr>
        <w:t xml:space="preserve"> </w:t>
      </w:r>
      <w:proofErr w:type="spellStart"/>
      <w:r w:rsidR="00D85829" w:rsidRPr="00783B4B">
        <w:rPr>
          <w:sz w:val="22"/>
          <w:szCs w:val="22"/>
          <w:lang w:val="sr-Latn-ME"/>
        </w:rPr>
        <w:t>enzimski</w:t>
      </w:r>
      <w:proofErr w:type="spellEnd"/>
      <w:r w:rsidR="00D85829" w:rsidRPr="00783B4B">
        <w:rPr>
          <w:sz w:val="22"/>
          <w:szCs w:val="22"/>
          <w:lang w:val="sr-Latn-ME"/>
        </w:rPr>
        <w:t xml:space="preserve"> </w:t>
      </w:r>
      <w:r w:rsidRPr="00783B4B">
        <w:rPr>
          <w:sz w:val="22"/>
          <w:szCs w:val="22"/>
          <w:lang w:val="sr-Latn-ME"/>
        </w:rPr>
        <w:t xml:space="preserve">kompleks </w:t>
      </w:r>
      <w:proofErr w:type="spellStart"/>
      <w:r w:rsidRPr="00783B4B">
        <w:rPr>
          <w:sz w:val="22"/>
          <w:szCs w:val="22"/>
          <w:lang w:val="sr-Latn-ME"/>
        </w:rPr>
        <w:t>aromataze</w:t>
      </w:r>
      <w:proofErr w:type="spellEnd"/>
      <w:r w:rsidRPr="00783B4B">
        <w:rPr>
          <w:sz w:val="22"/>
          <w:szCs w:val="22"/>
          <w:lang w:val="sr-Latn-ME"/>
        </w:rPr>
        <w:t xml:space="preserve">. Primarni produkt </w:t>
      </w:r>
      <w:r w:rsidR="00D85829" w:rsidRPr="00783B4B">
        <w:rPr>
          <w:sz w:val="22"/>
          <w:szCs w:val="22"/>
          <w:lang w:val="sr-Latn-ME"/>
        </w:rPr>
        <w:t>je</w:t>
      </w:r>
      <w:r w:rsidR="0041685C" w:rsidRPr="00783B4B">
        <w:rPr>
          <w:sz w:val="22"/>
          <w:szCs w:val="22"/>
          <w:lang w:val="sr-Latn-ME"/>
        </w:rPr>
        <w:t xml:space="preserve"> </w:t>
      </w:r>
      <w:proofErr w:type="spellStart"/>
      <w:r w:rsidRPr="00783B4B">
        <w:rPr>
          <w:sz w:val="22"/>
          <w:szCs w:val="22"/>
          <w:lang w:val="sr-Latn-ME"/>
        </w:rPr>
        <w:t>estron</w:t>
      </w:r>
      <w:proofErr w:type="spellEnd"/>
      <w:r w:rsidRPr="00783B4B">
        <w:rPr>
          <w:sz w:val="22"/>
          <w:szCs w:val="22"/>
          <w:lang w:val="sr-Latn-ME"/>
        </w:rPr>
        <w:t xml:space="preserve"> </w:t>
      </w:r>
      <w:r w:rsidR="0041685C" w:rsidRPr="00783B4B">
        <w:rPr>
          <w:sz w:val="22"/>
          <w:szCs w:val="22"/>
          <w:lang w:val="sr-Latn-ME"/>
        </w:rPr>
        <w:t xml:space="preserve">koji </w:t>
      </w:r>
      <w:r w:rsidRPr="00783B4B">
        <w:rPr>
          <w:sz w:val="22"/>
          <w:szCs w:val="22"/>
          <w:lang w:val="sr-Latn-ME"/>
        </w:rPr>
        <w:t xml:space="preserve">se </w:t>
      </w:r>
      <w:r w:rsidR="0041685C" w:rsidRPr="00783B4B">
        <w:rPr>
          <w:sz w:val="22"/>
          <w:szCs w:val="22"/>
          <w:lang w:val="sr-Latn-ME"/>
        </w:rPr>
        <w:t>zatim prevodi</w:t>
      </w:r>
      <w:r w:rsidRPr="00783B4B">
        <w:rPr>
          <w:sz w:val="22"/>
          <w:szCs w:val="22"/>
          <w:lang w:val="sr-Latn-ME"/>
        </w:rPr>
        <w:t xml:space="preserve"> u </w:t>
      </w:r>
      <w:proofErr w:type="spellStart"/>
      <w:r w:rsidRPr="00783B4B">
        <w:rPr>
          <w:sz w:val="22"/>
          <w:szCs w:val="22"/>
          <w:lang w:val="sr-Latn-ME"/>
        </w:rPr>
        <w:t>estradiol</w:t>
      </w:r>
      <w:proofErr w:type="spellEnd"/>
      <w:r w:rsidRPr="00783B4B">
        <w:rPr>
          <w:sz w:val="22"/>
          <w:szCs w:val="22"/>
          <w:lang w:val="sr-Latn-ME"/>
        </w:rPr>
        <w:t xml:space="preserve">. Smanjivanje </w:t>
      </w:r>
      <w:r w:rsidR="0041685C" w:rsidRPr="00783B4B">
        <w:rPr>
          <w:sz w:val="22"/>
          <w:szCs w:val="22"/>
          <w:lang w:val="sr-Latn-ME"/>
        </w:rPr>
        <w:t>sadržaja</w:t>
      </w:r>
      <w:r w:rsidRPr="00783B4B">
        <w:rPr>
          <w:sz w:val="22"/>
          <w:szCs w:val="22"/>
          <w:lang w:val="sr-Latn-ME"/>
        </w:rPr>
        <w:t xml:space="preserve"> </w:t>
      </w:r>
      <w:proofErr w:type="spellStart"/>
      <w:r w:rsidRPr="00783B4B">
        <w:rPr>
          <w:sz w:val="22"/>
          <w:szCs w:val="22"/>
          <w:lang w:val="sr-Latn-ME"/>
        </w:rPr>
        <w:t>estradiola</w:t>
      </w:r>
      <w:proofErr w:type="spellEnd"/>
      <w:r w:rsidRPr="00783B4B">
        <w:rPr>
          <w:sz w:val="22"/>
          <w:szCs w:val="22"/>
          <w:lang w:val="sr-Latn-ME"/>
        </w:rPr>
        <w:t xml:space="preserve"> </w:t>
      </w:r>
      <w:r w:rsidR="0041685C" w:rsidRPr="00783B4B">
        <w:rPr>
          <w:sz w:val="22"/>
          <w:szCs w:val="22"/>
          <w:lang w:val="sr-Latn-ME"/>
        </w:rPr>
        <w:t xml:space="preserve">u cirkulaciji </w:t>
      </w:r>
      <w:r w:rsidRPr="00783B4B">
        <w:rPr>
          <w:sz w:val="22"/>
          <w:szCs w:val="22"/>
          <w:lang w:val="sr-Latn-ME"/>
        </w:rPr>
        <w:t xml:space="preserve">pokazalo se </w:t>
      </w:r>
      <w:proofErr w:type="spellStart"/>
      <w:r w:rsidRPr="00783B4B">
        <w:rPr>
          <w:sz w:val="22"/>
          <w:szCs w:val="22"/>
          <w:lang w:val="sr-Latn-ME"/>
        </w:rPr>
        <w:t>prognostički</w:t>
      </w:r>
      <w:proofErr w:type="spellEnd"/>
      <w:r w:rsidRPr="00783B4B">
        <w:rPr>
          <w:sz w:val="22"/>
          <w:szCs w:val="22"/>
          <w:lang w:val="sr-Latn-ME"/>
        </w:rPr>
        <w:t xml:space="preserve"> i terapijski veoma značajnim  </w:t>
      </w:r>
      <w:r w:rsidR="00C37685" w:rsidRPr="00783B4B">
        <w:rPr>
          <w:sz w:val="22"/>
          <w:szCs w:val="22"/>
          <w:lang w:val="sr-Latn-ME"/>
        </w:rPr>
        <w:t xml:space="preserve">u </w:t>
      </w:r>
      <w:r w:rsidRPr="00783B4B">
        <w:rPr>
          <w:sz w:val="22"/>
          <w:szCs w:val="22"/>
          <w:lang w:val="sr-Latn-ME"/>
        </w:rPr>
        <w:t xml:space="preserve">žena sa </w:t>
      </w:r>
      <w:proofErr w:type="spellStart"/>
      <w:r w:rsidRPr="00783B4B">
        <w:rPr>
          <w:sz w:val="22"/>
          <w:szCs w:val="22"/>
          <w:lang w:val="sr-Latn-ME"/>
        </w:rPr>
        <w:t>uznapredovalim</w:t>
      </w:r>
      <w:proofErr w:type="spellEnd"/>
      <w:r w:rsidRPr="00783B4B">
        <w:rPr>
          <w:sz w:val="22"/>
          <w:szCs w:val="22"/>
          <w:lang w:val="sr-Latn-ME"/>
        </w:rPr>
        <w:t xml:space="preserve"> </w:t>
      </w:r>
      <w:proofErr w:type="spellStart"/>
      <w:r w:rsidRPr="00783B4B">
        <w:rPr>
          <w:sz w:val="22"/>
          <w:szCs w:val="22"/>
          <w:lang w:val="sr-Latn-ME"/>
        </w:rPr>
        <w:t>karcinomom</w:t>
      </w:r>
      <w:proofErr w:type="spellEnd"/>
      <w:r w:rsidRPr="00783B4B">
        <w:rPr>
          <w:sz w:val="22"/>
          <w:szCs w:val="22"/>
          <w:lang w:val="sr-Latn-ME"/>
        </w:rPr>
        <w:t xml:space="preserve"> dojke. </w:t>
      </w:r>
      <w:r w:rsidR="00DB109C" w:rsidRPr="00783B4B">
        <w:rPr>
          <w:sz w:val="22"/>
          <w:szCs w:val="22"/>
          <w:lang w:val="sr-Latn-ME"/>
        </w:rPr>
        <w:t xml:space="preserve">Pouzdanim i specifičnim analitičkim tehnikama dokazano je da </w:t>
      </w:r>
      <w:proofErr w:type="spellStart"/>
      <w:r w:rsidRPr="00783B4B">
        <w:rPr>
          <w:sz w:val="22"/>
          <w:szCs w:val="22"/>
          <w:lang w:val="sr-Latn-ME"/>
        </w:rPr>
        <w:t>anastrozol</w:t>
      </w:r>
      <w:proofErr w:type="spellEnd"/>
      <w:r w:rsidRPr="00783B4B">
        <w:rPr>
          <w:sz w:val="22"/>
          <w:szCs w:val="22"/>
          <w:lang w:val="sr-Latn-ME"/>
        </w:rPr>
        <w:t xml:space="preserve"> </w:t>
      </w:r>
      <w:proofErr w:type="spellStart"/>
      <w:r w:rsidR="00C92A4F" w:rsidRPr="00783B4B">
        <w:rPr>
          <w:sz w:val="22"/>
          <w:szCs w:val="22"/>
          <w:lang w:val="sr-Latn-ME"/>
        </w:rPr>
        <w:t>prim</w:t>
      </w:r>
      <w:r w:rsidR="00FA4EFC" w:rsidRPr="00783B4B">
        <w:rPr>
          <w:sz w:val="22"/>
          <w:szCs w:val="22"/>
          <w:lang w:val="sr-Latn-ME"/>
        </w:rPr>
        <w:t>j</w:t>
      </w:r>
      <w:r w:rsidR="00C92A4F" w:rsidRPr="00783B4B">
        <w:rPr>
          <w:sz w:val="22"/>
          <w:szCs w:val="22"/>
          <w:lang w:val="sr-Latn-ME"/>
        </w:rPr>
        <w:t>enjen</w:t>
      </w:r>
      <w:proofErr w:type="spellEnd"/>
      <w:r w:rsidR="00C92A4F" w:rsidRPr="00783B4B">
        <w:rPr>
          <w:sz w:val="22"/>
          <w:szCs w:val="22"/>
          <w:lang w:val="sr-Latn-ME"/>
        </w:rPr>
        <w:t xml:space="preserve"> u </w:t>
      </w:r>
      <w:r w:rsidRPr="00783B4B">
        <w:rPr>
          <w:sz w:val="22"/>
          <w:szCs w:val="22"/>
          <w:lang w:val="sr-Latn-ME"/>
        </w:rPr>
        <w:t xml:space="preserve">dozi od 1 mg </w:t>
      </w:r>
      <w:r w:rsidR="00C92A4F" w:rsidRPr="00783B4B">
        <w:rPr>
          <w:sz w:val="22"/>
          <w:szCs w:val="22"/>
          <w:lang w:val="sr-Latn-ME"/>
        </w:rPr>
        <w:t xml:space="preserve">dnevno, </w:t>
      </w:r>
      <w:r w:rsidR="001E76C2" w:rsidRPr="00783B4B">
        <w:rPr>
          <w:sz w:val="22"/>
          <w:szCs w:val="22"/>
          <w:lang w:val="sr-Latn-ME"/>
        </w:rPr>
        <w:t xml:space="preserve">smanjuje koncentracije </w:t>
      </w:r>
      <w:proofErr w:type="spellStart"/>
      <w:r w:rsidR="001E76C2" w:rsidRPr="00783B4B">
        <w:rPr>
          <w:sz w:val="22"/>
          <w:szCs w:val="22"/>
          <w:lang w:val="sr-Latn-ME"/>
        </w:rPr>
        <w:t>cirkulišućeg</w:t>
      </w:r>
      <w:proofErr w:type="spellEnd"/>
      <w:r w:rsidR="001E76C2" w:rsidRPr="00783B4B">
        <w:rPr>
          <w:sz w:val="22"/>
          <w:szCs w:val="22"/>
          <w:lang w:val="sr-Latn-ME"/>
        </w:rPr>
        <w:t xml:space="preserve"> </w:t>
      </w:r>
      <w:proofErr w:type="spellStart"/>
      <w:r w:rsidR="001E76C2" w:rsidRPr="00783B4B">
        <w:rPr>
          <w:sz w:val="22"/>
          <w:szCs w:val="22"/>
          <w:lang w:val="sr-Latn-ME"/>
        </w:rPr>
        <w:t>estradiola</w:t>
      </w:r>
      <w:proofErr w:type="spellEnd"/>
      <w:r w:rsidR="001E76C2" w:rsidRPr="00783B4B">
        <w:rPr>
          <w:sz w:val="22"/>
          <w:szCs w:val="22"/>
          <w:lang w:val="sr-Latn-ME"/>
        </w:rPr>
        <w:t xml:space="preserve"> za više od </w:t>
      </w:r>
      <w:r w:rsidRPr="00783B4B">
        <w:rPr>
          <w:sz w:val="22"/>
          <w:szCs w:val="22"/>
          <w:lang w:val="sr-Latn-ME"/>
        </w:rPr>
        <w:t>80%</w:t>
      </w:r>
      <w:r w:rsidR="001E76C2" w:rsidRPr="00783B4B">
        <w:rPr>
          <w:sz w:val="22"/>
          <w:szCs w:val="22"/>
          <w:lang w:val="sr-Latn-ME"/>
        </w:rPr>
        <w:t>.</w:t>
      </w:r>
    </w:p>
    <w:p w14:paraId="41E57E70" w14:textId="0F71D01C" w:rsidR="006E4173" w:rsidRPr="00783B4B" w:rsidRDefault="006E4173" w:rsidP="00783B4B">
      <w:pPr>
        <w:jc w:val="both"/>
        <w:rPr>
          <w:sz w:val="22"/>
          <w:szCs w:val="22"/>
          <w:lang w:val="sr-Latn-ME"/>
        </w:rPr>
      </w:pPr>
    </w:p>
    <w:p w14:paraId="1C306276" w14:textId="0BCA7000" w:rsidR="006E4173" w:rsidRPr="00783B4B" w:rsidRDefault="006E4173" w:rsidP="00783B4B">
      <w:pPr>
        <w:jc w:val="both"/>
        <w:rPr>
          <w:sz w:val="22"/>
          <w:szCs w:val="22"/>
          <w:lang w:val="sr-Latn-ME"/>
        </w:rPr>
      </w:pPr>
      <w:proofErr w:type="spellStart"/>
      <w:r w:rsidRPr="00783B4B">
        <w:rPr>
          <w:sz w:val="22"/>
          <w:szCs w:val="22"/>
          <w:lang w:val="sr-Latn-ME"/>
        </w:rPr>
        <w:t>Anastrozol</w:t>
      </w:r>
      <w:proofErr w:type="spellEnd"/>
      <w:r w:rsidRPr="00783B4B" w:rsidDel="004523B1">
        <w:rPr>
          <w:sz w:val="22"/>
          <w:szCs w:val="22"/>
          <w:lang w:val="sr-Latn-ME"/>
        </w:rPr>
        <w:t xml:space="preserve"> </w:t>
      </w:r>
      <w:r w:rsidRPr="00783B4B">
        <w:rPr>
          <w:sz w:val="22"/>
          <w:szCs w:val="22"/>
          <w:lang w:val="sr-Latn-ME"/>
        </w:rPr>
        <w:t xml:space="preserve">ne </w:t>
      </w:r>
      <w:r w:rsidR="008F7468" w:rsidRPr="00783B4B">
        <w:rPr>
          <w:sz w:val="22"/>
          <w:szCs w:val="22"/>
          <w:lang w:val="sr-Latn-ME"/>
        </w:rPr>
        <w:t xml:space="preserve">ispoljava drugu </w:t>
      </w:r>
      <w:proofErr w:type="spellStart"/>
      <w:r w:rsidR="008F7468" w:rsidRPr="00783B4B">
        <w:rPr>
          <w:sz w:val="22"/>
          <w:szCs w:val="22"/>
          <w:lang w:val="sr-Latn-ME"/>
        </w:rPr>
        <w:t>progesteronsku</w:t>
      </w:r>
      <w:proofErr w:type="spellEnd"/>
      <w:r w:rsidRPr="00783B4B">
        <w:rPr>
          <w:sz w:val="22"/>
          <w:szCs w:val="22"/>
          <w:lang w:val="sr-Latn-ME"/>
        </w:rPr>
        <w:t xml:space="preserve">, </w:t>
      </w:r>
      <w:proofErr w:type="spellStart"/>
      <w:r w:rsidRPr="00783B4B">
        <w:rPr>
          <w:sz w:val="22"/>
          <w:szCs w:val="22"/>
          <w:lang w:val="sr-Latn-ME"/>
        </w:rPr>
        <w:t>androgenu</w:t>
      </w:r>
      <w:proofErr w:type="spellEnd"/>
      <w:r w:rsidRPr="00783B4B">
        <w:rPr>
          <w:sz w:val="22"/>
          <w:szCs w:val="22"/>
          <w:lang w:val="sr-Latn-ME"/>
        </w:rPr>
        <w:t xml:space="preserve"> ili estrogenu aktivnost.</w:t>
      </w:r>
    </w:p>
    <w:p w14:paraId="70375576" w14:textId="77777777" w:rsidR="0017357B" w:rsidRPr="00783B4B" w:rsidRDefault="0017357B" w:rsidP="00783B4B">
      <w:pPr>
        <w:jc w:val="both"/>
        <w:rPr>
          <w:sz w:val="22"/>
          <w:szCs w:val="22"/>
          <w:lang w:val="sr-Latn-ME"/>
        </w:rPr>
      </w:pPr>
    </w:p>
    <w:p w14:paraId="7073C8B9" w14:textId="650A6DF4" w:rsidR="006E4173" w:rsidRPr="00783B4B" w:rsidRDefault="006E4173" w:rsidP="00783B4B">
      <w:pPr>
        <w:jc w:val="both"/>
        <w:rPr>
          <w:sz w:val="22"/>
          <w:szCs w:val="22"/>
          <w:lang w:val="sr-Latn-ME"/>
        </w:rPr>
      </w:pPr>
      <w:r w:rsidRPr="00783B4B">
        <w:rPr>
          <w:sz w:val="22"/>
          <w:szCs w:val="22"/>
          <w:lang w:val="sr-Latn-ME"/>
        </w:rPr>
        <w:t xml:space="preserve">Dnevne doze </w:t>
      </w:r>
      <w:proofErr w:type="spellStart"/>
      <w:r w:rsidRPr="00783B4B">
        <w:rPr>
          <w:sz w:val="22"/>
          <w:szCs w:val="22"/>
          <w:lang w:val="sr-Latn-ME"/>
        </w:rPr>
        <w:t>anastrozola</w:t>
      </w:r>
      <w:proofErr w:type="spellEnd"/>
      <w:r w:rsidRPr="00783B4B">
        <w:rPr>
          <w:sz w:val="22"/>
          <w:szCs w:val="22"/>
          <w:lang w:val="sr-Latn-ME"/>
        </w:rPr>
        <w:t xml:space="preserve"> do 10 mg</w:t>
      </w:r>
      <w:r w:rsidR="000249B0" w:rsidRPr="00783B4B">
        <w:rPr>
          <w:sz w:val="22"/>
          <w:szCs w:val="22"/>
          <w:lang w:val="sr-Latn-ME"/>
        </w:rPr>
        <w:t>,</w:t>
      </w:r>
      <w:r w:rsidRPr="00783B4B">
        <w:rPr>
          <w:sz w:val="22"/>
          <w:szCs w:val="22"/>
          <w:lang w:val="sr-Latn-ME"/>
        </w:rPr>
        <w:t xml:space="preserve"> </w:t>
      </w:r>
      <w:r w:rsidR="000249B0" w:rsidRPr="00783B4B">
        <w:rPr>
          <w:sz w:val="22"/>
          <w:szCs w:val="22"/>
          <w:lang w:val="sr-Latn-ME"/>
        </w:rPr>
        <w:t xml:space="preserve">nisu uticale </w:t>
      </w:r>
      <w:r w:rsidRPr="00783B4B">
        <w:rPr>
          <w:sz w:val="22"/>
          <w:szCs w:val="22"/>
          <w:lang w:val="sr-Latn-ME"/>
        </w:rPr>
        <w:t>na sekreciju kortizo</w:t>
      </w:r>
      <w:r w:rsidR="000249B0" w:rsidRPr="00783B4B">
        <w:rPr>
          <w:sz w:val="22"/>
          <w:szCs w:val="22"/>
          <w:lang w:val="sr-Latn-ME"/>
        </w:rPr>
        <w:t>n</w:t>
      </w:r>
      <w:r w:rsidRPr="00783B4B">
        <w:rPr>
          <w:sz w:val="22"/>
          <w:szCs w:val="22"/>
          <w:lang w:val="sr-Latn-ME"/>
        </w:rPr>
        <w:t xml:space="preserve">a ili </w:t>
      </w:r>
      <w:proofErr w:type="spellStart"/>
      <w:r w:rsidRPr="00783B4B">
        <w:rPr>
          <w:sz w:val="22"/>
          <w:szCs w:val="22"/>
          <w:lang w:val="sr-Latn-ME"/>
        </w:rPr>
        <w:t>aldosterona</w:t>
      </w:r>
      <w:proofErr w:type="spellEnd"/>
      <w:r w:rsidRPr="00783B4B">
        <w:rPr>
          <w:sz w:val="22"/>
          <w:szCs w:val="22"/>
          <w:lang w:val="sr-Latn-ME"/>
        </w:rPr>
        <w:t xml:space="preserve">, </w:t>
      </w:r>
      <w:r w:rsidR="002E5B64" w:rsidRPr="00783B4B">
        <w:rPr>
          <w:sz w:val="22"/>
          <w:szCs w:val="22"/>
          <w:lang w:val="sr-Latn-ME"/>
        </w:rPr>
        <w:t>neposredno</w:t>
      </w:r>
      <w:r w:rsidRPr="00783B4B">
        <w:rPr>
          <w:sz w:val="22"/>
          <w:szCs w:val="22"/>
          <w:lang w:val="sr-Latn-ME"/>
        </w:rPr>
        <w:t xml:space="preserve"> prije ili nakon stimulacije sa </w:t>
      </w:r>
      <w:proofErr w:type="spellStart"/>
      <w:r w:rsidRPr="00783B4B">
        <w:rPr>
          <w:sz w:val="22"/>
          <w:szCs w:val="22"/>
          <w:lang w:val="sr-Latn-ME"/>
        </w:rPr>
        <w:t>ACTH</w:t>
      </w:r>
      <w:proofErr w:type="spellEnd"/>
      <w:r w:rsidRPr="00783B4B">
        <w:rPr>
          <w:sz w:val="22"/>
          <w:szCs w:val="22"/>
          <w:lang w:val="sr-Latn-ME"/>
        </w:rPr>
        <w:t xml:space="preserve">. </w:t>
      </w:r>
      <w:r w:rsidR="00604970" w:rsidRPr="00783B4B">
        <w:rPr>
          <w:sz w:val="22"/>
          <w:szCs w:val="22"/>
          <w:lang w:val="sr-Latn-ME"/>
        </w:rPr>
        <w:t xml:space="preserve">Stoga, nema potrebe za nadoknadom </w:t>
      </w:r>
      <w:proofErr w:type="spellStart"/>
      <w:r w:rsidR="00604970" w:rsidRPr="00783B4B">
        <w:rPr>
          <w:sz w:val="22"/>
          <w:szCs w:val="22"/>
          <w:lang w:val="sr-Latn-ME"/>
        </w:rPr>
        <w:t>kortikosteroidnih</w:t>
      </w:r>
      <w:proofErr w:type="spellEnd"/>
      <w:r w:rsidR="00604970" w:rsidRPr="00783B4B">
        <w:rPr>
          <w:sz w:val="22"/>
          <w:szCs w:val="22"/>
          <w:lang w:val="sr-Latn-ME"/>
        </w:rPr>
        <w:t xml:space="preserve"> hormona.</w:t>
      </w:r>
    </w:p>
    <w:p w14:paraId="24E85DD1" w14:textId="77777777" w:rsidR="006E4173" w:rsidRPr="00783B4B" w:rsidRDefault="006E4173" w:rsidP="00783B4B">
      <w:pPr>
        <w:pStyle w:val="NormalWeb"/>
        <w:spacing w:after="0" w:afterAutospacing="0"/>
        <w:jc w:val="both"/>
        <w:rPr>
          <w:bCs/>
          <w:sz w:val="22"/>
          <w:szCs w:val="22"/>
          <w:u w:val="single"/>
          <w:lang w:val="sr-Latn-ME"/>
        </w:rPr>
      </w:pPr>
      <w:r w:rsidRPr="00783B4B">
        <w:rPr>
          <w:bCs/>
          <w:sz w:val="22"/>
          <w:szCs w:val="22"/>
          <w:u w:val="single"/>
          <w:lang w:val="sr-Latn-ME"/>
        </w:rPr>
        <w:t>Klinička efikasnost i bezbjednost</w:t>
      </w:r>
    </w:p>
    <w:p w14:paraId="18B8A391" w14:textId="5B2422FE" w:rsidR="005027E9" w:rsidRPr="00783B4B" w:rsidRDefault="006E4173" w:rsidP="00783B4B">
      <w:pPr>
        <w:pStyle w:val="NormalWeb"/>
        <w:spacing w:after="0" w:afterAutospacing="0"/>
        <w:jc w:val="both"/>
        <w:rPr>
          <w:i/>
          <w:sz w:val="22"/>
          <w:szCs w:val="22"/>
          <w:u w:val="single"/>
          <w:lang w:val="sr-Latn-ME"/>
        </w:rPr>
      </w:pPr>
      <w:r w:rsidRPr="00783B4B">
        <w:rPr>
          <w:i/>
          <w:sz w:val="22"/>
          <w:szCs w:val="22"/>
          <w:u w:val="single"/>
          <w:lang w:val="sr-Latn-ME"/>
        </w:rPr>
        <w:t xml:space="preserve">Uznapredovali </w:t>
      </w:r>
      <w:proofErr w:type="spellStart"/>
      <w:r w:rsidRPr="00783B4B">
        <w:rPr>
          <w:i/>
          <w:sz w:val="22"/>
          <w:szCs w:val="22"/>
          <w:u w:val="single"/>
          <w:lang w:val="sr-Latn-ME"/>
        </w:rPr>
        <w:t>karcinom</w:t>
      </w:r>
      <w:proofErr w:type="spellEnd"/>
      <w:r w:rsidRPr="00783B4B">
        <w:rPr>
          <w:i/>
          <w:sz w:val="22"/>
          <w:szCs w:val="22"/>
          <w:u w:val="single"/>
          <w:lang w:val="sr-Latn-ME"/>
        </w:rPr>
        <w:t xml:space="preserve"> dojke</w:t>
      </w:r>
    </w:p>
    <w:p w14:paraId="553DB99B" w14:textId="1C498A8E" w:rsidR="0017357B" w:rsidRPr="00783B4B" w:rsidRDefault="006E4173" w:rsidP="00783B4B">
      <w:pPr>
        <w:pStyle w:val="NormalWeb"/>
        <w:spacing w:after="0" w:afterAutospacing="0"/>
        <w:jc w:val="both"/>
        <w:rPr>
          <w:i/>
          <w:sz w:val="22"/>
          <w:szCs w:val="22"/>
          <w:lang w:val="sr-Latn-ME"/>
        </w:rPr>
      </w:pPr>
      <w:r w:rsidRPr="00783B4B">
        <w:rPr>
          <w:i/>
          <w:sz w:val="22"/>
          <w:szCs w:val="22"/>
          <w:lang w:val="sr-Latn-ME"/>
        </w:rPr>
        <w:t xml:space="preserve">Prva linija terapije kod </w:t>
      </w:r>
      <w:r w:rsidR="005027E9" w:rsidRPr="00783B4B">
        <w:rPr>
          <w:i/>
          <w:sz w:val="22"/>
          <w:szCs w:val="22"/>
          <w:lang w:val="sr-Latn-ME" w:eastAsia="en-US"/>
        </w:rPr>
        <w:t xml:space="preserve">žena u </w:t>
      </w:r>
      <w:proofErr w:type="spellStart"/>
      <w:r w:rsidR="005027E9" w:rsidRPr="00783B4B">
        <w:rPr>
          <w:i/>
          <w:sz w:val="22"/>
          <w:szCs w:val="22"/>
          <w:lang w:val="sr-Latn-ME" w:eastAsia="en-US"/>
        </w:rPr>
        <w:t>postmenopauzi</w:t>
      </w:r>
      <w:proofErr w:type="spellEnd"/>
      <w:r w:rsidRPr="00783B4B">
        <w:rPr>
          <w:i/>
          <w:sz w:val="22"/>
          <w:szCs w:val="22"/>
          <w:lang w:val="sr-Latn-ME"/>
        </w:rPr>
        <w:t xml:space="preserve"> sa </w:t>
      </w:r>
      <w:proofErr w:type="spellStart"/>
      <w:r w:rsidRPr="00783B4B">
        <w:rPr>
          <w:i/>
          <w:sz w:val="22"/>
          <w:szCs w:val="22"/>
          <w:lang w:val="sr-Latn-ME"/>
        </w:rPr>
        <w:t>uznapredovalim</w:t>
      </w:r>
      <w:proofErr w:type="spellEnd"/>
      <w:r w:rsidRPr="00783B4B">
        <w:rPr>
          <w:i/>
          <w:sz w:val="22"/>
          <w:szCs w:val="22"/>
          <w:lang w:val="sr-Latn-ME"/>
        </w:rPr>
        <w:t xml:space="preserve"> </w:t>
      </w:r>
      <w:proofErr w:type="spellStart"/>
      <w:r w:rsidRPr="00783B4B">
        <w:rPr>
          <w:i/>
          <w:sz w:val="22"/>
          <w:szCs w:val="22"/>
          <w:lang w:val="sr-Latn-ME"/>
        </w:rPr>
        <w:t>karcinomom</w:t>
      </w:r>
      <w:proofErr w:type="spellEnd"/>
      <w:r w:rsidRPr="00783B4B">
        <w:rPr>
          <w:i/>
          <w:sz w:val="22"/>
          <w:szCs w:val="22"/>
          <w:lang w:val="sr-Latn-ME"/>
        </w:rPr>
        <w:t xml:space="preserve"> dojke</w:t>
      </w:r>
      <w:r w:rsidR="005027E9" w:rsidRPr="00783B4B">
        <w:rPr>
          <w:i/>
          <w:sz w:val="22"/>
          <w:szCs w:val="22"/>
          <w:lang w:val="sr-Latn-ME"/>
        </w:rPr>
        <w:t>.</w:t>
      </w:r>
    </w:p>
    <w:p w14:paraId="5BE421B8" w14:textId="77777777" w:rsidR="005027E9" w:rsidRPr="00783B4B" w:rsidRDefault="005027E9" w:rsidP="00783B4B">
      <w:pPr>
        <w:pStyle w:val="NormalWeb"/>
        <w:spacing w:before="0" w:beforeAutospacing="0" w:after="0" w:afterAutospacing="0"/>
        <w:jc w:val="both"/>
        <w:rPr>
          <w:i/>
          <w:sz w:val="22"/>
          <w:szCs w:val="22"/>
          <w:lang w:val="sr-Latn-ME"/>
        </w:rPr>
      </w:pPr>
    </w:p>
    <w:p w14:paraId="20538AD0" w14:textId="13D9EA82" w:rsidR="006E4173" w:rsidRPr="00783B4B" w:rsidRDefault="006E4173" w:rsidP="00783B4B">
      <w:pPr>
        <w:pStyle w:val="NormalWeb"/>
        <w:spacing w:before="0" w:beforeAutospacing="0" w:after="0" w:afterAutospacing="0"/>
        <w:jc w:val="both"/>
        <w:rPr>
          <w:sz w:val="22"/>
          <w:szCs w:val="22"/>
          <w:lang w:val="sr-Latn-ME"/>
        </w:rPr>
      </w:pPr>
      <w:r w:rsidRPr="00783B4B">
        <w:rPr>
          <w:sz w:val="22"/>
          <w:szCs w:val="22"/>
          <w:lang w:val="sr-Latn-ME"/>
        </w:rPr>
        <w:t>Dvije dvostruko slijepe, kontrolisane kliničke studije sličnog dizajna (</w:t>
      </w:r>
      <w:proofErr w:type="spellStart"/>
      <w:r w:rsidRPr="00783B4B">
        <w:rPr>
          <w:sz w:val="22"/>
          <w:szCs w:val="22"/>
          <w:lang w:val="sr-Latn-ME"/>
        </w:rPr>
        <w:t>1033IL</w:t>
      </w:r>
      <w:proofErr w:type="spellEnd"/>
      <w:r w:rsidRPr="00783B4B">
        <w:rPr>
          <w:sz w:val="22"/>
          <w:szCs w:val="22"/>
          <w:lang w:val="sr-Latn-ME"/>
        </w:rPr>
        <w:t>/0030</w:t>
      </w:r>
      <w:r w:rsidR="004F5DB3" w:rsidRPr="00783B4B">
        <w:rPr>
          <w:sz w:val="22"/>
          <w:szCs w:val="22"/>
          <w:lang w:val="sr-Latn-ME"/>
        </w:rPr>
        <w:t xml:space="preserve"> studija</w:t>
      </w:r>
      <w:r w:rsidRPr="00783B4B">
        <w:rPr>
          <w:sz w:val="22"/>
          <w:szCs w:val="22"/>
          <w:lang w:val="sr-Latn-ME"/>
        </w:rPr>
        <w:t xml:space="preserve"> i </w:t>
      </w:r>
      <w:r w:rsidR="004F5DB3" w:rsidRPr="00783B4B">
        <w:rPr>
          <w:sz w:val="22"/>
          <w:szCs w:val="22"/>
          <w:lang w:val="sr-Latn-ME"/>
        </w:rPr>
        <w:t xml:space="preserve">studija </w:t>
      </w:r>
      <w:proofErr w:type="spellStart"/>
      <w:r w:rsidRPr="00783B4B">
        <w:rPr>
          <w:sz w:val="22"/>
          <w:szCs w:val="22"/>
          <w:lang w:val="sr-Latn-ME"/>
        </w:rPr>
        <w:t>1033IL</w:t>
      </w:r>
      <w:proofErr w:type="spellEnd"/>
      <w:r w:rsidRPr="00783B4B">
        <w:rPr>
          <w:sz w:val="22"/>
          <w:szCs w:val="22"/>
          <w:lang w:val="sr-Latn-ME"/>
        </w:rPr>
        <w:t xml:space="preserve">/0027) </w:t>
      </w:r>
      <w:r w:rsidR="007208BB" w:rsidRPr="00783B4B">
        <w:rPr>
          <w:sz w:val="22"/>
          <w:szCs w:val="22"/>
          <w:lang w:val="sr-Latn-ME"/>
        </w:rPr>
        <w:t xml:space="preserve">su </w:t>
      </w:r>
      <w:r w:rsidRPr="00783B4B">
        <w:rPr>
          <w:sz w:val="22"/>
          <w:szCs w:val="22"/>
          <w:lang w:val="sr-Latn-ME"/>
        </w:rPr>
        <w:t xml:space="preserve">sprovedene </w:t>
      </w:r>
      <w:r w:rsidR="007208BB" w:rsidRPr="00783B4B">
        <w:rPr>
          <w:sz w:val="22"/>
          <w:szCs w:val="22"/>
          <w:lang w:val="sr-Latn-ME"/>
        </w:rPr>
        <w:t>kako</w:t>
      </w:r>
      <w:r w:rsidRPr="00783B4B">
        <w:rPr>
          <w:sz w:val="22"/>
          <w:szCs w:val="22"/>
          <w:lang w:val="sr-Latn-ME"/>
        </w:rPr>
        <w:t xml:space="preserve"> bi se </w:t>
      </w:r>
      <w:r w:rsidR="00603DCA" w:rsidRPr="00783B4B">
        <w:rPr>
          <w:sz w:val="22"/>
          <w:szCs w:val="22"/>
          <w:lang w:val="sr-Latn-ME" w:eastAsia="en-US"/>
        </w:rPr>
        <w:t>proc</w:t>
      </w:r>
      <w:r w:rsidR="00FA4EFC" w:rsidRPr="00783B4B">
        <w:rPr>
          <w:sz w:val="22"/>
          <w:szCs w:val="22"/>
          <w:lang w:val="sr-Latn-ME" w:eastAsia="en-US"/>
        </w:rPr>
        <w:t>ij</w:t>
      </w:r>
      <w:r w:rsidR="00603DCA" w:rsidRPr="00783B4B">
        <w:rPr>
          <w:sz w:val="22"/>
          <w:szCs w:val="22"/>
          <w:lang w:val="sr-Latn-ME" w:eastAsia="en-US"/>
        </w:rPr>
        <w:t>enila</w:t>
      </w:r>
      <w:r w:rsidRPr="00783B4B">
        <w:rPr>
          <w:sz w:val="22"/>
          <w:szCs w:val="22"/>
          <w:lang w:val="sr-Latn-ME"/>
        </w:rPr>
        <w:t xml:space="preserve"> efikasnost </w:t>
      </w:r>
      <w:proofErr w:type="spellStart"/>
      <w:r w:rsidRPr="00783B4B">
        <w:rPr>
          <w:sz w:val="22"/>
          <w:szCs w:val="22"/>
          <w:lang w:val="sr-Latn-ME"/>
        </w:rPr>
        <w:t>anastrozola</w:t>
      </w:r>
      <w:proofErr w:type="spellEnd"/>
      <w:r w:rsidRPr="00783B4B">
        <w:rPr>
          <w:sz w:val="22"/>
          <w:szCs w:val="22"/>
          <w:lang w:val="sr-Latn-ME"/>
        </w:rPr>
        <w:t xml:space="preserve"> u poređenju sa </w:t>
      </w:r>
      <w:proofErr w:type="spellStart"/>
      <w:r w:rsidRPr="00783B4B">
        <w:rPr>
          <w:sz w:val="22"/>
          <w:szCs w:val="22"/>
          <w:lang w:val="sr-Latn-ME"/>
        </w:rPr>
        <w:t>tamoksifenom</w:t>
      </w:r>
      <w:proofErr w:type="spellEnd"/>
      <w:r w:rsidRPr="00783B4B">
        <w:rPr>
          <w:sz w:val="22"/>
          <w:szCs w:val="22"/>
          <w:lang w:val="sr-Latn-ME"/>
        </w:rPr>
        <w:t xml:space="preserve"> kao prvom linijom terapije za hormon receptor-pozitivan ili hormon receptor- nepoznat lokalno uznapredovali ili </w:t>
      </w:r>
      <w:proofErr w:type="spellStart"/>
      <w:r w:rsidR="00DA28DC" w:rsidRPr="00783B4B">
        <w:rPr>
          <w:sz w:val="22"/>
          <w:szCs w:val="22"/>
          <w:lang w:val="sr-Latn-ME"/>
        </w:rPr>
        <w:t>metastatski</w:t>
      </w:r>
      <w:proofErr w:type="spellEnd"/>
      <w:r w:rsidR="00DA28DC" w:rsidRPr="00783B4B">
        <w:rPr>
          <w:sz w:val="22"/>
          <w:szCs w:val="22"/>
          <w:lang w:val="sr-Latn-ME"/>
        </w:rPr>
        <w:t xml:space="preserve"> </w:t>
      </w:r>
      <w:proofErr w:type="spellStart"/>
      <w:r w:rsidRPr="00783B4B">
        <w:rPr>
          <w:sz w:val="22"/>
          <w:szCs w:val="22"/>
          <w:lang w:val="sr-Latn-ME"/>
        </w:rPr>
        <w:t>karcinom</w:t>
      </w:r>
      <w:proofErr w:type="spellEnd"/>
      <w:r w:rsidRPr="00783B4B">
        <w:rPr>
          <w:sz w:val="22"/>
          <w:szCs w:val="22"/>
          <w:lang w:val="sr-Latn-ME"/>
        </w:rPr>
        <w:t xml:space="preserve"> dojke kod žena</w:t>
      </w:r>
      <w:r w:rsidR="00FE574F" w:rsidRPr="00783B4B">
        <w:rPr>
          <w:sz w:val="22"/>
          <w:szCs w:val="22"/>
          <w:lang w:val="sr-Latn-ME"/>
        </w:rPr>
        <w:t xml:space="preserve"> u </w:t>
      </w:r>
      <w:proofErr w:type="spellStart"/>
      <w:r w:rsidR="00FE574F" w:rsidRPr="00783B4B">
        <w:rPr>
          <w:sz w:val="22"/>
          <w:szCs w:val="22"/>
          <w:lang w:val="sr-Latn-ME"/>
        </w:rPr>
        <w:t>postmenopauzi</w:t>
      </w:r>
      <w:proofErr w:type="spellEnd"/>
      <w:r w:rsidRPr="00783B4B">
        <w:rPr>
          <w:sz w:val="22"/>
          <w:szCs w:val="22"/>
          <w:lang w:val="sr-Latn-ME"/>
        </w:rPr>
        <w:t xml:space="preserve">. Ukupno 1021 </w:t>
      </w:r>
      <w:proofErr w:type="spellStart"/>
      <w:r w:rsidRPr="00783B4B">
        <w:rPr>
          <w:sz w:val="22"/>
          <w:szCs w:val="22"/>
          <w:lang w:val="sr-Latn-ME"/>
        </w:rPr>
        <w:t>pacijentkinja</w:t>
      </w:r>
      <w:proofErr w:type="spellEnd"/>
      <w:r w:rsidRPr="00783B4B">
        <w:rPr>
          <w:sz w:val="22"/>
          <w:szCs w:val="22"/>
          <w:lang w:val="sr-Latn-ME"/>
        </w:rPr>
        <w:t xml:space="preserve"> je </w:t>
      </w:r>
      <w:proofErr w:type="spellStart"/>
      <w:r w:rsidRPr="00783B4B">
        <w:rPr>
          <w:sz w:val="22"/>
          <w:szCs w:val="22"/>
          <w:lang w:val="sr-Latn-ME"/>
        </w:rPr>
        <w:t>randomizovan</w:t>
      </w:r>
      <w:r w:rsidR="00BD4304" w:rsidRPr="00783B4B">
        <w:rPr>
          <w:sz w:val="22"/>
          <w:szCs w:val="22"/>
          <w:lang w:val="sr-Latn-ME"/>
        </w:rPr>
        <w:t>a</w:t>
      </w:r>
      <w:proofErr w:type="spellEnd"/>
      <w:r w:rsidRPr="00783B4B">
        <w:rPr>
          <w:sz w:val="22"/>
          <w:szCs w:val="22"/>
          <w:lang w:val="sr-Latn-ME"/>
        </w:rPr>
        <w:t xml:space="preserve"> da </w:t>
      </w:r>
      <w:r w:rsidR="00BD4304" w:rsidRPr="00783B4B">
        <w:rPr>
          <w:sz w:val="22"/>
          <w:szCs w:val="22"/>
          <w:lang w:val="sr-Latn-ME"/>
        </w:rPr>
        <w:t xml:space="preserve">prima </w:t>
      </w:r>
      <w:r w:rsidRPr="00783B4B">
        <w:rPr>
          <w:sz w:val="22"/>
          <w:szCs w:val="22"/>
          <w:lang w:val="sr-Latn-ME"/>
        </w:rPr>
        <w:t xml:space="preserve">1 mg </w:t>
      </w:r>
      <w:proofErr w:type="spellStart"/>
      <w:r w:rsidRPr="00783B4B">
        <w:rPr>
          <w:sz w:val="22"/>
          <w:szCs w:val="22"/>
          <w:lang w:val="sr-Latn-ME"/>
        </w:rPr>
        <w:t>anastrozola</w:t>
      </w:r>
      <w:proofErr w:type="spellEnd"/>
      <w:r w:rsidRPr="00783B4B">
        <w:rPr>
          <w:sz w:val="22"/>
          <w:szCs w:val="22"/>
          <w:lang w:val="sr-Latn-ME"/>
        </w:rPr>
        <w:t xml:space="preserve"> jednom dnevno ili 20 mg </w:t>
      </w:r>
      <w:proofErr w:type="spellStart"/>
      <w:r w:rsidRPr="00783B4B">
        <w:rPr>
          <w:sz w:val="22"/>
          <w:szCs w:val="22"/>
          <w:lang w:val="sr-Latn-ME"/>
        </w:rPr>
        <w:t>tamoksifena</w:t>
      </w:r>
      <w:proofErr w:type="spellEnd"/>
      <w:r w:rsidRPr="00783B4B">
        <w:rPr>
          <w:sz w:val="22"/>
          <w:szCs w:val="22"/>
          <w:lang w:val="sr-Latn-ME"/>
        </w:rPr>
        <w:t xml:space="preserve"> jednom dnevno. Primarni </w:t>
      </w:r>
      <w:r w:rsidR="00304AC0" w:rsidRPr="00783B4B">
        <w:rPr>
          <w:sz w:val="22"/>
          <w:szCs w:val="22"/>
          <w:lang w:val="sr-Latn-ME" w:eastAsia="en-US"/>
        </w:rPr>
        <w:t xml:space="preserve">parametri praćenja </w:t>
      </w:r>
      <w:r w:rsidRPr="00783B4B">
        <w:rPr>
          <w:sz w:val="22"/>
          <w:szCs w:val="22"/>
          <w:lang w:val="sr-Latn-ME"/>
        </w:rPr>
        <w:t>ishod</w:t>
      </w:r>
      <w:r w:rsidR="00304AC0" w:rsidRPr="00783B4B">
        <w:rPr>
          <w:sz w:val="22"/>
          <w:szCs w:val="22"/>
          <w:lang w:val="sr-Latn-ME"/>
        </w:rPr>
        <w:t>a</w:t>
      </w:r>
      <w:r w:rsidRPr="00783B4B">
        <w:rPr>
          <w:sz w:val="22"/>
          <w:szCs w:val="22"/>
          <w:lang w:val="sr-Latn-ME"/>
        </w:rPr>
        <w:t xml:space="preserve"> </w:t>
      </w:r>
      <w:r w:rsidR="00EE6D43" w:rsidRPr="00783B4B">
        <w:rPr>
          <w:sz w:val="22"/>
          <w:szCs w:val="22"/>
          <w:lang w:val="sr-Latn-ME" w:eastAsia="en-US"/>
        </w:rPr>
        <w:t>za ob</w:t>
      </w:r>
      <w:r w:rsidR="00FA4EFC" w:rsidRPr="00783B4B">
        <w:rPr>
          <w:sz w:val="22"/>
          <w:szCs w:val="22"/>
          <w:lang w:val="sr-Latn-ME" w:eastAsia="en-US"/>
        </w:rPr>
        <w:t>j</w:t>
      </w:r>
      <w:r w:rsidR="00EE6D43" w:rsidRPr="00783B4B">
        <w:rPr>
          <w:sz w:val="22"/>
          <w:szCs w:val="22"/>
          <w:lang w:val="sr-Latn-ME" w:eastAsia="en-US"/>
        </w:rPr>
        <w:t xml:space="preserve">e studije su bili </w:t>
      </w:r>
      <w:r w:rsidRPr="00783B4B">
        <w:rPr>
          <w:sz w:val="22"/>
          <w:szCs w:val="22"/>
          <w:lang w:val="sr-Latn-ME"/>
        </w:rPr>
        <w:t xml:space="preserve">vrijeme do progresije tumora, </w:t>
      </w:r>
      <w:r w:rsidR="00D7191F" w:rsidRPr="00783B4B">
        <w:rPr>
          <w:sz w:val="22"/>
          <w:szCs w:val="22"/>
          <w:lang w:val="sr-Latn-ME" w:eastAsia="en-US"/>
        </w:rPr>
        <w:t>objektivna stopa odgovora tumora na l</w:t>
      </w:r>
      <w:r w:rsidR="00FA4EFC" w:rsidRPr="00783B4B">
        <w:rPr>
          <w:sz w:val="22"/>
          <w:szCs w:val="22"/>
          <w:lang w:val="sr-Latn-ME" w:eastAsia="en-US"/>
        </w:rPr>
        <w:t>ij</w:t>
      </w:r>
      <w:r w:rsidR="00D7191F" w:rsidRPr="00783B4B">
        <w:rPr>
          <w:sz w:val="22"/>
          <w:szCs w:val="22"/>
          <w:lang w:val="sr-Latn-ME" w:eastAsia="en-US"/>
        </w:rPr>
        <w:t xml:space="preserve">ečenje </w:t>
      </w:r>
      <w:r w:rsidRPr="00783B4B">
        <w:rPr>
          <w:sz w:val="22"/>
          <w:szCs w:val="22"/>
          <w:lang w:val="sr-Latn-ME"/>
        </w:rPr>
        <w:t>i bezbjednost</w:t>
      </w:r>
      <w:r w:rsidR="00D7191F" w:rsidRPr="00783B4B">
        <w:rPr>
          <w:sz w:val="22"/>
          <w:szCs w:val="22"/>
          <w:lang w:val="sr-Latn-ME"/>
        </w:rPr>
        <w:t xml:space="preserve"> prim</w:t>
      </w:r>
      <w:r w:rsidR="00FA4EFC" w:rsidRPr="00783B4B">
        <w:rPr>
          <w:sz w:val="22"/>
          <w:szCs w:val="22"/>
          <w:lang w:val="sr-Latn-ME"/>
        </w:rPr>
        <w:t>j</w:t>
      </w:r>
      <w:r w:rsidR="00D7191F" w:rsidRPr="00783B4B">
        <w:rPr>
          <w:sz w:val="22"/>
          <w:szCs w:val="22"/>
          <w:lang w:val="sr-Latn-ME"/>
        </w:rPr>
        <w:t>ene</w:t>
      </w:r>
      <w:r w:rsidRPr="00783B4B">
        <w:rPr>
          <w:sz w:val="22"/>
          <w:szCs w:val="22"/>
          <w:lang w:val="sr-Latn-ME"/>
        </w:rPr>
        <w:t>.</w:t>
      </w:r>
    </w:p>
    <w:p w14:paraId="40010E87" w14:textId="77777777" w:rsidR="006E4173" w:rsidRPr="00783B4B" w:rsidRDefault="006E4173" w:rsidP="00783B4B">
      <w:pPr>
        <w:pStyle w:val="NormalWeb"/>
        <w:spacing w:before="0" w:beforeAutospacing="0" w:after="0" w:afterAutospacing="0"/>
        <w:jc w:val="both"/>
        <w:rPr>
          <w:sz w:val="22"/>
          <w:szCs w:val="22"/>
          <w:lang w:val="sr-Latn-ME"/>
        </w:rPr>
      </w:pPr>
    </w:p>
    <w:p w14:paraId="03971708" w14:textId="2C7EF824" w:rsidR="006E4173" w:rsidRPr="00783B4B" w:rsidRDefault="008108D8" w:rsidP="00783B4B">
      <w:pPr>
        <w:pStyle w:val="NormalWeb"/>
        <w:spacing w:before="0" w:beforeAutospacing="0" w:after="0" w:afterAutospacing="0"/>
        <w:jc w:val="both"/>
        <w:rPr>
          <w:sz w:val="22"/>
          <w:szCs w:val="22"/>
          <w:lang w:val="sr-Latn-ME"/>
        </w:rPr>
      </w:pPr>
      <w:r w:rsidRPr="00783B4B">
        <w:rPr>
          <w:sz w:val="22"/>
          <w:szCs w:val="22"/>
          <w:lang w:val="sr-Latn-ME" w:eastAsia="en-US"/>
        </w:rPr>
        <w:t>Za primarne parametre praćenja</w:t>
      </w:r>
      <w:r w:rsidR="006E4173" w:rsidRPr="00783B4B">
        <w:rPr>
          <w:sz w:val="22"/>
          <w:szCs w:val="22"/>
          <w:lang w:val="sr-Latn-ME"/>
        </w:rPr>
        <w:t xml:space="preserve">, </w:t>
      </w:r>
      <w:r w:rsidRPr="00783B4B">
        <w:rPr>
          <w:sz w:val="22"/>
          <w:szCs w:val="22"/>
          <w:lang w:val="sr-Latn-ME"/>
        </w:rPr>
        <w:t xml:space="preserve">studija </w:t>
      </w:r>
      <w:proofErr w:type="spellStart"/>
      <w:r w:rsidR="006E4173" w:rsidRPr="00783B4B">
        <w:rPr>
          <w:sz w:val="22"/>
          <w:szCs w:val="22"/>
          <w:lang w:val="sr-Latn-ME"/>
        </w:rPr>
        <w:t>1033IL</w:t>
      </w:r>
      <w:proofErr w:type="spellEnd"/>
      <w:r w:rsidR="006E4173" w:rsidRPr="00783B4B">
        <w:rPr>
          <w:sz w:val="22"/>
          <w:szCs w:val="22"/>
          <w:lang w:val="sr-Latn-ME"/>
        </w:rPr>
        <w:t xml:space="preserve">/0030 </w:t>
      </w:r>
      <w:r w:rsidRPr="00783B4B">
        <w:rPr>
          <w:sz w:val="22"/>
          <w:szCs w:val="22"/>
          <w:lang w:val="sr-Latn-ME"/>
        </w:rPr>
        <w:t xml:space="preserve">je </w:t>
      </w:r>
      <w:r w:rsidR="006E4173" w:rsidRPr="00783B4B">
        <w:rPr>
          <w:sz w:val="22"/>
          <w:szCs w:val="22"/>
          <w:lang w:val="sr-Latn-ME"/>
        </w:rPr>
        <w:t xml:space="preserve">pokazala da </w:t>
      </w:r>
      <w:proofErr w:type="spellStart"/>
      <w:r w:rsidR="006E4173" w:rsidRPr="00783B4B">
        <w:rPr>
          <w:sz w:val="22"/>
          <w:szCs w:val="22"/>
          <w:lang w:val="sr-Latn-ME"/>
        </w:rPr>
        <w:t>anastrozol</w:t>
      </w:r>
      <w:proofErr w:type="spellEnd"/>
      <w:r w:rsidR="006E4173" w:rsidRPr="00783B4B">
        <w:rPr>
          <w:sz w:val="22"/>
          <w:szCs w:val="22"/>
          <w:lang w:val="sr-Latn-ME"/>
        </w:rPr>
        <w:t xml:space="preserve"> ima statistički značajnu </w:t>
      </w:r>
      <w:proofErr w:type="spellStart"/>
      <w:r w:rsidR="006E4173" w:rsidRPr="00783B4B">
        <w:rPr>
          <w:sz w:val="22"/>
          <w:szCs w:val="22"/>
          <w:lang w:val="sr-Latn-ME"/>
        </w:rPr>
        <w:t>prednost</w:t>
      </w:r>
      <w:proofErr w:type="spellEnd"/>
      <w:r w:rsidR="006E4173" w:rsidRPr="00783B4B">
        <w:rPr>
          <w:sz w:val="22"/>
          <w:szCs w:val="22"/>
          <w:lang w:val="sr-Latn-ME"/>
        </w:rPr>
        <w:t xml:space="preserve"> nad </w:t>
      </w:r>
      <w:proofErr w:type="spellStart"/>
      <w:r w:rsidR="006E4173" w:rsidRPr="00783B4B">
        <w:rPr>
          <w:sz w:val="22"/>
          <w:szCs w:val="22"/>
          <w:lang w:val="sr-Latn-ME"/>
        </w:rPr>
        <w:t>tamoksifenom</w:t>
      </w:r>
      <w:proofErr w:type="spellEnd"/>
      <w:r w:rsidR="006E4173" w:rsidRPr="00783B4B">
        <w:rPr>
          <w:sz w:val="22"/>
          <w:szCs w:val="22"/>
          <w:lang w:val="sr-Latn-ME"/>
        </w:rPr>
        <w:t xml:space="preserve"> u </w:t>
      </w:r>
      <w:proofErr w:type="spellStart"/>
      <w:r w:rsidR="00BA4A68" w:rsidRPr="00783B4B">
        <w:rPr>
          <w:sz w:val="22"/>
          <w:szCs w:val="22"/>
          <w:lang w:val="sr-Latn-ME"/>
        </w:rPr>
        <w:t>vremenu</w:t>
      </w:r>
      <w:proofErr w:type="spellEnd"/>
      <w:r w:rsidR="00BA4A68" w:rsidRPr="00783B4B">
        <w:rPr>
          <w:sz w:val="22"/>
          <w:szCs w:val="22"/>
          <w:lang w:val="sr-Latn-ME"/>
        </w:rPr>
        <w:t xml:space="preserve"> </w:t>
      </w:r>
      <w:r w:rsidR="006E4173" w:rsidRPr="00783B4B">
        <w:rPr>
          <w:sz w:val="22"/>
          <w:szCs w:val="22"/>
          <w:lang w:val="sr-Latn-ME"/>
        </w:rPr>
        <w:t>do progresije tumora (</w:t>
      </w:r>
      <w:r w:rsidR="00AA3936" w:rsidRPr="00783B4B">
        <w:rPr>
          <w:i/>
          <w:sz w:val="22"/>
          <w:szCs w:val="22"/>
          <w:lang w:val="sr-Latn-ME" w:eastAsia="en-US"/>
        </w:rPr>
        <w:t xml:space="preserve">Hazard </w:t>
      </w:r>
      <w:proofErr w:type="spellStart"/>
      <w:r w:rsidR="00AA3936" w:rsidRPr="00783B4B">
        <w:rPr>
          <w:i/>
          <w:sz w:val="22"/>
          <w:szCs w:val="22"/>
          <w:lang w:val="sr-Latn-ME" w:eastAsia="en-US"/>
        </w:rPr>
        <w:t>ratio</w:t>
      </w:r>
      <w:proofErr w:type="spellEnd"/>
      <w:r w:rsidR="00AA3936" w:rsidRPr="00783B4B">
        <w:rPr>
          <w:sz w:val="22"/>
          <w:szCs w:val="22"/>
          <w:lang w:val="sr-Latn-ME" w:eastAsia="en-US"/>
        </w:rPr>
        <w:t xml:space="preserve"> </w:t>
      </w:r>
      <w:r w:rsidR="006E4173" w:rsidRPr="00783B4B">
        <w:rPr>
          <w:sz w:val="22"/>
          <w:szCs w:val="22"/>
          <w:lang w:val="sr-Latn-ME"/>
        </w:rPr>
        <w:t>(</w:t>
      </w:r>
      <w:proofErr w:type="spellStart"/>
      <w:r w:rsidR="006E4173" w:rsidRPr="00783B4B">
        <w:rPr>
          <w:sz w:val="22"/>
          <w:szCs w:val="22"/>
          <w:lang w:val="sr-Latn-ME"/>
        </w:rPr>
        <w:t>HR</w:t>
      </w:r>
      <w:proofErr w:type="spellEnd"/>
      <w:r w:rsidR="006E4173" w:rsidRPr="00783B4B">
        <w:rPr>
          <w:sz w:val="22"/>
          <w:szCs w:val="22"/>
          <w:lang w:val="sr-Latn-ME"/>
        </w:rPr>
        <w:t xml:space="preserve">) 1,42, 95% </w:t>
      </w:r>
      <w:r w:rsidR="00AF2F61" w:rsidRPr="00783B4B">
        <w:rPr>
          <w:sz w:val="22"/>
          <w:szCs w:val="22"/>
          <w:lang w:val="sr-Latn-ME" w:eastAsia="en-US"/>
        </w:rPr>
        <w:t xml:space="preserve">(engl. </w:t>
      </w:r>
      <w:proofErr w:type="spellStart"/>
      <w:r w:rsidR="00AF2F61" w:rsidRPr="00783B4B">
        <w:rPr>
          <w:i/>
          <w:sz w:val="22"/>
          <w:szCs w:val="22"/>
          <w:lang w:val="sr-Latn-ME" w:eastAsia="en-US"/>
        </w:rPr>
        <w:t>confidence</w:t>
      </w:r>
      <w:proofErr w:type="spellEnd"/>
      <w:r w:rsidR="00AF2F61" w:rsidRPr="00783B4B">
        <w:rPr>
          <w:i/>
          <w:sz w:val="22"/>
          <w:szCs w:val="22"/>
          <w:lang w:val="sr-Latn-ME" w:eastAsia="en-US"/>
        </w:rPr>
        <w:t xml:space="preserve"> interval</w:t>
      </w:r>
      <w:r w:rsidR="00AF2F61" w:rsidRPr="00783B4B">
        <w:rPr>
          <w:sz w:val="22"/>
          <w:szCs w:val="22"/>
          <w:lang w:val="sr-Latn-ME" w:eastAsia="en-US"/>
        </w:rPr>
        <w:t xml:space="preserve">, CI) </w:t>
      </w:r>
      <w:r w:rsidR="006E4173" w:rsidRPr="00783B4B">
        <w:rPr>
          <w:sz w:val="22"/>
          <w:szCs w:val="22"/>
          <w:lang w:val="sr-Latn-ME"/>
        </w:rPr>
        <w:t xml:space="preserve">[1,11, 1,82]); </w:t>
      </w:r>
      <w:proofErr w:type="spellStart"/>
      <w:r w:rsidR="00FB51C7" w:rsidRPr="00783B4B">
        <w:rPr>
          <w:sz w:val="22"/>
          <w:szCs w:val="22"/>
          <w:lang w:val="sr-Latn-ME" w:eastAsia="en-US"/>
        </w:rPr>
        <w:t>medijana</w:t>
      </w:r>
      <w:proofErr w:type="spellEnd"/>
      <w:r w:rsidR="006E4173" w:rsidRPr="00783B4B">
        <w:rPr>
          <w:sz w:val="22"/>
          <w:szCs w:val="22"/>
          <w:lang w:val="sr-Latn-ME"/>
        </w:rPr>
        <w:t xml:space="preserve"> vrijeme</w:t>
      </w:r>
      <w:r w:rsidR="00FB51C7" w:rsidRPr="00783B4B">
        <w:rPr>
          <w:sz w:val="22"/>
          <w:szCs w:val="22"/>
          <w:lang w:val="sr-Latn-ME"/>
        </w:rPr>
        <w:t>na</w:t>
      </w:r>
      <w:r w:rsidR="006E4173" w:rsidRPr="00783B4B">
        <w:rPr>
          <w:sz w:val="22"/>
          <w:szCs w:val="22"/>
          <w:lang w:val="sr-Latn-ME"/>
        </w:rPr>
        <w:t xml:space="preserve"> do progresije 11,1 </w:t>
      </w:r>
      <w:r w:rsidR="004A08B5" w:rsidRPr="00783B4B">
        <w:rPr>
          <w:sz w:val="22"/>
          <w:szCs w:val="22"/>
          <w:lang w:val="sr-Latn-ME"/>
        </w:rPr>
        <w:t xml:space="preserve">i </w:t>
      </w:r>
      <w:r w:rsidR="006E4173" w:rsidRPr="00783B4B">
        <w:rPr>
          <w:sz w:val="22"/>
          <w:szCs w:val="22"/>
          <w:lang w:val="sr-Latn-ME"/>
        </w:rPr>
        <w:t xml:space="preserve">5,6 mjeseci za </w:t>
      </w:r>
      <w:proofErr w:type="spellStart"/>
      <w:r w:rsidR="00F46BB5" w:rsidRPr="00783B4B">
        <w:rPr>
          <w:sz w:val="22"/>
          <w:szCs w:val="22"/>
          <w:lang w:val="sr-Latn-ME"/>
        </w:rPr>
        <w:t>anastrozol</w:t>
      </w:r>
      <w:proofErr w:type="spellEnd"/>
      <w:r w:rsidR="00F46BB5" w:rsidRPr="00783B4B">
        <w:rPr>
          <w:sz w:val="22"/>
          <w:szCs w:val="22"/>
          <w:lang w:val="sr-Latn-ME"/>
        </w:rPr>
        <w:t xml:space="preserve"> i </w:t>
      </w:r>
      <w:proofErr w:type="spellStart"/>
      <w:r w:rsidR="006E4173" w:rsidRPr="00783B4B">
        <w:rPr>
          <w:sz w:val="22"/>
          <w:szCs w:val="22"/>
          <w:lang w:val="sr-Latn-ME"/>
        </w:rPr>
        <w:t>tamoksifen</w:t>
      </w:r>
      <w:proofErr w:type="spellEnd"/>
      <w:r w:rsidR="006E4173" w:rsidRPr="00783B4B">
        <w:rPr>
          <w:sz w:val="22"/>
          <w:szCs w:val="22"/>
          <w:lang w:val="sr-Latn-ME"/>
        </w:rPr>
        <w:t>, p=0</w:t>
      </w:r>
      <w:r w:rsidR="00F46BB5" w:rsidRPr="00783B4B">
        <w:rPr>
          <w:sz w:val="22"/>
          <w:szCs w:val="22"/>
          <w:lang w:val="sr-Latn-ME"/>
        </w:rPr>
        <w:t>,</w:t>
      </w:r>
      <w:r w:rsidR="006E4173" w:rsidRPr="00783B4B">
        <w:rPr>
          <w:sz w:val="22"/>
          <w:szCs w:val="22"/>
          <w:lang w:val="sr-Latn-ME"/>
        </w:rPr>
        <w:t xml:space="preserve">006); </w:t>
      </w:r>
      <w:r w:rsidR="00906525" w:rsidRPr="00783B4B">
        <w:rPr>
          <w:sz w:val="22"/>
          <w:szCs w:val="22"/>
          <w:lang w:val="sr-Latn-ME" w:eastAsia="en-US"/>
        </w:rPr>
        <w:t>objektivne stope odgovora tumora na l</w:t>
      </w:r>
      <w:r w:rsidR="00FA4EFC" w:rsidRPr="00783B4B">
        <w:rPr>
          <w:sz w:val="22"/>
          <w:szCs w:val="22"/>
          <w:lang w:val="sr-Latn-ME" w:eastAsia="en-US"/>
        </w:rPr>
        <w:t>ij</w:t>
      </w:r>
      <w:r w:rsidR="00906525" w:rsidRPr="00783B4B">
        <w:rPr>
          <w:sz w:val="22"/>
          <w:szCs w:val="22"/>
          <w:lang w:val="sr-Latn-ME" w:eastAsia="en-US"/>
        </w:rPr>
        <w:t>ečenje bile su</w:t>
      </w:r>
      <w:r w:rsidR="006E4173" w:rsidRPr="00783B4B">
        <w:rPr>
          <w:sz w:val="22"/>
          <w:szCs w:val="22"/>
          <w:lang w:val="sr-Latn-ME"/>
        </w:rPr>
        <w:t xml:space="preserve"> </w:t>
      </w:r>
      <w:r w:rsidR="00906525" w:rsidRPr="00783B4B">
        <w:rPr>
          <w:sz w:val="22"/>
          <w:szCs w:val="22"/>
          <w:lang w:val="sr-Latn-ME"/>
        </w:rPr>
        <w:t xml:space="preserve">slične </w:t>
      </w:r>
      <w:r w:rsidR="006E4173" w:rsidRPr="00783B4B">
        <w:rPr>
          <w:sz w:val="22"/>
          <w:szCs w:val="22"/>
          <w:lang w:val="sr-Latn-ME"/>
        </w:rPr>
        <w:t xml:space="preserve">za </w:t>
      </w:r>
      <w:proofErr w:type="spellStart"/>
      <w:r w:rsidR="006E4173" w:rsidRPr="00783B4B">
        <w:rPr>
          <w:sz w:val="22"/>
          <w:szCs w:val="22"/>
          <w:lang w:val="sr-Latn-ME"/>
        </w:rPr>
        <w:t>anastrozol</w:t>
      </w:r>
      <w:proofErr w:type="spellEnd"/>
      <w:r w:rsidR="006E4173" w:rsidRPr="00783B4B">
        <w:rPr>
          <w:sz w:val="22"/>
          <w:szCs w:val="22"/>
          <w:lang w:val="sr-Latn-ME"/>
        </w:rPr>
        <w:t xml:space="preserve"> i </w:t>
      </w:r>
      <w:proofErr w:type="spellStart"/>
      <w:r w:rsidR="006E4173" w:rsidRPr="00783B4B">
        <w:rPr>
          <w:sz w:val="22"/>
          <w:szCs w:val="22"/>
          <w:lang w:val="sr-Latn-ME"/>
        </w:rPr>
        <w:t>tamoksifen</w:t>
      </w:r>
      <w:proofErr w:type="spellEnd"/>
      <w:r w:rsidR="006E4173" w:rsidRPr="00783B4B">
        <w:rPr>
          <w:sz w:val="22"/>
          <w:szCs w:val="22"/>
          <w:lang w:val="sr-Latn-ME"/>
        </w:rPr>
        <w:t xml:space="preserve">. Studija </w:t>
      </w:r>
      <w:proofErr w:type="spellStart"/>
      <w:r w:rsidR="006E4173" w:rsidRPr="00783B4B">
        <w:rPr>
          <w:sz w:val="22"/>
          <w:szCs w:val="22"/>
          <w:lang w:val="sr-Latn-ME"/>
        </w:rPr>
        <w:t>1033IL</w:t>
      </w:r>
      <w:proofErr w:type="spellEnd"/>
      <w:r w:rsidR="006E4173" w:rsidRPr="00783B4B">
        <w:rPr>
          <w:sz w:val="22"/>
          <w:szCs w:val="22"/>
          <w:lang w:val="sr-Latn-ME"/>
        </w:rPr>
        <w:t xml:space="preserve">/0027 je pokazala da </w:t>
      </w:r>
      <w:r w:rsidR="00906525" w:rsidRPr="00783B4B">
        <w:rPr>
          <w:sz w:val="22"/>
          <w:szCs w:val="22"/>
          <w:lang w:val="sr-Latn-ME"/>
        </w:rPr>
        <w:t xml:space="preserve">su </w:t>
      </w:r>
      <w:proofErr w:type="spellStart"/>
      <w:r w:rsidR="006E4173" w:rsidRPr="00783B4B">
        <w:rPr>
          <w:sz w:val="22"/>
          <w:szCs w:val="22"/>
          <w:lang w:val="sr-Latn-ME"/>
        </w:rPr>
        <w:t>anastrozol</w:t>
      </w:r>
      <w:proofErr w:type="spellEnd"/>
      <w:r w:rsidR="006E4173" w:rsidRPr="00783B4B">
        <w:rPr>
          <w:sz w:val="22"/>
          <w:szCs w:val="22"/>
          <w:lang w:val="sr-Latn-ME"/>
        </w:rPr>
        <w:t xml:space="preserve"> i </w:t>
      </w:r>
      <w:proofErr w:type="spellStart"/>
      <w:r w:rsidR="006E4173" w:rsidRPr="00783B4B">
        <w:rPr>
          <w:sz w:val="22"/>
          <w:szCs w:val="22"/>
          <w:lang w:val="sr-Latn-ME"/>
        </w:rPr>
        <w:t>tamoksifen</w:t>
      </w:r>
      <w:proofErr w:type="spellEnd"/>
      <w:r w:rsidR="006E4173" w:rsidRPr="00783B4B">
        <w:rPr>
          <w:sz w:val="22"/>
          <w:szCs w:val="22"/>
          <w:lang w:val="sr-Latn-ME"/>
        </w:rPr>
        <w:t xml:space="preserve"> ima</w:t>
      </w:r>
      <w:r w:rsidR="005242C5" w:rsidRPr="00783B4B">
        <w:rPr>
          <w:sz w:val="22"/>
          <w:szCs w:val="22"/>
          <w:lang w:val="sr-Latn-ME"/>
        </w:rPr>
        <w:t>li</w:t>
      </w:r>
      <w:r w:rsidR="006E4173" w:rsidRPr="00783B4B">
        <w:rPr>
          <w:sz w:val="22"/>
          <w:szCs w:val="22"/>
          <w:lang w:val="sr-Latn-ME"/>
        </w:rPr>
        <w:t xml:space="preserve"> </w:t>
      </w:r>
      <w:r w:rsidR="005242C5" w:rsidRPr="00783B4B">
        <w:rPr>
          <w:sz w:val="22"/>
          <w:szCs w:val="22"/>
          <w:lang w:val="sr-Latn-ME"/>
        </w:rPr>
        <w:t xml:space="preserve">slične </w:t>
      </w:r>
      <w:r w:rsidR="00F82BD1" w:rsidRPr="00783B4B">
        <w:rPr>
          <w:sz w:val="22"/>
          <w:szCs w:val="22"/>
          <w:lang w:val="sr-Latn-ME"/>
        </w:rPr>
        <w:t xml:space="preserve">objektivne stope </w:t>
      </w:r>
      <w:r w:rsidR="005E0769" w:rsidRPr="00783B4B">
        <w:rPr>
          <w:sz w:val="22"/>
          <w:szCs w:val="22"/>
          <w:lang w:val="sr-Latn-ME" w:eastAsia="en-US"/>
        </w:rPr>
        <w:t>odgovora tumora na l</w:t>
      </w:r>
      <w:r w:rsidR="00D65909" w:rsidRPr="00783B4B">
        <w:rPr>
          <w:sz w:val="22"/>
          <w:szCs w:val="22"/>
          <w:lang w:val="sr-Latn-ME" w:eastAsia="en-US"/>
        </w:rPr>
        <w:t>ij</w:t>
      </w:r>
      <w:r w:rsidR="005E0769" w:rsidRPr="00783B4B">
        <w:rPr>
          <w:sz w:val="22"/>
          <w:szCs w:val="22"/>
          <w:lang w:val="sr-Latn-ME" w:eastAsia="en-US"/>
        </w:rPr>
        <w:t xml:space="preserve">ečenje </w:t>
      </w:r>
      <w:r w:rsidR="006E4173" w:rsidRPr="00783B4B">
        <w:rPr>
          <w:sz w:val="22"/>
          <w:szCs w:val="22"/>
          <w:lang w:val="sr-Latn-ME"/>
        </w:rPr>
        <w:t xml:space="preserve">i vrijeme do progresije tumora. Rezultati sekundarnih parametara </w:t>
      </w:r>
      <w:r w:rsidR="00E6239A" w:rsidRPr="00783B4B">
        <w:rPr>
          <w:sz w:val="22"/>
          <w:szCs w:val="22"/>
          <w:lang w:val="sr-Latn-ME" w:eastAsia="en-US"/>
        </w:rPr>
        <w:t xml:space="preserve">praćenja ishoda su podržavali </w:t>
      </w:r>
      <w:r w:rsidR="00794B68" w:rsidRPr="00783B4B">
        <w:rPr>
          <w:sz w:val="22"/>
          <w:szCs w:val="22"/>
          <w:lang w:val="sr-Latn-ME" w:eastAsia="en-US"/>
        </w:rPr>
        <w:t xml:space="preserve">rezultate </w:t>
      </w:r>
      <w:r w:rsidR="006E4173" w:rsidRPr="00783B4B">
        <w:rPr>
          <w:sz w:val="22"/>
          <w:szCs w:val="22"/>
          <w:lang w:val="sr-Latn-ME"/>
        </w:rPr>
        <w:t xml:space="preserve">primarnih </w:t>
      </w:r>
      <w:r w:rsidR="004C2D5A" w:rsidRPr="00783B4B">
        <w:rPr>
          <w:sz w:val="22"/>
          <w:szCs w:val="22"/>
          <w:lang w:val="sr-Latn-ME"/>
        </w:rPr>
        <w:t xml:space="preserve">parametara praćenja </w:t>
      </w:r>
      <w:r w:rsidR="006E4173" w:rsidRPr="00783B4B">
        <w:rPr>
          <w:sz w:val="22"/>
          <w:szCs w:val="22"/>
          <w:lang w:val="sr-Latn-ME"/>
        </w:rPr>
        <w:t xml:space="preserve">ishoda. </w:t>
      </w:r>
      <w:r w:rsidR="007800EB" w:rsidRPr="00783B4B">
        <w:rPr>
          <w:sz w:val="22"/>
          <w:szCs w:val="22"/>
          <w:lang w:val="sr-Latn-ME" w:eastAsia="en-US"/>
        </w:rPr>
        <w:t>Tokom studija je bilo nedovoljno smrtnih ishoda u ob</w:t>
      </w:r>
      <w:r w:rsidR="00D65909" w:rsidRPr="00783B4B">
        <w:rPr>
          <w:sz w:val="22"/>
          <w:szCs w:val="22"/>
          <w:lang w:val="sr-Latn-ME" w:eastAsia="en-US"/>
        </w:rPr>
        <w:t>j</w:t>
      </w:r>
      <w:r w:rsidR="007800EB" w:rsidRPr="00783B4B">
        <w:rPr>
          <w:sz w:val="22"/>
          <w:szCs w:val="22"/>
          <w:lang w:val="sr-Latn-ME" w:eastAsia="en-US"/>
        </w:rPr>
        <w:t>e grupe da bi se izveo zaključak</w:t>
      </w:r>
      <w:r w:rsidR="006E4173" w:rsidRPr="00783B4B">
        <w:rPr>
          <w:sz w:val="22"/>
          <w:szCs w:val="22"/>
          <w:lang w:val="sr-Latn-ME"/>
        </w:rPr>
        <w:t xml:space="preserve"> o razlikama u ukupnom preživljavanju.</w:t>
      </w:r>
    </w:p>
    <w:p w14:paraId="565B340B" w14:textId="77777777" w:rsidR="006E4173" w:rsidRPr="00783B4B" w:rsidRDefault="006E4173" w:rsidP="00783B4B">
      <w:pPr>
        <w:pStyle w:val="NormalWeb"/>
        <w:spacing w:before="0" w:beforeAutospacing="0" w:after="0" w:afterAutospacing="0"/>
        <w:jc w:val="both"/>
        <w:rPr>
          <w:sz w:val="22"/>
          <w:szCs w:val="22"/>
          <w:lang w:val="sr-Latn-ME"/>
        </w:rPr>
      </w:pPr>
    </w:p>
    <w:p w14:paraId="03E8754C" w14:textId="1E025A37" w:rsidR="006E4173" w:rsidRPr="00783B4B" w:rsidRDefault="004274AD" w:rsidP="00783B4B">
      <w:pPr>
        <w:autoSpaceDE w:val="0"/>
        <w:autoSpaceDN w:val="0"/>
        <w:adjustRightInd w:val="0"/>
        <w:jc w:val="both"/>
        <w:rPr>
          <w:i/>
          <w:iCs/>
          <w:sz w:val="22"/>
          <w:szCs w:val="22"/>
          <w:lang w:val="sr-Latn-ME"/>
        </w:rPr>
      </w:pPr>
      <w:r w:rsidRPr="00783B4B">
        <w:rPr>
          <w:i/>
          <w:sz w:val="22"/>
          <w:szCs w:val="22"/>
          <w:lang w:val="sr-Latn-ME"/>
        </w:rPr>
        <w:t>Druga</w:t>
      </w:r>
      <w:r w:rsidR="006E4173" w:rsidRPr="00783B4B">
        <w:rPr>
          <w:i/>
          <w:iCs/>
          <w:sz w:val="22"/>
          <w:szCs w:val="22"/>
          <w:lang w:val="sr-Latn-ME"/>
        </w:rPr>
        <w:t xml:space="preserve"> linija terapije kod žena u </w:t>
      </w:r>
      <w:proofErr w:type="spellStart"/>
      <w:r w:rsidRPr="00783B4B">
        <w:rPr>
          <w:i/>
          <w:iCs/>
          <w:sz w:val="22"/>
          <w:szCs w:val="22"/>
          <w:lang w:val="sr-Latn-ME"/>
        </w:rPr>
        <w:t>post</w:t>
      </w:r>
      <w:r w:rsidR="006E4173" w:rsidRPr="00783B4B">
        <w:rPr>
          <w:i/>
          <w:iCs/>
          <w:sz w:val="22"/>
          <w:szCs w:val="22"/>
          <w:lang w:val="sr-Latn-ME"/>
        </w:rPr>
        <w:t>menopauzi</w:t>
      </w:r>
      <w:proofErr w:type="spellEnd"/>
      <w:r w:rsidR="006E4173" w:rsidRPr="00783B4B">
        <w:rPr>
          <w:i/>
          <w:iCs/>
          <w:sz w:val="22"/>
          <w:szCs w:val="22"/>
          <w:lang w:val="sr-Latn-ME"/>
        </w:rPr>
        <w:t xml:space="preserve"> sa </w:t>
      </w:r>
      <w:proofErr w:type="spellStart"/>
      <w:r w:rsidR="006E4173" w:rsidRPr="00783B4B">
        <w:rPr>
          <w:i/>
          <w:iCs/>
          <w:sz w:val="22"/>
          <w:szCs w:val="22"/>
          <w:lang w:val="sr-Latn-ME"/>
        </w:rPr>
        <w:t>uznapredovalim</w:t>
      </w:r>
      <w:proofErr w:type="spellEnd"/>
      <w:r w:rsidR="006E4173" w:rsidRPr="00783B4B">
        <w:rPr>
          <w:i/>
          <w:iCs/>
          <w:sz w:val="22"/>
          <w:szCs w:val="22"/>
          <w:lang w:val="sr-Latn-ME"/>
        </w:rPr>
        <w:t xml:space="preserve"> </w:t>
      </w:r>
      <w:proofErr w:type="spellStart"/>
      <w:r w:rsidR="006E4173" w:rsidRPr="00783B4B">
        <w:rPr>
          <w:i/>
          <w:iCs/>
          <w:sz w:val="22"/>
          <w:szCs w:val="22"/>
          <w:lang w:val="sr-Latn-ME"/>
        </w:rPr>
        <w:t>karcinomom</w:t>
      </w:r>
      <w:proofErr w:type="spellEnd"/>
      <w:r w:rsidR="006E4173" w:rsidRPr="00783B4B">
        <w:rPr>
          <w:i/>
          <w:iCs/>
          <w:sz w:val="22"/>
          <w:szCs w:val="22"/>
          <w:lang w:val="sr-Latn-ME"/>
        </w:rPr>
        <w:t xml:space="preserve"> dojke</w:t>
      </w:r>
      <w:r w:rsidRPr="00783B4B">
        <w:rPr>
          <w:i/>
          <w:iCs/>
          <w:sz w:val="22"/>
          <w:szCs w:val="22"/>
          <w:lang w:val="sr-Latn-ME"/>
        </w:rPr>
        <w:t>.</w:t>
      </w:r>
    </w:p>
    <w:p w14:paraId="2874FAA4" w14:textId="77777777" w:rsidR="004274AD" w:rsidRPr="00783B4B" w:rsidRDefault="004274AD" w:rsidP="00783B4B">
      <w:pPr>
        <w:autoSpaceDE w:val="0"/>
        <w:autoSpaceDN w:val="0"/>
        <w:adjustRightInd w:val="0"/>
        <w:jc w:val="both"/>
        <w:rPr>
          <w:i/>
          <w:iCs/>
          <w:sz w:val="22"/>
          <w:szCs w:val="22"/>
          <w:lang w:val="sr-Latn-ME"/>
        </w:rPr>
      </w:pPr>
    </w:p>
    <w:p w14:paraId="37DBF968" w14:textId="35CA8D04" w:rsidR="00D62CAE" w:rsidRPr="00783B4B" w:rsidRDefault="006E4173" w:rsidP="00783B4B">
      <w:pPr>
        <w:autoSpaceDE w:val="0"/>
        <w:autoSpaceDN w:val="0"/>
        <w:adjustRightInd w:val="0"/>
        <w:jc w:val="both"/>
        <w:rPr>
          <w:sz w:val="22"/>
          <w:szCs w:val="22"/>
          <w:lang w:val="sr-Latn-ME"/>
        </w:rPr>
      </w:pPr>
      <w:proofErr w:type="spellStart"/>
      <w:r w:rsidRPr="00783B4B">
        <w:rPr>
          <w:sz w:val="22"/>
          <w:szCs w:val="22"/>
          <w:lang w:val="sr-Latn-ME"/>
        </w:rPr>
        <w:t>Anastrozol</w:t>
      </w:r>
      <w:proofErr w:type="spellEnd"/>
      <w:r w:rsidRPr="00783B4B">
        <w:rPr>
          <w:sz w:val="22"/>
          <w:szCs w:val="22"/>
          <w:lang w:val="sr-Latn-ME"/>
        </w:rPr>
        <w:t xml:space="preserve"> je ispitivan u dvije kontrolisane kliničke studije (Studija 0004 i Studija 0005) kod žena u </w:t>
      </w:r>
      <w:proofErr w:type="spellStart"/>
      <w:r w:rsidRPr="00783B4B">
        <w:rPr>
          <w:sz w:val="22"/>
          <w:szCs w:val="22"/>
          <w:lang w:val="sr-Latn-ME"/>
        </w:rPr>
        <w:t>postmenopauzi</w:t>
      </w:r>
      <w:proofErr w:type="spellEnd"/>
      <w:r w:rsidRPr="00783B4B">
        <w:rPr>
          <w:sz w:val="22"/>
          <w:szCs w:val="22"/>
          <w:lang w:val="sr-Latn-ME"/>
        </w:rPr>
        <w:t xml:space="preserve"> sa </w:t>
      </w:r>
      <w:proofErr w:type="spellStart"/>
      <w:r w:rsidRPr="00783B4B">
        <w:rPr>
          <w:sz w:val="22"/>
          <w:szCs w:val="22"/>
          <w:lang w:val="sr-Latn-ME"/>
        </w:rPr>
        <w:t>uznapredovalim</w:t>
      </w:r>
      <w:proofErr w:type="spellEnd"/>
      <w:r w:rsidRPr="00783B4B">
        <w:rPr>
          <w:sz w:val="22"/>
          <w:szCs w:val="22"/>
          <w:lang w:val="sr-Latn-ME"/>
        </w:rPr>
        <w:t xml:space="preserve"> </w:t>
      </w:r>
      <w:proofErr w:type="spellStart"/>
      <w:r w:rsidRPr="00783B4B">
        <w:rPr>
          <w:sz w:val="22"/>
          <w:szCs w:val="22"/>
          <w:lang w:val="sr-Latn-ME"/>
        </w:rPr>
        <w:t>karcinomom</w:t>
      </w:r>
      <w:proofErr w:type="spellEnd"/>
      <w:r w:rsidRPr="00783B4B">
        <w:rPr>
          <w:sz w:val="22"/>
          <w:szCs w:val="22"/>
          <w:lang w:val="sr-Latn-ME"/>
        </w:rPr>
        <w:t xml:space="preserve"> dojke kod kojih je </w:t>
      </w:r>
      <w:r w:rsidR="00786373" w:rsidRPr="00783B4B">
        <w:rPr>
          <w:sz w:val="22"/>
          <w:szCs w:val="22"/>
          <w:lang w:val="sr-Latn-ME"/>
        </w:rPr>
        <w:t xml:space="preserve">došlo do </w:t>
      </w:r>
      <w:r w:rsidR="00D374C9" w:rsidRPr="00783B4B">
        <w:rPr>
          <w:sz w:val="22"/>
          <w:szCs w:val="22"/>
          <w:lang w:val="sr-Latn-ME"/>
        </w:rPr>
        <w:t xml:space="preserve">progresije </w:t>
      </w:r>
      <w:r w:rsidRPr="00783B4B">
        <w:rPr>
          <w:sz w:val="22"/>
          <w:szCs w:val="22"/>
          <w:lang w:val="sr-Latn-ME"/>
        </w:rPr>
        <w:t xml:space="preserve">bolesti nakon terapije </w:t>
      </w:r>
      <w:proofErr w:type="spellStart"/>
      <w:r w:rsidRPr="00783B4B">
        <w:rPr>
          <w:sz w:val="22"/>
          <w:szCs w:val="22"/>
          <w:lang w:val="sr-Latn-ME"/>
        </w:rPr>
        <w:t>tamoksifenom</w:t>
      </w:r>
      <w:proofErr w:type="spellEnd"/>
      <w:r w:rsidRPr="00783B4B">
        <w:rPr>
          <w:sz w:val="22"/>
          <w:szCs w:val="22"/>
          <w:lang w:val="sr-Latn-ME"/>
        </w:rPr>
        <w:t xml:space="preserve"> </w:t>
      </w:r>
      <w:r w:rsidR="00183D82" w:rsidRPr="00783B4B">
        <w:rPr>
          <w:sz w:val="22"/>
          <w:szCs w:val="22"/>
          <w:lang w:val="sr-Latn-ME"/>
        </w:rPr>
        <w:t xml:space="preserve">bilo za </w:t>
      </w:r>
      <w:r w:rsidRPr="00783B4B">
        <w:rPr>
          <w:sz w:val="22"/>
          <w:szCs w:val="22"/>
          <w:lang w:val="sr-Latn-ME"/>
        </w:rPr>
        <w:t>uznapredoval</w:t>
      </w:r>
      <w:r w:rsidR="00183D82" w:rsidRPr="00783B4B">
        <w:rPr>
          <w:sz w:val="22"/>
          <w:szCs w:val="22"/>
          <w:lang w:val="sr-Latn-ME"/>
        </w:rPr>
        <w:t>i</w:t>
      </w:r>
      <w:r w:rsidRPr="00783B4B">
        <w:rPr>
          <w:sz w:val="22"/>
          <w:szCs w:val="22"/>
          <w:lang w:val="sr-Latn-ME"/>
        </w:rPr>
        <w:t xml:space="preserve"> ili ran</w:t>
      </w:r>
      <w:r w:rsidR="00183D82" w:rsidRPr="00783B4B">
        <w:rPr>
          <w:sz w:val="22"/>
          <w:szCs w:val="22"/>
          <w:lang w:val="sr-Latn-ME"/>
        </w:rPr>
        <w:t>i</w:t>
      </w:r>
      <w:r w:rsidRPr="00783B4B">
        <w:rPr>
          <w:sz w:val="22"/>
          <w:szCs w:val="22"/>
          <w:lang w:val="sr-Latn-ME"/>
        </w:rPr>
        <w:t xml:space="preserve"> </w:t>
      </w:r>
      <w:proofErr w:type="spellStart"/>
      <w:r w:rsidRPr="00783B4B">
        <w:rPr>
          <w:sz w:val="22"/>
          <w:szCs w:val="22"/>
          <w:lang w:val="sr-Latn-ME"/>
        </w:rPr>
        <w:t>karcinom</w:t>
      </w:r>
      <w:proofErr w:type="spellEnd"/>
      <w:r w:rsidRPr="00783B4B">
        <w:rPr>
          <w:sz w:val="22"/>
          <w:szCs w:val="22"/>
          <w:lang w:val="sr-Latn-ME"/>
        </w:rPr>
        <w:t xml:space="preserve"> dojke. Ukupno 764 </w:t>
      </w:r>
      <w:proofErr w:type="spellStart"/>
      <w:r w:rsidRPr="00783B4B">
        <w:rPr>
          <w:sz w:val="22"/>
          <w:szCs w:val="22"/>
          <w:lang w:val="sr-Latn-ME"/>
        </w:rPr>
        <w:t>pacijentkinj</w:t>
      </w:r>
      <w:r w:rsidR="008C0F55" w:rsidRPr="00783B4B">
        <w:rPr>
          <w:sz w:val="22"/>
          <w:szCs w:val="22"/>
          <w:lang w:val="sr-Latn-ME"/>
        </w:rPr>
        <w:t>e</w:t>
      </w:r>
      <w:proofErr w:type="spellEnd"/>
      <w:r w:rsidRPr="00783B4B">
        <w:rPr>
          <w:sz w:val="22"/>
          <w:szCs w:val="22"/>
          <w:lang w:val="sr-Latn-ME"/>
        </w:rPr>
        <w:t xml:space="preserve"> je </w:t>
      </w:r>
      <w:proofErr w:type="spellStart"/>
      <w:r w:rsidRPr="00783B4B">
        <w:rPr>
          <w:sz w:val="22"/>
          <w:szCs w:val="22"/>
          <w:lang w:val="sr-Latn-ME"/>
        </w:rPr>
        <w:lastRenderedPageBreak/>
        <w:t>randomizovano</w:t>
      </w:r>
      <w:proofErr w:type="spellEnd"/>
      <w:r w:rsidRPr="00783B4B">
        <w:rPr>
          <w:sz w:val="22"/>
          <w:szCs w:val="22"/>
          <w:lang w:val="sr-Latn-ME"/>
        </w:rPr>
        <w:t xml:space="preserve"> da prima ili </w:t>
      </w:r>
      <w:r w:rsidR="008C0F55" w:rsidRPr="00783B4B">
        <w:rPr>
          <w:sz w:val="22"/>
          <w:szCs w:val="22"/>
          <w:lang w:val="sr-Latn-ME"/>
        </w:rPr>
        <w:t xml:space="preserve">jednu </w:t>
      </w:r>
      <w:r w:rsidRPr="00783B4B">
        <w:rPr>
          <w:sz w:val="22"/>
          <w:szCs w:val="22"/>
          <w:lang w:val="sr-Latn-ME"/>
        </w:rPr>
        <w:t xml:space="preserve">dnevnu dozu od 1 mg ili 10 mg </w:t>
      </w:r>
      <w:proofErr w:type="spellStart"/>
      <w:r w:rsidRPr="00783B4B">
        <w:rPr>
          <w:sz w:val="22"/>
          <w:szCs w:val="22"/>
          <w:lang w:val="sr-Latn-ME"/>
        </w:rPr>
        <w:t>anastrozola</w:t>
      </w:r>
      <w:proofErr w:type="spellEnd"/>
      <w:r w:rsidRPr="00783B4B">
        <w:rPr>
          <w:sz w:val="22"/>
          <w:szCs w:val="22"/>
          <w:lang w:val="sr-Latn-ME"/>
        </w:rPr>
        <w:t xml:space="preserve"> ili </w:t>
      </w:r>
      <w:proofErr w:type="spellStart"/>
      <w:r w:rsidRPr="00783B4B">
        <w:rPr>
          <w:sz w:val="22"/>
          <w:szCs w:val="22"/>
          <w:lang w:val="sr-Latn-ME"/>
        </w:rPr>
        <w:t>megestrolacetat</w:t>
      </w:r>
      <w:proofErr w:type="spellEnd"/>
      <w:r w:rsidRPr="00783B4B">
        <w:rPr>
          <w:sz w:val="22"/>
          <w:szCs w:val="22"/>
          <w:lang w:val="sr-Latn-ME"/>
        </w:rPr>
        <w:t xml:space="preserve"> 40 mg četiri puta </w:t>
      </w:r>
      <w:r w:rsidR="001D2D83" w:rsidRPr="00783B4B">
        <w:rPr>
          <w:sz w:val="22"/>
          <w:szCs w:val="22"/>
          <w:lang w:val="sr-Latn-ME"/>
        </w:rPr>
        <w:t>dnevno</w:t>
      </w:r>
      <w:r w:rsidRPr="00783B4B">
        <w:rPr>
          <w:sz w:val="22"/>
          <w:szCs w:val="22"/>
          <w:lang w:val="sr-Latn-ME"/>
        </w:rPr>
        <w:t xml:space="preserve">. Vrijeme do progresije i </w:t>
      </w:r>
      <w:r w:rsidR="00E644F8" w:rsidRPr="00783B4B">
        <w:rPr>
          <w:sz w:val="22"/>
          <w:szCs w:val="22"/>
          <w:lang w:val="sr-Latn-ME"/>
        </w:rPr>
        <w:t xml:space="preserve">objektivne stope </w:t>
      </w:r>
      <w:r w:rsidRPr="00783B4B">
        <w:rPr>
          <w:sz w:val="22"/>
          <w:szCs w:val="22"/>
          <w:lang w:val="sr-Latn-ME"/>
        </w:rPr>
        <w:t xml:space="preserve">odgovora </w:t>
      </w:r>
      <w:r w:rsidR="00F07BD2" w:rsidRPr="00783B4B">
        <w:rPr>
          <w:sz w:val="22"/>
          <w:szCs w:val="22"/>
          <w:lang w:val="sr-Latn-ME"/>
        </w:rPr>
        <w:t xml:space="preserve">tumora </w:t>
      </w:r>
      <w:r w:rsidRPr="00783B4B">
        <w:rPr>
          <w:sz w:val="22"/>
          <w:szCs w:val="22"/>
          <w:lang w:val="sr-Latn-ME"/>
        </w:rPr>
        <w:t xml:space="preserve">su bili </w:t>
      </w:r>
      <w:r w:rsidR="00F07BD2" w:rsidRPr="00783B4B">
        <w:rPr>
          <w:sz w:val="22"/>
          <w:szCs w:val="22"/>
          <w:lang w:val="sr-Latn-ME"/>
        </w:rPr>
        <w:t xml:space="preserve">primarni </w:t>
      </w:r>
      <w:r w:rsidRPr="00783B4B">
        <w:rPr>
          <w:sz w:val="22"/>
          <w:szCs w:val="22"/>
          <w:lang w:val="sr-Latn-ME"/>
        </w:rPr>
        <w:t xml:space="preserve">parametri </w:t>
      </w:r>
      <w:r w:rsidR="00483529" w:rsidRPr="00783B4B">
        <w:rPr>
          <w:sz w:val="22"/>
          <w:szCs w:val="22"/>
          <w:lang w:val="sr-Latn-ME"/>
        </w:rPr>
        <w:t>praćenja ishoda</w:t>
      </w:r>
      <w:r w:rsidRPr="00783B4B">
        <w:rPr>
          <w:sz w:val="22"/>
          <w:szCs w:val="22"/>
          <w:lang w:val="sr-Latn-ME"/>
        </w:rPr>
        <w:t xml:space="preserve">. Stopa </w:t>
      </w:r>
      <w:r w:rsidR="00DA0B8B" w:rsidRPr="00783B4B">
        <w:rPr>
          <w:sz w:val="22"/>
          <w:szCs w:val="22"/>
          <w:lang w:val="sr-Latn-ME"/>
        </w:rPr>
        <w:t>prolongirane</w:t>
      </w:r>
      <w:r w:rsidRPr="00783B4B">
        <w:rPr>
          <w:sz w:val="22"/>
          <w:szCs w:val="22"/>
          <w:lang w:val="sr-Latn-ME"/>
        </w:rPr>
        <w:t xml:space="preserve"> stabilne bolesti</w:t>
      </w:r>
      <w:r w:rsidR="00DA0B8B" w:rsidRPr="00783B4B">
        <w:rPr>
          <w:sz w:val="22"/>
          <w:szCs w:val="22"/>
          <w:lang w:val="sr-Latn-ME"/>
        </w:rPr>
        <w:t xml:space="preserve"> (duže od 24 nedjelje)</w:t>
      </w:r>
      <w:r w:rsidRPr="00783B4B">
        <w:rPr>
          <w:sz w:val="22"/>
          <w:szCs w:val="22"/>
          <w:lang w:val="sr-Latn-ME"/>
        </w:rPr>
        <w:t xml:space="preserve">, stopa progresije i preživljavanja su takođe </w:t>
      </w:r>
      <w:r w:rsidR="00E57AFD" w:rsidRPr="00783B4B">
        <w:rPr>
          <w:sz w:val="22"/>
          <w:szCs w:val="22"/>
          <w:lang w:val="sr-Latn-ME"/>
        </w:rPr>
        <w:t>izračunati</w:t>
      </w:r>
      <w:r w:rsidRPr="00783B4B">
        <w:rPr>
          <w:sz w:val="22"/>
          <w:szCs w:val="22"/>
          <w:lang w:val="sr-Latn-ME"/>
        </w:rPr>
        <w:t xml:space="preserve">. </w:t>
      </w:r>
      <w:r w:rsidR="00D62CAE" w:rsidRPr="00783B4B">
        <w:rPr>
          <w:sz w:val="22"/>
          <w:szCs w:val="22"/>
          <w:lang w:val="sr-Latn-ME"/>
        </w:rPr>
        <w:t>U ob</w:t>
      </w:r>
      <w:r w:rsidR="00D65909" w:rsidRPr="00783B4B">
        <w:rPr>
          <w:sz w:val="22"/>
          <w:szCs w:val="22"/>
          <w:lang w:val="sr-Latn-ME"/>
        </w:rPr>
        <w:t>j</w:t>
      </w:r>
      <w:r w:rsidR="00D62CAE" w:rsidRPr="00783B4B">
        <w:rPr>
          <w:sz w:val="22"/>
          <w:szCs w:val="22"/>
          <w:lang w:val="sr-Latn-ME"/>
        </w:rPr>
        <w:t>e studije nije bilo značajnijih razlika između terapijskih grupa posmatrajući bilo koji od parametara efikasnosti.</w:t>
      </w:r>
    </w:p>
    <w:p w14:paraId="01C04E6D" w14:textId="77777777" w:rsidR="006E4173" w:rsidRPr="00783B4B" w:rsidRDefault="006E4173" w:rsidP="00783B4B">
      <w:pPr>
        <w:autoSpaceDE w:val="0"/>
        <w:autoSpaceDN w:val="0"/>
        <w:adjustRightInd w:val="0"/>
        <w:jc w:val="both"/>
        <w:rPr>
          <w:i/>
          <w:sz w:val="22"/>
          <w:szCs w:val="22"/>
          <w:lang w:val="sr-Latn-ME"/>
        </w:rPr>
      </w:pPr>
    </w:p>
    <w:p w14:paraId="498D5E06" w14:textId="36909B82" w:rsidR="006E4173" w:rsidRPr="00783B4B" w:rsidRDefault="006E4173" w:rsidP="00783B4B">
      <w:pPr>
        <w:pStyle w:val="Header"/>
        <w:tabs>
          <w:tab w:val="left" w:pos="284"/>
        </w:tabs>
        <w:jc w:val="both"/>
        <w:rPr>
          <w:i/>
          <w:sz w:val="22"/>
          <w:szCs w:val="22"/>
          <w:u w:val="single"/>
          <w:lang w:val="sr-Latn-ME" w:eastAsia="sr-Latn-CS"/>
        </w:rPr>
      </w:pPr>
      <w:proofErr w:type="spellStart"/>
      <w:r w:rsidRPr="00783B4B">
        <w:rPr>
          <w:i/>
          <w:sz w:val="22"/>
          <w:szCs w:val="22"/>
          <w:u w:val="single"/>
          <w:lang w:val="sr-Latn-ME" w:eastAsia="sr-Latn-CS"/>
        </w:rPr>
        <w:t>Adjuvantna</w:t>
      </w:r>
      <w:proofErr w:type="spellEnd"/>
      <w:r w:rsidRPr="00783B4B">
        <w:rPr>
          <w:i/>
          <w:sz w:val="22"/>
          <w:szCs w:val="22"/>
          <w:u w:val="single"/>
          <w:lang w:val="sr-Latn-ME" w:eastAsia="sr-Latn-CS"/>
        </w:rPr>
        <w:t xml:space="preserve"> terapija ranog </w:t>
      </w:r>
      <w:proofErr w:type="spellStart"/>
      <w:r w:rsidRPr="00783B4B">
        <w:rPr>
          <w:i/>
          <w:sz w:val="22"/>
          <w:szCs w:val="22"/>
          <w:u w:val="single"/>
          <w:lang w:val="sr-Latn-ME" w:eastAsia="sr-Latn-CS"/>
        </w:rPr>
        <w:t>invazivnog</w:t>
      </w:r>
      <w:proofErr w:type="spellEnd"/>
      <w:r w:rsidRPr="00783B4B">
        <w:rPr>
          <w:i/>
          <w:sz w:val="22"/>
          <w:szCs w:val="22"/>
          <w:u w:val="single"/>
          <w:lang w:val="sr-Latn-ME" w:eastAsia="sr-Latn-CS"/>
        </w:rPr>
        <w:t xml:space="preserve"> </w:t>
      </w:r>
      <w:proofErr w:type="spellStart"/>
      <w:r w:rsidRPr="00783B4B">
        <w:rPr>
          <w:i/>
          <w:sz w:val="22"/>
          <w:szCs w:val="22"/>
          <w:u w:val="single"/>
          <w:lang w:val="sr-Latn-ME" w:eastAsia="sr-Latn-CS"/>
        </w:rPr>
        <w:t>karcinoma</w:t>
      </w:r>
      <w:proofErr w:type="spellEnd"/>
      <w:r w:rsidRPr="00783B4B">
        <w:rPr>
          <w:i/>
          <w:sz w:val="22"/>
          <w:szCs w:val="22"/>
          <w:u w:val="single"/>
          <w:lang w:val="sr-Latn-ME" w:eastAsia="sr-Latn-CS"/>
        </w:rPr>
        <w:t xml:space="preserve"> dojke hormon receptor- pozitivn</w:t>
      </w:r>
      <w:r w:rsidR="00E4272E" w:rsidRPr="00783B4B">
        <w:rPr>
          <w:i/>
          <w:sz w:val="22"/>
          <w:szCs w:val="22"/>
          <w:u w:val="single"/>
          <w:lang w:val="sr-Latn-ME"/>
        </w:rPr>
        <w:t xml:space="preserve">ih </w:t>
      </w:r>
      <w:proofErr w:type="spellStart"/>
      <w:r w:rsidR="00E4272E" w:rsidRPr="00783B4B">
        <w:rPr>
          <w:i/>
          <w:sz w:val="22"/>
          <w:szCs w:val="22"/>
          <w:u w:val="single"/>
          <w:lang w:val="sr-Latn-ME"/>
        </w:rPr>
        <w:t>pacijentkinja</w:t>
      </w:r>
      <w:proofErr w:type="spellEnd"/>
    </w:p>
    <w:p w14:paraId="06F6F64E" w14:textId="77777777" w:rsidR="00E4272E" w:rsidRPr="00783B4B" w:rsidRDefault="00E4272E" w:rsidP="00783B4B">
      <w:pPr>
        <w:pStyle w:val="Header"/>
        <w:tabs>
          <w:tab w:val="left" w:pos="284"/>
        </w:tabs>
        <w:jc w:val="both"/>
        <w:rPr>
          <w:i/>
          <w:sz w:val="22"/>
          <w:szCs w:val="22"/>
          <w:u w:val="single"/>
          <w:lang w:val="sr-Latn-ME" w:eastAsia="sr-Latn-CS"/>
        </w:rPr>
      </w:pPr>
    </w:p>
    <w:p w14:paraId="19353842" w14:textId="1A94C36A" w:rsidR="0000373D" w:rsidRPr="00783B4B" w:rsidRDefault="00AB103C" w:rsidP="00783B4B">
      <w:pPr>
        <w:pStyle w:val="Bodytext1"/>
        <w:shd w:val="clear" w:color="auto" w:fill="auto"/>
        <w:spacing w:before="0" w:after="0" w:line="240" w:lineRule="auto"/>
        <w:jc w:val="both"/>
        <w:rPr>
          <w:rFonts w:ascii="Times New Roman" w:hAnsi="Times New Roman"/>
          <w:b w:val="0"/>
          <w:bCs w:val="0"/>
          <w:iCs/>
          <w:sz w:val="22"/>
          <w:szCs w:val="22"/>
        </w:rPr>
      </w:pPr>
      <w:r w:rsidRPr="00783B4B">
        <w:rPr>
          <w:rFonts w:ascii="Times New Roman" w:hAnsi="Times New Roman"/>
          <w:b w:val="0"/>
          <w:bCs w:val="0"/>
          <w:sz w:val="22"/>
          <w:szCs w:val="22"/>
        </w:rPr>
        <w:t xml:space="preserve">U velikom kliničkom ispitivanju faze III, </w:t>
      </w:r>
      <w:r w:rsidR="006E4173" w:rsidRPr="00783B4B">
        <w:rPr>
          <w:rFonts w:ascii="Times New Roman" w:hAnsi="Times New Roman"/>
          <w:b w:val="0"/>
          <w:bCs w:val="0"/>
          <w:sz w:val="22"/>
          <w:szCs w:val="22"/>
        </w:rPr>
        <w:t>sproveden</w:t>
      </w:r>
      <w:r w:rsidRPr="00783B4B">
        <w:rPr>
          <w:rFonts w:ascii="Times New Roman" w:hAnsi="Times New Roman"/>
          <w:b w:val="0"/>
          <w:bCs w:val="0"/>
          <w:sz w:val="22"/>
          <w:szCs w:val="22"/>
        </w:rPr>
        <w:t>om</w:t>
      </w:r>
      <w:r w:rsidR="006E4173" w:rsidRPr="00783B4B">
        <w:rPr>
          <w:rFonts w:ascii="Times New Roman" w:hAnsi="Times New Roman"/>
          <w:b w:val="0"/>
          <w:bCs w:val="0"/>
          <w:sz w:val="22"/>
          <w:szCs w:val="22"/>
        </w:rPr>
        <w:t xml:space="preserve"> kod 9366 žena u </w:t>
      </w:r>
      <w:proofErr w:type="spellStart"/>
      <w:r w:rsidR="006E4173" w:rsidRPr="00783B4B">
        <w:rPr>
          <w:rFonts w:ascii="Times New Roman" w:hAnsi="Times New Roman"/>
          <w:b w:val="0"/>
          <w:bCs w:val="0"/>
          <w:sz w:val="22"/>
          <w:szCs w:val="22"/>
        </w:rPr>
        <w:t>postmenopauzi</w:t>
      </w:r>
      <w:proofErr w:type="spellEnd"/>
      <w:r w:rsidR="006E4173" w:rsidRPr="00783B4B">
        <w:rPr>
          <w:rFonts w:ascii="Times New Roman" w:hAnsi="Times New Roman"/>
          <w:b w:val="0"/>
          <w:bCs w:val="0"/>
          <w:sz w:val="22"/>
          <w:szCs w:val="22"/>
        </w:rPr>
        <w:t xml:space="preserve"> sa </w:t>
      </w:r>
      <w:proofErr w:type="spellStart"/>
      <w:r w:rsidR="006E4173" w:rsidRPr="00783B4B">
        <w:rPr>
          <w:rFonts w:ascii="Times New Roman" w:hAnsi="Times New Roman"/>
          <w:b w:val="0"/>
          <w:bCs w:val="0"/>
          <w:sz w:val="22"/>
          <w:szCs w:val="22"/>
        </w:rPr>
        <w:t>operabilnim</w:t>
      </w:r>
      <w:proofErr w:type="spellEnd"/>
      <w:r w:rsidR="006E4173" w:rsidRPr="00783B4B">
        <w:rPr>
          <w:rFonts w:ascii="Times New Roman" w:hAnsi="Times New Roman"/>
          <w:b w:val="0"/>
          <w:bCs w:val="0"/>
          <w:sz w:val="22"/>
          <w:szCs w:val="22"/>
        </w:rPr>
        <w:t xml:space="preserve"> </w:t>
      </w:r>
      <w:proofErr w:type="spellStart"/>
      <w:r w:rsidR="006E4173" w:rsidRPr="00783B4B">
        <w:rPr>
          <w:rFonts w:ascii="Times New Roman" w:hAnsi="Times New Roman"/>
          <w:b w:val="0"/>
          <w:bCs w:val="0"/>
          <w:sz w:val="22"/>
          <w:szCs w:val="22"/>
        </w:rPr>
        <w:t>karcinomom</w:t>
      </w:r>
      <w:proofErr w:type="spellEnd"/>
      <w:r w:rsidR="006E4173" w:rsidRPr="00783B4B">
        <w:rPr>
          <w:rFonts w:ascii="Times New Roman" w:hAnsi="Times New Roman"/>
          <w:b w:val="0"/>
          <w:bCs w:val="0"/>
          <w:sz w:val="22"/>
          <w:szCs w:val="22"/>
        </w:rPr>
        <w:t xml:space="preserve"> dojke liječen</w:t>
      </w:r>
      <w:r w:rsidR="002879FE" w:rsidRPr="00783B4B">
        <w:rPr>
          <w:rFonts w:ascii="Times New Roman" w:hAnsi="Times New Roman"/>
          <w:b w:val="0"/>
          <w:bCs w:val="0"/>
          <w:sz w:val="22"/>
          <w:szCs w:val="22"/>
        </w:rPr>
        <w:t>ih</w:t>
      </w:r>
      <w:r w:rsidR="006E4173" w:rsidRPr="00783B4B">
        <w:rPr>
          <w:rFonts w:ascii="Times New Roman" w:hAnsi="Times New Roman"/>
          <w:b w:val="0"/>
          <w:bCs w:val="0"/>
          <w:sz w:val="22"/>
          <w:szCs w:val="22"/>
        </w:rPr>
        <w:t xml:space="preserve"> 5 godina</w:t>
      </w:r>
      <w:r w:rsidR="000B45E4" w:rsidRPr="00783B4B">
        <w:rPr>
          <w:rFonts w:ascii="Times New Roman" w:hAnsi="Times New Roman"/>
          <w:b w:val="0"/>
          <w:bCs w:val="0"/>
          <w:sz w:val="22"/>
          <w:szCs w:val="22"/>
        </w:rPr>
        <w:t>(vid</w:t>
      </w:r>
      <w:r w:rsidR="00D65909" w:rsidRPr="00783B4B">
        <w:rPr>
          <w:rFonts w:ascii="Times New Roman" w:hAnsi="Times New Roman"/>
          <w:b w:val="0"/>
          <w:bCs w:val="0"/>
          <w:sz w:val="22"/>
          <w:szCs w:val="22"/>
        </w:rPr>
        <w:t>j</w:t>
      </w:r>
      <w:r w:rsidR="000B45E4" w:rsidRPr="00783B4B">
        <w:rPr>
          <w:rFonts w:ascii="Times New Roman" w:hAnsi="Times New Roman"/>
          <w:b w:val="0"/>
          <w:bCs w:val="0"/>
          <w:sz w:val="22"/>
          <w:szCs w:val="22"/>
        </w:rPr>
        <w:t xml:space="preserve">eti niže), </w:t>
      </w:r>
      <w:proofErr w:type="spellStart"/>
      <w:r w:rsidR="006E4173" w:rsidRPr="00783B4B">
        <w:rPr>
          <w:rFonts w:ascii="Times New Roman" w:hAnsi="Times New Roman"/>
          <w:b w:val="0"/>
          <w:bCs w:val="0"/>
          <w:sz w:val="22"/>
          <w:szCs w:val="22"/>
        </w:rPr>
        <w:t>anastrozol</w:t>
      </w:r>
      <w:proofErr w:type="spellEnd"/>
      <w:r w:rsidR="006E4173" w:rsidRPr="00783B4B">
        <w:rPr>
          <w:rFonts w:ascii="Times New Roman" w:hAnsi="Times New Roman"/>
          <w:b w:val="0"/>
          <w:bCs w:val="0"/>
          <w:sz w:val="22"/>
          <w:szCs w:val="22"/>
        </w:rPr>
        <w:t xml:space="preserve"> </w:t>
      </w:r>
      <w:r w:rsidR="000B45E4" w:rsidRPr="00783B4B">
        <w:rPr>
          <w:rFonts w:ascii="Times New Roman" w:hAnsi="Times New Roman"/>
          <w:b w:val="0"/>
          <w:bCs w:val="0"/>
          <w:sz w:val="22"/>
          <w:szCs w:val="22"/>
        </w:rPr>
        <w:t>j</w:t>
      </w:r>
      <w:r w:rsidR="006E4173" w:rsidRPr="00783B4B">
        <w:rPr>
          <w:rFonts w:ascii="Times New Roman" w:hAnsi="Times New Roman"/>
          <w:b w:val="0"/>
          <w:bCs w:val="0"/>
          <w:sz w:val="22"/>
          <w:szCs w:val="22"/>
        </w:rPr>
        <w:t>e pokazao statističk</w:t>
      </w:r>
      <w:r w:rsidR="000B45E4" w:rsidRPr="00783B4B">
        <w:rPr>
          <w:rFonts w:ascii="Times New Roman" w:hAnsi="Times New Roman"/>
          <w:b w:val="0"/>
          <w:bCs w:val="0"/>
          <w:sz w:val="22"/>
          <w:szCs w:val="22"/>
        </w:rPr>
        <w:t>u</w:t>
      </w:r>
      <w:r w:rsidR="006E4173" w:rsidRPr="00783B4B">
        <w:rPr>
          <w:rFonts w:ascii="Times New Roman" w:hAnsi="Times New Roman"/>
          <w:b w:val="0"/>
          <w:bCs w:val="0"/>
          <w:sz w:val="22"/>
          <w:szCs w:val="22"/>
        </w:rPr>
        <w:t xml:space="preserve"> superiorn</w:t>
      </w:r>
      <w:r w:rsidR="000B45E4" w:rsidRPr="00783B4B">
        <w:rPr>
          <w:rFonts w:ascii="Times New Roman" w:hAnsi="Times New Roman"/>
          <w:b w:val="0"/>
          <w:bCs w:val="0"/>
          <w:sz w:val="22"/>
          <w:szCs w:val="22"/>
        </w:rPr>
        <w:t>ost</w:t>
      </w:r>
      <w:r w:rsidR="006E4173" w:rsidRPr="00783B4B">
        <w:rPr>
          <w:rFonts w:ascii="Times New Roman" w:hAnsi="Times New Roman"/>
          <w:b w:val="0"/>
          <w:bCs w:val="0"/>
          <w:sz w:val="22"/>
          <w:szCs w:val="22"/>
        </w:rPr>
        <w:t xml:space="preserve"> u odnosu na </w:t>
      </w:r>
      <w:proofErr w:type="spellStart"/>
      <w:r w:rsidR="006E4173" w:rsidRPr="00783B4B">
        <w:rPr>
          <w:rFonts w:ascii="Times New Roman" w:hAnsi="Times New Roman"/>
          <w:b w:val="0"/>
          <w:bCs w:val="0"/>
          <w:sz w:val="22"/>
          <w:szCs w:val="22"/>
        </w:rPr>
        <w:t>tamoksifen</w:t>
      </w:r>
      <w:proofErr w:type="spellEnd"/>
      <w:r w:rsidR="006E4173" w:rsidRPr="00783B4B">
        <w:rPr>
          <w:rFonts w:ascii="Times New Roman" w:hAnsi="Times New Roman"/>
          <w:b w:val="0"/>
          <w:bCs w:val="0"/>
          <w:sz w:val="22"/>
          <w:szCs w:val="22"/>
        </w:rPr>
        <w:t xml:space="preserve"> </w:t>
      </w:r>
      <w:r w:rsidR="00D751A0" w:rsidRPr="00783B4B">
        <w:rPr>
          <w:rFonts w:ascii="Times New Roman" w:hAnsi="Times New Roman"/>
          <w:b w:val="0"/>
          <w:bCs w:val="0"/>
          <w:sz w:val="22"/>
          <w:szCs w:val="22"/>
        </w:rPr>
        <w:t xml:space="preserve">u </w:t>
      </w:r>
      <w:r w:rsidR="006E4173" w:rsidRPr="00783B4B">
        <w:rPr>
          <w:rFonts w:ascii="Times New Roman" w:hAnsi="Times New Roman"/>
          <w:b w:val="0"/>
          <w:bCs w:val="0"/>
          <w:sz w:val="22"/>
          <w:szCs w:val="22"/>
        </w:rPr>
        <w:t>preživljavanj</w:t>
      </w:r>
      <w:r w:rsidR="00D751A0" w:rsidRPr="00783B4B">
        <w:rPr>
          <w:rFonts w:ascii="Times New Roman" w:hAnsi="Times New Roman"/>
          <w:b w:val="0"/>
          <w:bCs w:val="0"/>
          <w:sz w:val="22"/>
          <w:szCs w:val="22"/>
        </w:rPr>
        <w:t>u</w:t>
      </w:r>
      <w:r w:rsidR="006E4173" w:rsidRPr="00783B4B">
        <w:rPr>
          <w:rFonts w:ascii="Times New Roman" w:hAnsi="Times New Roman"/>
          <w:b w:val="0"/>
          <w:bCs w:val="0"/>
          <w:sz w:val="22"/>
          <w:szCs w:val="22"/>
        </w:rPr>
        <w:t xml:space="preserve"> bez znakova bolesti</w:t>
      </w:r>
      <w:r w:rsidR="00AB7796" w:rsidRPr="00783B4B">
        <w:rPr>
          <w:rFonts w:ascii="Times New Roman" w:hAnsi="Times New Roman"/>
          <w:b w:val="0"/>
          <w:bCs w:val="0"/>
          <w:sz w:val="22"/>
          <w:szCs w:val="22"/>
        </w:rPr>
        <w:t xml:space="preserve"> (engl. </w:t>
      </w:r>
      <w:proofErr w:type="spellStart"/>
      <w:r w:rsidR="00AB7796" w:rsidRPr="00783B4B">
        <w:rPr>
          <w:rStyle w:val="Bodytext4135pt"/>
          <w:b w:val="0"/>
          <w:bCs w:val="0"/>
          <w:sz w:val="22"/>
          <w:szCs w:val="22"/>
        </w:rPr>
        <w:t>disease-free</w:t>
      </w:r>
      <w:proofErr w:type="spellEnd"/>
      <w:r w:rsidR="00AB7796" w:rsidRPr="00783B4B">
        <w:rPr>
          <w:rStyle w:val="Bodytext4135pt"/>
          <w:b w:val="0"/>
          <w:bCs w:val="0"/>
          <w:sz w:val="22"/>
          <w:szCs w:val="22"/>
        </w:rPr>
        <w:t xml:space="preserve"> </w:t>
      </w:r>
      <w:proofErr w:type="spellStart"/>
      <w:r w:rsidR="00AB7796" w:rsidRPr="00783B4B">
        <w:rPr>
          <w:rStyle w:val="Bodytext4135pt"/>
          <w:b w:val="0"/>
          <w:bCs w:val="0"/>
          <w:sz w:val="22"/>
          <w:szCs w:val="22"/>
        </w:rPr>
        <w:t>survival</w:t>
      </w:r>
      <w:proofErr w:type="spellEnd"/>
      <w:r w:rsidR="00AB7796" w:rsidRPr="00783B4B">
        <w:rPr>
          <w:rStyle w:val="Bodytext4135pt"/>
          <w:b w:val="0"/>
          <w:bCs w:val="0"/>
          <w:sz w:val="22"/>
          <w:szCs w:val="22"/>
        </w:rPr>
        <w:t xml:space="preserve">, </w:t>
      </w:r>
      <w:proofErr w:type="spellStart"/>
      <w:r w:rsidR="00AB7796" w:rsidRPr="00783B4B">
        <w:rPr>
          <w:rStyle w:val="Bodytext4135pt"/>
          <w:b w:val="0"/>
          <w:bCs w:val="0"/>
          <w:i w:val="0"/>
          <w:iCs w:val="0"/>
          <w:sz w:val="22"/>
          <w:szCs w:val="22"/>
        </w:rPr>
        <w:t>DFS</w:t>
      </w:r>
      <w:proofErr w:type="spellEnd"/>
      <w:r w:rsidR="00AB7796" w:rsidRPr="00783B4B">
        <w:rPr>
          <w:rStyle w:val="Bodytext4135pt"/>
          <w:b w:val="0"/>
          <w:bCs w:val="0"/>
          <w:sz w:val="22"/>
          <w:szCs w:val="22"/>
        </w:rPr>
        <w:t>)</w:t>
      </w:r>
      <w:r w:rsidR="00AB7796" w:rsidRPr="00783B4B">
        <w:rPr>
          <w:rFonts w:ascii="Times New Roman" w:hAnsi="Times New Roman"/>
          <w:b w:val="0"/>
          <w:bCs w:val="0"/>
          <w:i/>
          <w:sz w:val="22"/>
          <w:szCs w:val="22"/>
        </w:rPr>
        <w:t>.</w:t>
      </w:r>
      <w:r w:rsidR="006E4173" w:rsidRPr="00783B4B">
        <w:rPr>
          <w:rFonts w:ascii="Times New Roman" w:hAnsi="Times New Roman"/>
          <w:b w:val="0"/>
          <w:bCs w:val="0"/>
          <w:sz w:val="22"/>
          <w:szCs w:val="22"/>
        </w:rPr>
        <w:t xml:space="preserve"> </w:t>
      </w:r>
      <w:r w:rsidR="0000373D" w:rsidRPr="00783B4B">
        <w:rPr>
          <w:rFonts w:ascii="Times New Roman" w:hAnsi="Times New Roman"/>
          <w:b w:val="0"/>
          <w:bCs w:val="0"/>
          <w:iCs/>
          <w:sz w:val="22"/>
          <w:szCs w:val="22"/>
        </w:rPr>
        <w:t>Veća korist je prim</w:t>
      </w:r>
      <w:r w:rsidR="00D65909" w:rsidRPr="00783B4B">
        <w:rPr>
          <w:rFonts w:ascii="Times New Roman" w:hAnsi="Times New Roman"/>
          <w:b w:val="0"/>
          <w:bCs w:val="0"/>
          <w:iCs/>
          <w:sz w:val="22"/>
          <w:szCs w:val="22"/>
        </w:rPr>
        <w:t>j</w:t>
      </w:r>
      <w:r w:rsidR="0000373D" w:rsidRPr="00783B4B">
        <w:rPr>
          <w:rFonts w:ascii="Times New Roman" w:hAnsi="Times New Roman"/>
          <w:b w:val="0"/>
          <w:bCs w:val="0"/>
          <w:iCs/>
          <w:sz w:val="22"/>
          <w:szCs w:val="22"/>
        </w:rPr>
        <w:t>ećena, m</w:t>
      </w:r>
      <w:r w:rsidR="00D65909" w:rsidRPr="00783B4B">
        <w:rPr>
          <w:rFonts w:ascii="Times New Roman" w:hAnsi="Times New Roman"/>
          <w:b w:val="0"/>
          <w:bCs w:val="0"/>
          <w:iCs/>
          <w:sz w:val="22"/>
          <w:szCs w:val="22"/>
        </w:rPr>
        <w:t>j</w:t>
      </w:r>
      <w:r w:rsidR="0000373D" w:rsidRPr="00783B4B">
        <w:rPr>
          <w:rFonts w:ascii="Times New Roman" w:hAnsi="Times New Roman"/>
          <w:b w:val="0"/>
          <w:bCs w:val="0"/>
          <w:iCs/>
          <w:sz w:val="22"/>
          <w:szCs w:val="22"/>
        </w:rPr>
        <w:t xml:space="preserve">ereno </w:t>
      </w:r>
      <w:proofErr w:type="spellStart"/>
      <w:r w:rsidR="0000373D" w:rsidRPr="00783B4B">
        <w:rPr>
          <w:rFonts w:ascii="Times New Roman" w:hAnsi="Times New Roman"/>
          <w:b w:val="0"/>
          <w:bCs w:val="0"/>
          <w:iCs/>
          <w:sz w:val="22"/>
          <w:szCs w:val="22"/>
        </w:rPr>
        <w:t>vremenom</w:t>
      </w:r>
      <w:proofErr w:type="spellEnd"/>
      <w:r w:rsidR="0000373D" w:rsidRPr="00783B4B">
        <w:rPr>
          <w:rFonts w:ascii="Times New Roman" w:hAnsi="Times New Roman"/>
          <w:b w:val="0"/>
          <w:bCs w:val="0"/>
          <w:iCs/>
          <w:sz w:val="22"/>
          <w:szCs w:val="22"/>
        </w:rPr>
        <w:t xml:space="preserve"> preživljavanja bez pojave bolesti, kod </w:t>
      </w:r>
      <w:proofErr w:type="spellStart"/>
      <w:r w:rsidR="0000373D" w:rsidRPr="00783B4B">
        <w:rPr>
          <w:rFonts w:ascii="Times New Roman" w:hAnsi="Times New Roman"/>
          <w:b w:val="0"/>
          <w:bCs w:val="0"/>
          <w:iCs/>
          <w:sz w:val="22"/>
          <w:szCs w:val="22"/>
        </w:rPr>
        <w:t>anastrozola</w:t>
      </w:r>
      <w:proofErr w:type="spellEnd"/>
      <w:r w:rsidR="0000373D" w:rsidRPr="00783B4B">
        <w:rPr>
          <w:rFonts w:ascii="Times New Roman" w:hAnsi="Times New Roman"/>
          <w:b w:val="0"/>
          <w:bCs w:val="0"/>
          <w:iCs/>
          <w:sz w:val="22"/>
          <w:szCs w:val="22"/>
        </w:rPr>
        <w:t xml:space="preserve"> u poređenju sa </w:t>
      </w:r>
      <w:proofErr w:type="spellStart"/>
      <w:r w:rsidR="0000373D" w:rsidRPr="00783B4B">
        <w:rPr>
          <w:rFonts w:ascii="Times New Roman" w:hAnsi="Times New Roman"/>
          <w:b w:val="0"/>
          <w:bCs w:val="0"/>
          <w:iCs/>
          <w:sz w:val="22"/>
          <w:szCs w:val="22"/>
        </w:rPr>
        <w:t>tamoksifenom</w:t>
      </w:r>
      <w:proofErr w:type="spellEnd"/>
      <w:r w:rsidR="0000373D" w:rsidRPr="00783B4B">
        <w:rPr>
          <w:rFonts w:ascii="Times New Roman" w:hAnsi="Times New Roman"/>
          <w:b w:val="0"/>
          <w:bCs w:val="0"/>
          <w:iCs/>
          <w:sz w:val="22"/>
          <w:szCs w:val="22"/>
        </w:rPr>
        <w:t xml:space="preserve"> za prospektivno određenu populaciju sa pozitivnim hormonskim receptorima.</w:t>
      </w:r>
    </w:p>
    <w:p w14:paraId="3B588653" w14:textId="77777777" w:rsidR="006E4173" w:rsidRPr="00783B4B" w:rsidRDefault="006E4173" w:rsidP="00783B4B">
      <w:pPr>
        <w:pStyle w:val="Header"/>
        <w:tabs>
          <w:tab w:val="left" w:pos="284"/>
        </w:tabs>
        <w:jc w:val="both"/>
        <w:rPr>
          <w:sz w:val="22"/>
          <w:szCs w:val="22"/>
          <w:lang w:val="sr-Latn-ME"/>
        </w:rPr>
      </w:pPr>
    </w:p>
    <w:p w14:paraId="519F26C0" w14:textId="4A96C653" w:rsidR="00424FF7" w:rsidRPr="00783B4B" w:rsidRDefault="00424FF7" w:rsidP="00783B4B">
      <w:pPr>
        <w:pStyle w:val="Bodytext1"/>
        <w:shd w:val="clear" w:color="auto" w:fill="auto"/>
        <w:spacing w:before="0" w:after="0" w:line="240" w:lineRule="auto"/>
        <w:jc w:val="both"/>
        <w:rPr>
          <w:rFonts w:ascii="Times New Roman" w:hAnsi="Times New Roman"/>
          <w:sz w:val="22"/>
          <w:szCs w:val="22"/>
        </w:rPr>
      </w:pPr>
      <w:r w:rsidRPr="00783B4B">
        <w:rPr>
          <w:rFonts w:ascii="Times New Roman" w:hAnsi="Times New Roman"/>
          <w:sz w:val="22"/>
          <w:szCs w:val="22"/>
        </w:rPr>
        <w:t xml:space="preserve">Tabela 3. Završni rezultati studije </w:t>
      </w:r>
      <w:proofErr w:type="spellStart"/>
      <w:r w:rsidRPr="00783B4B">
        <w:rPr>
          <w:rFonts w:ascii="Times New Roman" w:hAnsi="Times New Roman"/>
          <w:sz w:val="22"/>
          <w:szCs w:val="22"/>
        </w:rPr>
        <w:t>ATAC</w:t>
      </w:r>
      <w:proofErr w:type="spellEnd"/>
      <w:r w:rsidRPr="00783B4B">
        <w:rPr>
          <w:rFonts w:ascii="Times New Roman" w:hAnsi="Times New Roman"/>
          <w:sz w:val="22"/>
          <w:szCs w:val="22"/>
        </w:rPr>
        <w:t>: analiza petogodišnjeg perioda l</w:t>
      </w:r>
      <w:r w:rsidR="00D65909" w:rsidRPr="00783B4B">
        <w:rPr>
          <w:rFonts w:ascii="Times New Roman" w:hAnsi="Times New Roman"/>
          <w:sz w:val="22"/>
          <w:szCs w:val="22"/>
        </w:rPr>
        <w:t>ij</w:t>
      </w:r>
      <w:r w:rsidRPr="00783B4B">
        <w:rPr>
          <w:rFonts w:ascii="Times New Roman" w:hAnsi="Times New Roman"/>
          <w:sz w:val="22"/>
          <w:szCs w:val="22"/>
        </w:rPr>
        <w:t>ečenja</w:t>
      </w:r>
    </w:p>
    <w:p w14:paraId="2384C77B" w14:textId="77777777" w:rsidR="006E4173" w:rsidRPr="00783B4B" w:rsidRDefault="006E4173" w:rsidP="00783B4B">
      <w:pPr>
        <w:pStyle w:val="Header"/>
        <w:tabs>
          <w:tab w:val="left" w:pos="284"/>
        </w:tabs>
        <w:jc w:val="both"/>
        <w:rPr>
          <w:sz w:val="22"/>
          <w:szCs w:val="22"/>
          <w:lang w:val="sr-Latn-M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590"/>
        <w:gridCol w:w="1731"/>
        <w:gridCol w:w="1654"/>
        <w:gridCol w:w="1556"/>
        <w:gridCol w:w="1526"/>
      </w:tblGrid>
      <w:tr w:rsidR="00B156FF" w:rsidRPr="00783B4B" w14:paraId="5D78A9FC" w14:textId="77777777" w:rsidTr="00424FF7">
        <w:trPr>
          <w:tblCellSpacing w:w="0" w:type="dxa"/>
        </w:trPr>
        <w:tc>
          <w:tcPr>
            <w:tcW w:w="2857" w:type="dxa"/>
            <w:vMerge w:val="restart"/>
            <w:tcBorders>
              <w:top w:val="outset" w:sz="6" w:space="0" w:color="auto"/>
              <w:left w:val="outset" w:sz="6" w:space="0" w:color="auto"/>
              <w:right w:val="outset" w:sz="6" w:space="0" w:color="auto"/>
            </w:tcBorders>
          </w:tcPr>
          <w:p w14:paraId="4F269E51" w14:textId="77777777" w:rsidR="006E4173" w:rsidRPr="00783B4B" w:rsidRDefault="006E4173" w:rsidP="00783B4B">
            <w:pPr>
              <w:pStyle w:val="NormalWeb"/>
              <w:rPr>
                <w:sz w:val="22"/>
                <w:szCs w:val="22"/>
                <w:lang w:val="sr-Latn-ME"/>
              </w:rPr>
            </w:pPr>
          </w:p>
          <w:p w14:paraId="179475B3" w14:textId="66CBF519" w:rsidR="006E4173" w:rsidRPr="00783B4B" w:rsidRDefault="00CD4B86" w:rsidP="00783B4B">
            <w:pPr>
              <w:pStyle w:val="NormalWeb"/>
              <w:rPr>
                <w:b/>
                <w:bCs/>
                <w:sz w:val="22"/>
                <w:szCs w:val="22"/>
                <w:lang w:val="sr-Latn-ME"/>
              </w:rPr>
            </w:pPr>
            <w:r w:rsidRPr="00783B4B">
              <w:rPr>
                <w:b/>
                <w:bCs/>
                <w:sz w:val="22"/>
                <w:szCs w:val="22"/>
                <w:lang w:val="sr-Latn-ME"/>
              </w:rPr>
              <w:t xml:space="preserve">Parametri praćenja </w:t>
            </w:r>
            <w:r w:rsidR="006E4173" w:rsidRPr="00783B4B">
              <w:rPr>
                <w:b/>
                <w:bCs/>
                <w:sz w:val="22"/>
                <w:szCs w:val="22"/>
                <w:lang w:val="sr-Latn-ME"/>
              </w:rPr>
              <w:t>efikasnosti</w:t>
            </w:r>
          </w:p>
          <w:p w14:paraId="35741990" w14:textId="77777777" w:rsidR="006E4173" w:rsidRPr="00783B4B" w:rsidRDefault="006E4173" w:rsidP="00783B4B">
            <w:pPr>
              <w:pStyle w:val="NormalWeb"/>
              <w:rPr>
                <w:sz w:val="22"/>
                <w:szCs w:val="22"/>
                <w:lang w:val="sr-Latn-ME"/>
              </w:rPr>
            </w:pPr>
            <w:r w:rsidRPr="00783B4B">
              <w:rPr>
                <w:sz w:val="22"/>
                <w:szCs w:val="22"/>
                <w:lang w:val="sr-Latn-ME"/>
              </w:rPr>
              <w:t> </w:t>
            </w:r>
          </w:p>
          <w:p w14:paraId="4205725E" w14:textId="77777777" w:rsidR="006E4173" w:rsidRPr="00783B4B" w:rsidRDefault="006E4173" w:rsidP="00783B4B">
            <w:pPr>
              <w:rPr>
                <w:sz w:val="22"/>
                <w:szCs w:val="22"/>
                <w:lang w:val="sr-Latn-ME"/>
              </w:rPr>
            </w:pPr>
            <w:r w:rsidRPr="00783B4B">
              <w:rPr>
                <w:sz w:val="22"/>
                <w:szCs w:val="22"/>
                <w:lang w:val="sr-Latn-ME"/>
              </w:rPr>
              <w:t> </w:t>
            </w:r>
          </w:p>
        </w:tc>
        <w:tc>
          <w:tcPr>
            <w:tcW w:w="6200" w:type="dxa"/>
            <w:gridSpan w:val="4"/>
            <w:tcBorders>
              <w:top w:val="outset" w:sz="6" w:space="0" w:color="auto"/>
              <w:left w:val="outset" w:sz="6" w:space="0" w:color="auto"/>
              <w:bottom w:val="outset" w:sz="6" w:space="0" w:color="auto"/>
              <w:right w:val="outset" w:sz="6" w:space="0" w:color="auto"/>
            </w:tcBorders>
          </w:tcPr>
          <w:p w14:paraId="66015DCF" w14:textId="0E231C0B" w:rsidR="006E4173" w:rsidRPr="00783B4B" w:rsidRDefault="00375055" w:rsidP="00783B4B">
            <w:pPr>
              <w:pStyle w:val="NormalWeb"/>
              <w:jc w:val="center"/>
              <w:rPr>
                <w:b/>
                <w:bCs/>
                <w:sz w:val="22"/>
                <w:szCs w:val="22"/>
                <w:lang w:val="sr-Latn-ME"/>
              </w:rPr>
            </w:pPr>
            <w:r w:rsidRPr="00783B4B">
              <w:rPr>
                <w:b/>
                <w:bCs/>
                <w:sz w:val="22"/>
                <w:szCs w:val="22"/>
                <w:lang w:val="sr-Latn-ME" w:eastAsia="en-US"/>
              </w:rPr>
              <w:t xml:space="preserve">Ukupan broj </w:t>
            </w:r>
            <w:r w:rsidR="006E4173" w:rsidRPr="00783B4B">
              <w:rPr>
                <w:b/>
                <w:bCs/>
                <w:sz w:val="22"/>
                <w:szCs w:val="22"/>
                <w:lang w:val="sr-Latn-ME"/>
              </w:rPr>
              <w:t>(učestalost)</w:t>
            </w:r>
          </w:p>
        </w:tc>
      </w:tr>
      <w:tr w:rsidR="00B156FF" w:rsidRPr="00783B4B" w14:paraId="1E0A4454" w14:textId="77777777" w:rsidTr="00424FF7">
        <w:trPr>
          <w:tblCellSpacing w:w="0" w:type="dxa"/>
        </w:trPr>
        <w:tc>
          <w:tcPr>
            <w:tcW w:w="2857" w:type="dxa"/>
            <w:vMerge/>
            <w:tcBorders>
              <w:left w:val="outset" w:sz="6" w:space="0" w:color="auto"/>
              <w:right w:val="outset" w:sz="6" w:space="0" w:color="auto"/>
            </w:tcBorders>
          </w:tcPr>
          <w:p w14:paraId="791E15F0" w14:textId="77777777" w:rsidR="006E4173" w:rsidRPr="00783B4B" w:rsidRDefault="006E4173" w:rsidP="00783B4B">
            <w:pPr>
              <w:rPr>
                <w:sz w:val="22"/>
                <w:szCs w:val="22"/>
                <w:lang w:val="sr-Latn-ME"/>
              </w:rPr>
            </w:pPr>
          </w:p>
        </w:tc>
        <w:tc>
          <w:tcPr>
            <w:tcW w:w="3406" w:type="dxa"/>
            <w:gridSpan w:val="2"/>
            <w:tcBorders>
              <w:top w:val="outset" w:sz="6" w:space="0" w:color="auto"/>
              <w:left w:val="outset" w:sz="6" w:space="0" w:color="auto"/>
              <w:bottom w:val="outset" w:sz="6" w:space="0" w:color="auto"/>
              <w:right w:val="outset" w:sz="6" w:space="0" w:color="auto"/>
            </w:tcBorders>
          </w:tcPr>
          <w:p w14:paraId="123C9FE3" w14:textId="73F78325" w:rsidR="006E4173" w:rsidRPr="00783B4B" w:rsidRDefault="004434F0" w:rsidP="00783B4B">
            <w:pPr>
              <w:pStyle w:val="NormalWeb"/>
              <w:jc w:val="center"/>
              <w:rPr>
                <w:b/>
                <w:bCs/>
                <w:sz w:val="22"/>
                <w:szCs w:val="22"/>
                <w:lang w:val="sr-Latn-ME"/>
              </w:rPr>
            </w:pPr>
            <w:r w:rsidRPr="00783B4B">
              <w:rPr>
                <w:b/>
                <w:bCs/>
                <w:sz w:val="22"/>
                <w:szCs w:val="22"/>
                <w:lang w:val="sr-Latn-ME" w:eastAsia="en-US"/>
              </w:rPr>
              <w:t>Očekivano pozitivan hormonski status tumora</w:t>
            </w:r>
          </w:p>
        </w:tc>
        <w:tc>
          <w:tcPr>
            <w:tcW w:w="2794" w:type="dxa"/>
            <w:gridSpan w:val="2"/>
            <w:tcBorders>
              <w:top w:val="outset" w:sz="6" w:space="0" w:color="auto"/>
              <w:left w:val="outset" w:sz="6" w:space="0" w:color="auto"/>
              <w:bottom w:val="outset" w:sz="6" w:space="0" w:color="auto"/>
              <w:right w:val="outset" w:sz="6" w:space="0" w:color="auto"/>
            </w:tcBorders>
          </w:tcPr>
          <w:p w14:paraId="3ACE7925" w14:textId="7D4D6CC5" w:rsidR="006E4173" w:rsidRPr="00783B4B" w:rsidRDefault="00891363" w:rsidP="00783B4B">
            <w:pPr>
              <w:pStyle w:val="NormalWeb"/>
              <w:jc w:val="center"/>
              <w:rPr>
                <w:b/>
                <w:bCs/>
                <w:sz w:val="22"/>
                <w:szCs w:val="22"/>
                <w:lang w:val="sr-Latn-ME"/>
              </w:rPr>
            </w:pPr>
            <w:r w:rsidRPr="00783B4B">
              <w:rPr>
                <w:b/>
                <w:bCs/>
                <w:sz w:val="22"/>
                <w:szCs w:val="22"/>
                <w:lang w:val="sr-Latn-ME"/>
              </w:rPr>
              <w:t xml:space="preserve">Sigurno </w:t>
            </w:r>
            <w:r w:rsidR="006E4173" w:rsidRPr="00783B4B">
              <w:rPr>
                <w:b/>
                <w:bCs/>
                <w:sz w:val="22"/>
                <w:szCs w:val="22"/>
                <w:lang w:val="sr-Latn-ME"/>
              </w:rPr>
              <w:t>utvrđen pozitivan hormonski status tumora</w:t>
            </w:r>
          </w:p>
        </w:tc>
      </w:tr>
      <w:tr w:rsidR="004D144A" w:rsidRPr="00783B4B" w14:paraId="25D63576" w14:textId="77777777" w:rsidTr="00424FF7">
        <w:trPr>
          <w:tblCellSpacing w:w="0" w:type="dxa"/>
        </w:trPr>
        <w:tc>
          <w:tcPr>
            <w:tcW w:w="2857" w:type="dxa"/>
            <w:vMerge/>
            <w:tcBorders>
              <w:left w:val="outset" w:sz="6" w:space="0" w:color="auto"/>
              <w:bottom w:val="outset" w:sz="6" w:space="0" w:color="auto"/>
              <w:right w:val="outset" w:sz="6" w:space="0" w:color="auto"/>
            </w:tcBorders>
          </w:tcPr>
          <w:p w14:paraId="0AEC13B9" w14:textId="77777777" w:rsidR="006E4173" w:rsidRPr="00783B4B" w:rsidRDefault="006E4173" w:rsidP="00783B4B">
            <w:pPr>
              <w:rPr>
                <w:sz w:val="22"/>
                <w:szCs w:val="22"/>
                <w:lang w:val="sr-Latn-ME"/>
              </w:rPr>
            </w:pPr>
          </w:p>
        </w:tc>
        <w:tc>
          <w:tcPr>
            <w:tcW w:w="1851" w:type="dxa"/>
            <w:tcBorders>
              <w:top w:val="outset" w:sz="6" w:space="0" w:color="auto"/>
              <w:left w:val="outset" w:sz="6" w:space="0" w:color="auto"/>
              <w:bottom w:val="outset" w:sz="6" w:space="0" w:color="auto"/>
              <w:right w:val="outset" w:sz="6" w:space="0" w:color="auto"/>
            </w:tcBorders>
          </w:tcPr>
          <w:p w14:paraId="1DBD6571" w14:textId="5B6F1302" w:rsidR="006E4173" w:rsidRPr="00783B4B" w:rsidRDefault="00891363" w:rsidP="00783B4B">
            <w:pPr>
              <w:pStyle w:val="NormalWeb"/>
              <w:jc w:val="center"/>
              <w:rPr>
                <w:bCs/>
                <w:sz w:val="22"/>
                <w:szCs w:val="22"/>
                <w:lang w:val="sr-Latn-ME"/>
              </w:rPr>
            </w:pPr>
            <w:proofErr w:type="spellStart"/>
            <w:r w:rsidRPr="00783B4B">
              <w:rPr>
                <w:sz w:val="22"/>
                <w:szCs w:val="22"/>
                <w:lang w:val="sr-Latn-ME"/>
              </w:rPr>
              <w:t>Anastrozol</w:t>
            </w:r>
            <w:proofErr w:type="spellEnd"/>
            <w:r w:rsidRPr="00783B4B" w:rsidDel="00D40D88">
              <w:rPr>
                <w:bCs/>
                <w:sz w:val="22"/>
                <w:szCs w:val="22"/>
                <w:lang w:val="sr-Latn-ME"/>
              </w:rPr>
              <w:t xml:space="preserve"> </w:t>
            </w:r>
          </w:p>
          <w:p w14:paraId="05E9739A" w14:textId="0B481D43" w:rsidR="006E4173" w:rsidRPr="00783B4B" w:rsidRDefault="006E4173" w:rsidP="00783B4B">
            <w:pPr>
              <w:pStyle w:val="NormalWeb"/>
              <w:jc w:val="center"/>
              <w:rPr>
                <w:bCs/>
                <w:sz w:val="22"/>
                <w:szCs w:val="22"/>
                <w:lang w:val="sr-Latn-ME"/>
              </w:rPr>
            </w:pPr>
            <w:r w:rsidRPr="00783B4B">
              <w:rPr>
                <w:bCs/>
                <w:sz w:val="22"/>
                <w:szCs w:val="22"/>
                <w:lang w:val="sr-Latn-ME"/>
              </w:rPr>
              <w:t>(</w:t>
            </w:r>
            <w:r w:rsidR="00891363" w:rsidRPr="00783B4B">
              <w:rPr>
                <w:bCs/>
                <w:sz w:val="22"/>
                <w:szCs w:val="22"/>
                <w:lang w:val="sr-Latn-ME"/>
              </w:rPr>
              <w:t>N</w:t>
            </w:r>
            <w:r w:rsidRPr="00783B4B">
              <w:rPr>
                <w:bCs/>
                <w:sz w:val="22"/>
                <w:szCs w:val="22"/>
                <w:lang w:val="sr-Latn-ME"/>
              </w:rPr>
              <w:t>=3125)</w:t>
            </w:r>
          </w:p>
        </w:tc>
        <w:tc>
          <w:tcPr>
            <w:tcW w:w="1555" w:type="dxa"/>
            <w:tcBorders>
              <w:top w:val="outset" w:sz="6" w:space="0" w:color="auto"/>
              <w:left w:val="outset" w:sz="6" w:space="0" w:color="auto"/>
              <w:bottom w:val="outset" w:sz="6" w:space="0" w:color="auto"/>
              <w:right w:val="outset" w:sz="6" w:space="0" w:color="auto"/>
            </w:tcBorders>
          </w:tcPr>
          <w:p w14:paraId="68047C5C" w14:textId="0B94F736" w:rsidR="006E4173" w:rsidRPr="00783B4B" w:rsidRDefault="00891363" w:rsidP="00783B4B">
            <w:pPr>
              <w:pStyle w:val="NormalWeb"/>
              <w:jc w:val="center"/>
              <w:rPr>
                <w:bCs/>
                <w:sz w:val="22"/>
                <w:szCs w:val="22"/>
                <w:lang w:val="sr-Latn-ME"/>
              </w:rPr>
            </w:pPr>
            <w:proofErr w:type="spellStart"/>
            <w:r w:rsidRPr="00783B4B">
              <w:rPr>
                <w:bCs/>
                <w:sz w:val="22"/>
                <w:szCs w:val="22"/>
                <w:lang w:val="sr-Latn-ME"/>
              </w:rPr>
              <w:t>Tamoksifen</w:t>
            </w:r>
            <w:proofErr w:type="spellEnd"/>
          </w:p>
          <w:p w14:paraId="0F23D614" w14:textId="366DB57F" w:rsidR="006E4173" w:rsidRPr="00783B4B" w:rsidRDefault="006E4173" w:rsidP="00783B4B">
            <w:pPr>
              <w:pStyle w:val="NormalWeb"/>
              <w:jc w:val="center"/>
              <w:rPr>
                <w:bCs/>
                <w:sz w:val="22"/>
                <w:szCs w:val="22"/>
                <w:lang w:val="sr-Latn-ME"/>
              </w:rPr>
            </w:pPr>
            <w:r w:rsidRPr="00783B4B">
              <w:rPr>
                <w:bCs/>
                <w:sz w:val="22"/>
                <w:szCs w:val="22"/>
                <w:lang w:val="sr-Latn-ME"/>
              </w:rPr>
              <w:t>(</w:t>
            </w:r>
            <w:r w:rsidR="00891363" w:rsidRPr="00783B4B">
              <w:rPr>
                <w:bCs/>
                <w:sz w:val="22"/>
                <w:szCs w:val="22"/>
                <w:lang w:val="sr-Latn-ME"/>
              </w:rPr>
              <w:t>N</w:t>
            </w:r>
            <w:r w:rsidRPr="00783B4B">
              <w:rPr>
                <w:bCs/>
                <w:sz w:val="22"/>
                <w:szCs w:val="22"/>
                <w:lang w:val="sr-Latn-ME"/>
              </w:rPr>
              <w:t>=3116)</w:t>
            </w:r>
          </w:p>
        </w:tc>
        <w:tc>
          <w:tcPr>
            <w:tcW w:w="1498" w:type="dxa"/>
            <w:tcBorders>
              <w:top w:val="outset" w:sz="6" w:space="0" w:color="auto"/>
              <w:left w:val="outset" w:sz="6" w:space="0" w:color="auto"/>
              <w:bottom w:val="outset" w:sz="6" w:space="0" w:color="auto"/>
              <w:right w:val="outset" w:sz="6" w:space="0" w:color="auto"/>
            </w:tcBorders>
          </w:tcPr>
          <w:p w14:paraId="6CD86C05" w14:textId="26C1ABD3" w:rsidR="006E4173" w:rsidRPr="00783B4B" w:rsidRDefault="00891363" w:rsidP="00783B4B">
            <w:pPr>
              <w:pStyle w:val="NormalWeb"/>
              <w:jc w:val="center"/>
              <w:rPr>
                <w:bCs/>
                <w:sz w:val="22"/>
                <w:szCs w:val="22"/>
                <w:lang w:val="sr-Latn-ME"/>
              </w:rPr>
            </w:pPr>
            <w:proofErr w:type="spellStart"/>
            <w:r w:rsidRPr="00783B4B">
              <w:rPr>
                <w:sz w:val="22"/>
                <w:szCs w:val="22"/>
                <w:lang w:val="sr-Latn-ME"/>
              </w:rPr>
              <w:t>Anastrozol</w:t>
            </w:r>
            <w:proofErr w:type="spellEnd"/>
            <w:r w:rsidRPr="00783B4B" w:rsidDel="00D40D88">
              <w:rPr>
                <w:bCs/>
                <w:sz w:val="22"/>
                <w:szCs w:val="22"/>
                <w:lang w:val="sr-Latn-ME"/>
              </w:rPr>
              <w:t xml:space="preserve"> </w:t>
            </w:r>
          </w:p>
          <w:p w14:paraId="45B4E2D8" w14:textId="54B9D1AA" w:rsidR="006E4173" w:rsidRPr="00783B4B" w:rsidRDefault="006E4173" w:rsidP="00783B4B">
            <w:pPr>
              <w:pStyle w:val="NormalWeb"/>
              <w:jc w:val="center"/>
              <w:rPr>
                <w:bCs/>
                <w:sz w:val="22"/>
                <w:szCs w:val="22"/>
                <w:lang w:val="sr-Latn-ME"/>
              </w:rPr>
            </w:pPr>
            <w:r w:rsidRPr="00783B4B">
              <w:rPr>
                <w:bCs/>
                <w:sz w:val="22"/>
                <w:szCs w:val="22"/>
                <w:lang w:val="sr-Latn-ME"/>
              </w:rPr>
              <w:t>(</w:t>
            </w:r>
            <w:r w:rsidR="00891363" w:rsidRPr="00783B4B">
              <w:rPr>
                <w:bCs/>
                <w:sz w:val="22"/>
                <w:szCs w:val="22"/>
                <w:lang w:val="sr-Latn-ME"/>
              </w:rPr>
              <w:t>N=</w:t>
            </w:r>
            <w:r w:rsidRPr="00783B4B">
              <w:rPr>
                <w:bCs/>
                <w:sz w:val="22"/>
                <w:szCs w:val="22"/>
                <w:lang w:val="sr-Latn-ME"/>
              </w:rPr>
              <w:t>2618)</w:t>
            </w:r>
          </w:p>
        </w:tc>
        <w:tc>
          <w:tcPr>
            <w:tcW w:w="0" w:type="auto"/>
            <w:tcBorders>
              <w:top w:val="outset" w:sz="6" w:space="0" w:color="auto"/>
              <w:left w:val="outset" w:sz="6" w:space="0" w:color="auto"/>
              <w:bottom w:val="outset" w:sz="6" w:space="0" w:color="auto"/>
              <w:right w:val="outset" w:sz="6" w:space="0" w:color="auto"/>
            </w:tcBorders>
          </w:tcPr>
          <w:p w14:paraId="476F4904" w14:textId="19A56B47" w:rsidR="006E4173" w:rsidRPr="00783B4B" w:rsidRDefault="00891363" w:rsidP="00783B4B">
            <w:pPr>
              <w:pStyle w:val="NormalWeb"/>
              <w:jc w:val="center"/>
              <w:rPr>
                <w:bCs/>
                <w:sz w:val="22"/>
                <w:szCs w:val="22"/>
                <w:lang w:val="sr-Latn-ME"/>
              </w:rPr>
            </w:pPr>
            <w:proofErr w:type="spellStart"/>
            <w:r w:rsidRPr="00783B4B">
              <w:rPr>
                <w:bCs/>
                <w:sz w:val="22"/>
                <w:szCs w:val="22"/>
                <w:lang w:val="sr-Latn-ME"/>
              </w:rPr>
              <w:t>Tamoksifen</w:t>
            </w:r>
            <w:proofErr w:type="spellEnd"/>
          </w:p>
          <w:p w14:paraId="13510269" w14:textId="51B23B9E" w:rsidR="006E4173" w:rsidRPr="00783B4B" w:rsidRDefault="006E4173" w:rsidP="00783B4B">
            <w:pPr>
              <w:pStyle w:val="NormalWeb"/>
              <w:jc w:val="center"/>
              <w:rPr>
                <w:bCs/>
                <w:sz w:val="22"/>
                <w:szCs w:val="22"/>
                <w:lang w:val="sr-Latn-ME"/>
              </w:rPr>
            </w:pPr>
            <w:r w:rsidRPr="00783B4B">
              <w:rPr>
                <w:bCs/>
                <w:sz w:val="22"/>
                <w:szCs w:val="22"/>
                <w:lang w:val="sr-Latn-ME"/>
              </w:rPr>
              <w:t>(</w:t>
            </w:r>
            <w:r w:rsidR="00891363" w:rsidRPr="00783B4B">
              <w:rPr>
                <w:bCs/>
                <w:sz w:val="22"/>
                <w:szCs w:val="22"/>
                <w:lang w:val="sr-Latn-ME"/>
              </w:rPr>
              <w:t>N</w:t>
            </w:r>
            <w:r w:rsidRPr="00783B4B">
              <w:rPr>
                <w:bCs/>
                <w:sz w:val="22"/>
                <w:szCs w:val="22"/>
                <w:lang w:val="sr-Latn-ME"/>
              </w:rPr>
              <w:t>=2598)</w:t>
            </w:r>
          </w:p>
        </w:tc>
      </w:tr>
      <w:tr w:rsidR="004D144A" w:rsidRPr="00783B4B" w14:paraId="29F7E12E" w14:textId="77777777" w:rsidTr="00424FF7">
        <w:trPr>
          <w:trHeight w:val="644"/>
          <w:tblCellSpacing w:w="0" w:type="dxa"/>
        </w:trPr>
        <w:tc>
          <w:tcPr>
            <w:tcW w:w="2857" w:type="dxa"/>
            <w:tcBorders>
              <w:top w:val="outset" w:sz="6" w:space="0" w:color="auto"/>
              <w:left w:val="outset" w:sz="6" w:space="0" w:color="auto"/>
              <w:bottom w:val="outset" w:sz="6" w:space="0" w:color="auto"/>
              <w:right w:val="outset" w:sz="6" w:space="0" w:color="auto"/>
            </w:tcBorders>
            <w:vAlign w:val="center"/>
          </w:tcPr>
          <w:p w14:paraId="25CDB601" w14:textId="77777777" w:rsidR="006E4173" w:rsidRPr="00783B4B" w:rsidRDefault="006E4173" w:rsidP="00783B4B">
            <w:pPr>
              <w:pStyle w:val="NormalWeb"/>
              <w:rPr>
                <w:b/>
                <w:i/>
                <w:sz w:val="22"/>
                <w:szCs w:val="22"/>
                <w:lang w:val="sr-Latn-ME"/>
              </w:rPr>
            </w:pPr>
            <w:r w:rsidRPr="00783B4B">
              <w:rPr>
                <w:b/>
                <w:i/>
                <w:sz w:val="22"/>
                <w:szCs w:val="22"/>
                <w:lang w:val="sr-Latn-ME"/>
              </w:rPr>
              <w:t>Preživljavanje bez znakova bolesti</w:t>
            </w:r>
            <w:r w:rsidRPr="00783B4B">
              <w:rPr>
                <w:b/>
                <w:i/>
                <w:sz w:val="22"/>
                <w:szCs w:val="22"/>
                <w:vertAlign w:val="superscript"/>
                <w:lang w:val="sr-Latn-ME"/>
              </w:rPr>
              <w:t xml:space="preserve"> a</w:t>
            </w:r>
          </w:p>
        </w:tc>
        <w:tc>
          <w:tcPr>
            <w:tcW w:w="1851" w:type="dxa"/>
            <w:tcBorders>
              <w:top w:val="outset" w:sz="6" w:space="0" w:color="auto"/>
              <w:left w:val="outset" w:sz="6" w:space="0" w:color="auto"/>
              <w:bottom w:val="outset" w:sz="6" w:space="0" w:color="auto"/>
              <w:right w:val="outset" w:sz="6" w:space="0" w:color="auto"/>
            </w:tcBorders>
            <w:vAlign w:val="center"/>
          </w:tcPr>
          <w:p w14:paraId="5FCBF870" w14:textId="796F28A3" w:rsidR="006E4173" w:rsidRPr="00783B4B" w:rsidRDefault="006E4173" w:rsidP="00783B4B">
            <w:pPr>
              <w:pStyle w:val="NormalWeb"/>
              <w:jc w:val="center"/>
              <w:rPr>
                <w:sz w:val="22"/>
                <w:szCs w:val="22"/>
                <w:lang w:val="sr-Latn-ME"/>
              </w:rPr>
            </w:pPr>
            <w:r w:rsidRPr="00783B4B">
              <w:rPr>
                <w:sz w:val="22"/>
                <w:szCs w:val="22"/>
                <w:lang w:val="sr-Latn-ME"/>
              </w:rPr>
              <w:t>575 (18</w:t>
            </w:r>
            <w:r w:rsidR="00494240" w:rsidRPr="00783B4B">
              <w:rPr>
                <w:sz w:val="22"/>
                <w:szCs w:val="22"/>
                <w:lang w:val="sr-Latn-ME"/>
              </w:rPr>
              <w:t>,</w:t>
            </w:r>
            <w:r w:rsidRPr="00783B4B">
              <w:rPr>
                <w:sz w:val="22"/>
                <w:szCs w:val="22"/>
                <w:lang w:val="sr-Latn-ME"/>
              </w:rPr>
              <w:t>4)</w:t>
            </w:r>
          </w:p>
        </w:tc>
        <w:tc>
          <w:tcPr>
            <w:tcW w:w="1555" w:type="dxa"/>
            <w:tcBorders>
              <w:top w:val="outset" w:sz="6" w:space="0" w:color="auto"/>
              <w:left w:val="outset" w:sz="6" w:space="0" w:color="auto"/>
              <w:bottom w:val="outset" w:sz="6" w:space="0" w:color="auto"/>
              <w:right w:val="outset" w:sz="6" w:space="0" w:color="auto"/>
            </w:tcBorders>
            <w:vAlign w:val="center"/>
          </w:tcPr>
          <w:p w14:paraId="2F06C3BE" w14:textId="3876DB58" w:rsidR="006E4173" w:rsidRPr="00783B4B" w:rsidRDefault="006E4173" w:rsidP="00783B4B">
            <w:pPr>
              <w:pStyle w:val="NormalWeb"/>
              <w:jc w:val="center"/>
              <w:rPr>
                <w:sz w:val="22"/>
                <w:szCs w:val="22"/>
                <w:lang w:val="sr-Latn-ME"/>
              </w:rPr>
            </w:pPr>
            <w:r w:rsidRPr="00783B4B">
              <w:rPr>
                <w:sz w:val="22"/>
                <w:szCs w:val="22"/>
                <w:lang w:val="sr-Latn-ME"/>
              </w:rPr>
              <w:t>651 (20</w:t>
            </w:r>
            <w:r w:rsidR="00494240" w:rsidRPr="00783B4B">
              <w:rPr>
                <w:sz w:val="22"/>
                <w:szCs w:val="22"/>
                <w:lang w:val="sr-Latn-ME"/>
              </w:rPr>
              <w:t>,</w:t>
            </w:r>
            <w:r w:rsidRPr="00783B4B">
              <w:rPr>
                <w:sz w:val="22"/>
                <w:szCs w:val="22"/>
                <w:lang w:val="sr-Latn-ME"/>
              </w:rPr>
              <w:t>9)</w:t>
            </w:r>
          </w:p>
        </w:tc>
        <w:tc>
          <w:tcPr>
            <w:tcW w:w="1498" w:type="dxa"/>
            <w:tcBorders>
              <w:top w:val="outset" w:sz="6" w:space="0" w:color="auto"/>
              <w:left w:val="outset" w:sz="6" w:space="0" w:color="auto"/>
              <w:bottom w:val="outset" w:sz="6" w:space="0" w:color="auto"/>
              <w:right w:val="outset" w:sz="6" w:space="0" w:color="auto"/>
            </w:tcBorders>
            <w:vAlign w:val="center"/>
          </w:tcPr>
          <w:p w14:paraId="31902ECF" w14:textId="42C988A0" w:rsidR="006E4173" w:rsidRPr="00783B4B" w:rsidRDefault="006E4173" w:rsidP="00783B4B">
            <w:pPr>
              <w:pStyle w:val="NormalWeb"/>
              <w:jc w:val="center"/>
              <w:rPr>
                <w:sz w:val="22"/>
                <w:szCs w:val="22"/>
                <w:lang w:val="sr-Latn-ME"/>
              </w:rPr>
            </w:pPr>
            <w:r w:rsidRPr="00783B4B">
              <w:rPr>
                <w:sz w:val="22"/>
                <w:szCs w:val="22"/>
                <w:lang w:val="sr-Latn-ME"/>
              </w:rPr>
              <w:t>424 (16</w:t>
            </w:r>
            <w:r w:rsidR="00494240" w:rsidRPr="00783B4B">
              <w:rPr>
                <w:sz w:val="22"/>
                <w:szCs w:val="22"/>
                <w:lang w:val="sr-Latn-ME"/>
              </w:rPr>
              <w:t>,</w:t>
            </w:r>
            <w:r w:rsidRPr="00783B4B">
              <w:rPr>
                <w:sz w:val="22"/>
                <w:szCs w:val="22"/>
                <w:lang w:val="sr-Latn-ME"/>
              </w:rPr>
              <w:t>2)</w:t>
            </w:r>
          </w:p>
        </w:tc>
        <w:tc>
          <w:tcPr>
            <w:tcW w:w="0" w:type="auto"/>
            <w:tcBorders>
              <w:top w:val="outset" w:sz="6" w:space="0" w:color="auto"/>
              <w:left w:val="outset" w:sz="6" w:space="0" w:color="auto"/>
              <w:bottom w:val="outset" w:sz="6" w:space="0" w:color="auto"/>
              <w:right w:val="outset" w:sz="6" w:space="0" w:color="auto"/>
            </w:tcBorders>
            <w:vAlign w:val="center"/>
          </w:tcPr>
          <w:p w14:paraId="03608C6D" w14:textId="488B2ACE" w:rsidR="006E4173" w:rsidRPr="00783B4B" w:rsidRDefault="006E4173" w:rsidP="00783B4B">
            <w:pPr>
              <w:pStyle w:val="NormalWeb"/>
              <w:jc w:val="center"/>
              <w:rPr>
                <w:sz w:val="22"/>
                <w:szCs w:val="22"/>
                <w:lang w:val="sr-Latn-ME"/>
              </w:rPr>
            </w:pPr>
            <w:r w:rsidRPr="00783B4B">
              <w:rPr>
                <w:sz w:val="22"/>
                <w:szCs w:val="22"/>
                <w:lang w:val="sr-Latn-ME"/>
              </w:rPr>
              <w:t>497 (19</w:t>
            </w:r>
            <w:r w:rsidR="00494240" w:rsidRPr="00783B4B">
              <w:rPr>
                <w:sz w:val="22"/>
                <w:szCs w:val="22"/>
                <w:lang w:val="sr-Latn-ME"/>
              </w:rPr>
              <w:t>,</w:t>
            </w:r>
            <w:r w:rsidRPr="00783B4B">
              <w:rPr>
                <w:sz w:val="22"/>
                <w:szCs w:val="22"/>
                <w:lang w:val="sr-Latn-ME"/>
              </w:rPr>
              <w:t>1)</w:t>
            </w:r>
          </w:p>
        </w:tc>
      </w:tr>
      <w:tr w:rsidR="00B156FF" w:rsidRPr="00783B4B" w14:paraId="3C153906"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2586624D" w14:textId="01B843DA" w:rsidR="006E4173" w:rsidRPr="00783B4B" w:rsidRDefault="00C510A7" w:rsidP="00783B4B">
            <w:pPr>
              <w:pStyle w:val="NormalWeb"/>
              <w:rPr>
                <w:sz w:val="22"/>
                <w:szCs w:val="22"/>
                <w:lang w:val="sr-Latn-ME"/>
              </w:rPr>
            </w:pPr>
            <w:r w:rsidRPr="00783B4B">
              <w:rPr>
                <w:i/>
                <w:sz w:val="22"/>
                <w:szCs w:val="22"/>
                <w:lang w:val="sr-Latn-ME" w:eastAsia="en-US"/>
              </w:rPr>
              <w:t xml:space="preserve">Hazard </w:t>
            </w:r>
            <w:proofErr w:type="spellStart"/>
            <w:r w:rsidRPr="00783B4B">
              <w:rPr>
                <w:i/>
                <w:sz w:val="22"/>
                <w:szCs w:val="22"/>
                <w:lang w:val="sr-Latn-ME" w:eastAsia="en-US"/>
              </w:rPr>
              <w:t>ratio</w:t>
            </w:r>
            <w:proofErr w:type="spellEnd"/>
          </w:p>
        </w:tc>
        <w:tc>
          <w:tcPr>
            <w:tcW w:w="3406" w:type="dxa"/>
            <w:gridSpan w:val="2"/>
            <w:tcBorders>
              <w:top w:val="outset" w:sz="6" w:space="0" w:color="auto"/>
              <w:left w:val="outset" w:sz="6" w:space="0" w:color="auto"/>
              <w:bottom w:val="outset" w:sz="6" w:space="0" w:color="auto"/>
              <w:right w:val="outset" w:sz="6" w:space="0" w:color="auto"/>
            </w:tcBorders>
          </w:tcPr>
          <w:p w14:paraId="2F75ED7B" w14:textId="150FA0FE" w:rsidR="006E4173" w:rsidRPr="00783B4B" w:rsidRDefault="006E4173" w:rsidP="00783B4B">
            <w:pPr>
              <w:pStyle w:val="NormalWeb"/>
              <w:jc w:val="center"/>
              <w:rPr>
                <w:sz w:val="22"/>
                <w:szCs w:val="22"/>
                <w:lang w:val="sr-Latn-ME"/>
              </w:rPr>
            </w:pPr>
            <w:r w:rsidRPr="00783B4B">
              <w:rPr>
                <w:sz w:val="22"/>
                <w:szCs w:val="22"/>
                <w:lang w:val="sr-Latn-ME"/>
              </w:rPr>
              <w:t>0</w:t>
            </w:r>
            <w:r w:rsidR="00494240" w:rsidRPr="00783B4B">
              <w:rPr>
                <w:sz w:val="22"/>
                <w:szCs w:val="22"/>
                <w:lang w:val="sr-Latn-ME"/>
              </w:rPr>
              <w:t>,</w:t>
            </w:r>
            <w:r w:rsidRPr="00783B4B">
              <w:rPr>
                <w:sz w:val="22"/>
                <w:szCs w:val="22"/>
                <w:lang w:val="sr-Latn-ME"/>
              </w:rPr>
              <w:t>87</w:t>
            </w:r>
          </w:p>
        </w:tc>
        <w:tc>
          <w:tcPr>
            <w:tcW w:w="2794" w:type="dxa"/>
            <w:gridSpan w:val="2"/>
            <w:tcBorders>
              <w:top w:val="outset" w:sz="6" w:space="0" w:color="auto"/>
              <w:left w:val="outset" w:sz="6" w:space="0" w:color="auto"/>
              <w:bottom w:val="outset" w:sz="6" w:space="0" w:color="auto"/>
              <w:right w:val="outset" w:sz="6" w:space="0" w:color="auto"/>
            </w:tcBorders>
          </w:tcPr>
          <w:p w14:paraId="5A24426D" w14:textId="77777777" w:rsidR="006E4173" w:rsidRPr="00783B4B" w:rsidRDefault="006E4173" w:rsidP="00783B4B">
            <w:pPr>
              <w:pStyle w:val="NormalWeb"/>
              <w:jc w:val="center"/>
              <w:rPr>
                <w:sz w:val="22"/>
                <w:szCs w:val="22"/>
                <w:lang w:val="sr-Latn-ME"/>
              </w:rPr>
            </w:pPr>
            <w:r w:rsidRPr="00783B4B">
              <w:rPr>
                <w:sz w:val="22"/>
                <w:szCs w:val="22"/>
                <w:lang w:val="sr-Latn-ME"/>
              </w:rPr>
              <w:t>0.83</w:t>
            </w:r>
          </w:p>
        </w:tc>
      </w:tr>
      <w:tr w:rsidR="00B156FF" w:rsidRPr="00783B4B" w14:paraId="79F62FE2"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5396476" w14:textId="139FFCDB" w:rsidR="006E4173" w:rsidRPr="00783B4B" w:rsidRDefault="006E4173" w:rsidP="00783B4B">
            <w:pPr>
              <w:pStyle w:val="NormalWeb"/>
              <w:rPr>
                <w:sz w:val="22"/>
                <w:szCs w:val="22"/>
                <w:lang w:val="sr-Latn-ME"/>
              </w:rPr>
            </w:pPr>
            <w:r w:rsidRPr="00783B4B">
              <w:rPr>
                <w:sz w:val="22"/>
                <w:szCs w:val="22"/>
                <w:lang w:val="sr-Latn-ME"/>
              </w:rPr>
              <w:t>dvostrani 95% -</w:t>
            </w:r>
            <w:proofErr w:type="spellStart"/>
            <w:r w:rsidRPr="00783B4B">
              <w:rPr>
                <w:sz w:val="22"/>
                <w:szCs w:val="22"/>
                <w:lang w:val="sr-Latn-ME"/>
              </w:rPr>
              <w:t>tni</w:t>
            </w:r>
            <w:proofErr w:type="spellEnd"/>
            <w:r w:rsidRPr="00783B4B">
              <w:rPr>
                <w:sz w:val="22"/>
                <w:szCs w:val="22"/>
                <w:lang w:val="sr-Latn-ME"/>
              </w:rPr>
              <w:t xml:space="preserve"> interval </w:t>
            </w:r>
            <w:r w:rsidR="00C510A7" w:rsidRPr="00783B4B">
              <w:rPr>
                <w:sz w:val="22"/>
                <w:szCs w:val="22"/>
                <w:lang w:val="sr-Latn-ME"/>
              </w:rPr>
              <w:t>pouzdanosti</w:t>
            </w:r>
          </w:p>
        </w:tc>
        <w:tc>
          <w:tcPr>
            <w:tcW w:w="3406" w:type="dxa"/>
            <w:gridSpan w:val="2"/>
            <w:tcBorders>
              <w:top w:val="outset" w:sz="6" w:space="0" w:color="auto"/>
              <w:left w:val="outset" w:sz="6" w:space="0" w:color="auto"/>
              <w:bottom w:val="outset" w:sz="6" w:space="0" w:color="auto"/>
              <w:right w:val="outset" w:sz="6" w:space="0" w:color="auto"/>
            </w:tcBorders>
          </w:tcPr>
          <w:p w14:paraId="55CFCF11" w14:textId="68C89EC9" w:rsidR="006E4173" w:rsidRPr="00783B4B" w:rsidRDefault="006E4173" w:rsidP="00783B4B">
            <w:pPr>
              <w:pStyle w:val="NormalWeb"/>
              <w:jc w:val="center"/>
              <w:rPr>
                <w:sz w:val="22"/>
                <w:szCs w:val="22"/>
                <w:lang w:val="sr-Latn-ME"/>
              </w:rPr>
            </w:pPr>
            <w:r w:rsidRPr="00783B4B">
              <w:rPr>
                <w:sz w:val="22"/>
                <w:szCs w:val="22"/>
                <w:lang w:val="sr-Latn-ME"/>
              </w:rPr>
              <w:t>0</w:t>
            </w:r>
            <w:r w:rsidR="00494240" w:rsidRPr="00783B4B">
              <w:rPr>
                <w:sz w:val="22"/>
                <w:szCs w:val="22"/>
                <w:lang w:val="sr-Latn-ME"/>
              </w:rPr>
              <w:t>,</w:t>
            </w:r>
            <w:r w:rsidRPr="00783B4B">
              <w:rPr>
                <w:sz w:val="22"/>
                <w:szCs w:val="22"/>
                <w:lang w:val="sr-Latn-ME"/>
              </w:rPr>
              <w:t xml:space="preserve">78 </w:t>
            </w:r>
            <w:r w:rsidR="00306CC4" w:rsidRPr="00783B4B">
              <w:rPr>
                <w:sz w:val="22"/>
                <w:szCs w:val="22"/>
                <w:lang w:val="sr-Latn-ME"/>
              </w:rPr>
              <w:t>-</w:t>
            </w:r>
            <w:r w:rsidRPr="00783B4B">
              <w:rPr>
                <w:sz w:val="22"/>
                <w:szCs w:val="22"/>
                <w:lang w:val="sr-Latn-ME"/>
              </w:rPr>
              <w:t xml:space="preserve"> 0</w:t>
            </w:r>
            <w:r w:rsidR="00494240" w:rsidRPr="00783B4B">
              <w:rPr>
                <w:sz w:val="22"/>
                <w:szCs w:val="22"/>
                <w:lang w:val="sr-Latn-ME"/>
              </w:rPr>
              <w:t>,</w:t>
            </w:r>
            <w:r w:rsidRPr="00783B4B">
              <w:rPr>
                <w:sz w:val="22"/>
                <w:szCs w:val="22"/>
                <w:lang w:val="sr-Latn-ME"/>
              </w:rPr>
              <w:t>97</w:t>
            </w:r>
          </w:p>
        </w:tc>
        <w:tc>
          <w:tcPr>
            <w:tcW w:w="2794" w:type="dxa"/>
            <w:gridSpan w:val="2"/>
            <w:tcBorders>
              <w:top w:val="outset" w:sz="6" w:space="0" w:color="auto"/>
              <w:left w:val="outset" w:sz="6" w:space="0" w:color="auto"/>
              <w:bottom w:val="outset" w:sz="6" w:space="0" w:color="auto"/>
              <w:right w:val="outset" w:sz="6" w:space="0" w:color="auto"/>
            </w:tcBorders>
          </w:tcPr>
          <w:p w14:paraId="2047B4F7" w14:textId="3852464B" w:rsidR="006E4173" w:rsidRPr="00783B4B" w:rsidRDefault="006E4173" w:rsidP="00783B4B">
            <w:pPr>
              <w:pStyle w:val="NormalWeb"/>
              <w:jc w:val="center"/>
              <w:rPr>
                <w:sz w:val="22"/>
                <w:szCs w:val="22"/>
                <w:lang w:val="sr-Latn-ME"/>
              </w:rPr>
            </w:pPr>
            <w:r w:rsidRPr="00783B4B">
              <w:rPr>
                <w:sz w:val="22"/>
                <w:szCs w:val="22"/>
                <w:lang w:val="sr-Latn-ME"/>
              </w:rPr>
              <w:t>0</w:t>
            </w:r>
            <w:r w:rsidR="00494240" w:rsidRPr="00783B4B">
              <w:rPr>
                <w:sz w:val="22"/>
                <w:szCs w:val="22"/>
                <w:lang w:val="sr-Latn-ME"/>
              </w:rPr>
              <w:t>,</w:t>
            </w:r>
            <w:r w:rsidRPr="00783B4B">
              <w:rPr>
                <w:sz w:val="22"/>
                <w:szCs w:val="22"/>
                <w:lang w:val="sr-Latn-ME"/>
              </w:rPr>
              <w:t xml:space="preserve">73 </w:t>
            </w:r>
            <w:r w:rsidR="006B2E80" w:rsidRPr="00783B4B">
              <w:rPr>
                <w:sz w:val="22"/>
                <w:szCs w:val="22"/>
                <w:lang w:val="sr-Latn-ME"/>
              </w:rPr>
              <w:t xml:space="preserve">- </w:t>
            </w:r>
            <w:r w:rsidRPr="00783B4B">
              <w:rPr>
                <w:sz w:val="22"/>
                <w:szCs w:val="22"/>
                <w:lang w:val="sr-Latn-ME"/>
              </w:rPr>
              <w:t>0</w:t>
            </w:r>
            <w:r w:rsidR="00494240" w:rsidRPr="00783B4B">
              <w:rPr>
                <w:sz w:val="22"/>
                <w:szCs w:val="22"/>
                <w:lang w:val="sr-Latn-ME"/>
              </w:rPr>
              <w:t>,</w:t>
            </w:r>
            <w:r w:rsidRPr="00783B4B">
              <w:rPr>
                <w:sz w:val="22"/>
                <w:szCs w:val="22"/>
                <w:lang w:val="sr-Latn-ME"/>
              </w:rPr>
              <w:t>94</w:t>
            </w:r>
          </w:p>
        </w:tc>
      </w:tr>
      <w:tr w:rsidR="00B156FF" w:rsidRPr="00783B4B" w14:paraId="324ABD77"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7497EE3B"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039B3477" w14:textId="475F8C0E" w:rsidR="006E4173" w:rsidRPr="00783B4B" w:rsidRDefault="006E4173" w:rsidP="00783B4B">
            <w:pPr>
              <w:pStyle w:val="NormalWeb"/>
              <w:jc w:val="center"/>
              <w:rPr>
                <w:sz w:val="22"/>
                <w:szCs w:val="22"/>
                <w:lang w:val="sr-Latn-ME"/>
              </w:rPr>
            </w:pPr>
            <w:r w:rsidRPr="00783B4B">
              <w:rPr>
                <w:sz w:val="22"/>
                <w:szCs w:val="22"/>
                <w:lang w:val="sr-Latn-ME"/>
              </w:rPr>
              <w:t>0</w:t>
            </w:r>
            <w:r w:rsidR="00494240" w:rsidRPr="00783B4B">
              <w:rPr>
                <w:sz w:val="22"/>
                <w:szCs w:val="22"/>
                <w:lang w:val="sr-Latn-ME"/>
              </w:rPr>
              <w:t>,</w:t>
            </w:r>
            <w:r w:rsidRPr="00783B4B">
              <w:rPr>
                <w:sz w:val="22"/>
                <w:szCs w:val="22"/>
                <w:lang w:val="sr-Latn-ME"/>
              </w:rPr>
              <w:t>0127</w:t>
            </w:r>
          </w:p>
        </w:tc>
        <w:tc>
          <w:tcPr>
            <w:tcW w:w="2794" w:type="dxa"/>
            <w:gridSpan w:val="2"/>
            <w:tcBorders>
              <w:top w:val="outset" w:sz="6" w:space="0" w:color="auto"/>
              <w:left w:val="outset" w:sz="6" w:space="0" w:color="auto"/>
              <w:bottom w:val="outset" w:sz="6" w:space="0" w:color="auto"/>
              <w:right w:val="outset" w:sz="6" w:space="0" w:color="auto"/>
            </w:tcBorders>
          </w:tcPr>
          <w:p w14:paraId="7438636A" w14:textId="378CC2A3" w:rsidR="006E4173" w:rsidRPr="00783B4B" w:rsidRDefault="006E4173" w:rsidP="00783B4B">
            <w:pPr>
              <w:pStyle w:val="NormalWeb"/>
              <w:jc w:val="center"/>
              <w:rPr>
                <w:sz w:val="22"/>
                <w:szCs w:val="22"/>
                <w:lang w:val="sr-Latn-ME"/>
              </w:rPr>
            </w:pPr>
            <w:r w:rsidRPr="00783B4B">
              <w:rPr>
                <w:sz w:val="22"/>
                <w:szCs w:val="22"/>
                <w:lang w:val="sr-Latn-ME"/>
              </w:rPr>
              <w:t>0</w:t>
            </w:r>
            <w:r w:rsidR="00494240" w:rsidRPr="00783B4B">
              <w:rPr>
                <w:sz w:val="22"/>
                <w:szCs w:val="22"/>
                <w:lang w:val="sr-Latn-ME"/>
              </w:rPr>
              <w:t>,</w:t>
            </w:r>
            <w:r w:rsidRPr="00783B4B">
              <w:rPr>
                <w:sz w:val="22"/>
                <w:szCs w:val="22"/>
                <w:lang w:val="sr-Latn-ME"/>
              </w:rPr>
              <w:t>0049</w:t>
            </w:r>
          </w:p>
        </w:tc>
      </w:tr>
      <w:tr w:rsidR="004D144A" w:rsidRPr="00783B4B" w14:paraId="5F6A5701"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78533DB1" w14:textId="2E13C0FB" w:rsidR="006E4173" w:rsidRPr="00783B4B" w:rsidRDefault="006E4173" w:rsidP="00783B4B">
            <w:pPr>
              <w:pStyle w:val="NormalWeb"/>
              <w:rPr>
                <w:i/>
                <w:sz w:val="22"/>
                <w:szCs w:val="22"/>
                <w:lang w:val="sr-Latn-ME"/>
              </w:rPr>
            </w:pPr>
            <w:r w:rsidRPr="00783B4B">
              <w:rPr>
                <w:bCs/>
                <w:i/>
                <w:sz w:val="22"/>
                <w:szCs w:val="22"/>
                <w:lang w:val="sr-Latn-ME"/>
              </w:rPr>
              <w:t>Preživljavanje bez znakova bolesti</w:t>
            </w:r>
            <w:r w:rsidRPr="00783B4B">
              <w:rPr>
                <w:bCs/>
                <w:i/>
                <w:sz w:val="22"/>
                <w:szCs w:val="22"/>
                <w:vertAlign w:val="superscript"/>
                <w:lang w:val="sr-Latn-ME"/>
              </w:rPr>
              <w:t xml:space="preserve"> </w:t>
            </w:r>
            <w:r w:rsidRPr="00783B4B">
              <w:rPr>
                <w:i/>
                <w:sz w:val="22"/>
                <w:szCs w:val="22"/>
                <w:vertAlign w:val="superscript"/>
                <w:lang w:val="sr-Latn-ME"/>
              </w:rPr>
              <w:t xml:space="preserve"> </w:t>
            </w:r>
            <w:r w:rsidR="003C5F2C" w:rsidRPr="00783B4B">
              <w:rPr>
                <w:bCs/>
                <w:i/>
                <w:sz w:val="22"/>
                <w:szCs w:val="22"/>
                <w:lang w:val="sr-Latn-ME"/>
              </w:rPr>
              <w:t>na udaljenom m</w:t>
            </w:r>
            <w:r w:rsidR="00D65909" w:rsidRPr="00783B4B">
              <w:rPr>
                <w:bCs/>
                <w:i/>
                <w:sz w:val="22"/>
                <w:szCs w:val="22"/>
                <w:lang w:val="sr-Latn-ME"/>
              </w:rPr>
              <w:t>j</w:t>
            </w:r>
            <w:r w:rsidR="003C5F2C" w:rsidRPr="00783B4B">
              <w:rPr>
                <w:bCs/>
                <w:i/>
                <w:sz w:val="22"/>
                <w:szCs w:val="22"/>
                <w:lang w:val="sr-Latn-ME"/>
              </w:rPr>
              <w:t>estu</w:t>
            </w:r>
            <w:r w:rsidRPr="00783B4B">
              <w:rPr>
                <w:bCs/>
                <w:i/>
                <w:sz w:val="22"/>
                <w:szCs w:val="22"/>
                <w:vertAlign w:val="superscript"/>
                <w:lang w:val="sr-Latn-ME"/>
              </w:rPr>
              <w:t xml:space="preserve"> b</w:t>
            </w:r>
          </w:p>
        </w:tc>
        <w:tc>
          <w:tcPr>
            <w:tcW w:w="1851" w:type="dxa"/>
            <w:tcBorders>
              <w:top w:val="outset" w:sz="6" w:space="0" w:color="auto"/>
              <w:left w:val="outset" w:sz="6" w:space="0" w:color="auto"/>
              <w:bottom w:val="outset" w:sz="6" w:space="0" w:color="auto"/>
              <w:right w:val="outset" w:sz="6" w:space="0" w:color="auto"/>
            </w:tcBorders>
          </w:tcPr>
          <w:p w14:paraId="2C72A9BC" w14:textId="46DF27E3" w:rsidR="006E4173" w:rsidRPr="00783B4B" w:rsidRDefault="006E4173" w:rsidP="00783B4B">
            <w:pPr>
              <w:pStyle w:val="NormalWeb"/>
              <w:jc w:val="center"/>
              <w:rPr>
                <w:sz w:val="22"/>
                <w:szCs w:val="22"/>
                <w:lang w:val="sr-Latn-ME"/>
              </w:rPr>
            </w:pPr>
            <w:r w:rsidRPr="00783B4B">
              <w:rPr>
                <w:sz w:val="22"/>
                <w:szCs w:val="22"/>
                <w:lang w:val="sr-Latn-ME"/>
              </w:rPr>
              <w:t>500 (16</w:t>
            </w:r>
            <w:r w:rsidR="00306CC4" w:rsidRPr="00783B4B">
              <w:rPr>
                <w:sz w:val="22"/>
                <w:szCs w:val="22"/>
                <w:lang w:val="sr-Latn-ME"/>
              </w:rPr>
              <w:t>,</w:t>
            </w:r>
            <w:r w:rsidRPr="00783B4B">
              <w:rPr>
                <w:sz w:val="22"/>
                <w:szCs w:val="22"/>
                <w:lang w:val="sr-Latn-ME"/>
              </w:rPr>
              <w:t>0)</w:t>
            </w:r>
          </w:p>
        </w:tc>
        <w:tc>
          <w:tcPr>
            <w:tcW w:w="1555" w:type="dxa"/>
            <w:tcBorders>
              <w:top w:val="outset" w:sz="6" w:space="0" w:color="auto"/>
              <w:left w:val="outset" w:sz="6" w:space="0" w:color="auto"/>
              <w:bottom w:val="outset" w:sz="6" w:space="0" w:color="auto"/>
              <w:right w:val="outset" w:sz="6" w:space="0" w:color="auto"/>
            </w:tcBorders>
          </w:tcPr>
          <w:p w14:paraId="45E663A5" w14:textId="7A0A0CF9" w:rsidR="006E4173" w:rsidRPr="00783B4B" w:rsidRDefault="006E4173" w:rsidP="00783B4B">
            <w:pPr>
              <w:pStyle w:val="NormalWeb"/>
              <w:jc w:val="center"/>
              <w:rPr>
                <w:sz w:val="22"/>
                <w:szCs w:val="22"/>
                <w:lang w:val="sr-Latn-ME"/>
              </w:rPr>
            </w:pPr>
            <w:r w:rsidRPr="00783B4B">
              <w:rPr>
                <w:sz w:val="22"/>
                <w:szCs w:val="22"/>
                <w:lang w:val="sr-Latn-ME"/>
              </w:rPr>
              <w:t>530 (17</w:t>
            </w:r>
            <w:r w:rsidR="00306CC4" w:rsidRPr="00783B4B">
              <w:rPr>
                <w:sz w:val="22"/>
                <w:szCs w:val="22"/>
                <w:lang w:val="sr-Latn-ME"/>
              </w:rPr>
              <w:t>,</w:t>
            </w:r>
            <w:r w:rsidRPr="00783B4B">
              <w:rPr>
                <w:sz w:val="22"/>
                <w:szCs w:val="22"/>
                <w:lang w:val="sr-Latn-ME"/>
              </w:rPr>
              <w:t>0)</w:t>
            </w:r>
          </w:p>
        </w:tc>
        <w:tc>
          <w:tcPr>
            <w:tcW w:w="1498" w:type="dxa"/>
            <w:tcBorders>
              <w:top w:val="outset" w:sz="6" w:space="0" w:color="auto"/>
              <w:left w:val="outset" w:sz="6" w:space="0" w:color="auto"/>
              <w:bottom w:val="outset" w:sz="6" w:space="0" w:color="auto"/>
              <w:right w:val="outset" w:sz="6" w:space="0" w:color="auto"/>
            </w:tcBorders>
          </w:tcPr>
          <w:p w14:paraId="32897C52" w14:textId="6EA0A0AB" w:rsidR="006E4173" w:rsidRPr="00783B4B" w:rsidRDefault="006E4173" w:rsidP="00783B4B">
            <w:pPr>
              <w:pStyle w:val="NormalWeb"/>
              <w:jc w:val="center"/>
              <w:rPr>
                <w:sz w:val="22"/>
                <w:szCs w:val="22"/>
                <w:lang w:val="sr-Latn-ME"/>
              </w:rPr>
            </w:pPr>
            <w:r w:rsidRPr="00783B4B">
              <w:rPr>
                <w:sz w:val="22"/>
                <w:szCs w:val="22"/>
                <w:lang w:val="sr-Latn-ME"/>
              </w:rPr>
              <w:t>370 (14</w:t>
            </w:r>
            <w:r w:rsidR="006B2E80" w:rsidRPr="00783B4B">
              <w:rPr>
                <w:sz w:val="22"/>
                <w:szCs w:val="22"/>
                <w:lang w:val="sr-Latn-ME"/>
              </w:rPr>
              <w:t>,</w:t>
            </w:r>
            <w:r w:rsidRPr="00783B4B">
              <w:rPr>
                <w:sz w:val="22"/>
                <w:szCs w:val="22"/>
                <w:lang w:val="sr-Latn-ME"/>
              </w:rPr>
              <w:t>1)</w:t>
            </w:r>
          </w:p>
        </w:tc>
        <w:tc>
          <w:tcPr>
            <w:tcW w:w="0" w:type="auto"/>
            <w:tcBorders>
              <w:top w:val="outset" w:sz="6" w:space="0" w:color="auto"/>
              <w:left w:val="outset" w:sz="6" w:space="0" w:color="auto"/>
              <w:bottom w:val="outset" w:sz="6" w:space="0" w:color="auto"/>
              <w:right w:val="outset" w:sz="6" w:space="0" w:color="auto"/>
            </w:tcBorders>
          </w:tcPr>
          <w:p w14:paraId="5F732549" w14:textId="2340B5D6" w:rsidR="006E4173" w:rsidRPr="00783B4B" w:rsidRDefault="006E4173" w:rsidP="00783B4B">
            <w:pPr>
              <w:pStyle w:val="NormalWeb"/>
              <w:jc w:val="center"/>
              <w:rPr>
                <w:sz w:val="22"/>
                <w:szCs w:val="22"/>
                <w:lang w:val="sr-Latn-ME"/>
              </w:rPr>
            </w:pPr>
            <w:r w:rsidRPr="00783B4B">
              <w:rPr>
                <w:sz w:val="22"/>
                <w:szCs w:val="22"/>
                <w:lang w:val="sr-Latn-ME"/>
              </w:rPr>
              <w:t>394 (15</w:t>
            </w:r>
            <w:r w:rsidR="00CC7A10" w:rsidRPr="00783B4B">
              <w:rPr>
                <w:sz w:val="22"/>
                <w:szCs w:val="22"/>
                <w:lang w:val="sr-Latn-ME"/>
              </w:rPr>
              <w:t>,</w:t>
            </w:r>
            <w:r w:rsidRPr="00783B4B">
              <w:rPr>
                <w:sz w:val="22"/>
                <w:szCs w:val="22"/>
                <w:lang w:val="sr-Latn-ME"/>
              </w:rPr>
              <w:t>2)</w:t>
            </w:r>
          </w:p>
        </w:tc>
      </w:tr>
      <w:tr w:rsidR="00B156FF" w:rsidRPr="00783B4B" w14:paraId="0B4737F8"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0D98BA60" w14:textId="2016CC39" w:rsidR="006E4173" w:rsidRPr="00783B4B" w:rsidRDefault="003C5F2C" w:rsidP="00783B4B">
            <w:pPr>
              <w:pStyle w:val="NormalWeb"/>
              <w:rPr>
                <w:sz w:val="22"/>
                <w:szCs w:val="22"/>
                <w:lang w:val="sr-Latn-ME"/>
              </w:rPr>
            </w:pPr>
            <w:r w:rsidRPr="00783B4B">
              <w:rPr>
                <w:i/>
                <w:sz w:val="22"/>
                <w:szCs w:val="22"/>
                <w:lang w:val="sr-Latn-ME" w:eastAsia="en-US"/>
              </w:rPr>
              <w:t xml:space="preserve">Hazard </w:t>
            </w:r>
            <w:proofErr w:type="spellStart"/>
            <w:r w:rsidRPr="00783B4B">
              <w:rPr>
                <w:i/>
                <w:sz w:val="22"/>
                <w:szCs w:val="22"/>
                <w:lang w:val="sr-Latn-ME" w:eastAsia="en-US"/>
              </w:rPr>
              <w:t>ratio</w:t>
            </w:r>
            <w:proofErr w:type="spellEnd"/>
          </w:p>
        </w:tc>
        <w:tc>
          <w:tcPr>
            <w:tcW w:w="3406" w:type="dxa"/>
            <w:gridSpan w:val="2"/>
            <w:tcBorders>
              <w:top w:val="outset" w:sz="6" w:space="0" w:color="auto"/>
              <w:left w:val="outset" w:sz="6" w:space="0" w:color="auto"/>
              <w:bottom w:val="outset" w:sz="6" w:space="0" w:color="auto"/>
              <w:right w:val="outset" w:sz="6" w:space="0" w:color="auto"/>
            </w:tcBorders>
          </w:tcPr>
          <w:p w14:paraId="3732B5C4" w14:textId="25A562BA"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94</w:t>
            </w:r>
          </w:p>
        </w:tc>
        <w:tc>
          <w:tcPr>
            <w:tcW w:w="2794" w:type="dxa"/>
            <w:gridSpan w:val="2"/>
            <w:tcBorders>
              <w:top w:val="outset" w:sz="6" w:space="0" w:color="auto"/>
              <w:left w:val="outset" w:sz="6" w:space="0" w:color="auto"/>
              <w:bottom w:val="outset" w:sz="6" w:space="0" w:color="auto"/>
              <w:right w:val="outset" w:sz="6" w:space="0" w:color="auto"/>
            </w:tcBorders>
          </w:tcPr>
          <w:p w14:paraId="2F73DF38" w14:textId="54C94001" w:rsidR="006E4173" w:rsidRPr="00783B4B" w:rsidRDefault="006E4173" w:rsidP="00783B4B">
            <w:pPr>
              <w:pStyle w:val="NormalWeb"/>
              <w:jc w:val="center"/>
              <w:rPr>
                <w:sz w:val="22"/>
                <w:szCs w:val="22"/>
                <w:lang w:val="sr-Latn-ME"/>
              </w:rPr>
            </w:pPr>
            <w:r w:rsidRPr="00783B4B">
              <w:rPr>
                <w:sz w:val="22"/>
                <w:szCs w:val="22"/>
                <w:lang w:val="sr-Latn-ME"/>
              </w:rPr>
              <w:t>0</w:t>
            </w:r>
            <w:r w:rsidR="00CC7A10" w:rsidRPr="00783B4B">
              <w:rPr>
                <w:sz w:val="22"/>
                <w:szCs w:val="22"/>
                <w:lang w:val="sr-Latn-ME"/>
              </w:rPr>
              <w:t>,</w:t>
            </w:r>
            <w:r w:rsidRPr="00783B4B">
              <w:rPr>
                <w:sz w:val="22"/>
                <w:szCs w:val="22"/>
                <w:lang w:val="sr-Latn-ME"/>
              </w:rPr>
              <w:t>93</w:t>
            </w:r>
          </w:p>
        </w:tc>
      </w:tr>
      <w:tr w:rsidR="00B156FF" w:rsidRPr="00783B4B" w14:paraId="76D2F4AE"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463AE9A7" w14:textId="1E26C1DA" w:rsidR="006E4173" w:rsidRPr="00783B4B" w:rsidRDefault="0086119F" w:rsidP="00783B4B">
            <w:pPr>
              <w:pStyle w:val="NormalWeb"/>
              <w:rPr>
                <w:sz w:val="22"/>
                <w:szCs w:val="22"/>
                <w:lang w:val="sr-Latn-ME"/>
              </w:rPr>
            </w:pPr>
            <w:r w:rsidRPr="00783B4B">
              <w:rPr>
                <w:sz w:val="22"/>
                <w:szCs w:val="22"/>
                <w:lang w:val="sr-Latn-ME"/>
              </w:rPr>
              <w:t>dvostrani 95% -</w:t>
            </w:r>
            <w:proofErr w:type="spellStart"/>
            <w:r w:rsidRPr="00783B4B">
              <w:rPr>
                <w:sz w:val="22"/>
                <w:szCs w:val="22"/>
                <w:lang w:val="sr-Latn-ME"/>
              </w:rPr>
              <w:t>tni</w:t>
            </w:r>
            <w:proofErr w:type="spellEnd"/>
            <w:r w:rsidRPr="00783B4B">
              <w:rPr>
                <w:sz w:val="22"/>
                <w:szCs w:val="22"/>
                <w:lang w:val="sr-Latn-ME"/>
              </w:rPr>
              <w:t xml:space="preserve"> interval pouzdanosti</w:t>
            </w:r>
            <w:r w:rsidRPr="00783B4B" w:rsidDel="0086119F">
              <w:rPr>
                <w:sz w:val="22"/>
                <w:szCs w:val="22"/>
                <w:lang w:val="sr-Latn-ME"/>
              </w:rPr>
              <w:t xml:space="preserve"> </w:t>
            </w:r>
            <w:r w:rsidR="00D65909" w:rsidRPr="00783B4B">
              <w:rPr>
                <w:sz w:val="22"/>
                <w:szCs w:val="22"/>
                <w:lang w:val="sr-Latn-ME"/>
              </w:rPr>
              <w:t>j</w:t>
            </w:r>
          </w:p>
        </w:tc>
        <w:tc>
          <w:tcPr>
            <w:tcW w:w="3406" w:type="dxa"/>
            <w:gridSpan w:val="2"/>
            <w:tcBorders>
              <w:top w:val="outset" w:sz="6" w:space="0" w:color="auto"/>
              <w:left w:val="outset" w:sz="6" w:space="0" w:color="auto"/>
              <w:bottom w:val="outset" w:sz="6" w:space="0" w:color="auto"/>
              <w:right w:val="outset" w:sz="6" w:space="0" w:color="auto"/>
            </w:tcBorders>
          </w:tcPr>
          <w:p w14:paraId="5D228D39" w14:textId="03D578F0"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 xml:space="preserve">83 </w:t>
            </w:r>
            <w:r w:rsidR="00306CC4" w:rsidRPr="00783B4B">
              <w:rPr>
                <w:sz w:val="22"/>
                <w:szCs w:val="22"/>
                <w:lang w:val="sr-Latn-ME"/>
              </w:rPr>
              <w:t xml:space="preserve">- </w:t>
            </w:r>
            <w:r w:rsidRPr="00783B4B">
              <w:rPr>
                <w:sz w:val="22"/>
                <w:szCs w:val="22"/>
                <w:lang w:val="sr-Latn-ME"/>
              </w:rPr>
              <w:t>1</w:t>
            </w:r>
            <w:r w:rsidR="00306CC4" w:rsidRPr="00783B4B">
              <w:rPr>
                <w:sz w:val="22"/>
                <w:szCs w:val="22"/>
                <w:lang w:val="sr-Latn-ME"/>
              </w:rPr>
              <w:t>,</w:t>
            </w:r>
            <w:r w:rsidRPr="00783B4B">
              <w:rPr>
                <w:sz w:val="22"/>
                <w:szCs w:val="22"/>
                <w:lang w:val="sr-Latn-ME"/>
              </w:rPr>
              <w:t>06</w:t>
            </w:r>
          </w:p>
        </w:tc>
        <w:tc>
          <w:tcPr>
            <w:tcW w:w="2794" w:type="dxa"/>
            <w:gridSpan w:val="2"/>
            <w:tcBorders>
              <w:top w:val="outset" w:sz="6" w:space="0" w:color="auto"/>
              <w:left w:val="outset" w:sz="6" w:space="0" w:color="auto"/>
              <w:bottom w:val="outset" w:sz="6" w:space="0" w:color="auto"/>
              <w:right w:val="outset" w:sz="6" w:space="0" w:color="auto"/>
            </w:tcBorders>
          </w:tcPr>
          <w:p w14:paraId="1190B095" w14:textId="2D3A3BA3" w:rsidR="006E4173" w:rsidRPr="00783B4B" w:rsidRDefault="006E4173" w:rsidP="00783B4B">
            <w:pPr>
              <w:pStyle w:val="NormalWeb"/>
              <w:jc w:val="center"/>
              <w:rPr>
                <w:sz w:val="22"/>
                <w:szCs w:val="22"/>
                <w:lang w:val="sr-Latn-ME"/>
              </w:rPr>
            </w:pPr>
            <w:r w:rsidRPr="00783B4B">
              <w:rPr>
                <w:sz w:val="22"/>
                <w:szCs w:val="22"/>
                <w:lang w:val="sr-Latn-ME"/>
              </w:rPr>
              <w:t>0</w:t>
            </w:r>
            <w:r w:rsidR="00CC7A10" w:rsidRPr="00783B4B">
              <w:rPr>
                <w:sz w:val="22"/>
                <w:szCs w:val="22"/>
                <w:lang w:val="sr-Latn-ME"/>
              </w:rPr>
              <w:t>,</w:t>
            </w:r>
            <w:r w:rsidRPr="00783B4B">
              <w:rPr>
                <w:sz w:val="22"/>
                <w:szCs w:val="22"/>
                <w:lang w:val="sr-Latn-ME"/>
              </w:rPr>
              <w:t xml:space="preserve">80 </w:t>
            </w:r>
            <w:r w:rsidR="00CC7A10" w:rsidRPr="00783B4B">
              <w:rPr>
                <w:sz w:val="22"/>
                <w:szCs w:val="22"/>
                <w:lang w:val="sr-Latn-ME"/>
              </w:rPr>
              <w:t xml:space="preserve">- </w:t>
            </w:r>
            <w:r w:rsidRPr="00783B4B">
              <w:rPr>
                <w:sz w:val="22"/>
                <w:szCs w:val="22"/>
                <w:lang w:val="sr-Latn-ME"/>
              </w:rPr>
              <w:t>1</w:t>
            </w:r>
            <w:r w:rsidR="00CC7A10" w:rsidRPr="00783B4B">
              <w:rPr>
                <w:sz w:val="22"/>
                <w:szCs w:val="22"/>
                <w:lang w:val="sr-Latn-ME"/>
              </w:rPr>
              <w:t>,</w:t>
            </w:r>
            <w:r w:rsidRPr="00783B4B">
              <w:rPr>
                <w:sz w:val="22"/>
                <w:szCs w:val="22"/>
                <w:lang w:val="sr-Latn-ME"/>
              </w:rPr>
              <w:t>07</w:t>
            </w:r>
          </w:p>
        </w:tc>
      </w:tr>
      <w:tr w:rsidR="00B156FF" w:rsidRPr="00783B4B" w14:paraId="38D56BBE"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601AC07"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593142E9" w14:textId="2E0EA280"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2850</w:t>
            </w:r>
          </w:p>
        </w:tc>
        <w:tc>
          <w:tcPr>
            <w:tcW w:w="2794" w:type="dxa"/>
            <w:gridSpan w:val="2"/>
            <w:tcBorders>
              <w:top w:val="outset" w:sz="6" w:space="0" w:color="auto"/>
              <w:left w:val="outset" w:sz="6" w:space="0" w:color="auto"/>
              <w:bottom w:val="outset" w:sz="6" w:space="0" w:color="auto"/>
              <w:right w:val="outset" w:sz="6" w:space="0" w:color="auto"/>
            </w:tcBorders>
          </w:tcPr>
          <w:p w14:paraId="51E0D197" w14:textId="77777777" w:rsidR="006E4173" w:rsidRPr="00783B4B" w:rsidRDefault="006E4173" w:rsidP="00783B4B">
            <w:pPr>
              <w:pStyle w:val="NormalWeb"/>
              <w:jc w:val="center"/>
              <w:rPr>
                <w:sz w:val="22"/>
                <w:szCs w:val="22"/>
                <w:lang w:val="sr-Latn-ME"/>
              </w:rPr>
            </w:pPr>
            <w:r w:rsidRPr="00783B4B">
              <w:rPr>
                <w:sz w:val="22"/>
                <w:szCs w:val="22"/>
                <w:lang w:val="sr-Latn-ME"/>
              </w:rPr>
              <w:t>0.2838</w:t>
            </w:r>
          </w:p>
        </w:tc>
      </w:tr>
      <w:tr w:rsidR="004D144A" w:rsidRPr="00783B4B" w14:paraId="4E11A12C"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6E93225A" w14:textId="77777777" w:rsidR="006E4173" w:rsidRPr="00783B4B" w:rsidRDefault="006E4173" w:rsidP="00783B4B">
            <w:pPr>
              <w:pStyle w:val="NormalWeb"/>
              <w:rPr>
                <w:b/>
                <w:i/>
                <w:sz w:val="22"/>
                <w:szCs w:val="22"/>
                <w:lang w:val="sr-Latn-ME"/>
              </w:rPr>
            </w:pPr>
            <w:r w:rsidRPr="00783B4B">
              <w:rPr>
                <w:b/>
                <w:i/>
                <w:sz w:val="22"/>
                <w:szCs w:val="22"/>
                <w:lang w:val="sr-Latn-ME"/>
              </w:rPr>
              <w:t xml:space="preserve">Vrijeme do pojave recidiva </w:t>
            </w:r>
            <w:r w:rsidRPr="00783B4B">
              <w:rPr>
                <w:b/>
                <w:i/>
                <w:sz w:val="22"/>
                <w:szCs w:val="22"/>
                <w:vertAlign w:val="superscript"/>
                <w:lang w:val="sr-Latn-ME"/>
              </w:rPr>
              <w:t>c</w:t>
            </w:r>
          </w:p>
        </w:tc>
        <w:tc>
          <w:tcPr>
            <w:tcW w:w="1851" w:type="dxa"/>
            <w:tcBorders>
              <w:top w:val="outset" w:sz="6" w:space="0" w:color="auto"/>
              <w:left w:val="outset" w:sz="6" w:space="0" w:color="auto"/>
              <w:bottom w:val="outset" w:sz="6" w:space="0" w:color="auto"/>
              <w:right w:val="outset" w:sz="6" w:space="0" w:color="auto"/>
            </w:tcBorders>
          </w:tcPr>
          <w:p w14:paraId="1D99B7BB" w14:textId="027CCA84" w:rsidR="006E4173" w:rsidRPr="00783B4B" w:rsidRDefault="006E4173" w:rsidP="00783B4B">
            <w:pPr>
              <w:pStyle w:val="NormalWeb"/>
              <w:jc w:val="center"/>
              <w:rPr>
                <w:sz w:val="22"/>
                <w:szCs w:val="22"/>
                <w:lang w:val="sr-Latn-ME"/>
              </w:rPr>
            </w:pPr>
            <w:r w:rsidRPr="00783B4B">
              <w:rPr>
                <w:sz w:val="22"/>
                <w:szCs w:val="22"/>
                <w:lang w:val="sr-Latn-ME"/>
              </w:rPr>
              <w:t>402 (12</w:t>
            </w:r>
            <w:r w:rsidR="00306CC4" w:rsidRPr="00783B4B">
              <w:rPr>
                <w:sz w:val="22"/>
                <w:szCs w:val="22"/>
                <w:lang w:val="sr-Latn-ME"/>
              </w:rPr>
              <w:t>,</w:t>
            </w:r>
            <w:r w:rsidRPr="00783B4B">
              <w:rPr>
                <w:sz w:val="22"/>
                <w:szCs w:val="22"/>
                <w:lang w:val="sr-Latn-ME"/>
              </w:rPr>
              <w:t>9)</w:t>
            </w:r>
          </w:p>
        </w:tc>
        <w:tc>
          <w:tcPr>
            <w:tcW w:w="1555" w:type="dxa"/>
            <w:tcBorders>
              <w:top w:val="outset" w:sz="6" w:space="0" w:color="auto"/>
              <w:left w:val="outset" w:sz="6" w:space="0" w:color="auto"/>
              <w:bottom w:val="outset" w:sz="6" w:space="0" w:color="auto"/>
              <w:right w:val="outset" w:sz="6" w:space="0" w:color="auto"/>
            </w:tcBorders>
          </w:tcPr>
          <w:p w14:paraId="2D2A3D1A" w14:textId="0871DE68" w:rsidR="006E4173" w:rsidRPr="00783B4B" w:rsidRDefault="006E4173" w:rsidP="00783B4B">
            <w:pPr>
              <w:pStyle w:val="NormalWeb"/>
              <w:jc w:val="center"/>
              <w:rPr>
                <w:sz w:val="22"/>
                <w:szCs w:val="22"/>
                <w:lang w:val="sr-Latn-ME"/>
              </w:rPr>
            </w:pPr>
            <w:r w:rsidRPr="00783B4B">
              <w:rPr>
                <w:sz w:val="22"/>
                <w:szCs w:val="22"/>
                <w:lang w:val="sr-Latn-ME"/>
              </w:rPr>
              <w:t>498 (16</w:t>
            </w:r>
            <w:r w:rsidR="00306CC4" w:rsidRPr="00783B4B">
              <w:rPr>
                <w:sz w:val="22"/>
                <w:szCs w:val="22"/>
                <w:lang w:val="sr-Latn-ME"/>
              </w:rPr>
              <w:t>,</w:t>
            </w:r>
            <w:r w:rsidRPr="00783B4B">
              <w:rPr>
                <w:sz w:val="22"/>
                <w:szCs w:val="22"/>
                <w:lang w:val="sr-Latn-ME"/>
              </w:rPr>
              <w:t>0)</w:t>
            </w:r>
          </w:p>
        </w:tc>
        <w:tc>
          <w:tcPr>
            <w:tcW w:w="1498" w:type="dxa"/>
            <w:tcBorders>
              <w:top w:val="outset" w:sz="6" w:space="0" w:color="auto"/>
              <w:left w:val="outset" w:sz="6" w:space="0" w:color="auto"/>
              <w:bottom w:val="outset" w:sz="6" w:space="0" w:color="auto"/>
              <w:right w:val="outset" w:sz="6" w:space="0" w:color="auto"/>
            </w:tcBorders>
          </w:tcPr>
          <w:p w14:paraId="4876E2D0" w14:textId="136DF4F5" w:rsidR="006E4173" w:rsidRPr="00783B4B" w:rsidRDefault="006E4173" w:rsidP="00783B4B">
            <w:pPr>
              <w:pStyle w:val="NormalWeb"/>
              <w:jc w:val="center"/>
              <w:rPr>
                <w:sz w:val="22"/>
                <w:szCs w:val="22"/>
                <w:lang w:val="sr-Latn-ME"/>
              </w:rPr>
            </w:pPr>
            <w:r w:rsidRPr="00783B4B">
              <w:rPr>
                <w:sz w:val="22"/>
                <w:szCs w:val="22"/>
                <w:lang w:val="sr-Latn-ME"/>
              </w:rPr>
              <w:t>282 (10</w:t>
            </w:r>
            <w:r w:rsidR="00CC7A10" w:rsidRPr="00783B4B">
              <w:rPr>
                <w:sz w:val="22"/>
                <w:szCs w:val="22"/>
                <w:lang w:val="sr-Latn-ME"/>
              </w:rPr>
              <w:t>,</w:t>
            </w:r>
            <w:r w:rsidRPr="00783B4B">
              <w:rPr>
                <w:sz w:val="22"/>
                <w:szCs w:val="22"/>
                <w:lang w:val="sr-Latn-ME"/>
              </w:rPr>
              <w:t>8)</w:t>
            </w:r>
          </w:p>
        </w:tc>
        <w:tc>
          <w:tcPr>
            <w:tcW w:w="0" w:type="auto"/>
            <w:tcBorders>
              <w:top w:val="outset" w:sz="6" w:space="0" w:color="auto"/>
              <w:left w:val="outset" w:sz="6" w:space="0" w:color="auto"/>
              <w:bottom w:val="outset" w:sz="6" w:space="0" w:color="auto"/>
              <w:right w:val="outset" w:sz="6" w:space="0" w:color="auto"/>
            </w:tcBorders>
          </w:tcPr>
          <w:p w14:paraId="13E833A3" w14:textId="7C5B15CF" w:rsidR="006E4173" w:rsidRPr="00783B4B" w:rsidRDefault="006E4173" w:rsidP="00783B4B">
            <w:pPr>
              <w:pStyle w:val="NormalWeb"/>
              <w:jc w:val="center"/>
              <w:rPr>
                <w:sz w:val="22"/>
                <w:szCs w:val="22"/>
                <w:lang w:val="sr-Latn-ME"/>
              </w:rPr>
            </w:pPr>
            <w:r w:rsidRPr="00783B4B">
              <w:rPr>
                <w:sz w:val="22"/>
                <w:szCs w:val="22"/>
                <w:lang w:val="sr-Latn-ME"/>
              </w:rPr>
              <w:t>370 (14</w:t>
            </w:r>
            <w:r w:rsidR="00CC7A10" w:rsidRPr="00783B4B">
              <w:rPr>
                <w:sz w:val="22"/>
                <w:szCs w:val="22"/>
                <w:lang w:val="sr-Latn-ME"/>
              </w:rPr>
              <w:t>,</w:t>
            </w:r>
            <w:r w:rsidRPr="00783B4B">
              <w:rPr>
                <w:sz w:val="22"/>
                <w:szCs w:val="22"/>
                <w:lang w:val="sr-Latn-ME"/>
              </w:rPr>
              <w:t>2)</w:t>
            </w:r>
          </w:p>
        </w:tc>
      </w:tr>
      <w:tr w:rsidR="00B156FF" w:rsidRPr="00783B4B" w14:paraId="1D2D3C1A"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560EE3A" w14:textId="10F4D299" w:rsidR="006E4173" w:rsidRPr="00783B4B" w:rsidRDefault="00766E2A" w:rsidP="00783B4B">
            <w:pPr>
              <w:pStyle w:val="NormalWeb"/>
              <w:rPr>
                <w:sz w:val="22"/>
                <w:szCs w:val="22"/>
                <w:lang w:val="sr-Latn-ME"/>
              </w:rPr>
            </w:pPr>
            <w:r w:rsidRPr="00783B4B">
              <w:rPr>
                <w:i/>
                <w:sz w:val="22"/>
                <w:szCs w:val="22"/>
                <w:lang w:val="sr-Latn-ME" w:eastAsia="en-US"/>
              </w:rPr>
              <w:t xml:space="preserve">Hazard </w:t>
            </w:r>
            <w:proofErr w:type="spellStart"/>
            <w:r w:rsidRPr="00783B4B">
              <w:rPr>
                <w:i/>
                <w:sz w:val="22"/>
                <w:szCs w:val="22"/>
                <w:lang w:val="sr-Latn-ME" w:eastAsia="en-US"/>
              </w:rPr>
              <w:t>ratio</w:t>
            </w:r>
            <w:proofErr w:type="spellEnd"/>
          </w:p>
        </w:tc>
        <w:tc>
          <w:tcPr>
            <w:tcW w:w="3406" w:type="dxa"/>
            <w:gridSpan w:val="2"/>
            <w:tcBorders>
              <w:top w:val="outset" w:sz="6" w:space="0" w:color="auto"/>
              <w:left w:val="outset" w:sz="6" w:space="0" w:color="auto"/>
              <w:bottom w:val="outset" w:sz="6" w:space="0" w:color="auto"/>
              <w:right w:val="outset" w:sz="6" w:space="0" w:color="auto"/>
            </w:tcBorders>
          </w:tcPr>
          <w:p w14:paraId="429FE75C" w14:textId="1B3FE2E5"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79</w:t>
            </w:r>
          </w:p>
        </w:tc>
        <w:tc>
          <w:tcPr>
            <w:tcW w:w="2794" w:type="dxa"/>
            <w:gridSpan w:val="2"/>
            <w:tcBorders>
              <w:top w:val="outset" w:sz="6" w:space="0" w:color="auto"/>
              <w:left w:val="outset" w:sz="6" w:space="0" w:color="auto"/>
              <w:bottom w:val="outset" w:sz="6" w:space="0" w:color="auto"/>
              <w:right w:val="outset" w:sz="6" w:space="0" w:color="auto"/>
            </w:tcBorders>
          </w:tcPr>
          <w:p w14:paraId="0B7B886C" w14:textId="7CF01E37"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74</w:t>
            </w:r>
          </w:p>
        </w:tc>
      </w:tr>
      <w:tr w:rsidR="00B156FF" w:rsidRPr="00783B4B" w14:paraId="609F3A25"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6B677301" w14:textId="15FA8BBA" w:rsidR="006E4173" w:rsidRPr="00783B4B" w:rsidRDefault="0086119F" w:rsidP="00783B4B">
            <w:pPr>
              <w:pStyle w:val="NormalWeb"/>
              <w:rPr>
                <w:sz w:val="22"/>
                <w:szCs w:val="22"/>
                <w:lang w:val="sr-Latn-ME"/>
              </w:rPr>
            </w:pPr>
            <w:r w:rsidRPr="00783B4B">
              <w:rPr>
                <w:sz w:val="22"/>
                <w:szCs w:val="22"/>
                <w:lang w:val="sr-Latn-ME"/>
              </w:rPr>
              <w:t>dvostrani 95% -</w:t>
            </w:r>
            <w:proofErr w:type="spellStart"/>
            <w:r w:rsidRPr="00783B4B">
              <w:rPr>
                <w:sz w:val="22"/>
                <w:szCs w:val="22"/>
                <w:lang w:val="sr-Latn-ME"/>
              </w:rPr>
              <w:t>tni</w:t>
            </w:r>
            <w:proofErr w:type="spellEnd"/>
            <w:r w:rsidRPr="00783B4B">
              <w:rPr>
                <w:sz w:val="22"/>
                <w:szCs w:val="22"/>
                <w:lang w:val="sr-Latn-ME"/>
              </w:rPr>
              <w:t xml:space="preserve"> interval pouzdanosti</w:t>
            </w:r>
          </w:p>
        </w:tc>
        <w:tc>
          <w:tcPr>
            <w:tcW w:w="3406" w:type="dxa"/>
            <w:gridSpan w:val="2"/>
            <w:tcBorders>
              <w:top w:val="outset" w:sz="6" w:space="0" w:color="auto"/>
              <w:left w:val="outset" w:sz="6" w:space="0" w:color="auto"/>
              <w:bottom w:val="outset" w:sz="6" w:space="0" w:color="auto"/>
              <w:right w:val="outset" w:sz="6" w:space="0" w:color="auto"/>
            </w:tcBorders>
          </w:tcPr>
          <w:p w14:paraId="7AB3EB17" w14:textId="488B7605"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 xml:space="preserve">70 </w:t>
            </w:r>
            <w:r w:rsidR="008467F2" w:rsidRPr="00783B4B">
              <w:rPr>
                <w:sz w:val="22"/>
                <w:szCs w:val="22"/>
                <w:lang w:val="sr-Latn-ME"/>
              </w:rPr>
              <w:t xml:space="preserve">- </w:t>
            </w:r>
            <w:r w:rsidRPr="00783B4B">
              <w:rPr>
                <w:sz w:val="22"/>
                <w:szCs w:val="22"/>
                <w:lang w:val="sr-Latn-ME"/>
              </w:rPr>
              <w:t>0</w:t>
            </w:r>
            <w:r w:rsidR="00306CC4" w:rsidRPr="00783B4B">
              <w:rPr>
                <w:sz w:val="22"/>
                <w:szCs w:val="22"/>
                <w:lang w:val="sr-Latn-ME"/>
              </w:rPr>
              <w:t>,</w:t>
            </w:r>
            <w:r w:rsidRPr="00783B4B">
              <w:rPr>
                <w:sz w:val="22"/>
                <w:szCs w:val="22"/>
                <w:lang w:val="sr-Latn-ME"/>
              </w:rPr>
              <w:t>90</w:t>
            </w:r>
          </w:p>
        </w:tc>
        <w:tc>
          <w:tcPr>
            <w:tcW w:w="2794" w:type="dxa"/>
            <w:gridSpan w:val="2"/>
            <w:tcBorders>
              <w:top w:val="outset" w:sz="6" w:space="0" w:color="auto"/>
              <w:left w:val="outset" w:sz="6" w:space="0" w:color="auto"/>
              <w:bottom w:val="outset" w:sz="6" w:space="0" w:color="auto"/>
              <w:right w:val="outset" w:sz="6" w:space="0" w:color="auto"/>
            </w:tcBorders>
          </w:tcPr>
          <w:p w14:paraId="634EC9C3" w14:textId="3D4B7536"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 xml:space="preserve">64 </w:t>
            </w:r>
            <w:r w:rsidR="00B156FF" w:rsidRPr="00783B4B">
              <w:rPr>
                <w:sz w:val="22"/>
                <w:szCs w:val="22"/>
                <w:lang w:val="sr-Latn-ME"/>
              </w:rPr>
              <w:t xml:space="preserve">- </w:t>
            </w:r>
            <w:r w:rsidRPr="00783B4B">
              <w:rPr>
                <w:sz w:val="22"/>
                <w:szCs w:val="22"/>
                <w:lang w:val="sr-Latn-ME"/>
              </w:rPr>
              <w:t>0</w:t>
            </w:r>
            <w:r w:rsidR="00B156FF" w:rsidRPr="00783B4B">
              <w:rPr>
                <w:sz w:val="22"/>
                <w:szCs w:val="22"/>
                <w:lang w:val="sr-Latn-ME"/>
              </w:rPr>
              <w:t>,</w:t>
            </w:r>
            <w:r w:rsidRPr="00783B4B">
              <w:rPr>
                <w:sz w:val="22"/>
                <w:szCs w:val="22"/>
                <w:lang w:val="sr-Latn-ME"/>
              </w:rPr>
              <w:t>87</w:t>
            </w:r>
          </w:p>
        </w:tc>
      </w:tr>
      <w:tr w:rsidR="00B156FF" w:rsidRPr="00783B4B" w14:paraId="0A80A37E"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57868464"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5E91E032" w14:textId="12DC6A24"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0005</w:t>
            </w:r>
          </w:p>
        </w:tc>
        <w:tc>
          <w:tcPr>
            <w:tcW w:w="2794" w:type="dxa"/>
            <w:gridSpan w:val="2"/>
            <w:tcBorders>
              <w:top w:val="outset" w:sz="6" w:space="0" w:color="auto"/>
              <w:left w:val="outset" w:sz="6" w:space="0" w:color="auto"/>
              <w:bottom w:val="outset" w:sz="6" w:space="0" w:color="auto"/>
              <w:right w:val="outset" w:sz="6" w:space="0" w:color="auto"/>
            </w:tcBorders>
          </w:tcPr>
          <w:p w14:paraId="1D52BF46" w14:textId="2CE0B288"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0002</w:t>
            </w:r>
          </w:p>
        </w:tc>
      </w:tr>
      <w:tr w:rsidR="004D144A" w:rsidRPr="00783B4B" w14:paraId="62F4F9E6"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040CE20F" w14:textId="77777777" w:rsidR="006E4173" w:rsidRPr="00783B4B" w:rsidRDefault="006E4173" w:rsidP="00783B4B">
            <w:pPr>
              <w:pStyle w:val="NormalWeb"/>
              <w:rPr>
                <w:b/>
                <w:i/>
                <w:sz w:val="22"/>
                <w:szCs w:val="22"/>
                <w:lang w:val="sr-Latn-ME"/>
              </w:rPr>
            </w:pPr>
            <w:r w:rsidRPr="00783B4B">
              <w:rPr>
                <w:b/>
                <w:i/>
                <w:sz w:val="22"/>
                <w:szCs w:val="22"/>
                <w:lang w:val="sr-Latn-ME"/>
              </w:rPr>
              <w:t>Vrijeme do pojave udaljenog recidiva</w:t>
            </w:r>
            <w:r w:rsidRPr="00783B4B">
              <w:rPr>
                <w:b/>
                <w:i/>
                <w:sz w:val="22"/>
                <w:szCs w:val="22"/>
                <w:vertAlign w:val="superscript"/>
                <w:lang w:val="sr-Latn-ME"/>
              </w:rPr>
              <w:t xml:space="preserve"> d</w:t>
            </w:r>
          </w:p>
        </w:tc>
        <w:tc>
          <w:tcPr>
            <w:tcW w:w="1851" w:type="dxa"/>
            <w:tcBorders>
              <w:top w:val="outset" w:sz="6" w:space="0" w:color="auto"/>
              <w:left w:val="outset" w:sz="6" w:space="0" w:color="auto"/>
              <w:bottom w:val="outset" w:sz="6" w:space="0" w:color="auto"/>
              <w:right w:val="outset" w:sz="6" w:space="0" w:color="auto"/>
            </w:tcBorders>
          </w:tcPr>
          <w:p w14:paraId="7D48FF49" w14:textId="432DE1E0" w:rsidR="006E4173" w:rsidRPr="00783B4B" w:rsidRDefault="006E4173" w:rsidP="00783B4B">
            <w:pPr>
              <w:pStyle w:val="NormalWeb"/>
              <w:jc w:val="center"/>
              <w:rPr>
                <w:sz w:val="22"/>
                <w:szCs w:val="22"/>
                <w:lang w:val="sr-Latn-ME"/>
              </w:rPr>
            </w:pPr>
            <w:r w:rsidRPr="00783B4B">
              <w:rPr>
                <w:sz w:val="22"/>
                <w:szCs w:val="22"/>
                <w:lang w:val="sr-Latn-ME"/>
              </w:rPr>
              <w:t>324 (10</w:t>
            </w:r>
            <w:r w:rsidR="00306CC4" w:rsidRPr="00783B4B">
              <w:rPr>
                <w:sz w:val="22"/>
                <w:szCs w:val="22"/>
                <w:lang w:val="sr-Latn-ME"/>
              </w:rPr>
              <w:t>,</w:t>
            </w:r>
            <w:r w:rsidRPr="00783B4B">
              <w:rPr>
                <w:sz w:val="22"/>
                <w:szCs w:val="22"/>
                <w:lang w:val="sr-Latn-ME"/>
              </w:rPr>
              <w:t>4)</w:t>
            </w:r>
          </w:p>
        </w:tc>
        <w:tc>
          <w:tcPr>
            <w:tcW w:w="1555" w:type="dxa"/>
            <w:tcBorders>
              <w:top w:val="outset" w:sz="6" w:space="0" w:color="auto"/>
              <w:left w:val="outset" w:sz="6" w:space="0" w:color="auto"/>
              <w:bottom w:val="outset" w:sz="6" w:space="0" w:color="auto"/>
              <w:right w:val="outset" w:sz="6" w:space="0" w:color="auto"/>
            </w:tcBorders>
          </w:tcPr>
          <w:p w14:paraId="7476894E" w14:textId="523F1961" w:rsidR="006E4173" w:rsidRPr="00783B4B" w:rsidRDefault="006E4173" w:rsidP="00783B4B">
            <w:pPr>
              <w:pStyle w:val="NormalWeb"/>
              <w:jc w:val="center"/>
              <w:rPr>
                <w:sz w:val="22"/>
                <w:szCs w:val="22"/>
                <w:lang w:val="sr-Latn-ME"/>
              </w:rPr>
            </w:pPr>
            <w:r w:rsidRPr="00783B4B">
              <w:rPr>
                <w:sz w:val="22"/>
                <w:szCs w:val="22"/>
                <w:lang w:val="sr-Latn-ME"/>
              </w:rPr>
              <w:t>375 (12</w:t>
            </w:r>
            <w:r w:rsidR="00306CC4" w:rsidRPr="00783B4B">
              <w:rPr>
                <w:sz w:val="22"/>
                <w:szCs w:val="22"/>
                <w:lang w:val="sr-Latn-ME"/>
              </w:rPr>
              <w:t>,</w:t>
            </w:r>
            <w:r w:rsidRPr="00783B4B">
              <w:rPr>
                <w:sz w:val="22"/>
                <w:szCs w:val="22"/>
                <w:lang w:val="sr-Latn-ME"/>
              </w:rPr>
              <w:t>0)</w:t>
            </w:r>
          </w:p>
        </w:tc>
        <w:tc>
          <w:tcPr>
            <w:tcW w:w="1498" w:type="dxa"/>
            <w:tcBorders>
              <w:top w:val="outset" w:sz="6" w:space="0" w:color="auto"/>
              <w:left w:val="outset" w:sz="6" w:space="0" w:color="auto"/>
              <w:bottom w:val="outset" w:sz="6" w:space="0" w:color="auto"/>
              <w:right w:val="outset" w:sz="6" w:space="0" w:color="auto"/>
            </w:tcBorders>
          </w:tcPr>
          <w:p w14:paraId="027E63DC" w14:textId="59BD7142" w:rsidR="006E4173" w:rsidRPr="00783B4B" w:rsidRDefault="006E4173" w:rsidP="00783B4B">
            <w:pPr>
              <w:pStyle w:val="NormalWeb"/>
              <w:jc w:val="center"/>
              <w:rPr>
                <w:sz w:val="22"/>
                <w:szCs w:val="22"/>
                <w:lang w:val="sr-Latn-ME"/>
              </w:rPr>
            </w:pPr>
            <w:r w:rsidRPr="00783B4B">
              <w:rPr>
                <w:sz w:val="22"/>
                <w:szCs w:val="22"/>
                <w:lang w:val="sr-Latn-ME"/>
              </w:rPr>
              <w:t>226 (8</w:t>
            </w:r>
            <w:r w:rsidR="00B156FF" w:rsidRPr="00783B4B">
              <w:rPr>
                <w:sz w:val="22"/>
                <w:szCs w:val="22"/>
                <w:lang w:val="sr-Latn-ME"/>
              </w:rPr>
              <w:t>,</w:t>
            </w:r>
            <w:r w:rsidRPr="00783B4B">
              <w:rPr>
                <w:sz w:val="22"/>
                <w:szCs w:val="22"/>
                <w:lang w:val="sr-Latn-ME"/>
              </w:rPr>
              <w:t>6)</w:t>
            </w:r>
          </w:p>
        </w:tc>
        <w:tc>
          <w:tcPr>
            <w:tcW w:w="0" w:type="auto"/>
            <w:tcBorders>
              <w:top w:val="outset" w:sz="6" w:space="0" w:color="auto"/>
              <w:left w:val="outset" w:sz="6" w:space="0" w:color="auto"/>
              <w:bottom w:val="outset" w:sz="6" w:space="0" w:color="auto"/>
              <w:right w:val="outset" w:sz="6" w:space="0" w:color="auto"/>
            </w:tcBorders>
          </w:tcPr>
          <w:p w14:paraId="45C99F67" w14:textId="53AED4B5" w:rsidR="006E4173" w:rsidRPr="00783B4B" w:rsidRDefault="006E4173" w:rsidP="00783B4B">
            <w:pPr>
              <w:pStyle w:val="NormalWeb"/>
              <w:jc w:val="center"/>
              <w:rPr>
                <w:sz w:val="22"/>
                <w:szCs w:val="22"/>
                <w:lang w:val="sr-Latn-ME"/>
              </w:rPr>
            </w:pPr>
            <w:r w:rsidRPr="00783B4B">
              <w:rPr>
                <w:sz w:val="22"/>
                <w:szCs w:val="22"/>
                <w:lang w:val="sr-Latn-ME"/>
              </w:rPr>
              <w:t>265 (10</w:t>
            </w:r>
            <w:r w:rsidR="00B156FF" w:rsidRPr="00783B4B">
              <w:rPr>
                <w:sz w:val="22"/>
                <w:szCs w:val="22"/>
                <w:lang w:val="sr-Latn-ME"/>
              </w:rPr>
              <w:t>,</w:t>
            </w:r>
            <w:r w:rsidRPr="00783B4B">
              <w:rPr>
                <w:sz w:val="22"/>
                <w:szCs w:val="22"/>
                <w:lang w:val="sr-Latn-ME"/>
              </w:rPr>
              <w:t>2)</w:t>
            </w:r>
          </w:p>
        </w:tc>
      </w:tr>
      <w:tr w:rsidR="00B156FF" w:rsidRPr="00783B4B" w14:paraId="782ACF4B"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6B23E855" w14:textId="590BB18A" w:rsidR="006E4173" w:rsidRPr="00783B4B" w:rsidRDefault="00766E2A" w:rsidP="00783B4B">
            <w:pPr>
              <w:pStyle w:val="NormalWeb"/>
              <w:rPr>
                <w:sz w:val="22"/>
                <w:szCs w:val="22"/>
                <w:lang w:val="sr-Latn-ME"/>
              </w:rPr>
            </w:pPr>
            <w:r w:rsidRPr="00783B4B">
              <w:rPr>
                <w:i/>
                <w:sz w:val="22"/>
                <w:szCs w:val="22"/>
                <w:lang w:val="sr-Latn-ME" w:eastAsia="en-US"/>
              </w:rPr>
              <w:t xml:space="preserve">Hazard </w:t>
            </w:r>
            <w:proofErr w:type="spellStart"/>
            <w:r w:rsidRPr="00783B4B">
              <w:rPr>
                <w:i/>
                <w:sz w:val="22"/>
                <w:szCs w:val="22"/>
                <w:lang w:val="sr-Latn-ME" w:eastAsia="en-US"/>
              </w:rPr>
              <w:t>ratio</w:t>
            </w:r>
            <w:proofErr w:type="spellEnd"/>
          </w:p>
        </w:tc>
        <w:tc>
          <w:tcPr>
            <w:tcW w:w="3406" w:type="dxa"/>
            <w:gridSpan w:val="2"/>
            <w:tcBorders>
              <w:top w:val="outset" w:sz="6" w:space="0" w:color="auto"/>
              <w:left w:val="outset" w:sz="6" w:space="0" w:color="auto"/>
              <w:bottom w:val="outset" w:sz="6" w:space="0" w:color="auto"/>
              <w:right w:val="outset" w:sz="6" w:space="0" w:color="auto"/>
            </w:tcBorders>
          </w:tcPr>
          <w:p w14:paraId="5B9507C7" w14:textId="30A6D486" w:rsidR="006E4173" w:rsidRPr="00783B4B" w:rsidRDefault="006E4173" w:rsidP="00783B4B">
            <w:pPr>
              <w:pStyle w:val="NormalWeb"/>
              <w:jc w:val="center"/>
              <w:rPr>
                <w:sz w:val="22"/>
                <w:szCs w:val="22"/>
                <w:lang w:val="sr-Latn-ME"/>
              </w:rPr>
            </w:pPr>
            <w:r w:rsidRPr="00783B4B">
              <w:rPr>
                <w:sz w:val="22"/>
                <w:szCs w:val="22"/>
                <w:lang w:val="sr-Latn-ME"/>
              </w:rPr>
              <w:t>0</w:t>
            </w:r>
            <w:r w:rsidR="00306CC4" w:rsidRPr="00783B4B">
              <w:rPr>
                <w:sz w:val="22"/>
                <w:szCs w:val="22"/>
                <w:lang w:val="sr-Latn-ME"/>
              </w:rPr>
              <w:t>,</w:t>
            </w:r>
            <w:r w:rsidRPr="00783B4B">
              <w:rPr>
                <w:sz w:val="22"/>
                <w:szCs w:val="22"/>
                <w:lang w:val="sr-Latn-ME"/>
              </w:rPr>
              <w:t>86</w:t>
            </w:r>
          </w:p>
        </w:tc>
        <w:tc>
          <w:tcPr>
            <w:tcW w:w="2794" w:type="dxa"/>
            <w:gridSpan w:val="2"/>
            <w:tcBorders>
              <w:top w:val="outset" w:sz="6" w:space="0" w:color="auto"/>
              <w:left w:val="outset" w:sz="6" w:space="0" w:color="auto"/>
              <w:bottom w:val="outset" w:sz="6" w:space="0" w:color="auto"/>
              <w:right w:val="outset" w:sz="6" w:space="0" w:color="auto"/>
            </w:tcBorders>
          </w:tcPr>
          <w:p w14:paraId="7F5843B7" w14:textId="0B33E6E9"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84</w:t>
            </w:r>
          </w:p>
        </w:tc>
      </w:tr>
      <w:tr w:rsidR="00B156FF" w:rsidRPr="00783B4B" w14:paraId="1D9AEA36"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D5F6E5A" w14:textId="612E1E08" w:rsidR="006E4173" w:rsidRPr="00783B4B" w:rsidRDefault="006E4173" w:rsidP="00783B4B">
            <w:pPr>
              <w:pStyle w:val="NormalWeb"/>
              <w:rPr>
                <w:sz w:val="22"/>
                <w:szCs w:val="22"/>
                <w:lang w:val="sr-Latn-ME"/>
              </w:rPr>
            </w:pPr>
            <w:r w:rsidRPr="00783B4B">
              <w:rPr>
                <w:sz w:val="22"/>
                <w:szCs w:val="22"/>
                <w:lang w:val="sr-Latn-ME"/>
              </w:rPr>
              <w:t>dvostrani 95%-</w:t>
            </w:r>
            <w:proofErr w:type="spellStart"/>
            <w:r w:rsidRPr="00783B4B">
              <w:rPr>
                <w:sz w:val="22"/>
                <w:szCs w:val="22"/>
                <w:lang w:val="sr-Latn-ME"/>
              </w:rPr>
              <w:t>tni</w:t>
            </w:r>
            <w:proofErr w:type="spellEnd"/>
            <w:r w:rsidRPr="00783B4B">
              <w:rPr>
                <w:sz w:val="22"/>
                <w:szCs w:val="22"/>
                <w:lang w:val="sr-Latn-ME"/>
              </w:rPr>
              <w:t xml:space="preserve"> interval </w:t>
            </w:r>
            <w:r w:rsidR="0086119F" w:rsidRPr="00783B4B">
              <w:rPr>
                <w:sz w:val="22"/>
                <w:szCs w:val="22"/>
                <w:lang w:val="sr-Latn-ME"/>
              </w:rPr>
              <w:t>pouzdanosti</w:t>
            </w:r>
          </w:p>
        </w:tc>
        <w:tc>
          <w:tcPr>
            <w:tcW w:w="3406" w:type="dxa"/>
            <w:gridSpan w:val="2"/>
            <w:tcBorders>
              <w:top w:val="outset" w:sz="6" w:space="0" w:color="auto"/>
              <w:left w:val="outset" w:sz="6" w:space="0" w:color="auto"/>
              <w:bottom w:val="outset" w:sz="6" w:space="0" w:color="auto"/>
              <w:right w:val="outset" w:sz="6" w:space="0" w:color="auto"/>
            </w:tcBorders>
          </w:tcPr>
          <w:p w14:paraId="71194124" w14:textId="340E6A16" w:rsidR="006E4173" w:rsidRPr="00783B4B" w:rsidRDefault="006E4173" w:rsidP="00783B4B">
            <w:pPr>
              <w:pStyle w:val="NormalWeb"/>
              <w:jc w:val="center"/>
              <w:rPr>
                <w:sz w:val="22"/>
                <w:szCs w:val="22"/>
                <w:lang w:val="sr-Latn-ME"/>
              </w:rPr>
            </w:pPr>
            <w:r w:rsidRPr="00783B4B">
              <w:rPr>
                <w:sz w:val="22"/>
                <w:szCs w:val="22"/>
                <w:lang w:val="sr-Latn-ME"/>
              </w:rPr>
              <w:t>0</w:t>
            </w:r>
            <w:r w:rsidR="008467F2" w:rsidRPr="00783B4B">
              <w:rPr>
                <w:sz w:val="22"/>
                <w:szCs w:val="22"/>
                <w:lang w:val="sr-Latn-ME"/>
              </w:rPr>
              <w:t>,</w:t>
            </w:r>
            <w:r w:rsidRPr="00783B4B">
              <w:rPr>
                <w:sz w:val="22"/>
                <w:szCs w:val="22"/>
                <w:lang w:val="sr-Latn-ME"/>
              </w:rPr>
              <w:t xml:space="preserve">74 </w:t>
            </w:r>
            <w:r w:rsidR="008467F2" w:rsidRPr="00783B4B">
              <w:rPr>
                <w:sz w:val="22"/>
                <w:szCs w:val="22"/>
                <w:lang w:val="sr-Latn-ME"/>
              </w:rPr>
              <w:t>-</w:t>
            </w:r>
            <w:r w:rsidRPr="00783B4B">
              <w:rPr>
                <w:sz w:val="22"/>
                <w:szCs w:val="22"/>
                <w:lang w:val="sr-Latn-ME"/>
              </w:rPr>
              <w:t xml:space="preserve"> 0</w:t>
            </w:r>
            <w:r w:rsidR="008467F2" w:rsidRPr="00783B4B">
              <w:rPr>
                <w:sz w:val="22"/>
                <w:szCs w:val="22"/>
                <w:lang w:val="sr-Latn-ME"/>
              </w:rPr>
              <w:t>,</w:t>
            </w:r>
            <w:r w:rsidRPr="00783B4B">
              <w:rPr>
                <w:sz w:val="22"/>
                <w:szCs w:val="22"/>
                <w:lang w:val="sr-Latn-ME"/>
              </w:rPr>
              <w:t>99</w:t>
            </w:r>
          </w:p>
        </w:tc>
        <w:tc>
          <w:tcPr>
            <w:tcW w:w="2794" w:type="dxa"/>
            <w:gridSpan w:val="2"/>
            <w:tcBorders>
              <w:top w:val="outset" w:sz="6" w:space="0" w:color="auto"/>
              <w:left w:val="outset" w:sz="6" w:space="0" w:color="auto"/>
              <w:bottom w:val="outset" w:sz="6" w:space="0" w:color="auto"/>
              <w:right w:val="outset" w:sz="6" w:space="0" w:color="auto"/>
            </w:tcBorders>
          </w:tcPr>
          <w:p w14:paraId="70E50919" w14:textId="6A0C6A3C"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 xml:space="preserve">70 </w:t>
            </w:r>
            <w:r w:rsidR="00B156FF" w:rsidRPr="00783B4B">
              <w:rPr>
                <w:sz w:val="22"/>
                <w:szCs w:val="22"/>
                <w:lang w:val="sr-Latn-ME"/>
              </w:rPr>
              <w:t xml:space="preserve">- </w:t>
            </w:r>
            <w:r w:rsidRPr="00783B4B">
              <w:rPr>
                <w:sz w:val="22"/>
                <w:szCs w:val="22"/>
                <w:lang w:val="sr-Latn-ME"/>
              </w:rPr>
              <w:t>1</w:t>
            </w:r>
            <w:r w:rsidR="00B156FF" w:rsidRPr="00783B4B">
              <w:rPr>
                <w:sz w:val="22"/>
                <w:szCs w:val="22"/>
                <w:lang w:val="sr-Latn-ME"/>
              </w:rPr>
              <w:t>,</w:t>
            </w:r>
            <w:r w:rsidRPr="00783B4B">
              <w:rPr>
                <w:sz w:val="22"/>
                <w:szCs w:val="22"/>
                <w:lang w:val="sr-Latn-ME"/>
              </w:rPr>
              <w:t>00</w:t>
            </w:r>
          </w:p>
        </w:tc>
      </w:tr>
      <w:tr w:rsidR="00B156FF" w:rsidRPr="00783B4B" w14:paraId="30E3B917"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5B17E345"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3E76BD1C" w14:textId="79545F7A" w:rsidR="006E4173" w:rsidRPr="00783B4B" w:rsidRDefault="006E4173" w:rsidP="00783B4B">
            <w:pPr>
              <w:pStyle w:val="NormalWeb"/>
              <w:jc w:val="center"/>
              <w:rPr>
                <w:sz w:val="22"/>
                <w:szCs w:val="22"/>
                <w:lang w:val="sr-Latn-ME"/>
              </w:rPr>
            </w:pPr>
            <w:r w:rsidRPr="00783B4B">
              <w:rPr>
                <w:sz w:val="22"/>
                <w:szCs w:val="22"/>
                <w:lang w:val="sr-Latn-ME"/>
              </w:rPr>
              <w:t>0</w:t>
            </w:r>
            <w:r w:rsidR="008467F2" w:rsidRPr="00783B4B">
              <w:rPr>
                <w:sz w:val="22"/>
                <w:szCs w:val="22"/>
                <w:lang w:val="sr-Latn-ME"/>
              </w:rPr>
              <w:t>,</w:t>
            </w:r>
            <w:r w:rsidRPr="00783B4B">
              <w:rPr>
                <w:sz w:val="22"/>
                <w:szCs w:val="22"/>
                <w:lang w:val="sr-Latn-ME"/>
              </w:rPr>
              <w:t>0427</w:t>
            </w:r>
          </w:p>
        </w:tc>
        <w:tc>
          <w:tcPr>
            <w:tcW w:w="2794" w:type="dxa"/>
            <w:gridSpan w:val="2"/>
            <w:tcBorders>
              <w:top w:val="outset" w:sz="6" w:space="0" w:color="auto"/>
              <w:left w:val="outset" w:sz="6" w:space="0" w:color="auto"/>
              <w:bottom w:val="outset" w:sz="6" w:space="0" w:color="auto"/>
              <w:right w:val="outset" w:sz="6" w:space="0" w:color="auto"/>
            </w:tcBorders>
          </w:tcPr>
          <w:p w14:paraId="6C41BC5A" w14:textId="34DFC9CD"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0559</w:t>
            </w:r>
          </w:p>
        </w:tc>
      </w:tr>
      <w:tr w:rsidR="004D144A" w:rsidRPr="00783B4B" w14:paraId="3AB0261E"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2B406C84" w14:textId="084D8854" w:rsidR="006E4173" w:rsidRPr="00783B4B" w:rsidRDefault="007977DE" w:rsidP="00783B4B">
            <w:pPr>
              <w:pStyle w:val="NormalWeb"/>
              <w:rPr>
                <w:b/>
                <w:i/>
                <w:sz w:val="22"/>
                <w:szCs w:val="22"/>
                <w:lang w:val="sr-Latn-ME"/>
              </w:rPr>
            </w:pPr>
            <w:proofErr w:type="spellStart"/>
            <w:r w:rsidRPr="00783B4B">
              <w:rPr>
                <w:b/>
                <w:i/>
                <w:sz w:val="22"/>
                <w:szCs w:val="22"/>
                <w:lang w:val="sr-Latn-ME"/>
              </w:rPr>
              <w:t>K</w:t>
            </w:r>
            <w:r w:rsidR="006E4173" w:rsidRPr="00783B4B">
              <w:rPr>
                <w:b/>
                <w:i/>
                <w:sz w:val="22"/>
                <w:szCs w:val="22"/>
                <w:lang w:val="sr-Latn-ME"/>
              </w:rPr>
              <w:t>ontralateralni</w:t>
            </w:r>
            <w:proofErr w:type="spellEnd"/>
            <w:r w:rsidR="006E4173" w:rsidRPr="00783B4B">
              <w:rPr>
                <w:b/>
                <w:i/>
                <w:sz w:val="22"/>
                <w:szCs w:val="22"/>
                <w:lang w:val="sr-Latn-ME"/>
              </w:rPr>
              <w:t xml:space="preserve"> </w:t>
            </w:r>
            <w:r w:rsidRPr="00783B4B">
              <w:rPr>
                <w:b/>
                <w:i/>
                <w:sz w:val="22"/>
                <w:szCs w:val="22"/>
                <w:lang w:val="sr-Latn-ME"/>
              </w:rPr>
              <w:t xml:space="preserve">primarni </w:t>
            </w:r>
            <w:proofErr w:type="spellStart"/>
            <w:r w:rsidR="006E4173" w:rsidRPr="00783B4B">
              <w:rPr>
                <w:b/>
                <w:i/>
                <w:sz w:val="22"/>
                <w:szCs w:val="22"/>
                <w:lang w:val="sr-Latn-ME"/>
              </w:rPr>
              <w:t>karcinom</w:t>
            </w:r>
            <w:proofErr w:type="spellEnd"/>
            <w:r w:rsidR="006E4173" w:rsidRPr="00783B4B">
              <w:rPr>
                <w:b/>
                <w:i/>
                <w:sz w:val="22"/>
                <w:szCs w:val="22"/>
                <w:lang w:val="sr-Latn-ME"/>
              </w:rPr>
              <w:t xml:space="preserve"> dojke</w:t>
            </w:r>
          </w:p>
        </w:tc>
        <w:tc>
          <w:tcPr>
            <w:tcW w:w="1851" w:type="dxa"/>
            <w:tcBorders>
              <w:top w:val="outset" w:sz="6" w:space="0" w:color="auto"/>
              <w:left w:val="outset" w:sz="6" w:space="0" w:color="auto"/>
              <w:bottom w:val="outset" w:sz="6" w:space="0" w:color="auto"/>
              <w:right w:val="outset" w:sz="6" w:space="0" w:color="auto"/>
            </w:tcBorders>
          </w:tcPr>
          <w:p w14:paraId="618FD087" w14:textId="2173C39A" w:rsidR="006E4173" w:rsidRPr="00783B4B" w:rsidRDefault="006E4173" w:rsidP="00783B4B">
            <w:pPr>
              <w:pStyle w:val="NormalWeb"/>
              <w:jc w:val="center"/>
              <w:rPr>
                <w:sz w:val="22"/>
                <w:szCs w:val="22"/>
                <w:lang w:val="sr-Latn-ME"/>
              </w:rPr>
            </w:pPr>
            <w:r w:rsidRPr="00783B4B">
              <w:rPr>
                <w:sz w:val="22"/>
                <w:szCs w:val="22"/>
                <w:lang w:val="sr-Latn-ME"/>
              </w:rPr>
              <w:t>35 (1</w:t>
            </w:r>
            <w:r w:rsidR="008467F2" w:rsidRPr="00783B4B">
              <w:rPr>
                <w:sz w:val="22"/>
                <w:szCs w:val="22"/>
                <w:lang w:val="sr-Latn-ME"/>
              </w:rPr>
              <w:t>,</w:t>
            </w:r>
            <w:r w:rsidRPr="00783B4B">
              <w:rPr>
                <w:sz w:val="22"/>
                <w:szCs w:val="22"/>
                <w:lang w:val="sr-Latn-ME"/>
              </w:rPr>
              <w:t>1)</w:t>
            </w:r>
          </w:p>
        </w:tc>
        <w:tc>
          <w:tcPr>
            <w:tcW w:w="1555" w:type="dxa"/>
            <w:tcBorders>
              <w:top w:val="outset" w:sz="6" w:space="0" w:color="auto"/>
              <w:left w:val="outset" w:sz="6" w:space="0" w:color="auto"/>
              <w:bottom w:val="outset" w:sz="6" w:space="0" w:color="auto"/>
              <w:right w:val="outset" w:sz="6" w:space="0" w:color="auto"/>
            </w:tcBorders>
          </w:tcPr>
          <w:p w14:paraId="653FBD4F" w14:textId="7123B08D" w:rsidR="006E4173" w:rsidRPr="00783B4B" w:rsidRDefault="006E4173" w:rsidP="00783B4B">
            <w:pPr>
              <w:pStyle w:val="NormalWeb"/>
              <w:jc w:val="center"/>
              <w:rPr>
                <w:sz w:val="22"/>
                <w:szCs w:val="22"/>
                <w:lang w:val="sr-Latn-ME"/>
              </w:rPr>
            </w:pPr>
            <w:r w:rsidRPr="00783B4B">
              <w:rPr>
                <w:sz w:val="22"/>
                <w:szCs w:val="22"/>
                <w:lang w:val="sr-Latn-ME"/>
              </w:rPr>
              <w:t>59 (1</w:t>
            </w:r>
            <w:r w:rsidR="008467F2" w:rsidRPr="00783B4B">
              <w:rPr>
                <w:sz w:val="22"/>
                <w:szCs w:val="22"/>
                <w:lang w:val="sr-Latn-ME"/>
              </w:rPr>
              <w:t>,</w:t>
            </w:r>
            <w:r w:rsidRPr="00783B4B">
              <w:rPr>
                <w:sz w:val="22"/>
                <w:szCs w:val="22"/>
                <w:lang w:val="sr-Latn-ME"/>
              </w:rPr>
              <w:t>9)</w:t>
            </w:r>
          </w:p>
        </w:tc>
        <w:tc>
          <w:tcPr>
            <w:tcW w:w="1498" w:type="dxa"/>
            <w:tcBorders>
              <w:top w:val="outset" w:sz="6" w:space="0" w:color="auto"/>
              <w:left w:val="outset" w:sz="6" w:space="0" w:color="auto"/>
              <w:bottom w:val="outset" w:sz="6" w:space="0" w:color="auto"/>
              <w:right w:val="outset" w:sz="6" w:space="0" w:color="auto"/>
            </w:tcBorders>
          </w:tcPr>
          <w:p w14:paraId="594E599D" w14:textId="0139079D" w:rsidR="006E4173" w:rsidRPr="00783B4B" w:rsidRDefault="006E4173" w:rsidP="00783B4B">
            <w:pPr>
              <w:pStyle w:val="NormalWeb"/>
              <w:jc w:val="center"/>
              <w:rPr>
                <w:sz w:val="22"/>
                <w:szCs w:val="22"/>
                <w:lang w:val="sr-Latn-ME"/>
              </w:rPr>
            </w:pPr>
            <w:r w:rsidRPr="00783B4B">
              <w:rPr>
                <w:sz w:val="22"/>
                <w:szCs w:val="22"/>
                <w:lang w:val="sr-Latn-ME"/>
              </w:rPr>
              <w:t>26 (1</w:t>
            </w:r>
            <w:r w:rsidR="00B156FF" w:rsidRPr="00783B4B">
              <w:rPr>
                <w:sz w:val="22"/>
                <w:szCs w:val="22"/>
                <w:lang w:val="sr-Latn-ME"/>
              </w:rPr>
              <w:t>,</w:t>
            </w:r>
            <w:r w:rsidRPr="00783B4B">
              <w:rPr>
                <w:sz w:val="22"/>
                <w:szCs w:val="22"/>
                <w:lang w:val="sr-Latn-ME"/>
              </w:rPr>
              <w:t>0)</w:t>
            </w:r>
          </w:p>
        </w:tc>
        <w:tc>
          <w:tcPr>
            <w:tcW w:w="0" w:type="auto"/>
            <w:tcBorders>
              <w:top w:val="outset" w:sz="6" w:space="0" w:color="auto"/>
              <w:left w:val="outset" w:sz="6" w:space="0" w:color="auto"/>
              <w:bottom w:val="outset" w:sz="6" w:space="0" w:color="auto"/>
              <w:right w:val="outset" w:sz="6" w:space="0" w:color="auto"/>
            </w:tcBorders>
          </w:tcPr>
          <w:p w14:paraId="2DD0B4AD" w14:textId="03E5C537" w:rsidR="006E4173" w:rsidRPr="00783B4B" w:rsidRDefault="006E4173" w:rsidP="00783B4B">
            <w:pPr>
              <w:pStyle w:val="NormalWeb"/>
              <w:jc w:val="center"/>
              <w:rPr>
                <w:sz w:val="22"/>
                <w:szCs w:val="22"/>
                <w:lang w:val="sr-Latn-ME"/>
              </w:rPr>
            </w:pPr>
            <w:r w:rsidRPr="00783B4B">
              <w:rPr>
                <w:sz w:val="22"/>
                <w:szCs w:val="22"/>
                <w:lang w:val="sr-Latn-ME"/>
              </w:rPr>
              <w:t>54 (2</w:t>
            </w:r>
            <w:r w:rsidR="00B156FF" w:rsidRPr="00783B4B">
              <w:rPr>
                <w:sz w:val="22"/>
                <w:szCs w:val="22"/>
                <w:lang w:val="sr-Latn-ME"/>
              </w:rPr>
              <w:t>,</w:t>
            </w:r>
            <w:r w:rsidRPr="00783B4B">
              <w:rPr>
                <w:sz w:val="22"/>
                <w:szCs w:val="22"/>
                <w:lang w:val="sr-Latn-ME"/>
              </w:rPr>
              <w:t>1)</w:t>
            </w:r>
          </w:p>
        </w:tc>
      </w:tr>
      <w:tr w:rsidR="00B156FF" w:rsidRPr="00783B4B" w14:paraId="0500A6F5"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2B31B80" w14:textId="20CB84C8" w:rsidR="006E4173" w:rsidRPr="00783B4B" w:rsidRDefault="006E4173" w:rsidP="00783B4B">
            <w:pPr>
              <w:pStyle w:val="NormalWeb"/>
              <w:rPr>
                <w:sz w:val="22"/>
                <w:szCs w:val="22"/>
                <w:lang w:val="sr-Latn-ME"/>
              </w:rPr>
            </w:pPr>
            <w:r w:rsidRPr="00783B4B">
              <w:rPr>
                <w:sz w:val="22"/>
                <w:szCs w:val="22"/>
                <w:lang w:val="sr-Latn-ME"/>
              </w:rPr>
              <w:t xml:space="preserve">Odnos </w:t>
            </w:r>
            <w:r w:rsidR="007977DE" w:rsidRPr="00783B4B">
              <w:rPr>
                <w:sz w:val="22"/>
                <w:szCs w:val="22"/>
                <w:lang w:val="sr-Latn-ME"/>
              </w:rPr>
              <w:t>šansi</w:t>
            </w:r>
          </w:p>
        </w:tc>
        <w:tc>
          <w:tcPr>
            <w:tcW w:w="3406" w:type="dxa"/>
            <w:gridSpan w:val="2"/>
            <w:tcBorders>
              <w:top w:val="outset" w:sz="6" w:space="0" w:color="auto"/>
              <w:left w:val="outset" w:sz="6" w:space="0" w:color="auto"/>
              <w:bottom w:val="outset" w:sz="6" w:space="0" w:color="auto"/>
              <w:right w:val="outset" w:sz="6" w:space="0" w:color="auto"/>
            </w:tcBorders>
          </w:tcPr>
          <w:p w14:paraId="7C32C5BA" w14:textId="3AB1BBAA" w:rsidR="006E4173" w:rsidRPr="00783B4B" w:rsidRDefault="006E4173" w:rsidP="00783B4B">
            <w:pPr>
              <w:pStyle w:val="NormalWeb"/>
              <w:jc w:val="center"/>
              <w:rPr>
                <w:sz w:val="22"/>
                <w:szCs w:val="22"/>
                <w:lang w:val="sr-Latn-ME"/>
              </w:rPr>
            </w:pPr>
            <w:r w:rsidRPr="00783B4B">
              <w:rPr>
                <w:sz w:val="22"/>
                <w:szCs w:val="22"/>
                <w:lang w:val="sr-Latn-ME"/>
              </w:rPr>
              <w:t>0</w:t>
            </w:r>
            <w:r w:rsidR="008467F2" w:rsidRPr="00783B4B">
              <w:rPr>
                <w:sz w:val="22"/>
                <w:szCs w:val="22"/>
                <w:lang w:val="sr-Latn-ME"/>
              </w:rPr>
              <w:t>,</w:t>
            </w:r>
            <w:r w:rsidRPr="00783B4B">
              <w:rPr>
                <w:sz w:val="22"/>
                <w:szCs w:val="22"/>
                <w:lang w:val="sr-Latn-ME"/>
              </w:rPr>
              <w:t>59</w:t>
            </w:r>
          </w:p>
        </w:tc>
        <w:tc>
          <w:tcPr>
            <w:tcW w:w="2794" w:type="dxa"/>
            <w:gridSpan w:val="2"/>
            <w:tcBorders>
              <w:top w:val="outset" w:sz="6" w:space="0" w:color="auto"/>
              <w:left w:val="outset" w:sz="6" w:space="0" w:color="auto"/>
              <w:bottom w:val="outset" w:sz="6" w:space="0" w:color="auto"/>
              <w:right w:val="outset" w:sz="6" w:space="0" w:color="auto"/>
            </w:tcBorders>
          </w:tcPr>
          <w:p w14:paraId="42D874AB" w14:textId="4F793C7D"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47</w:t>
            </w:r>
          </w:p>
        </w:tc>
      </w:tr>
      <w:tr w:rsidR="00B156FF" w:rsidRPr="00783B4B" w14:paraId="5A8832D0"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0511A886" w14:textId="791273C1" w:rsidR="006E4173" w:rsidRPr="00783B4B" w:rsidRDefault="006E4173" w:rsidP="00783B4B">
            <w:pPr>
              <w:pStyle w:val="NormalWeb"/>
              <w:rPr>
                <w:sz w:val="22"/>
                <w:szCs w:val="22"/>
                <w:lang w:val="sr-Latn-ME"/>
              </w:rPr>
            </w:pPr>
            <w:r w:rsidRPr="00783B4B">
              <w:rPr>
                <w:sz w:val="22"/>
                <w:szCs w:val="22"/>
                <w:lang w:val="sr-Latn-ME"/>
              </w:rPr>
              <w:t>dvostrani 95%-</w:t>
            </w:r>
            <w:proofErr w:type="spellStart"/>
            <w:r w:rsidRPr="00783B4B">
              <w:rPr>
                <w:sz w:val="22"/>
                <w:szCs w:val="22"/>
                <w:lang w:val="sr-Latn-ME"/>
              </w:rPr>
              <w:t>tni</w:t>
            </w:r>
            <w:proofErr w:type="spellEnd"/>
            <w:r w:rsidRPr="00783B4B">
              <w:rPr>
                <w:sz w:val="22"/>
                <w:szCs w:val="22"/>
                <w:lang w:val="sr-Latn-ME"/>
              </w:rPr>
              <w:t xml:space="preserve"> interval </w:t>
            </w:r>
            <w:r w:rsidR="007977DE" w:rsidRPr="00783B4B">
              <w:rPr>
                <w:sz w:val="22"/>
                <w:szCs w:val="22"/>
                <w:lang w:val="sr-Latn-ME"/>
              </w:rPr>
              <w:t>pouzdanosti</w:t>
            </w:r>
          </w:p>
        </w:tc>
        <w:tc>
          <w:tcPr>
            <w:tcW w:w="3406" w:type="dxa"/>
            <w:gridSpan w:val="2"/>
            <w:tcBorders>
              <w:top w:val="outset" w:sz="6" w:space="0" w:color="auto"/>
              <w:left w:val="outset" w:sz="6" w:space="0" w:color="auto"/>
              <w:bottom w:val="outset" w:sz="6" w:space="0" w:color="auto"/>
              <w:right w:val="outset" w:sz="6" w:space="0" w:color="auto"/>
            </w:tcBorders>
          </w:tcPr>
          <w:p w14:paraId="117AD3E8" w14:textId="65E763CD" w:rsidR="006E4173" w:rsidRPr="00783B4B" w:rsidRDefault="006E4173" w:rsidP="00783B4B">
            <w:pPr>
              <w:pStyle w:val="NormalWeb"/>
              <w:jc w:val="center"/>
              <w:rPr>
                <w:sz w:val="22"/>
                <w:szCs w:val="22"/>
                <w:lang w:val="sr-Latn-ME"/>
              </w:rPr>
            </w:pPr>
            <w:r w:rsidRPr="00783B4B">
              <w:rPr>
                <w:sz w:val="22"/>
                <w:szCs w:val="22"/>
                <w:lang w:val="sr-Latn-ME"/>
              </w:rPr>
              <w:t>0</w:t>
            </w:r>
            <w:r w:rsidR="008467F2" w:rsidRPr="00783B4B">
              <w:rPr>
                <w:sz w:val="22"/>
                <w:szCs w:val="22"/>
                <w:lang w:val="sr-Latn-ME"/>
              </w:rPr>
              <w:t>,</w:t>
            </w:r>
            <w:r w:rsidRPr="00783B4B">
              <w:rPr>
                <w:sz w:val="22"/>
                <w:szCs w:val="22"/>
                <w:lang w:val="sr-Latn-ME"/>
              </w:rPr>
              <w:t xml:space="preserve">39 </w:t>
            </w:r>
            <w:r w:rsidR="008467F2" w:rsidRPr="00783B4B">
              <w:rPr>
                <w:sz w:val="22"/>
                <w:szCs w:val="22"/>
                <w:lang w:val="sr-Latn-ME"/>
              </w:rPr>
              <w:t xml:space="preserve">- </w:t>
            </w:r>
            <w:r w:rsidRPr="00783B4B">
              <w:rPr>
                <w:sz w:val="22"/>
                <w:szCs w:val="22"/>
                <w:lang w:val="sr-Latn-ME"/>
              </w:rPr>
              <w:t>0</w:t>
            </w:r>
            <w:r w:rsidR="008467F2" w:rsidRPr="00783B4B">
              <w:rPr>
                <w:sz w:val="22"/>
                <w:szCs w:val="22"/>
                <w:lang w:val="sr-Latn-ME"/>
              </w:rPr>
              <w:t>,</w:t>
            </w:r>
            <w:r w:rsidRPr="00783B4B">
              <w:rPr>
                <w:sz w:val="22"/>
                <w:szCs w:val="22"/>
                <w:lang w:val="sr-Latn-ME"/>
              </w:rPr>
              <w:t>89</w:t>
            </w:r>
          </w:p>
        </w:tc>
        <w:tc>
          <w:tcPr>
            <w:tcW w:w="2794" w:type="dxa"/>
            <w:gridSpan w:val="2"/>
            <w:tcBorders>
              <w:top w:val="outset" w:sz="6" w:space="0" w:color="auto"/>
              <w:left w:val="outset" w:sz="6" w:space="0" w:color="auto"/>
              <w:bottom w:val="outset" w:sz="6" w:space="0" w:color="auto"/>
              <w:right w:val="outset" w:sz="6" w:space="0" w:color="auto"/>
            </w:tcBorders>
          </w:tcPr>
          <w:p w14:paraId="302019BD" w14:textId="3B88C52A"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 xml:space="preserve">30 </w:t>
            </w:r>
            <w:r w:rsidR="00B156FF" w:rsidRPr="00783B4B">
              <w:rPr>
                <w:sz w:val="22"/>
                <w:szCs w:val="22"/>
                <w:lang w:val="sr-Latn-ME"/>
              </w:rPr>
              <w:t xml:space="preserve">- </w:t>
            </w:r>
            <w:r w:rsidRPr="00783B4B">
              <w:rPr>
                <w:sz w:val="22"/>
                <w:szCs w:val="22"/>
                <w:lang w:val="sr-Latn-ME"/>
              </w:rPr>
              <w:t>0</w:t>
            </w:r>
            <w:r w:rsidR="00B156FF" w:rsidRPr="00783B4B">
              <w:rPr>
                <w:sz w:val="22"/>
                <w:szCs w:val="22"/>
                <w:lang w:val="sr-Latn-ME"/>
              </w:rPr>
              <w:t>,</w:t>
            </w:r>
            <w:r w:rsidRPr="00783B4B">
              <w:rPr>
                <w:sz w:val="22"/>
                <w:szCs w:val="22"/>
                <w:lang w:val="sr-Latn-ME"/>
              </w:rPr>
              <w:t>76</w:t>
            </w:r>
          </w:p>
        </w:tc>
      </w:tr>
      <w:tr w:rsidR="00B156FF" w:rsidRPr="00783B4B" w14:paraId="38C763E0"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36123685"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73C267CD" w14:textId="0900C250" w:rsidR="006E4173" w:rsidRPr="00783B4B" w:rsidRDefault="006E4173" w:rsidP="00783B4B">
            <w:pPr>
              <w:pStyle w:val="NormalWeb"/>
              <w:jc w:val="center"/>
              <w:rPr>
                <w:sz w:val="22"/>
                <w:szCs w:val="22"/>
                <w:lang w:val="sr-Latn-ME"/>
              </w:rPr>
            </w:pPr>
            <w:r w:rsidRPr="00783B4B">
              <w:rPr>
                <w:sz w:val="22"/>
                <w:szCs w:val="22"/>
                <w:lang w:val="sr-Latn-ME"/>
              </w:rPr>
              <w:t>0</w:t>
            </w:r>
            <w:r w:rsidR="006B2E80" w:rsidRPr="00783B4B">
              <w:rPr>
                <w:sz w:val="22"/>
                <w:szCs w:val="22"/>
                <w:lang w:val="sr-Latn-ME"/>
              </w:rPr>
              <w:t>,</w:t>
            </w:r>
            <w:r w:rsidRPr="00783B4B">
              <w:rPr>
                <w:sz w:val="22"/>
                <w:szCs w:val="22"/>
                <w:lang w:val="sr-Latn-ME"/>
              </w:rPr>
              <w:t>0131</w:t>
            </w:r>
          </w:p>
        </w:tc>
        <w:tc>
          <w:tcPr>
            <w:tcW w:w="2794" w:type="dxa"/>
            <w:gridSpan w:val="2"/>
            <w:tcBorders>
              <w:top w:val="outset" w:sz="6" w:space="0" w:color="auto"/>
              <w:left w:val="outset" w:sz="6" w:space="0" w:color="auto"/>
              <w:bottom w:val="outset" w:sz="6" w:space="0" w:color="auto"/>
              <w:right w:val="outset" w:sz="6" w:space="0" w:color="auto"/>
            </w:tcBorders>
          </w:tcPr>
          <w:p w14:paraId="04151B5D" w14:textId="7D2B39AC"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0018</w:t>
            </w:r>
          </w:p>
        </w:tc>
      </w:tr>
      <w:tr w:rsidR="004D144A" w:rsidRPr="00783B4B" w14:paraId="35628349"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544F5ED7" w14:textId="77777777" w:rsidR="006E4173" w:rsidRPr="00783B4B" w:rsidRDefault="006E4173" w:rsidP="00783B4B">
            <w:pPr>
              <w:pStyle w:val="NormalWeb"/>
              <w:rPr>
                <w:b/>
                <w:i/>
                <w:sz w:val="22"/>
                <w:szCs w:val="22"/>
                <w:lang w:val="sr-Latn-ME"/>
              </w:rPr>
            </w:pPr>
            <w:r w:rsidRPr="00783B4B">
              <w:rPr>
                <w:b/>
                <w:i/>
                <w:sz w:val="22"/>
                <w:szCs w:val="22"/>
                <w:lang w:val="sr-Latn-ME"/>
              </w:rPr>
              <w:lastRenderedPageBreak/>
              <w:t>Ukupno preživljavanje</w:t>
            </w:r>
            <w:r w:rsidRPr="00783B4B">
              <w:rPr>
                <w:b/>
                <w:i/>
                <w:sz w:val="22"/>
                <w:szCs w:val="22"/>
                <w:vertAlign w:val="superscript"/>
                <w:lang w:val="sr-Latn-ME"/>
              </w:rPr>
              <w:t xml:space="preserve"> e</w:t>
            </w:r>
          </w:p>
        </w:tc>
        <w:tc>
          <w:tcPr>
            <w:tcW w:w="1851" w:type="dxa"/>
            <w:tcBorders>
              <w:top w:val="outset" w:sz="6" w:space="0" w:color="auto"/>
              <w:left w:val="outset" w:sz="6" w:space="0" w:color="auto"/>
              <w:bottom w:val="outset" w:sz="6" w:space="0" w:color="auto"/>
              <w:right w:val="outset" w:sz="6" w:space="0" w:color="auto"/>
            </w:tcBorders>
          </w:tcPr>
          <w:p w14:paraId="03F64F7A" w14:textId="7E5067AD" w:rsidR="006E4173" w:rsidRPr="00783B4B" w:rsidRDefault="006E4173" w:rsidP="00783B4B">
            <w:pPr>
              <w:pStyle w:val="NormalWeb"/>
              <w:jc w:val="center"/>
              <w:rPr>
                <w:sz w:val="22"/>
                <w:szCs w:val="22"/>
                <w:lang w:val="sr-Latn-ME"/>
              </w:rPr>
            </w:pPr>
            <w:r w:rsidRPr="00783B4B">
              <w:rPr>
                <w:sz w:val="22"/>
                <w:szCs w:val="22"/>
                <w:lang w:val="sr-Latn-ME"/>
              </w:rPr>
              <w:t>411 (13</w:t>
            </w:r>
            <w:r w:rsidR="006B2E80" w:rsidRPr="00783B4B">
              <w:rPr>
                <w:sz w:val="22"/>
                <w:szCs w:val="22"/>
                <w:lang w:val="sr-Latn-ME"/>
              </w:rPr>
              <w:t>,</w:t>
            </w:r>
            <w:r w:rsidRPr="00783B4B">
              <w:rPr>
                <w:sz w:val="22"/>
                <w:szCs w:val="22"/>
                <w:lang w:val="sr-Latn-ME"/>
              </w:rPr>
              <w:t>2)</w:t>
            </w:r>
          </w:p>
        </w:tc>
        <w:tc>
          <w:tcPr>
            <w:tcW w:w="1555" w:type="dxa"/>
            <w:tcBorders>
              <w:top w:val="outset" w:sz="6" w:space="0" w:color="auto"/>
              <w:left w:val="outset" w:sz="6" w:space="0" w:color="auto"/>
              <w:bottom w:val="outset" w:sz="6" w:space="0" w:color="auto"/>
              <w:right w:val="outset" w:sz="6" w:space="0" w:color="auto"/>
            </w:tcBorders>
          </w:tcPr>
          <w:p w14:paraId="1B53A7FB" w14:textId="6DA66323" w:rsidR="006E4173" w:rsidRPr="00783B4B" w:rsidRDefault="006E4173" w:rsidP="00783B4B">
            <w:pPr>
              <w:pStyle w:val="NormalWeb"/>
              <w:jc w:val="center"/>
              <w:rPr>
                <w:sz w:val="22"/>
                <w:szCs w:val="22"/>
                <w:lang w:val="sr-Latn-ME"/>
              </w:rPr>
            </w:pPr>
            <w:r w:rsidRPr="00783B4B">
              <w:rPr>
                <w:sz w:val="22"/>
                <w:szCs w:val="22"/>
                <w:lang w:val="sr-Latn-ME"/>
              </w:rPr>
              <w:t>420 (13</w:t>
            </w:r>
            <w:r w:rsidR="006B2E80" w:rsidRPr="00783B4B">
              <w:rPr>
                <w:sz w:val="22"/>
                <w:szCs w:val="22"/>
                <w:lang w:val="sr-Latn-ME"/>
              </w:rPr>
              <w:t>,</w:t>
            </w:r>
            <w:r w:rsidRPr="00783B4B">
              <w:rPr>
                <w:sz w:val="22"/>
                <w:szCs w:val="22"/>
                <w:lang w:val="sr-Latn-ME"/>
              </w:rPr>
              <w:t>5)</w:t>
            </w:r>
          </w:p>
        </w:tc>
        <w:tc>
          <w:tcPr>
            <w:tcW w:w="1498" w:type="dxa"/>
            <w:tcBorders>
              <w:top w:val="outset" w:sz="6" w:space="0" w:color="auto"/>
              <w:left w:val="outset" w:sz="6" w:space="0" w:color="auto"/>
              <w:bottom w:val="outset" w:sz="6" w:space="0" w:color="auto"/>
              <w:right w:val="outset" w:sz="6" w:space="0" w:color="auto"/>
            </w:tcBorders>
          </w:tcPr>
          <w:p w14:paraId="7360058C" w14:textId="23362955" w:rsidR="006E4173" w:rsidRPr="00783B4B" w:rsidRDefault="006E4173" w:rsidP="00783B4B">
            <w:pPr>
              <w:pStyle w:val="NormalWeb"/>
              <w:jc w:val="center"/>
              <w:rPr>
                <w:sz w:val="22"/>
                <w:szCs w:val="22"/>
                <w:lang w:val="sr-Latn-ME"/>
              </w:rPr>
            </w:pPr>
            <w:r w:rsidRPr="00783B4B">
              <w:rPr>
                <w:sz w:val="22"/>
                <w:szCs w:val="22"/>
                <w:lang w:val="sr-Latn-ME"/>
              </w:rPr>
              <w:t>296 (11</w:t>
            </w:r>
            <w:r w:rsidR="00B156FF" w:rsidRPr="00783B4B">
              <w:rPr>
                <w:sz w:val="22"/>
                <w:szCs w:val="22"/>
                <w:lang w:val="sr-Latn-ME"/>
              </w:rPr>
              <w:t>,</w:t>
            </w:r>
            <w:r w:rsidRPr="00783B4B">
              <w:rPr>
                <w:sz w:val="22"/>
                <w:szCs w:val="22"/>
                <w:lang w:val="sr-Latn-ME"/>
              </w:rPr>
              <w:t>3)</w:t>
            </w:r>
          </w:p>
        </w:tc>
        <w:tc>
          <w:tcPr>
            <w:tcW w:w="0" w:type="auto"/>
            <w:tcBorders>
              <w:top w:val="outset" w:sz="6" w:space="0" w:color="auto"/>
              <w:left w:val="outset" w:sz="6" w:space="0" w:color="auto"/>
              <w:bottom w:val="outset" w:sz="6" w:space="0" w:color="auto"/>
              <w:right w:val="outset" w:sz="6" w:space="0" w:color="auto"/>
            </w:tcBorders>
          </w:tcPr>
          <w:p w14:paraId="45C1C2FF" w14:textId="6FDC5FD8" w:rsidR="006E4173" w:rsidRPr="00783B4B" w:rsidRDefault="006E4173" w:rsidP="00783B4B">
            <w:pPr>
              <w:pStyle w:val="NormalWeb"/>
              <w:jc w:val="center"/>
              <w:rPr>
                <w:sz w:val="22"/>
                <w:szCs w:val="22"/>
                <w:lang w:val="sr-Latn-ME"/>
              </w:rPr>
            </w:pPr>
            <w:r w:rsidRPr="00783B4B">
              <w:rPr>
                <w:sz w:val="22"/>
                <w:szCs w:val="22"/>
                <w:lang w:val="sr-Latn-ME"/>
              </w:rPr>
              <w:t>301 (11</w:t>
            </w:r>
            <w:r w:rsidR="00B156FF" w:rsidRPr="00783B4B">
              <w:rPr>
                <w:sz w:val="22"/>
                <w:szCs w:val="22"/>
                <w:lang w:val="sr-Latn-ME"/>
              </w:rPr>
              <w:t>,</w:t>
            </w:r>
            <w:r w:rsidRPr="00783B4B">
              <w:rPr>
                <w:sz w:val="22"/>
                <w:szCs w:val="22"/>
                <w:lang w:val="sr-Latn-ME"/>
              </w:rPr>
              <w:t>6)</w:t>
            </w:r>
          </w:p>
        </w:tc>
      </w:tr>
      <w:tr w:rsidR="00B156FF" w:rsidRPr="00783B4B" w14:paraId="5B6DAEE0"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F534869" w14:textId="193EA92B" w:rsidR="006E4173" w:rsidRPr="00783B4B" w:rsidRDefault="00766E2A" w:rsidP="00783B4B">
            <w:pPr>
              <w:pStyle w:val="NormalWeb"/>
              <w:rPr>
                <w:sz w:val="22"/>
                <w:szCs w:val="22"/>
                <w:lang w:val="sr-Latn-ME"/>
              </w:rPr>
            </w:pPr>
            <w:r w:rsidRPr="00783B4B">
              <w:rPr>
                <w:i/>
                <w:sz w:val="22"/>
                <w:szCs w:val="22"/>
                <w:lang w:val="sr-Latn-ME" w:eastAsia="en-US"/>
              </w:rPr>
              <w:t xml:space="preserve">Hazard </w:t>
            </w:r>
            <w:proofErr w:type="spellStart"/>
            <w:r w:rsidRPr="00783B4B">
              <w:rPr>
                <w:i/>
                <w:sz w:val="22"/>
                <w:szCs w:val="22"/>
                <w:lang w:val="sr-Latn-ME" w:eastAsia="en-US"/>
              </w:rPr>
              <w:t>ratio</w:t>
            </w:r>
            <w:proofErr w:type="spellEnd"/>
          </w:p>
        </w:tc>
        <w:tc>
          <w:tcPr>
            <w:tcW w:w="3406" w:type="dxa"/>
            <w:gridSpan w:val="2"/>
            <w:tcBorders>
              <w:top w:val="outset" w:sz="6" w:space="0" w:color="auto"/>
              <w:left w:val="outset" w:sz="6" w:space="0" w:color="auto"/>
              <w:bottom w:val="outset" w:sz="6" w:space="0" w:color="auto"/>
              <w:right w:val="outset" w:sz="6" w:space="0" w:color="auto"/>
            </w:tcBorders>
          </w:tcPr>
          <w:p w14:paraId="590DA328" w14:textId="13EC9A96" w:rsidR="006E4173" w:rsidRPr="00783B4B" w:rsidRDefault="006E4173" w:rsidP="00783B4B">
            <w:pPr>
              <w:pStyle w:val="NormalWeb"/>
              <w:jc w:val="center"/>
              <w:rPr>
                <w:sz w:val="22"/>
                <w:szCs w:val="22"/>
                <w:lang w:val="sr-Latn-ME"/>
              </w:rPr>
            </w:pPr>
            <w:r w:rsidRPr="00783B4B">
              <w:rPr>
                <w:sz w:val="22"/>
                <w:szCs w:val="22"/>
                <w:lang w:val="sr-Latn-ME"/>
              </w:rPr>
              <w:t>0</w:t>
            </w:r>
            <w:r w:rsidR="006B2E80" w:rsidRPr="00783B4B">
              <w:rPr>
                <w:sz w:val="22"/>
                <w:szCs w:val="22"/>
                <w:lang w:val="sr-Latn-ME"/>
              </w:rPr>
              <w:t>,</w:t>
            </w:r>
            <w:r w:rsidRPr="00783B4B">
              <w:rPr>
                <w:sz w:val="22"/>
                <w:szCs w:val="22"/>
                <w:lang w:val="sr-Latn-ME"/>
              </w:rPr>
              <w:t>97</w:t>
            </w:r>
          </w:p>
        </w:tc>
        <w:tc>
          <w:tcPr>
            <w:tcW w:w="2794" w:type="dxa"/>
            <w:gridSpan w:val="2"/>
            <w:tcBorders>
              <w:top w:val="outset" w:sz="6" w:space="0" w:color="auto"/>
              <w:left w:val="outset" w:sz="6" w:space="0" w:color="auto"/>
              <w:bottom w:val="outset" w:sz="6" w:space="0" w:color="auto"/>
              <w:right w:val="outset" w:sz="6" w:space="0" w:color="auto"/>
            </w:tcBorders>
          </w:tcPr>
          <w:p w14:paraId="7B392C84" w14:textId="76F3164D"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97</w:t>
            </w:r>
          </w:p>
        </w:tc>
      </w:tr>
      <w:tr w:rsidR="00B156FF" w:rsidRPr="00783B4B" w14:paraId="70BAEED6"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19DAA902" w14:textId="66AB6F72" w:rsidR="006E4173" w:rsidRPr="00783B4B" w:rsidRDefault="006E4173" w:rsidP="00783B4B">
            <w:pPr>
              <w:pStyle w:val="NormalWeb"/>
              <w:rPr>
                <w:sz w:val="22"/>
                <w:szCs w:val="22"/>
                <w:lang w:val="sr-Latn-ME"/>
              </w:rPr>
            </w:pPr>
            <w:r w:rsidRPr="00783B4B">
              <w:rPr>
                <w:sz w:val="22"/>
                <w:szCs w:val="22"/>
                <w:lang w:val="sr-Latn-ME"/>
              </w:rPr>
              <w:t>dvostrani 95%-</w:t>
            </w:r>
            <w:proofErr w:type="spellStart"/>
            <w:r w:rsidRPr="00783B4B">
              <w:rPr>
                <w:sz w:val="22"/>
                <w:szCs w:val="22"/>
                <w:lang w:val="sr-Latn-ME"/>
              </w:rPr>
              <w:t>tni</w:t>
            </w:r>
            <w:proofErr w:type="spellEnd"/>
            <w:r w:rsidRPr="00783B4B">
              <w:rPr>
                <w:sz w:val="22"/>
                <w:szCs w:val="22"/>
                <w:lang w:val="sr-Latn-ME"/>
              </w:rPr>
              <w:t xml:space="preserve"> interval </w:t>
            </w:r>
            <w:r w:rsidR="00A458D0" w:rsidRPr="00783B4B">
              <w:rPr>
                <w:sz w:val="22"/>
                <w:szCs w:val="22"/>
                <w:lang w:val="sr-Latn-ME"/>
              </w:rPr>
              <w:t>pouzdanosti</w:t>
            </w:r>
          </w:p>
        </w:tc>
        <w:tc>
          <w:tcPr>
            <w:tcW w:w="3406" w:type="dxa"/>
            <w:gridSpan w:val="2"/>
            <w:tcBorders>
              <w:top w:val="outset" w:sz="6" w:space="0" w:color="auto"/>
              <w:left w:val="outset" w:sz="6" w:space="0" w:color="auto"/>
              <w:bottom w:val="outset" w:sz="6" w:space="0" w:color="auto"/>
              <w:right w:val="outset" w:sz="6" w:space="0" w:color="auto"/>
            </w:tcBorders>
          </w:tcPr>
          <w:p w14:paraId="74927F33" w14:textId="60E81375" w:rsidR="006E4173" w:rsidRPr="00783B4B" w:rsidRDefault="006E4173" w:rsidP="00783B4B">
            <w:pPr>
              <w:pStyle w:val="NormalWeb"/>
              <w:jc w:val="center"/>
              <w:rPr>
                <w:sz w:val="22"/>
                <w:szCs w:val="22"/>
                <w:lang w:val="sr-Latn-ME"/>
              </w:rPr>
            </w:pPr>
            <w:r w:rsidRPr="00783B4B">
              <w:rPr>
                <w:sz w:val="22"/>
                <w:szCs w:val="22"/>
                <w:lang w:val="sr-Latn-ME"/>
              </w:rPr>
              <w:t>0</w:t>
            </w:r>
            <w:r w:rsidR="006B2E80" w:rsidRPr="00783B4B">
              <w:rPr>
                <w:sz w:val="22"/>
                <w:szCs w:val="22"/>
                <w:lang w:val="sr-Latn-ME"/>
              </w:rPr>
              <w:t>,</w:t>
            </w:r>
            <w:r w:rsidRPr="00783B4B">
              <w:rPr>
                <w:sz w:val="22"/>
                <w:szCs w:val="22"/>
                <w:lang w:val="sr-Latn-ME"/>
              </w:rPr>
              <w:t xml:space="preserve">85 </w:t>
            </w:r>
            <w:r w:rsidR="006B2E80" w:rsidRPr="00783B4B">
              <w:rPr>
                <w:sz w:val="22"/>
                <w:szCs w:val="22"/>
                <w:lang w:val="sr-Latn-ME"/>
              </w:rPr>
              <w:t xml:space="preserve">- </w:t>
            </w:r>
            <w:r w:rsidRPr="00783B4B">
              <w:rPr>
                <w:sz w:val="22"/>
                <w:szCs w:val="22"/>
                <w:lang w:val="sr-Latn-ME"/>
              </w:rPr>
              <w:t>1</w:t>
            </w:r>
            <w:r w:rsidR="006B2E80" w:rsidRPr="00783B4B">
              <w:rPr>
                <w:sz w:val="22"/>
                <w:szCs w:val="22"/>
                <w:lang w:val="sr-Latn-ME"/>
              </w:rPr>
              <w:t>,</w:t>
            </w:r>
            <w:r w:rsidRPr="00783B4B">
              <w:rPr>
                <w:sz w:val="22"/>
                <w:szCs w:val="22"/>
                <w:lang w:val="sr-Latn-ME"/>
              </w:rPr>
              <w:t>12</w:t>
            </w:r>
          </w:p>
        </w:tc>
        <w:tc>
          <w:tcPr>
            <w:tcW w:w="2794" w:type="dxa"/>
            <w:gridSpan w:val="2"/>
            <w:tcBorders>
              <w:top w:val="outset" w:sz="6" w:space="0" w:color="auto"/>
              <w:left w:val="outset" w:sz="6" w:space="0" w:color="auto"/>
              <w:bottom w:val="outset" w:sz="6" w:space="0" w:color="auto"/>
              <w:right w:val="outset" w:sz="6" w:space="0" w:color="auto"/>
            </w:tcBorders>
          </w:tcPr>
          <w:p w14:paraId="3326C0B0" w14:textId="4C3F7493"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 xml:space="preserve">83 </w:t>
            </w:r>
            <w:r w:rsidR="00B156FF" w:rsidRPr="00783B4B">
              <w:rPr>
                <w:sz w:val="22"/>
                <w:szCs w:val="22"/>
                <w:lang w:val="sr-Latn-ME"/>
              </w:rPr>
              <w:t xml:space="preserve">- </w:t>
            </w:r>
            <w:r w:rsidRPr="00783B4B">
              <w:rPr>
                <w:sz w:val="22"/>
                <w:szCs w:val="22"/>
                <w:lang w:val="sr-Latn-ME"/>
              </w:rPr>
              <w:t>1</w:t>
            </w:r>
            <w:r w:rsidR="00B156FF" w:rsidRPr="00783B4B">
              <w:rPr>
                <w:sz w:val="22"/>
                <w:szCs w:val="22"/>
                <w:lang w:val="sr-Latn-ME"/>
              </w:rPr>
              <w:t>,</w:t>
            </w:r>
            <w:r w:rsidRPr="00783B4B">
              <w:rPr>
                <w:sz w:val="22"/>
                <w:szCs w:val="22"/>
                <w:lang w:val="sr-Latn-ME"/>
              </w:rPr>
              <w:t>14</w:t>
            </w:r>
          </w:p>
        </w:tc>
      </w:tr>
      <w:tr w:rsidR="00B156FF" w:rsidRPr="00783B4B" w14:paraId="601E774A" w14:textId="77777777" w:rsidTr="00424FF7">
        <w:trPr>
          <w:tblCellSpacing w:w="0" w:type="dxa"/>
        </w:trPr>
        <w:tc>
          <w:tcPr>
            <w:tcW w:w="2857" w:type="dxa"/>
            <w:tcBorders>
              <w:top w:val="outset" w:sz="6" w:space="0" w:color="auto"/>
              <w:left w:val="outset" w:sz="6" w:space="0" w:color="auto"/>
              <w:bottom w:val="outset" w:sz="6" w:space="0" w:color="auto"/>
              <w:right w:val="outset" w:sz="6" w:space="0" w:color="auto"/>
            </w:tcBorders>
          </w:tcPr>
          <w:p w14:paraId="4E696BD9" w14:textId="77777777" w:rsidR="006E4173" w:rsidRPr="00783B4B" w:rsidRDefault="006E4173" w:rsidP="00783B4B">
            <w:pPr>
              <w:pStyle w:val="NormalWeb"/>
              <w:rPr>
                <w:sz w:val="22"/>
                <w:szCs w:val="22"/>
                <w:lang w:val="sr-Latn-ME"/>
              </w:rPr>
            </w:pPr>
            <w:r w:rsidRPr="00783B4B">
              <w:rPr>
                <w:sz w:val="22"/>
                <w:szCs w:val="22"/>
                <w:lang w:val="sr-Latn-ME"/>
              </w:rPr>
              <w:t>p-vrijednost</w:t>
            </w:r>
          </w:p>
        </w:tc>
        <w:tc>
          <w:tcPr>
            <w:tcW w:w="3406" w:type="dxa"/>
            <w:gridSpan w:val="2"/>
            <w:tcBorders>
              <w:top w:val="outset" w:sz="6" w:space="0" w:color="auto"/>
              <w:left w:val="outset" w:sz="6" w:space="0" w:color="auto"/>
              <w:bottom w:val="outset" w:sz="6" w:space="0" w:color="auto"/>
              <w:right w:val="outset" w:sz="6" w:space="0" w:color="auto"/>
            </w:tcBorders>
          </w:tcPr>
          <w:p w14:paraId="3D5B3115" w14:textId="396813A1" w:rsidR="006E4173" w:rsidRPr="00783B4B" w:rsidRDefault="006E4173" w:rsidP="00783B4B">
            <w:pPr>
              <w:pStyle w:val="NormalWeb"/>
              <w:jc w:val="center"/>
              <w:rPr>
                <w:sz w:val="22"/>
                <w:szCs w:val="22"/>
                <w:lang w:val="sr-Latn-ME"/>
              </w:rPr>
            </w:pPr>
            <w:r w:rsidRPr="00783B4B">
              <w:rPr>
                <w:sz w:val="22"/>
                <w:szCs w:val="22"/>
                <w:lang w:val="sr-Latn-ME"/>
              </w:rPr>
              <w:t>0</w:t>
            </w:r>
            <w:r w:rsidR="006B2E80" w:rsidRPr="00783B4B">
              <w:rPr>
                <w:sz w:val="22"/>
                <w:szCs w:val="22"/>
                <w:lang w:val="sr-Latn-ME"/>
              </w:rPr>
              <w:t>,</w:t>
            </w:r>
            <w:r w:rsidRPr="00783B4B">
              <w:rPr>
                <w:sz w:val="22"/>
                <w:szCs w:val="22"/>
                <w:lang w:val="sr-Latn-ME"/>
              </w:rPr>
              <w:t>7142</w:t>
            </w:r>
          </w:p>
        </w:tc>
        <w:tc>
          <w:tcPr>
            <w:tcW w:w="2794" w:type="dxa"/>
            <w:gridSpan w:val="2"/>
            <w:tcBorders>
              <w:top w:val="outset" w:sz="6" w:space="0" w:color="auto"/>
              <w:left w:val="outset" w:sz="6" w:space="0" w:color="auto"/>
              <w:bottom w:val="outset" w:sz="6" w:space="0" w:color="auto"/>
              <w:right w:val="outset" w:sz="6" w:space="0" w:color="auto"/>
            </w:tcBorders>
          </w:tcPr>
          <w:p w14:paraId="6E76D6E1" w14:textId="68C5D45D" w:rsidR="006E4173" w:rsidRPr="00783B4B" w:rsidRDefault="006E4173" w:rsidP="00783B4B">
            <w:pPr>
              <w:pStyle w:val="NormalWeb"/>
              <w:jc w:val="center"/>
              <w:rPr>
                <w:sz w:val="22"/>
                <w:szCs w:val="22"/>
                <w:lang w:val="sr-Latn-ME"/>
              </w:rPr>
            </w:pPr>
            <w:r w:rsidRPr="00783B4B">
              <w:rPr>
                <w:sz w:val="22"/>
                <w:szCs w:val="22"/>
                <w:lang w:val="sr-Latn-ME"/>
              </w:rPr>
              <w:t>0</w:t>
            </w:r>
            <w:r w:rsidR="00B156FF" w:rsidRPr="00783B4B">
              <w:rPr>
                <w:sz w:val="22"/>
                <w:szCs w:val="22"/>
                <w:lang w:val="sr-Latn-ME"/>
              </w:rPr>
              <w:t>,</w:t>
            </w:r>
            <w:r w:rsidRPr="00783B4B">
              <w:rPr>
                <w:sz w:val="22"/>
                <w:szCs w:val="22"/>
                <w:lang w:val="sr-Latn-ME"/>
              </w:rPr>
              <w:t>7339</w:t>
            </w:r>
          </w:p>
        </w:tc>
      </w:tr>
      <w:tr w:rsidR="006E4173" w:rsidRPr="00783B4B" w14:paraId="10B12278" w14:textId="77777777" w:rsidTr="001A3838">
        <w:trPr>
          <w:tblCellSpacing w:w="0" w:type="dxa"/>
        </w:trPr>
        <w:tc>
          <w:tcPr>
            <w:tcW w:w="0" w:type="auto"/>
            <w:gridSpan w:val="5"/>
            <w:tcBorders>
              <w:top w:val="outset" w:sz="6" w:space="0" w:color="auto"/>
              <w:left w:val="outset" w:sz="6" w:space="0" w:color="auto"/>
              <w:bottom w:val="outset" w:sz="6" w:space="0" w:color="auto"/>
              <w:right w:val="outset" w:sz="6" w:space="0" w:color="auto"/>
            </w:tcBorders>
          </w:tcPr>
          <w:p w14:paraId="3B828BAD" w14:textId="0870DB91" w:rsidR="00146EA5" w:rsidRPr="00783B4B" w:rsidRDefault="006E4173" w:rsidP="00783B4B">
            <w:pPr>
              <w:spacing w:after="120"/>
              <w:jc w:val="both"/>
              <w:rPr>
                <w:iCs/>
                <w:sz w:val="22"/>
                <w:szCs w:val="22"/>
                <w:shd w:val="clear" w:color="auto" w:fill="FFFFFF"/>
                <w:lang w:val="sr-Latn-ME"/>
              </w:rPr>
            </w:pPr>
            <w:r w:rsidRPr="00783B4B">
              <w:rPr>
                <w:sz w:val="22"/>
                <w:szCs w:val="22"/>
                <w:vertAlign w:val="superscript"/>
                <w:lang w:val="sr-Latn-ME"/>
              </w:rPr>
              <w:t>a</w:t>
            </w:r>
            <w:r w:rsidRPr="00783B4B">
              <w:rPr>
                <w:sz w:val="22"/>
                <w:szCs w:val="22"/>
                <w:lang w:val="sr-Latn-ME"/>
              </w:rPr>
              <w:t xml:space="preserve"> Preživljavanje </w:t>
            </w:r>
            <w:r w:rsidRPr="00783B4B">
              <w:rPr>
                <w:bCs/>
                <w:sz w:val="22"/>
                <w:szCs w:val="22"/>
                <w:lang w:val="sr-Latn-ME"/>
              </w:rPr>
              <w:t>bez znakova bolesti</w:t>
            </w:r>
            <w:r w:rsidRPr="00783B4B">
              <w:rPr>
                <w:sz w:val="22"/>
                <w:szCs w:val="22"/>
                <w:vertAlign w:val="superscript"/>
                <w:lang w:val="sr-Latn-ME"/>
              </w:rPr>
              <w:t xml:space="preserve">  </w:t>
            </w:r>
            <w:r w:rsidRPr="00783B4B">
              <w:rPr>
                <w:sz w:val="22"/>
                <w:szCs w:val="22"/>
                <w:lang w:val="sr-Latn-ME"/>
              </w:rPr>
              <w:t>(</w:t>
            </w:r>
            <w:r w:rsidR="00813FA2" w:rsidRPr="00783B4B">
              <w:rPr>
                <w:sz w:val="22"/>
                <w:szCs w:val="22"/>
                <w:lang w:val="sr-Latn-ME"/>
              </w:rPr>
              <w:t xml:space="preserve">engl. </w:t>
            </w:r>
            <w:proofErr w:type="spellStart"/>
            <w:r w:rsidR="00813FA2" w:rsidRPr="00783B4B">
              <w:rPr>
                <w:i/>
                <w:iCs/>
                <w:sz w:val="22"/>
                <w:szCs w:val="22"/>
                <w:lang w:val="sr-Latn-ME"/>
              </w:rPr>
              <w:t>d</w:t>
            </w:r>
            <w:r w:rsidRPr="00783B4B">
              <w:rPr>
                <w:i/>
                <w:iCs/>
                <w:sz w:val="22"/>
                <w:szCs w:val="22"/>
                <w:lang w:val="sr-Latn-ME"/>
              </w:rPr>
              <w:t>isease-free</w:t>
            </w:r>
            <w:proofErr w:type="spellEnd"/>
            <w:r w:rsidRPr="00783B4B">
              <w:rPr>
                <w:i/>
                <w:iCs/>
                <w:sz w:val="22"/>
                <w:szCs w:val="22"/>
                <w:lang w:val="sr-Latn-ME"/>
              </w:rPr>
              <w:t xml:space="preserve"> </w:t>
            </w:r>
            <w:proofErr w:type="spellStart"/>
            <w:r w:rsidRPr="00783B4B">
              <w:rPr>
                <w:i/>
                <w:iCs/>
                <w:sz w:val="22"/>
                <w:szCs w:val="22"/>
                <w:lang w:val="sr-Latn-ME"/>
              </w:rPr>
              <w:t>survival</w:t>
            </w:r>
            <w:proofErr w:type="spellEnd"/>
            <w:r w:rsidRPr="00783B4B">
              <w:rPr>
                <w:sz w:val="22"/>
                <w:szCs w:val="22"/>
                <w:lang w:val="sr-Latn-ME"/>
              </w:rPr>
              <w:t xml:space="preserve">) </w:t>
            </w:r>
            <w:r w:rsidR="0009138C" w:rsidRPr="00783B4B">
              <w:rPr>
                <w:iCs/>
                <w:sz w:val="22"/>
                <w:szCs w:val="22"/>
                <w:shd w:val="clear" w:color="auto" w:fill="FFFFFF"/>
                <w:lang w:val="sr-Latn-ME"/>
              </w:rPr>
              <w:t xml:space="preserve">uključuje sve slučajeve ponovnog izbijanja bolesti i definiše se kao prva pojava lokalnog ili regionalnog recidiva, novog </w:t>
            </w:r>
            <w:proofErr w:type="spellStart"/>
            <w:r w:rsidR="0009138C" w:rsidRPr="00783B4B">
              <w:rPr>
                <w:iCs/>
                <w:sz w:val="22"/>
                <w:szCs w:val="22"/>
                <w:shd w:val="clear" w:color="auto" w:fill="FFFFFF"/>
                <w:lang w:val="sr-Latn-ME"/>
              </w:rPr>
              <w:t>kontralateralnog</w:t>
            </w:r>
            <w:proofErr w:type="spellEnd"/>
            <w:r w:rsidR="0009138C" w:rsidRPr="00783B4B">
              <w:rPr>
                <w:iCs/>
                <w:sz w:val="22"/>
                <w:szCs w:val="22"/>
                <w:shd w:val="clear" w:color="auto" w:fill="FFFFFF"/>
                <w:lang w:val="sr-Latn-ME"/>
              </w:rPr>
              <w:t xml:space="preserve"> </w:t>
            </w:r>
            <w:proofErr w:type="spellStart"/>
            <w:r w:rsidR="0009138C" w:rsidRPr="00783B4B">
              <w:rPr>
                <w:iCs/>
                <w:sz w:val="22"/>
                <w:szCs w:val="22"/>
                <w:shd w:val="clear" w:color="auto" w:fill="FFFFFF"/>
                <w:lang w:val="sr-Latn-ME"/>
              </w:rPr>
              <w:t>karcinoma</w:t>
            </w:r>
            <w:proofErr w:type="spellEnd"/>
            <w:r w:rsidR="0009138C" w:rsidRPr="00783B4B">
              <w:rPr>
                <w:iCs/>
                <w:sz w:val="22"/>
                <w:szCs w:val="22"/>
                <w:shd w:val="clear" w:color="auto" w:fill="FFFFFF"/>
                <w:lang w:val="sr-Latn-ME"/>
              </w:rPr>
              <w:t xml:space="preserve"> dojke, recidiva na udaljenoj lokaciji ili smrti (bilo kojeg uzroka).</w:t>
            </w:r>
          </w:p>
          <w:p w14:paraId="269E6601" w14:textId="64D3654B" w:rsidR="00146EA5" w:rsidRPr="00783B4B" w:rsidRDefault="00D65909" w:rsidP="00783B4B">
            <w:pPr>
              <w:spacing w:after="120"/>
              <w:ind w:left="23" w:right="357"/>
              <w:jc w:val="both"/>
              <w:rPr>
                <w:sz w:val="22"/>
                <w:szCs w:val="22"/>
                <w:lang w:val="sr-Latn-ME"/>
              </w:rPr>
            </w:pPr>
            <w:proofErr w:type="spellStart"/>
            <w:r w:rsidRPr="00783B4B">
              <w:rPr>
                <w:sz w:val="22"/>
                <w:szCs w:val="22"/>
                <w:lang w:val="sr-Latn-ME"/>
              </w:rPr>
              <w:t>j</w:t>
            </w:r>
            <w:r w:rsidR="006E4173" w:rsidRPr="00783B4B">
              <w:rPr>
                <w:sz w:val="22"/>
                <w:szCs w:val="22"/>
                <w:vertAlign w:val="superscript"/>
                <w:lang w:val="sr-Latn-ME"/>
              </w:rPr>
              <w:t>b</w:t>
            </w:r>
            <w:proofErr w:type="spellEnd"/>
            <w:r w:rsidR="006E4173" w:rsidRPr="00783B4B">
              <w:rPr>
                <w:sz w:val="22"/>
                <w:szCs w:val="22"/>
                <w:lang w:val="sr-Latn-ME"/>
              </w:rPr>
              <w:t xml:space="preserve"> Preživljavanje </w:t>
            </w:r>
            <w:r w:rsidR="006E4173" w:rsidRPr="00783B4B">
              <w:rPr>
                <w:bCs/>
                <w:sz w:val="22"/>
                <w:szCs w:val="22"/>
                <w:lang w:val="sr-Latn-ME"/>
              </w:rPr>
              <w:t>bez znakova bolesti</w:t>
            </w:r>
            <w:r w:rsidR="006E4173" w:rsidRPr="00783B4B">
              <w:rPr>
                <w:sz w:val="22"/>
                <w:szCs w:val="22"/>
                <w:lang w:val="sr-Latn-ME"/>
              </w:rPr>
              <w:t xml:space="preserve"> na udaljenom mjestu definiše se kao </w:t>
            </w:r>
            <w:r w:rsidR="00BE4C86" w:rsidRPr="00783B4B">
              <w:rPr>
                <w:sz w:val="22"/>
                <w:szCs w:val="22"/>
                <w:lang w:val="sr-Latn-ME"/>
              </w:rPr>
              <w:t xml:space="preserve">prva </w:t>
            </w:r>
            <w:r w:rsidR="006E4173" w:rsidRPr="00783B4B">
              <w:rPr>
                <w:sz w:val="22"/>
                <w:szCs w:val="22"/>
                <w:lang w:val="sr-Latn-ME"/>
              </w:rPr>
              <w:t>pojav</w:t>
            </w:r>
            <w:r w:rsidR="00BE4C86" w:rsidRPr="00783B4B">
              <w:rPr>
                <w:sz w:val="22"/>
                <w:szCs w:val="22"/>
                <w:lang w:val="sr-Latn-ME"/>
              </w:rPr>
              <w:t>a</w:t>
            </w:r>
            <w:r w:rsidR="006E4173" w:rsidRPr="00783B4B">
              <w:rPr>
                <w:sz w:val="22"/>
                <w:szCs w:val="22"/>
                <w:lang w:val="sr-Latn-ME"/>
              </w:rPr>
              <w:t xml:space="preserve">  </w:t>
            </w:r>
            <w:r w:rsidR="00146EA5" w:rsidRPr="00783B4B">
              <w:rPr>
                <w:iCs/>
                <w:sz w:val="22"/>
                <w:szCs w:val="22"/>
                <w:shd w:val="clear" w:color="auto" w:fill="FFFFFF"/>
                <w:lang w:val="sr-Latn-ME"/>
              </w:rPr>
              <w:t>recidiva na udaljenom m</w:t>
            </w:r>
            <w:r w:rsidRPr="00783B4B">
              <w:rPr>
                <w:iCs/>
                <w:sz w:val="22"/>
                <w:szCs w:val="22"/>
                <w:shd w:val="clear" w:color="auto" w:fill="FFFFFF"/>
                <w:lang w:val="sr-Latn-ME"/>
              </w:rPr>
              <w:t>j</w:t>
            </w:r>
            <w:r w:rsidR="00146EA5" w:rsidRPr="00783B4B">
              <w:rPr>
                <w:iCs/>
                <w:sz w:val="22"/>
                <w:szCs w:val="22"/>
                <w:shd w:val="clear" w:color="auto" w:fill="FFFFFF"/>
                <w:lang w:val="sr-Latn-ME"/>
              </w:rPr>
              <w:t xml:space="preserve">estu ili smrt (bilo kojeg uzroka). </w:t>
            </w:r>
          </w:p>
          <w:p w14:paraId="55F7F287" w14:textId="3412E09C" w:rsidR="007F12A7" w:rsidRPr="00783B4B" w:rsidRDefault="006E4173" w:rsidP="00783B4B">
            <w:pPr>
              <w:pStyle w:val="NormalWeb"/>
              <w:jc w:val="both"/>
              <w:rPr>
                <w:sz w:val="22"/>
                <w:szCs w:val="22"/>
                <w:vertAlign w:val="superscript"/>
                <w:lang w:val="sr-Latn-ME"/>
              </w:rPr>
            </w:pPr>
            <w:r w:rsidRPr="00783B4B">
              <w:rPr>
                <w:sz w:val="22"/>
                <w:szCs w:val="22"/>
                <w:vertAlign w:val="superscript"/>
                <w:lang w:val="sr-Latn-ME"/>
              </w:rPr>
              <w:t>c</w:t>
            </w:r>
            <w:r w:rsidRPr="00783B4B">
              <w:rPr>
                <w:sz w:val="22"/>
                <w:szCs w:val="22"/>
                <w:lang w:val="sr-Latn-ME"/>
              </w:rPr>
              <w:t xml:space="preserve"> Vrijeme do </w:t>
            </w:r>
            <w:r w:rsidR="0092272F" w:rsidRPr="00783B4B">
              <w:rPr>
                <w:sz w:val="22"/>
                <w:szCs w:val="22"/>
                <w:lang w:val="sr-Latn-ME"/>
              </w:rPr>
              <w:t xml:space="preserve">pojave </w:t>
            </w:r>
            <w:r w:rsidRPr="00783B4B">
              <w:rPr>
                <w:sz w:val="22"/>
                <w:szCs w:val="22"/>
                <w:lang w:val="sr-Latn-ME"/>
              </w:rPr>
              <w:t>recidiv</w:t>
            </w:r>
            <w:r w:rsidR="0092272F" w:rsidRPr="00783B4B">
              <w:rPr>
                <w:sz w:val="22"/>
                <w:szCs w:val="22"/>
                <w:lang w:val="sr-Latn-ME"/>
              </w:rPr>
              <w:t>a</w:t>
            </w:r>
            <w:r w:rsidRPr="00783B4B">
              <w:rPr>
                <w:sz w:val="22"/>
                <w:szCs w:val="22"/>
                <w:lang w:val="sr-Latn-ME"/>
              </w:rPr>
              <w:t xml:space="preserve"> </w:t>
            </w:r>
            <w:r w:rsidR="007F12A7" w:rsidRPr="00783B4B">
              <w:rPr>
                <w:iCs/>
                <w:sz w:val="22"/>
                <w:szCs w:val="22"/>
                <w:shd w:val="clear" w:color="auto" w:fill="FFFFFF"/>
                <w:lang w:val="sr-Latn-ME"/>
              </w:rPr>
              <w:t xml:space="preserve">definiše se kao prva pojava lokalnog ili regionalnog recidiva, </w:t>
            </w:r>
            <w:proofErr w:type="spellStart"/>
            <w:r w:rsidR="007F12A7" w:rsidRPr="00783B4B">
              <w:rPr>
                <w:iCs/>
                <w:sz w:val="22"/>
                <w:szCs w:val="22"/>
                <w:shd w:val="clear" w:color="auto" w:fill="FFFFFF"/>
                <w:lang w:val="sr-Latn-ME"/>
              </w:rPr>
              <w:t>kontralateralnog</w:t>
            </w:r>
            <w:proofErr w:type="spellEnd"/>
            <w:r w:rsidR="007F12A7" w:rsidRPr="00783B4B">
              <w:rPr>
                <w:iCs/>
                <w:sz w:val="22"/>
                <w:szCs w:val="22"/>
                <w:shd w:val="clear" w:color="auto" w:fill="FFFFFF"/>
                <w:lang w:val="sr-Latn-ME"/>
              </w:rPr>
              <w:t xml:space="preserve"> novog </w:t>
            </w:r>
            <w:proofErr w:type="spellStart"/>
            <w:r w:rsidR="007F12A7" w:rsidRPr="00783B4B">
              <w:rPr>
                <w:iCs/>
                <w:sz w:val="22"/>
                <w:szCs w:val="22"/>
                <w:shd w:val="clear" w:color="auto" w:fill="FFFFFF"/>
                <w:lang w:val="sr-Latn-ME"/>
              </w:rPr>
              <w:t>karcinoma</w:t>
            </w:r>
            <w:proofErr w:type="spellEnd"/>
            <w:r w:rsidR="007F12A7" w:rsidRPr="00783B4B">
              <w:rPr>
                <w:iCs/>
                <w:sz w:val="22"/>
                <w:szCs w:val="22"/>
                <w:shd w:val="clear" w:color="auto" w:fill="FFFFFF"/>
                <w:lang w:val="sr-Latn-ME"/>
              </w:rPr>
              <w:t xml:space="preserve"> dojke, recidiva na udaljenom m</w:t>
            </w:r>
            <w:r w:rsidR="00D65909" w:rsidRPr="00783B4B">
              <w:rPr>
                <w:iCs/>
                <w:sz w:val="22"/>
                <w:szCs w:val="22"/>
                <w:shd w:val="clear" w:color="auto" w:fill="FFFFFF"/>
                <w:lang w:val="sr-Latn-ME"/>
              </w:rPr>
              <w:t>j</w:t>
            </w:r>
            <w:r w:rsidR="007F12A7" w:rsidRPr="00783B4B">
              <w:rPr>
                <w:iCs/>
                <w:sz w:val="22"/>
                <w:szCs w:val="22"/>
                <w:shd w:val="clear" w:color="auto" w:fill="FFFFFF"/>
                <w:lang w:val="sr-Latn-ME"/>
              </w:rPr>
              <w:t xml:space="preserve">estu ili smrt zbog </w:t>
            </w:r>
            <w:proofErr w:type="spellStart"/>
            <w:r w:rsidR="007F12A7" w:rsidRPr="00783B4B">
              <w:rPr>
                <w:iCs/>
                <w:sz w:val="22"/>
                <w:szCs w:val="22"/>
                <w:shd w:val="clear" w:color="auto" w:fill="FFFFFF"/>
                <w:lang w:val="sr-Latn-ME"/>
              </w:rPr>
              <w:t>karcinoma</w:t>
            </w:r>
            <w:proofErr w:type="spellEnd"/>
            <w:r w:rsidR="007F12A7" w:rsidRPr="00783B4B">
              <w:rPr>
                <w:iCs/>
                <w:sz w:val="22"/>
                <w:szCs w:val="22"/>
                <w:shd w:val="clear" w:color="auto" w:fill="FFFFFF"/>
                <w:lang w:val="sr-Latn-ME"/>
              </w:rPr>
              <w:t xml:space="preserve"> dojke. </w:t>
            </w:r>
          </w:p>
          <w:p w14:paraId="5CAF2530" w14:textId="533F8A8D" w:rsidR="00575B3D" w:rsidRPr="00783B4B" w:rsidRDefault="006E4173" w:rsidP="00783B4B">
            <w:pPr>
              <w:spacing w:after="120"/>
              <w:jc w:val="both"/>
              <w:rPr>
                <w:sz w:val="22"/>
                <w:szCs w:val="22"/>
                <w:lang w:val="sr-Latn-ME"/>
              </w:rPr>
            </w:pPr>
            <w:r w:rsidRPr="00783B4B">
              <w:rPr>
                <w:sz w:val="22"/>
                <w:szCs w:val="22"/>
                <w:vertAlign w:val="superscript"/>
                <w:lang w:val="sr-Latn-ME"/>
              </w:rPr>
              <w:t>d</w:t>
            </w:r>
            <w:r w:rsidRPr="00783B4B">
              <w:rPr>
                <w:sz w:val="22"/>
                <w:szCs w:val="22"/>
                <w:lang w:val="sr-Latn-ME"/>
              </w:rPr>
              <w:t xml:space="preserve"> Vrijeme do pojave recidiva na udaljenom mjestu definiše se kao </w:t>
            </w:r>
            <w:r w:rsidR="00575B3D" w:rsidRPr="00783B4B">
              <w:rPr>
                <w:sz w:val="22"/>
                <w:szCs w:val="22"/>
                <w:lang w:val="sr-Latn-ME"/>
              </w:rPr>
              <w:t xml:space="preserve">prvo pojavljivanje udaljenog recidiva ili smrt zbog </w:t>
            </w:r>
            <w:proofErr w:type="spellStart"/>
            <w:r w:rsidR="00575B3D" w:rsidRPr="00783B4B">
              <w:rPr>
                <w:sz w:val="22"/>
                <w:szCs w:val="22"/>
                <w:lang w:val="sr-Latn-ME"/>
              </w:rPr>
              <w:t>karcinoma</w:t>
            </w:r>
            <w:proofErr w:type="spellEnd"/>
            <w:r w:rsidR="00575B3D" w:rsidRPr="00783B4B">
              <w:rPr>
                <w:sz w:val="22"/>
                <w:szCs w:val="22"/>
                <w:lang w:val="sr-Latn-ME"/>
              </w:rPr>
              <w:t xml:space="preserve"> dojke. </w:t>
            </w:r>
          </w:p>
          <w:p w14:paraId="30CBACCE" w14:textId="77777777" w:rsidR="006E4173" w:rsidRPr="00783B4B" w:rsidRDefault="006E4173" w:rsidP="00783B4B">
            <w:pPr>
              <w:pStyle w:val="NormalWeb"/>
              <w:jc w:val="both"/>
              <w:rPr>
                <w:sz w:val="22"/>
                <w:szCs w:val="22"/>
                <w:lang w:val="sr-Latn-ME"/>
              </w:rPr>
            </w:pPr>
            <w:r w:rsidRPr="00783B4B">
              <w:rPr>
                <w:sz w:val="22"/>
                <w:szCs w:val="22"/>
                <w:vertAlign w:val="superscript"/>
                <w:lang w:val="sr-Latn-ME"/>
              </w:rPr>
              <w:t>e</w:t>
            </w:r>
            <w:r w:rsidRPr="00783B4B">
              <w:rPr>
                <w:sz w:val="22"/>
                <w:szCs w:val="22"/>
                <w:lang w:val="sr-Latn-ME"/>
              </w:rPr>
              <w:t xml:space="preserve"> Broj (%) umrlih </w:t>
            </w:r>
            <w:proofErr w:type="spellStart"/>
            <w:r w:rsidRPr="00783B4B">
              <w:rPr>
                <w:sz w:val="22"/>
                <w:szCs w:val="22"/>
                <w:lang w:val="sr-Latn-ME"/>
              </w:rPr>
              <w:t>pacijentkinja</w:t>
            </w:r>
            <w:proofErr w:type="spellEnd"/>
            <w:r w:rsidRPr="00783B4B">
              <w:rPr>
                <w:sz w:val="22"/>
                <w:szCs w:val="22"/>
                <w:lang w:val="sr-Latn-ME"/>
              </w:rPr>
              <w:t>.</w:t>
            </w:r>
          </w:p>
        </w:tc>
      </w:tr>
    </w:tbl>
    <w:p w14:paraId="768421F1" w14:textId="77777777" w:rsidR="006E4173" w:rsidRPr="00783B4B" w:rsidRDefault="006E4173" w:rsidP="00783B4B">
      <w:pPr>
        <w:pStyle w:val="Header"/>
        <w:tabs>
          <w:tab w:val="left" w:pos="284"/>
        </w:tabs>
        <w:jc w:val="both"/>
        <w:rPr>
          <w:sz w:val="22"/>
          <w:szCs w:val="22"/>
          <w:lang w:val="sr-Latn-ME"/>
        </w:rPr>
      </w:pPr>
    </w:p>
    <w:p w14:paraId="7FF149DA" w14:textId="142C3B0A" w:rsidR="006E4173" w:rsidRPr="00783B4B" w:rsidRDefault="00F94FF1" w:rsidP="00783B4B">
      <w:pPr>
        <w:jc w:val="both"/>
        <w:rPr>
          <w:sz w:val="22"/>
          <w:szCs w:val="22"/>
          <w:lang w:val="sr-Latn-ME"/>
        </w:rPr>
      </w:pPr>
      <w:r w:rsidRPr="00783B4B">
        <w:rPr>
          <w:sz w:val="22"/>
          <w:szCs w:val="22"/>
          <w:lang w:val="sr-Latn-ME"/>
        </w:rPr>
        <w:t xml:space="preserve">Kombinacija </w:t>
      </w:r>
      <w:proofErr w:type="spellStart"/>
      <w:r w:rsidRPr="00783B4B">
        <w:rPr>
          <w:sz w:val="22"/>
          <w:szCs w:val="22"/>
          <w:lang w:val="sr-Latn-ME"/>
        </w:rPr>
        <w:t>tamoksifena</w:t>
      </w:r>
      <w:proofErr w:type="spellEnd"/>
      <w:r w:rsidRPr="00783B4B">
        <w:rPr>
          <w:sz w:val="22"/>
          <w:szCs w:val="22"/>
          <w:lang w:val="sr-Latn-ME"/>
        </w:rPr>
        <w:t xml:space="preserve"> i </w:t>
      </w:r>
      <w:proofErr w:type="spellStart"/>
      <w:r w:rsidRPr="00783B4B">
        <w:rPr>
          <w:sz w:val="22"/>
          <w:szCs w:val="22"/>
          <w:lang w:val="sr-Latn-ME"/>
        </w:rPr>
        <w:t>anastrozola</w:t>
      </w:r>
      <w:proofErr w:type="spellEnd"/>
      <w:r w:rsidRPr="00783B4B">
        <w:rPr>
          <w:sz w:val="22"/>
          <w:szCs w:val="22"/>
          <w:lang w:val="sr-Latn-ME"/>
        </w:rPr>
        <w:t xml:space="preserve"> </w:t>
      </w:r>
      <w:r w:rsidR="006E4173" w:rsidRPr="00783B4B">
        <w:rPr>
          <w:sz w:val="22"/>
          <w:szCs w:val="22"/>
          <w:lang w:val="sr-Latn-ME"/>
        </w:rPr>
        <w:t xml:space="preserve">nije pokazala </w:t>
      </w:r>
      <w:r w:rsidR="005F4B91" w:rsidRPr="00783B4B">
        <w:rPr>
          <w:sz w:val="22"/>
          <w:szCs w:val="22"/>
          <w:lang w:val="sr-Latn-ME"/>
        </w:rPr>
        <w:t xml:space="preserve">korist u smislu </w:t>
      </w:r>
      <w:r w:rsidR="006E4173" w:rsidRPr="00783B4B">
        <w:rPr>
          <w:sz w:val="22"/>
          <w:szCs w:val="22"/>
          <w:lang w:val="sr-Latn-ME"/>
        </w:rPr>
        <w:t xml:space="preserve">efikasnosti </w:t>
      </w:r>
      <w:r w:rsidR="005C4940" w:rsidRPr="00783B4B">
        <w:rPr>
          <w:sz w:val="22"/>
          <w:szCs w:val="22"/>
          <w:lang w:val="sr-Latn-ME"/>
        </w:rPr>
        <w:t>u poređenju sa prim</w:t>
      </w:r>
      <w:r w:rsidR="00D65909" w:rsidRPr="00783B4B">
        <w:rPr>
          <w:sz w:val="22"/>
          <w:szCs w:val="22"/>
          <w:lang w:val="sr-Latn-ME"/>
        </w:rPr>
        <w:t>j</w:t>
      </w:r>
      <w:r w:rsidR="005C4940" w:rsidRPr="00783B4B">
        <w:rPr>
          <w:sz w:val="22"/>
          <w:szCs w:val="22"/>
          <w:lang w:val="sr-Latn-ME"/>
        </w:rPr>
        <w:t xml:space="preserve">enom </w:t>
      </w:r>
      <w:proofErr w:type="spellStart"/>
      <w:r w:rsidR="006E4173" w:rsidRPr="00783B4B">
        <w:rPr>
          <w:sz w:val="22"/>
          <w:szCs w:val="22"/>
          <w:lang w:val="sr-Latn-ME"/>
        </w:rPr>
        <w:t>tamoksifen</w:t>
      </w:r>
      <w:r w:rsidR="005C4940" w:rsidRPr="00783B4B">
        <w:rPr>
          <w:sz w:val="22"/>
          <w:szCs w:val="22"/>
          <w:lang w:val="sr-Latn-ME"/>
        </w:rPr>
        <w:t>a</w:t>
      </w:r>
      <w:proofErr w:type="spellEnd"/>
      <w:r w:rsidR="005C4940" w:rsidRPr="00783B4B">
        <w:rPr>
          <w:sz w:val="22"/>
          <w:szCs w:val="22"/>
          <w:lang w:val="sr-Latn-ME"/>
        </w:rPr>
        <w:t xml:space="preserve">, </w:t>
      </w:r>
      <w:r w:rsidR="006E4173" w:rsidRPr="00783B4B">
        <w:rPr>
          <w:sz w:val="22"/>
          <w:szCs w:val="22"/>
          <w:lang w:val="sr-Latn-ME"/>
        </w:rPr>
        <w:t xml:space="preserve"> kod svih pacijenata kao i kod hormon-receptor </w:t>
      </w:r>
      <w:r w:rsidR="00FF454E" w:rsidRPr="00783B4B">
        <w:rPr>
          <w:sz w:val="22"/>
          <w:szCs w:val="22"/>
          <w:lang w:val="sr-Latn-ME"/>
        </w:rPr>
        <w:t xml:space="preserve">pozitivne populacije. </w:t>
      </w:r>
      <w:r w:rsidR="006E4173" w:rsidRPr="00783B4B">
        <w:rPr>
          <w:sz w:val="22"/>
          <w:szCs w:val="22"/>
          <w:lang w:val="sr-Latn-ME"/>
        </w:rPr>
        <w:t xml:space="preserve">Ova </w:t>
      </w:r>
      <w:r w:rsidR="00FF454E" w:rsidRPr="00783B4B">
        <w:rPr>
          <w:sz w:val="22"/>
          <w:szCs w:val="22"/>
          <w:lang w:val="sr-Latn-ME"/>
        </w:rPr>
        <w:t xml:space="preserve">studijska </w:t>
      </w:r>
      <w:r w:rsidR="006E4173" w:rsidRPr="00783B4B">
        <w:rPr>
          <w:sz w:val="22"/>
          <w:szCs w:val="22"/>
          <w:lang w:val="sr-Latn-ME"/>
        </w:rPr>
        <w:t xml:space="preserve">grupa je </w:t>
      </w:r>
      <w:r w:rsidR="00FF454E" w:rsidRPr="00783B4B">
        <w:rPr>
          <w:sz w:val="22"/>
          <w:szCs w:val="22"/>
          <w:lang w:val="sr-Latn-ME"/>
        </w:rPr>
        <w:t xml:space="preserve">bila </w:t>
      </w:r>
      <w:r w:rsidR="006E4173" w:rsidRPr="00783B4B">
        <w:rPr>
          <w:sz w:val="22"/>
          <w:szCs w:val="22"/>
          <w:lang w:val="sr-Latn-ME"/>
        </w:rPr>
        <w:t>isključena iz studije.</w:t>
      </w:r>
    </w:p>
    <w:p w14:paraId="035C5E01" w14:textId="77777777" w:rsidR="00FE0C64" w:rsidRPr="00783B4B" w:rsidRDefault="00FE0C64" w:rsidP="00783B4B">
      <w:pPr>
        <w:jc w:val="both"/>
        <w:rPr>
          <w:sz w:val="22"/>
          <w:szCs w:val="22"/>
          <w:lang w:val="sr-Latn-ME"/>
        </w:rPr>
      </w:pPr>
    </w:p>
    <w:p w14:paraId="522A16D5" w14:textId="3DF9715F" w:rsidR="006E4173" w:rsidRPr="00783B4B" w:rsidRDefault="002A0914" w:rsidP="00783B4B">
      <w:pPr>
        <w:jc w:val="both"/>
        <w:rPr>
          <w:sz w:val="22"/>
          <w:szCs w:val="22"/>
          <w:lang w:val="sr-Latn-ME"/>
        </w:rPr>
      </w:pPr>
      <w:r w:rsidRPr="00783B4B">
        <w:rPr>
          <w:sz w:val="22"/>
          <w:szCs w:val="22"/>
          <w:lang w:val="sr-Latn-ME"/>
        </w:rPr>
        <w:t xml:space="preserve">Sa ažuriranom </w:t>
      </w:r>
      <w:proofErr w:type="spellStart"/>
      <w:r w:rsidRPr="00783B4B">
        <w:rPr>
          <w:sz w:val="22"/>
          <w:szCs w:val="22"/>
          <w:lang w:val="sr-Latn-ME"/>
        </w:rPr>
        <w:t>medijanom</w:t>
      </w:r>
      <w:proofErr w:type="spellEnd"/>
      <w:r w:rsidRPr="00783B4B">
        <w:rPr>
          <w:sz w:val="22"/>
          <w:szCs w:val="22"/>
          <w:lang w:val="sr-Latn-ME"/>
        </w:rPr>
        <w:t xml:space="preserve"> praćenja od 10 godina, poređenja dugotrajnih efekata </w:t>
      </w:r>
      <w:proofErr w:type="spellStart"/>
      <w:r w:rsidR="006E4173" w:rsidRPr="00783B4B">
        <w:rPr>
          <w:sz w:val="22"/>
          <w:szCs w:val="22"/>
          <w:lang w:val="sr-Latn-ME"/>
        </w:rPr>
        <w:t>anastrozola</w:t>
      </w:r>
      <w:proofErr w:type="spellEnd"/>
      <w:r w:rsidR="006E4173" w:rsidRPr="00783B4B">
        <w:rPr>
          <w:sz w:val="22"/>
          <w:szCs w:val="22"/>
          <w:lang w:val="sr-Latn-ME"/>
        </w:rPr>
        <w:t xml:space="preserve"> u odnosu na </w:t>
      </w:r>
      <w:proofErr w:type="spellStart"/>
      <w:r w:rsidR="006E4173" w:rsidRPr="00783B4B">
        <w:rPr>
          <w:sz w:val="22"/>
          <w:szCs w:val="22"/>
          <w:lang w:val="sr-Latn-ME"/>
        </w:rPr>
        <w:t>tamoksifen</w:t>
      </w:r>
      <w:proofErr w:type="spellEnd"/>
      <w:r w:rsidR="006E4173" w:rsidRPr="00783B4B">
        <w:rPr>
          <w:sz w:val="22"/>
          <w:szCs w:val="22"/>
          <w:lang w:val="sr-Latn-ME"/>
        </w:rPr>
        <w:t xml:space="preserve"> </w:t>
      </w:r>
      <w:r w:rsidR="00FE0C64" w:rsidRPr="00783B4B">
        <w:rPr>
          <w:sz w:val="22"/>
          <w:szCs w:val="22"/>
          <w:lang w:val="sr-Latn-ME"/>
        </w:rPr>
        <w:t>su pokazale konzistentnost</w:t>
      </w:r>
      <w:r w:rsidR="00FE0C64" w:rsidRPr="00783B4B" w:rsidDel="00FE0C64">
        <w:rPr>
          <w:sz w:val="22"/>
          <w:szCs w:val="22"/>
          <w:lang w:val="sr-Latn-ME"/>
        </w:rPr>
        <w:t xml:space="preserve"> </w:t>
      </w:r>
      <w:r w:rsidR="006E4173" w:rsidRPr="00783B4B">
        <w:rPr>
          <w:sz w:val="22"/>
          <w:szCs w:val="22"/>
          <w:lang w:val="sr-Latn-ME"/>
        </w:rPr>
        <w:t>sa prethodnim analizama.</w:t>
      </w:r>
    </w:p>
    <w:p w14:paraId="33BAB7C1" w14:textId="77777777" w:rsidR="006E4173" w:rsidRPr="00783B4B" w:rsidRDefault="006E4173" w:rsidP="00783B4B">
      <w:pPr>
        <w:jc w:val="both"/>
        <w:rPr>
          <w:sz w:val="22"/>
          <w:szCs w:val="22"/>
          <w:lang w:val="sr-Latn-ME"/>
        </w:rPr>
      </w:pPr>
    </w:p>
    <w:p w14:paraId="3E1163B7" w14:textId="257F2693" w:rsidR="00DF25D3" w:rsidRPr="00783B4B" w:rsidRDefault="006E4173" w:rsidP="00783B4B">
      <w:pPr>
        <w:jc w:val="both"/>
        <w:rPr>
          <w:i/>
          <w:sz w:val="22"/>
          <w:szCs w:val="22"/>
          <w:u w:val="single"/>
          <w:lang w:val="sr-Latn-ME"/>
        </w:rPr>
      </w:pPr>
      <w:proofErr w:type="spellStart"/>
      <w:r w:rsidRPr="00783B4B">
        <w:rPr>
          <w:i/>
          <w:sz w:val="22"/>
          <w:szCs w:val="22"/>
          <w:u w:val="single"/>
          <w:lang w:val="sr-Latn-ME"/>
        </w:rPr>
        <w:t>Adjuvantna</w:t>
      </w:r>
      <w:proofErr w:type="spellEnd"/>
      <w:r w:rsidRPr="00783B4B">
        <w:rPr>
          <w:i/>
          <w:sz w:val="22"/>
          <w:szCs w:val="22"/>
          <w:u w:val="single"/>
          <w:lang w:val="sr-Latn-ME"/>
        </w:rPr>
        <w:t xml:space="preserve"> terapija </w:t>
      </w:r>
      <w:r w:rsidR="00527AFC" w:rsidRPr="00783B4B">
        <w:rPr>
          <w:i/>
          <w:sz w:val="22"/>
          <w:szCs w:val="22"/>
          <w:u w:val="single"/>
          <w:lang w:val="sr-Latn-ME"/>
        </w:rPr>
        <w:t>ra</w:t>
      </w:r>
      <w:r w:rsidR="00647100" w:rsidRPr="00783B4B">
        <w:rPr>
          <w:i/>
          <w:sz w:val="22"/>
          <w:szCs w:val="22"/>
          <w:u w:val="single"/>
          <w:lang w:val="sr-Latn-ME"/>
        </w:rPr>
        <w:t xml:space="preserve">nog </w:t>
      </w:r>
      <w:proofErr w:type="spellStart"/>
      <w:r w:rsidRPr="00783B4B">
        <w:rPr>
          <w:i/>
          <w:sz w:val="22"/>
          <w:szCs w:val="22"/>
          <w:u w:val="single"/>
          <w:lang w:val="sr-Latn-ME"/>
        </w:rPr>
        <w:t>invazivnog</w:t>
      </w:r>
      <w:proofErr w:type="spellEnd"/>
      <w:r w:rsidRPr="00783B4B">
        <w:rPr>
          <w:i/>
          <w:sz w:val="22"/>
          <w:szCs w:val="22"/>
          <w:u w:val="single"/>
          <w:lang w:val="sr-Latn-ME"/>
        </w:rPr>
        <w:t xml:space="preserve"> </w:t>
      </w:r>
      <w:proofErr w:type="spellStart"/>
      <w:r w:rsidRPr="00783B4B">
        <w:rPr>
          <w:i/>
          <w:sz w:val="22"/>
          <w:szCs w:val="22"/>
          <w:u w:val="single"/>
          <w:lang w:val="sr-Latn-ME"/>
        </w:rPr>
        <w:t>karcinoma</w:t>
      </w:r>
      <w:proofErr w:type="spellEnd"/>
      <w:r w:rsidRPr="00783B4B">
        <w:rPr>
          <w:i/>
          <w:sz w:val="22"/>
          <w:szCs w:val="22"/>
          <w:u w:val="single"/>
          <w:lang w:val="sr-Latn-ME"/>
        </w:rPr>
        <w:t xml:space="preserve"> dojke</w:t>
      </w:r>
      <w:r w:rsidR="00DF25D3" w:rsidRPr="00783B4B">
        <w:rPr>
          <w:i/>
          <w:sz w:val="22"/>
          <w:szCs w:val="22"/>
          <w:u w:val="single"/>
          <w:lang w:val="sr-Latn-ME"/>
        </w:rPr>
        <w:t xml:space="preserve"> </w:t>
      </w:r>
      <w:r w:rsidR="00DF25D3" w:rsidRPr="00783B4B">
        <w:rPr>
          <w:bCs/>
          <w:i/>
          <w:sz w:val="22"/>
          <w:szCs w:val="22"/>
          <w:u w:val="single"/>
          <w:shd w:val="clear" w:color="auto" w:fill="FFFFFF"/>
          <w:lang w:val="sr-Latn-ME"/>
        </w:rPr>
        <w:t xml:space="preserve">kod hormon-receptor pozitivnih </w:t>
      </w:r>
      <w:proofErr w:type="spellStart"/>
      <w:r w:rsidR="00DF25D3" w:rsidRPr="00783B4B">
        <w:rPr>
          <w:bCs/>
          <w:i/>
          <w:sz w:val="22"/>
          <w:szCs w:val="22"/>
          <w:u w:val="single"/>
          <w:shd w:val="clear" w:color="auto" w:fill="FFFFFF"/>
          <w:lang w:val="sr-Latn-ME"/>
        </w:rPr>
        <w:t>pacijentkinja</w:t>
      </w:r>
      <w:proofErr w:type="spellEnd"/>
      <w:r w:rsidR="00DF25D3" w:rsidRPr="00783B4B">
        <w:rPr>
          <w:bCs/>
          <w:i/>
          <w:sz w:val="22"/>
          <w:szCs w:val="22"/>
          <w:u w:val="single"/>
          <w:shd w:val="clear" w:color="auto" w:fill="FFFFFF"/>
          <w:lang w:val="sr-Latn-ME"/>
        </w:rPr>
        <w:t xml:space="preserve"> </w:t>
      </w:r>
      <w:proofErr w:type="spellStart"/>
      <w:r w:rsidR="00DF25D3" w:rsidRPr="00783B4B">
        <w:rPr>
          <w:bCs/>
          <w:i/>
          <w:sz w:val="22"/>
          <w:szCs w:val="22"/>
          <w:u w:val="single"/>
          <w:shd w:val="clear" w:color="auto" w:fill="FFFFFF"/>
          <w:lang w:val="sr-Latn-ME"/>
        </w:rPr>
        <w:t>adjuvantno</w:t>
      </w:r>
      <w:proofErr w:type="spellEnd"/>
      <w:r w:rsidR="00DF25D3" w:rsidRPr="00783B4B">
        <w:rPr>
          <w:bCs/>
          <w:i/>
          <w:sz w:val="22"/>
          <w:szCs w:val="22"/>
          <w:u w:val="single"/>
          <w:shd w:val="clear" w:color="auto" w:fill="FFFFFF"/>
          <w:lang w:val="sr-Latn-ME"/>
        </w:rPr>
        <w:t xml:space="preserve"> l</w:t>
      </w:r>
      <w:r w:rsidR="00D65909" w:rsidRPr="00783B4B">
        <w:rPr>
          <w:bCs/>
          <w:i/>
          <w:sz w:val="22"/>
          <w:szCs w:val="22"/>
          <w:u w:val="single"/>
          <w:shd w:val="clear" w:color="auto" w:fill="FFFFFF"/>
          <w:lang w:val="sr-Latn-ME"/>
        </w:rPr>
        <w:t>ij</w:t>
      </w:r>
      <w:r w:rsidR="00DF25D3" w:rsidRPr="00783B4B">
        <w:rPr>
          <w:bCs/>
          <w:i/>
          <w:sz w:val="22"/>
          <w:szCs w:val="22"/>
          <w:u w:val="single"/>
          <w:shd w:val="clear" w:color="auto" w:fill="FFFFFF"/>
          <w:lang w:val="sr-Latn-ME"/>
        </w:rPr>
        <w:t xml:space="preserve">ečenih </w:t>
      </w:r>
      <w:proofErr w:type="spellStart"/>
      <w:r w:rsidR="00DF25D3" w:rsidRPr="00783B4B">
        <w:rPr>
          <w:bCs/>
          <w:i/>
          <w:sz w:val="22"/>
          <w:szCs w:val="22"/>
          <w:u w:val="single"/>
          <w:shd w:val="clear" w:color="auto" w:fill="FFFFFF"/>
          <w:lang w:val="sr-Latn-ME"/>
        </w:rPr>
        <w:t>tamoksi</w:t>
      </w:r>
      <w:r w:rsidR="00DF25D3" w:rsidRPr="00783B4B">
        <w:rPr>
          <w:i/>
          <w:sz w:val="22"/>
          <w:szCs w:val="22"/>
          <w:u w:val="single"/>
          <w:lang w:val="sr-Latn-ME"/>
        </w:rPr>
        <w:t>fenom</w:t>
      </w:r>
      <w:proofErr w:type="spellEnd"/>
    </w:p>
    <w:p w14:paraId="2C4AE293" w14:textId="77777777" w:rsidR="006E4173" w:rsidRPr="00783B4B" w:rsidRDefault="006E4173" w:rsidP="00783B4B">
      <w:pPr>
        <w:jc w:val="both"/>
        <w:rPr>
          <w:sz w:val="22"/>
          <w:szCs w:val="22"/>
          <w:lang w:val="sr-Latn-ME"/>
        </w:rPr>
      </w:pPr>
    </w:p>
    <w:p w14:paraId="4FE2DCAC" w14:textId="01317EAF" w:rsidR="006E4173" w:rsidRPr="00783B4B" w:rsidRDefault="002647F9" w:rsidP="00783B4B">
      <w:pPr>
        <w:jc w:val="both"/>
        <w:rPr>
          <w:sz w:val="22"/>
          <w:szCs w:val="22"/>
          <w:lang w:val="sr-Latn-ME"/>
        </w:rPr>
      </w:pPr>
      <w:r w:rsidRPr="00783B4B">
        <w:rPr>
          <w:sz w:val="22"/>
          <w:szCs w:val="22"/>
          <w:lang w:val="sr-Latn-ME"/>
        </w:rPr>
        <w:t xml:space="preserve">U </w:t>
      </w:r>
      <w:proofErr w:type="spellStart"/>
      <w:r w:rsidRPr="00783B4B">
        <w:rPr>
          <w:sz w:val="22"/>
          <w:szCs w:val="22"/>
          <w:lang w:val="sr-Latn-ME"/>
        </w:rPr>
        <w:t>ABCSG</w:t>
      </w:r>
      <w:proofErr w:type="spellEnd"/>
      <w:r w:rsidRPr="00783B4B">
        <w:rPr>
          <w:sz w:val="22"/>
          <w:szCs w:val="22"/>
          <w:lang w:val="sr-Latn-ME"/>
        </w:rPr>
        <w:t xml:space="preserve"> 8 (engl. </w:t>
      </w:r>
      <w:proofErr w:type="spellStart"/>
      <w:r w:rsidRPr="00783B4B">
        <w:rPr>
          <w:i/>
          <w:sz w:val="22"/>
          <w:szCs w:val="22"/>
          <w:lang w:val="sr-Latn-ME"/>
        </w:rPr>
        <w:t>Austrian</w:t>
      </w:r>
      <w:proofErr w:type="spellEnd"/>
      <w:r w:rsidRPr="00783B4B">
        <w:rPr>
          <w:i/>
          <w:sz w:val="22"/>
          <w:szCs w:val="22"/>
          <w:lang w:val="sr-Latn-ME"/>
        </w:rPr>
        <w:t xml:space="preserve"> </w:t>
      </w:r>
      <w:proofErr w:type="spellStart"/>
      <w:r w:rsidRPr="00783B4B">
        <w:rPr>
          <w:i/>
          <w:sz w:val="22"/>
          <w:szCs w:val="22"/>
          <w:lang w:val="sr-Latn-ME"/>
        </w:rPr>
        <w:t>Breast</w:t>
      </w:r>
      <w:proofErr w:type="spellEnd"/>
      <w:r w:rsidRPr="00783B4B">
        <w:rPr>
          <w:i/>
          <w:sz w:val="22"/>
          <w:szCs w:val="22"/>
          <w:lang w:val="sr-Latn-ME"/>
        </w:rPr>
        <w:t xml:space="preserve"> </w:t>
      </w:r>
      <w:proofErr w:type="spellStart"/>
      <w:r w:rsidRPr="00783B4B">
        <w:rPr>
          <w:i/>
          <w:sz w:val="22"/>
          <w:szCs w:val="22"/>
          <w:lang w:val="sr-Latn-ME"/>
        </w:rPr>
        <w:t>and</w:t>
      </w:r>
      <w:proofErr w:type="spellEnd"/>
      <w:r w:rsidRPr="00783B4B">
        <w:rPr>
          <w:i/>
          <w:sz w:val="22"/>
          <w:szCs w:val="22"/>
          <w:lang w:val="sr-Latn-ME"/>
        </w:rPr>
        <w:t xml:space="preserve"> </w:t>
      </w:r>
      <w:proofErr w:type="spellStart"/>
      <w:r w:rsidRPr="00783B4B">
        <w:rPr>
          <w:i/>
          <w:sz w:val="22"/>
          <w:szCs w:val="22"/>
          <w:lang w:val="sr-Latn-ME"/>
        </w:rPr>
        <w:t>Colorectal</w:t>
      </w:r>
      <w:proofErr w:type="spellEnd"/>
      <w:r w:rsidRPr="00783B4B">
        <w:rPr>
          <w:i/>
          <w:sz w:val="22"/>
          <w:szCs w:val="22"/>
          <w:lang w:val="sr-Latn-ME"/>
        </w:rPr>
        <w:t xml:space="preserve"> </w:t>
      </w:r>
      <w:proofErr w:type="spellStart"/>
      <w:r w:rsidRPr="00783B4B">
        <w:rPr>
          <w:i/>
          <w:sz w:val="22"/>
          <w:szCs w:val="22"/>
          <w:lang w:val="sr-Latn-ME"/>
        </w:rPr>
        <w:t>Cancer</w:t>
      </w:r>
      <w:proofErr w:type="spellEnd"/>
      <w:r w:rsidRPr="00783B4B">
        <w:rPr>
          <w:i/>
          <w:sz w:val="22"/>
          <w:szCs w:val="22"/>
          <w:lang w:val="sr-Latn-ME"/>
        </w:rPr>
        <w:t xml:space="preserve"> </w:t>
      </w:r>
      <w:proofErr w:type="spellStart"/>
      <w:r w:rsidRPr="00783B4B">
        <w:rPr>
          <w:i/>
          <w:sz w:val="22"/>
          <w:szCs w:val="22"/>
          <w:lang w:val="sr-Latn-ME"/>
        </w:rPr>
        <w:t>Study</w:t>
      </w:r>
      <w:proofErr w:type="spellEnd"/>
      <w:r w:rsidRPr="00783B4B">
        <w:rPr>
          <w:i/>
          <w:sz w:val="22"/>
          <w:szCs w:val="22"/>
          <w:lang w:val="sr-Latn-ME"/>
        </w:rPr>
        <w:t xml:space="preserve"> </w:t>
      </w:r>
      <w:proofErr w:type="spellStart"/>
      <w:r w:rsidRPr="00783B4B">
        <w:rPr>
          <w:i/>
          <w:sz w:val="22"/>
          <w:szCs w:val="22"/>
          <w:lang w:val="sr-Latn-ME"/>
        </w:rPr>
        <w:t>Group</w:t>
      </w:r>
      <w:proofErr w:type="spellEnd"/>
      <w:r w:rsidRPr="00783B4B">
        <w:rPr>
          <w:i/>
          <w:sz w:val="22"/>
          <w:szCs w:val="22"/>
          <w:lang w:val="sr-Latn-ME"/>
        </w:rPr>
        <w:t xml:space="preserve">, </w:t>
      </w:r>
      <w:proofErr w:type="spellStart"/>
      <w:r w:rsidRPr="00783B4B">
        <w:rPr>
          <w:sz w:val="22"/>
          <w:szCs w:val="22"/>
          <w:lang w:val="sr-Latn-ME"/>
        </w:rPr>
        <w:t>ABCSG</w:t>
      </w:r>
      <w:proofErr w:type="spellEnd"/>
      <w:r w:rsidRPr="00783B4B">
        <w:rPr>
          <w:sz w:val="22"/>
          <w:szCs w:val="22"/>
          <w:lang w:val="sr-Latn-ME"/>
        </w:rPr>
        <w:t>) kliničkom ispitivanju faze III,</w:t>
      </w:r>
      <w:r w:rsidR="006E4173" w:rsidRPr="00783B4B">
        <w:rPr>
          <w:sz w:val="22"/>
          <w:szCs w:val="22"/>
          <w:lang w:val="sr-Latn-ME"/>
        </w:rPr>
        <w:t xml:space="preserve"> </w:t>
      </w:r>
      <w:r w:rsidRPr="00783B4B">
        <w:rPr>
          <w:sz w:val="22"/>
          <w:szCs w:val="22"/>
          <w:lang w:val="sr-Latn-ME"/>
        </w:rPr>
        <w:t>sprovedenom kod</w:t>
      </w:r>
      <w:r w:rsidR="006E4173" w:rsidRPr="00783B4B">
        <w:rPr>
          <w:sz w:val="22"/>
          <w:szCs w:val="22"/>
          <w:lang w:val="sr-Latn-ME"/>
        </w:rPr>
        <w:t xml:space="preserve"> 2579 žena u </w:t>
      </w:r>
      <w:proofErr w:type="spellStart"/>
      <w:r w:rsidR="006E4173" w:rsidRPr="00783B4B">
        <w:rPr>
          <w:sz w:val="22"/>
          <w:szCs w:val="22"/>
          <w:lang w:val="sr-Latn-ME"/>
        </w:rPr>
        <w:t>postmenopauzi</w:t>
      </w:r>
      <w:proofErr w:type="spellEnd"/>
      <w:r w:rsidR="008B39A4" w:rsidRPr="00783B4B">
        <w:rPr>
          <w:sz w:val="22"/>
          <w:szCs w:val="22"/>
          <w:lang w:val="sr-Latn-ME"/>
        </w:rPr>
        <w:t xml:space="preserve"> </w:t>
      </w:r>
      <w:r w:rsidR="006E4173" w:rsidRPr="00783B4B">
        <w:rPr>
          <w:sz w:val="22"/>
          <w:szCs w:val="22"/>
          <w:lang w:val="sr-Latn-ME"/>
        </w:rPr>
        <w:t xml:space="preserve">sa </w:t>
      </w:r>
      <w:r w:rsidR="00755582" w:rsidRPr="00783B4B">
        <w:rPr>
          <w:sz w:val="22"/>
          <w:szCs w:val="22"/>
          <w:lang w:val="sr-Latn-ME"/>
        </w:rPr>
        <w:t xml:space="preserve">ranim </w:t>
      </w:r>
      <w:proofErr w:type="spellStart"/>
      <w:r w:rsidR="00755582" w:rsidRPr="00783B4B">
        <w:rPr>
          <w:sz w:val="22"/>
          <w:szCs w:val="22"/>
          <w:lang w:val="sr-Latn-ME"/>
        </w:rPr>
        <w:t>karcinomom</w:t>
      </w:r>
      <w:proofErr w:type="spellEnd"/>
      <w:r w:rsidR="00755582" w:rsidRPr="00783B4B">
        <w:rPr>
          <w:sz w:val="22"/>
          <w:szCs w:val="22"/>
          <w:lang w:val="sr-Latn-ME"/>
        </w:rPr>
        <w:t xml:space="preserve"> dojke i pozitivnim hormonskim receptorima</w:t>
      </w:r>
      <w:r w:rsidR="006E4173" w:rsidRPr="00783B4B">
        <w:rPr>
          <w:sz w:val="22"/>
          <w:szCs w:val="22"/>
          <w:lang w:val="sr-Latn-ME"/>
        </w:rPr>
        <w:t xml:space="preserve">, </w:t>
      </w:r>
      <w:r w:rsidR="00755582" w:rsidRPr="00783B4B">
        <w:rPr>
          <w:sz w:val="22"/>
          <w:szCs w:val="22"/>
          <w:lang w:val="sr-Latn-ME"/>
        </w:rPr>
        <w:t xml:space="preserve">koje su </w:t>
      </w:r>
      <w:r w:rsidR="006E4173" w:rsidRPr="00783B4B">
        <w:rPr>
          <w:sz w:val="22"/>
          <w:szCs w:val="22"/>
          <w:lang w:val="sr-Latn-ME"/>
        </w:rPr>
        <w:t>operisan</w:t>
      </w:r>
      <w:r w:rsidR="00EC78FF" w:rsidRPr="00783B4B">
        <w:rPr>
          <w:sz w:val="22"/>
          <w:szCs w:val="22"/>
          <w:lang w:val="sr-Latn-ME"/>
        </w:rPr>
        <w:t>e</w:t>
      </w:r>
      <w:r w:rsidR="006E4173" w:rsidRPr="00783B4B">
        <w:rPr>
          <w:sz w:val="22"/>
          <w:szCs w:val="22"/>
          <w:lang w:val="sr-Latn-ME"/>
        </w:rPr>
        <w:t xml:space="preserve"> sa ili bez </w:t>
      </w:r>
      <w:r w:rsidR="00EC78FF" w:rsidRPr="00783B4B">
        <w:rPr>
          <w:sz w:val="22"/>
          <w:szCs w:val="22"/>
          <w:lang w:val="sr-Latn-ME"/>
        </w:rPr>
        <w:t>prim</w:t>
      </w:r>
      <w:r w:rsidR="00D65909" w:rsidRPr="00783B4B">
        <w:rPr>
          <w:sz w:val="22"/>
          <w:szCs w:val="22"/>
          <w:lang w:val="sr-Latn-ME"/>
        </w:rPr>
        <w:t>j</w:t>
      </w:r>
      <w:r w:rsidR="00EC78FF" w:rsidRPr="00783B4B">
        <w:rPr>
          <w:sz w:val="22"/>
          <w:szCs w:val="22"/>
          <w:lang w:val="sr-Latn-ME"/>
        </w:rPr>
        <w:t xml:space="preserve">ene </w:t>
      </w:r>
      <w:proofErr w:type="spellStart"/>
      <w:r w:rsidR="006E4173" w:rsidRPr="00783B4B">
        <w:rPr>
          <w:sz w:val="22"/>
          <w:szCs w:val="22"/>
          <w:lang w:val="sr-Latn-ME"/>
        </w:rPr>
        <w:t>radioterapije</w:t>
      </w:r>
      <w:proofErr w:type="spellEnd"/>
      <w:r w:rsidR="006E4173" w:rsidRPr="00783B4B">
        <w:rPr>
          <w:sz w:val="22"/>
          <w:szCs w:val="22"/>
          <w:lang w:val="sr-Latn-ME"/>
        </w:rPr>
        <w:t xml:space="preserve"> i bez </w:t>
      </w:r>
      <w:r w:rsidR="00EC78FF" w:rsidRPr="00783B4B">
        <w:rPr>
          <w:sz w:val="22"/>
          <w:szCs w:val="22"/>
          <w:lang w:val="sr-Latn-ME"/>
        </w:rPr>
        <w:t>prim</w:t>
      </w:r>
      <w:r w:rsidR="00D65909" w:rsidRPr="00783B4B">
        <w:rPr>
          <w:sz w:val="22"/>
          <w:szCs w:val="22"/>
          <w:lang w:val="sr-Latn-ME"/>
        </w:rPr>
        <w:t>j</w:t>
      </w:r>
      <w:r w:rsidR="00EC78FF" w:rsidRPr="00783B4B">
        <w:rPr>
          <w:sz w:val="22"/>
          <w:szCs w:val="22"/>
          <w:lang w:val="sr-Latn-ME"/>
        </w:rPr>
        <w:t xml:space="preserve">ene </w:t>
      </w:r>
      <w:proofErr w:type="spellStart"/>
      <w:r w:rsidR="006E4173" w:rsidRPr="00783B4B">
        <w:rPr>
          <w:sz w:val="22"/>
          <w:szCs w:val="22"/>
          <w:lang w:val="sr-Latn-ME"/>
        </w:rPr>
        <w:t>hem</w:t>
      </w:r>
      <w:r w:rsidR="00B450DF" w:rsidRPr="00783B4B">
        <w:rPr>
          <w:sz w:val="22"/>
          <w:szCs w:val="22"/>
          <w:lang w:val="sr-Latn-ME"/>
        </w:rPr>
        <w:t>i</w:t>
      </w:r>
      <w:r w:rsidR="006E4173" w:rsidRPr="00783B4B">
        <w:rPr>
          <w:sz w:val="22"/>
          <w:szCs w:val="22"/>
          <w:lang w:val="sr-Latn-ME"/>
        </w:rPr>
        <w:t>oterapije</w:t>
      </w:r>
      <w:proofErr w:type="spellEnd"/>
      <w:r w:rsidR="00B450DF" w:rsidRPr="00783B4B">
        <w:rPr>
          <w:sz w:val="22"/>
          <w:szCs w:val="22"/>
          <w:lang w:val="sr-Latn-ME"/>
        </w:rPr>
        <w:t xml:space="preserve"> (vid</w:t>
      </w:r>
      <w:r w:rsidR="00D65909" w:rsidRPr="00783B4B">
        <w:rPr>
          <w:sz w:val="22"/>
          <w:szCs w:val="22"/>
          <w:lang w:val="sr-Latn-ME"/>
        </w:rPr>
        <w:t>j</w:t>
      </w:r>
      <w:r w:rsidR="00B450DF" w:rsidRPr="00783B4B">
        <w:rPr>
          <w:sz w:val="22"/>
          <w:szCs w:val="22"/>
          <w:lang w:val="sr-Latn-ME"/>
        </w:rPr>
        <w:t>eti niže)</w:t>
      </w:r>
      <w:r w:rsidR="006E4173" w:rsidRPr="00783B4B">
        <w:rPr>
          <w:sz w:val="22"/>
          <w:szCs w:val="22"/>
          <w:lang w:val="sr-Latn-ME"/>
        </w:rPr>
        <w:t xml:space="preserve">, </w:t>
      </w:r>
      <w:r w:rsidR="006D7955" w:rsidRPr="00783B4B">
        <w:rPr>
          <w:sz w:val="22"/>
          <w:szCs w:val="22"/>
          <w:lang w:val="sr-Latn-ME"/>
        </w:rPr>
        <w:t>uvođenje l</w:t>
      </w:r>
      <w:r w:rsidR="00D65909" w:rsidRPr="00783B4B">
        <w:rPr>
          <w:sz w:val="22"/>
          <w:szCs w:val="22"/>
          <w:lang w:val="sr-Latn-ME"/>
        </w:rPr>
        <w:t>ij</w:t>
      </w:r>
      <w:r w:rsidR="006D7955" w:rsidRPr="00783B4B">
        <w:rPr>
          <w:sz w:val="22"/>
          <w:szCs w:val="22"/>
          <w:lang w:val="sr-Latn-ME"/>
        </w:rPr>
        <w:t xml:space="preserve">ečenja </w:t>
      </w:r>
      <w:proofErr w:type="spellStart"/>
      <w:r w:rsidR="006D7955" w:rsidRPr="00783B4B">
        <w:rPr>
          <w:sz w:val="22"/>
          <w:szCs w:val="22"/>
          <w:lang w:val="sr-Latn-ME"/>
        </w:rPr>
        <w:t>anastrozolom</w:t>
      </w:r>
      <w:proofErr w:type="spellEnd"/>
      <w:r w:rsidR="006D7955" w:rsidRPr="00783B4B">
        <w:rPr>
          <w:sz w:val="22"/>
          <w:szCs w:val="22"/>
          <w:lang w:val="sr-Latn-ME"/>
        </w:rPr>
        <w:t xml:space="preserve"> nakon dvogodišnjeg </w:t>
      </w:r>
      <w:proofErr w:type="spellStart"/>
      <w:r w:rsidR="006D7955" w:rsidRPr="00783B4B">
        <w:rPr>
          <w:sz w:val="22"/>
          <w:szCs w:val="22"/>
          <w:lang w:val="sr-Latn-ME"/>
        </w:rPr>
        <w:t>adjuvantnog</w:t>
      </w:r>
      <w:proofErr w:type="spellEnd"/>
      <w:r w:rsidR="006D7955" w:rsidRPr="00783B4B">
        <w:rPr>
          <w:sz w:val="22"/>
          <w:szCs w:val="22"/>
          <w:lang w:val="sr-Latn-ME"/>
        </w:rPr>
        <w:t xml:space="preserve"> l</w:t>
      </w:r>
      <w:r w:rsidR="00D65909" w:rsidRPr="00783B4B">
        <w:rPr>
          <w:sz w:val="22"/>
          <w:szCs w:val="22"/>
          <w:lang w:val="sr-Latn-ME"/>
        </w:rPr>
        <w:t>ij</w:t>
      </w:r>
      <w:r w:rsidR="006D7955" w:rsidRPr="00783B4B">
        <w:rPr>
          <w:sz w:val="22"/>
          <w:szCs w:val="22"/>
          <w:lang w:val="sr-Latn-ME"/>
        </w:rPr>
        <w:t xml:space="preserve">ečenja </w:t>
      </w:r>
      <w:proofErr w:type="spellStart"/>
      <w:r w:rsidR="006D7955" w:rsidRPr="00783B4B">
        <w:rPr>
          <w:sz w:val="22"/>
          <w:szCs w:val="22"/>
          <w:lang w:val="sr-Latn-ME"/>
        </w:rPr>
        <w:t>tamoksifenom</w:t>
      </w:r>
      <w:proofErr w:type="spellEnd"/>
      <w:r w:rsidR="006D7955" w:rsidRPr="00783B4B">
        <w:rPr>
          <w:sz w:val="22"/>
          <w:szCs w:val="22"/>
          <w:lang w:val="sr-Latn-ME"/>
        </w:rPr>
        <w:t xml:space="preserve"> pokazalo se </w:t>
      </w:r>
      <w:r w:rsidR="006E4173" w:rsidRPr="00783B4B">
        <w:rPr>
          <w:sz w:val="22"/>
          <w:szCs w:val="22"/>
          <w:lang w:val="sr-Latn-ME"/>
        </w:rPr>
        <w:t>statistički superiorn</w:t>
      </w:r>
      <w:r w:rsidR="006D7955" w:rsidRPr="00783B4B">
        <w:rPr>
          <w:sz w:val="22"/>
          <w:szCs w:val="22"/>
          <w:lang w:val="sr-Latn-ME"/>
        </w:rPr>
        <w:t>im</w:t>
      </w:r>
      <w:r w:rsidR="006E4173" w:rsidRPr="00783B4B">
        <w:rPr>
          <w:sz w:val="22"/>
          <w:szCs w:val="22"/>
          <w:lang w:val="sr-Latn-ME"/>
        </w:rPr>
        <w:t xml:space="preserve"> </w:t>
      </w:r>
      <w:r w:rsidR="00733257" w:rsidRPr="00783B4B">
        <w:rPr>
          <w:sz w:val="22"/>
          <w:szCs w:val="22"/>
          <w:lang w:val="sr-Latn-ME"/>
        </w:rPr>
        <w:t xml:space="preserve">u preživljavanju </w:t>
      </w:r>
      <w:r w:rsidR="006E4173" w:rsidRPr="00783B4B">
        <w:rPr>
          <w:sz w:val="22"/>
          <w:szCs w:val="22"/>
          <w:lang w:val="sr-Latn-ME"/>
        </w:rPr>
        <w:t xml:space="preserve">bez znakova bolesti u odnosu na </w:t>
      </w:r>
      <w:r w:rsidR="0028788A" w:rsidRPr="00783B4B">
        <w:rPr>
          <w:sz w:val="22"/>
          <w:szCs w:val="22"/>
          <w:lang w:val="sr-Latn-ME"/>
        </w:rPr>
        <w:t xml:space="preserve">preživljavanje bez znakova bolesti u grupi </w:t>
      </w:r>
      <w:proofErr w:type="spellStart"/>
      <w:r w:rsidR="0028788A" w:rsidRPr="00783B4B">
        <w:rPr>
          <w:sz w:val="22"/>
          <w:szCs w:val="22"/>
          <w:lang w:val="sr-Latn-ME"/>
        </w:rPr>
        <w:t>pacijentkinja</w:t>
      </w:r>
      <w:proofErr w:type="spellEnd"/>
      <w:r w:rsidR="0028788A" w:rsidRPr="00783B4B">
        <w:rPr>
          <w:sz w:val="22"/>
          <w:szCs w:val="22"/>
          <w:lang w:val="sr-Latn-ME"/>
        </w:rPr>
        <w:t xml:space="preserve"> koje su ostale na l</w:t>
      </w:r>
      <w:r w:rsidR="00D65909" w:rsidRPr="00783B4B">
        <w:rPr>
          <w:sz w:val="22"/>
          <w:szCs w:val="22"/>
          <w:lang w:val="sr-Latn-ME"/>
        </w:rPr>
        <w:t>ij</w:t>
      </w:r>
      <w:r w:rsidR="0028788A" w:rsidRPr="00783B4B">
        <w:rPr>
          <w:sz w:val="22"/>
          <w:szCs w:val="22"/>
          <w:lang w:val="sr-Latn-ME"/>
        </w:rPr>
        <w:t xml:space="preserve">ečenju </w:t>
      </w:r>
      <w:proofErr w:type="spellStart"/>
      <w:r w:rsidR="0028788A" w:rsidRPr="00783B4B">
        <w:rPr>
          <w:sz w:val="22"/>
          <w:szCs w:val="22"/>
          <w:lang w:val="sr-Latn-ME"/>
        </w:rPr>
        <w:t>tamoksifenom</w:t>
      </w:r>
      <w:proofErr w:type="spellEnd"/>
      <w:r w:rsidR="0028788A" w:rsidRPr="00783B4B">
        <w:rPr>
          <w:sz w:val="22"/>
          <w:szCs w:val="22"/>
          <w:lang w:val="sr-Latn-ME"/>
        </w:rPr>
        <w:t xml:space="preserve"> nakon </w:t>
      </w:r>
      <w:proofErr w:type="spellStart"/>
      <w:r w:rsidR="0028788A" w:rsidRPr="00783B4B">
        <w:rPr>
          <w:sz w:val="22"/>
          <w:szCs w:val="22"/>
          <w:lang w:val="sr-Latn-ME"/>
        </w:rPr>
        <w:t>medijane</w:t>
      </w:r>
      <w:proofErr w:type="spellEnd"/>
      <w:r w:rsidR="0028788A" w:rsidRPr="00783B4B">
        <w:rPr>
          <w:sz w:val="22"/>
          <w:szCs w:val="22"/>
          <w:lang w:val="sr-Latn-ME"/>
        </w:rPr>
        <w:t xml:space="preserve"> </w:t>
      </w:r>
      <w:proofErr w:type="spellStart"/>
      <w:r w:rsidR="0028788A" w:rsidRPr="00783B4B">
        <w:rPr>
          <w:sz w:val="22"/>
          <w:szCs w:val="22"/>
          <w:lang w:val="sr-Latn-ME"/>
        </w:rPr>
        <w:t>vremena</w:t>
      </w:r>
      <w:proofErr w:type="spellEnd"/>
      <w:r w:rsidR="0028788A" w:rsidRPr="00783B4B">
        <w:rPr>
          <w:sz w:val="22"/>
          <w:szCs w:val="22"/>
          <w:lang w:val="sr-Latn-ME"/>
        </w:rPr>
        <w:t xml:space="preserve"> praćenja</w:t>
      </w:r>
      <w:r w:rsidR="006E4173" w:rsidRPr="00783B4B">
        <w:rPr>
          <w:sz w:val="22"/>
          <w:szCs w:val="22"/>
          <w:lang w:val="sr-Latn-ME"/>
        </w:rPr>
        <w:t xml:space="preserve"> od 24 mjeseca.</w:t>
      </w:r>
    </w:p>
    <w:p w14:paraId="4D387FF6" w14:textId="0A3822C3" w:rsidR="006E4173" w:rsidRPr="00783B4B" w:rsidRDefault="006E4173" w:rsidP="00783B4B">
      <w:pPr>
        <w:pStyle w:val="Header"/>
        <w:tabs>
          <w:tab w:val="left" w:pos="284"/>
        </w:tabs>
        <w:jc w:val="both"/>
        <w:rPr>
          <w:sz w:val="22"/>
          <w:szCs w:val="22"/>
          <w:lang w:val="sr-Latn-ME"/>
        </w:rPr>
      </w:pPr>
    </w:p>
    <w:p w14:paraId="728D0256" w14:textId="63E582BB" w:rsidR="0000687B" w:rsidRPr="00783B4B" w:rsidRDefault="0000687B" w:rsidP="00783B4B">
      <w:pPr>
        <w:tabs>
          <w:tab w:val="left" w:pos="284"/>
        </w:tabs>
        <w:jc w:val="both"/>
        <w:rPr>
          <w:b/>
          <w:sz w:val="22"/>
          <w:szCs w:val="22"/>
          <w:lang w:val="sr-Latn-ME"/>
        </w:rPr>
      </w:pPr>
      <w:r w:rsidRPr="00783B4B">
        <w:rPr>
          <w:b/>
          <w:sz w:val="22"/>
          <w:szCs w:val="22"/>
          <w:lang w:val="sr-Latn-ME"/>
        </w:rPr>
        <w:t xml:space="preserve">Tabela 4. Sažetak rezultata i ishoda studije </w:t>
      </w:r>
      <w:proofErr w:type="spellStart"/>
      <w:r w:rsidRPr="00783B4B">
        <w:rPr>
          <w:b/>
          <w:sz w:val="22"/>
          <w:szCs w:val="22"/>
          <w:lang w:val="sr-Latn-ME"/>
        </w:rPr>
        <w:t>ABCSG</w:t>
      </w:r>
      <w:proofErr w:type="spellEnd"/>
      <w:r w:rsidRPr="00783B4B">
        <w:rPr>
          <w:b/>
          <w:sz w:val="22"/>
          <w:szCs w:val="22"/>
          <w:lang w:val="sr-Latn-ME"/>
        </w:rPr>
        <w:t xml:space="preserve"> 8</w:t>
      </w:r>
    </w:p>
    <w:p w14:paraId="76D52E4D" w14:textId="77777777" w:rsidR="003B277A" w:rsidRPr="00783B4B" w:rsidRDefault="003B277A" w:rsidP="00783B4B">
      <w:pPr>
        <w:tabs>
          <w:tab w:val="left" w:pos="284"/>
        </w:tabs>
        <w:rPr>
          <w:b/>
          <w:sz w:val="22"/>
          <w:szCs w:val="22"/>
          <w:lang w:val="sr-Latn-ME"/>
        </w:rPr>
      </w:pPr>
    </w:p>
    <w:tbl>
      <w:tblPr>
        <w:tblW w:w="9062" w:type="dxa"/>
        <w:tblInd w:w="5" w:type="dxa"/>
        <w:tblLayout w:type="fixed"/>
        <w:tblCellMar>
          <w:left w:w="0" w:type="dxa"/>
          <w:right w:w="0" w:type="dxa"/>
        </w:tblCellMar>
        <w:tblLook w:val="0000" w:firstRow="0" w:lastRow="0" w:firstColumn="0" w:lastColumn="0" w:noHBand="0" w:noVBand="0"/>
      </w:tblPr>
      <w:tblGrid>
        <w:gridCol w:w="3702"/>
        <w:gridCol w:w="2493"/>
        <w:gridCol w:w="72"/>
        <w:gridCol w:w="2795"/>
      </w:tblGrid>
      <w:tr w:rsidR="003B277A" w:rsidRPr="00783B4B" w14:paraId="50709004" w14:textId="77777777" w:rsidTr="00B26DF2">
        <w:trPr>
          <w:trHeight w:val="325"/>
        </w:trPr>
        <w:tc>
          <w:tcPr>
            <w:tcW w:w="3702" w:type="dxa"/>
            <w:vMerge w:val="restart"/>
            <w:tcBorders>
              <w:top w:val="single" w:sz="4" w:space="0" w:color="auto"/>
              <w:left w:val="single" w:sz="4" w:space="0" w:color="auto"/>
              <w:bottom w:val="nil"/>
              <w:right w:val="single" w:sz="4" w:space="0" w:color="auto"/>
            </w:tcBorders>
            <w:shd w:val="clear" w:color="auto" w:fill="FFFFFF"/>
          </w:tcPr>
          <w:p w14:paraId="79AE0841" w14:textId="77777777" w:rsidR="003B277A" w:rsidRPr="00783B4B" w:rsidRDefault="003B277A" w:rsidP="00783B4B">
            <w:pPr>
              <w:pStyle w:val="Bodytext40"/>
              <w:shd w:val="clear" w:color="auto" w:fill="auto"/>
              <w:spacing w:before="100" w:beforeAutospacing="1" w:after="100" w:afterAutospacing="1" w:line="240" w:lineRule="auto"/>
              <w:ind w:left="200"/>
              <w:rPr>
                <w:rFonts w:ascii="Times New Roman" w:hAnsi="Times New Roman"/>
                <w:b/>
                <w:sz w:val="22"/>
                <w:szCs w:val="22"/>
              </w:rPr>
            </w:pPr>
            <w:r w:rsidRPr="00783B4B">
              <w:rPr>
                <w:rFonts w:ascii="Times New Roman" w:hAnsi="Times New Roman"/>
                <w:b/>
                <w:sz w:val="22"/>
                <w:szCs w:val="22"/>
              </w:rPr>
              <w:t>Parametri praćenja efikasnosti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247FA884" w14:textId="77777777" w:rsidR="003B277A" w:rsidRPr="00783B4B" w:rsidRDefault="003B277A" w:rsidP="00783B4B">
            <w:pPr>
              <w:pStyle w:val="Bodytext40"/>
              <w:shd w:val="clear" w:color="auto" w:fill="auto"/>
              <w:spacing w:before="100" w:beforeAutospacing="1" w:after="100" w:afterAutospacing="1" w:line="240" w:lineRule="auto"/>
              <w:ind w:left="1240"/>
              <w:rPr>
                <w:rFonts w:ascii="Times New Roman" w:hAnsi="Times New Roman"/>
                <w:b/>
                <w:sz w:val="22"/>
                <w:szCs w:val="22"/>
              </w:rPr>
            </w:pPr>
            <w:r w:rsidRPr="00783B4B">
              <w:rPr>
                <w:rFonts w:ascii="Times New Roman" w:hAnsi="Times New Roman"/>
                <w:b/>
                <w:sz w:val="22"/>
                <w:szCs w:val="22"/>
              </w:rPr>
              <w:t>Ukupan broj (učestalost)</w:t>
            </w:r>
          </w:p>
        </w:tc>
      </w:tr>
      <w:tr w:rsidR="003B277A" w:rsidRPr="00783B4B" w14:paraId="5F5E337E" w14:textId="77777777" w:rsidTr="00B26DF2">
        <w:trPr>
          <w:trHeight w:val="320"/>
        </w:trPr>
        <w:tc>
          <w:tcPr>
            <w:tcW w:w="3702" w:type="dxa"/>
            <w:vMerge/>
            <w:tcBorders>
              <w:top w:val="nil"/>
              <w:left w:val="single" w:sz="4" w:space="0" w:color="auto"/>
              <w:bottom w:val="single" w:sz="4" w:space="0" w:color="auto"/>
              <w:right w:val="single" w:sz="4" w:space="0" w:color="auto"/>
            </w:tcBorders>
            <w:shd w:val="clear" w:color="auto" w:fill="FFFFFF"/>
          </w:tcPr>
          <w:p w14:paraId="0951CEE9" w14:textId="77777777" w:rsidR="003B277A" w:rsidRPr="00783B4B" w:rsidRDefault="003B277A" w:rsidP="00783B4B">
            <w:pPr>
              <w:pStyle w:val="Bodytext40"/>
              <w:shd w:val="clear" w:color="auto" w:fill="auto"/>
              <w:spacing w:before="100" w:beforeAutospacing="1" w:after="100" w:afterAutospacing="1" w:line="240" w:lineRule="auto"/>
              <w:ind w:left="1240"/>
              <w:rPr>
                <w:rFonts w:ascii="Times New Roman" w:hAnsi="Times New Roman"/>
                <w:sz w:val="22"/>
                <w:szCs w:val="22"/>
              </w:rPr>
            </w:pP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tcPr>
          <w:p w14:paraId="227B71E0" w14:textId="77777777" w:rsidR="003B277A" w:rsidRPr="00783B4B" w:rsidRDefault="003B277A" w:rsidP="00783B4B">
            <w:pPr>
              <w:pStyle w:val="Bodytext40"/>
              <w:shd w:val="clear" w:color="auto" w:fill="auto"/>
              <w:spacing w:before="100" w:beforeAutospacing="1" w:after="100" w:afterAutospacing="1" w:line="240" w:lineRule="auto"/>
              <w:ind w:left="740"/>
              <w:rPr>
                <w:rFonts w:ascii="Times New Roman" w:hAnsi="Times New Roman"/>
                <w:sz w:val="22"/>
                <w:szCs w:val="22"/>
                <w:vertAlign w:val="superscript"/>
              </w:rPr>
            </w:pPr>
            <w:proofErr w:type="spellStart"/>
            <w:r w:rsidRPr="00783B4B">
              <w:rPr>
                <w:rFonts w:ascii="Times New Roman" w:hAnsi="Times New Roman"/>
                <w:sz w:val="22"/>
                <w:szCs w:val="22"/>
              </w:rPr>
              <w:t>Trasolette</w:t>
            </w:r>
            <w:proofErr w:type="spellEnd"/>
          </w:p>
        </w:tc>
        <w:tc>
          <w:tcPr>
            <w:tcW w:w="2795" w:type="dxa"/>
            <w:tcBorders>
              <w:top w:val="single" w:sz="4" w:space="0" w:color="auto"/>
              <w:left w:val="single" w:sz="4" w:space="0" w:color="auto"/>
              <w:bottom w:val="single" w:sz="4" w:space="0" w:color="auto"/>
              <w:right w:val="single" w:sz="4" w:space="0" w:color="auto"/>
            </w:tcBorders>
            <w:shd w:val="clear" w:color="auto" w:fill="FFFFFF"/>
          </w:tcPr>
          <w:p w14:paraId="74CC5ECF" w14:textId="77777777" w:rsidR="003B277A" w:rsidRPr="00783B4B" w:rsidRDefault="003B277A" w:rsidP="00783B4B">
            <w:pPr>
              <w:pStyle w:val="Bodytext40"/>
              <w:shd w:val="clear" w:color="auto" w:fill="auto"/>
              <w:spacing w:before="100" w:beforeAutospacing="1" w:after="100" w:afterAutospacing="1" w:line="240" w:lineRule="auto"/>
              <w:ind w:left="680"/>
              <w:rPr>
                <w:rFonts w:ascii="Times New Roman" w:hAnsi="Times New Roman"/>
                <w:sz w:val="22"/>
                <w:szCs w:val="22"/>
              </w:rPr>
            </w:pPr>
            <w:proofErr w:type="spellStart"/>
            <w:r w:rsidRPr="00783B4B">
              <w:rPr>
                <w:rFonts w:ascii="Times New Roman" w:hAnsi="Times New Roman"/>
                <w:sz w:val="22"/>
                <w:szCs w:val="22"/>
              </w:rPr>
              <w:t>Tamoksifen</w:t>
            </w:r>
            <w:proofErr w:type="spellEnd"/>
          </w:p>
        </w:tc>
      </w:tr>
      <w:tr w:rsidR="003B277A" w:rsidRPr="00783B4B" w14:paraId="77335AD7"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3BEA5233" w14:textId="77777777" w:rsidR="003B277A" w:rsidRPr="00783B4B" w:rsidRDefault="003B277A" w:rsidP="00783B4B">
            <w:pPr>
              <w:pStyle w:val="Bodytext20"/>
              <w:spacing w:before="100" w:beforeAutospacing="1" w:after="100" w:afterAutospacing="1" w:line="240" w:lineRule="auto"/>
              <w:ind w:left="200"/>
              <w:rPr>
                <w:i/>
                <w:sz w:val="22"/>
                <w:szCs w:val="22"/>
              </w:rPr>
            </w:pPr>
            <w:r w:rsidRPr="00783B4B">
              <w:rPr>
                <w:i/>
                <w:sz w:val="22"/>
                <w:szCs w:val="22"/>
              </w:rPr>
              <w:t>Preživljavanje bez znakova bolesti</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tcPr>
          <w:p w14:paraId="276037CF" w14:textId="77777777" w:rsidR="003B277A" w:rsidRPr="00783B4B" w:rsidRDefault="003B277A" w:rsidP="00783B4B">
            <w:pPr>
              <w:pStyle w:val="Bodytext1"/>
              <w:shd w:val="clear" w:color="auto" w:fill="auto"/>
              <w:spacing w:before="100" w:beforeAutospacing="1" w:after="100" w:afterAutospacing="1" w:line="240" w:lineRule="auto"/>
              <w:ind w:left="940"/>
              <w:jc w:val="left"/>
              <w:rPr>
                <w:rFonts w:ascii="Times New Roman" w:hAnsi="Times New Roman"/>
                <w:b w:val="0"/>
                <w:sz w:val="22"/>
                <w:szCs w:val="22"/>
              </w:rPr>
            </w:pPr>
            <w:r w:rsidRPr="00783B4B">
              <w:rPr>
                <w:rFonts w:ascii="Times New Roman" w:hAnsi="Times New Roman"/>
                <w:b w:val="0"/>
                <w:sz w:val="22"/>
                <w:szCs w:val="22"/>
              </w:rPr>
              <w:t>65 (5,0)</w:t>
            </w:r>
          </w:p>
        </w:tc>
        <w:tc>
          <w:tcPr>
            <w:tcW w:w="2795" w:type="dxa"/>
            <w:tcBorders>
              <w:top w:val="single" w:sz="4" w:space="0" w:color="auto"/>
              <w:left w:val="single" w:sz="4" w:space="0" w:color="auto"/>
              <w:bottom w:val="single" w:sz="4" w:space="0" w:color="auto"/>
              <w:right w:val="single" w:sz="4" w:space="0" w:color="auto"/>
            </w:tcBorders>
            <w:shd w:val="clear" w:color="auto" w:fill="FFFFFF"/>
          </w:tcPr>
          <w:p w14:paraId="3149CC67" w14:textId="77777777" w:rsidR="003B277A" w:rsidRPr="00783B4B" w:rsidRDefault="003B277A" w:rsidP="00783B4B">
            <w:pPr>
              <w:pStyle w:val="Bodytext1"/>
              <w:shd w:val="clear" w:color="auto" w:fill="auto"/>
              <w:spacing w:before="100" w:beforeAutospacing="1" w:after="100" w:afterAutospacing="1" w:line="240" w:lineRule="auto"/>
              <w:ind w:left="860"/>
              <w:jc w:val="left"/>
              <w:rPr>
                <w:rFonts w:ascii="Times New Roman" w:hAnsi="Times New Roman"/>
                <w:b w:val="0"/>
                <w:sz w:val="22"/>
                <w:szCs w:val="22"/>
              </w:rPr>
            </w:pPr>
            <w:r w:rsidRPr="00783B4B">
              <w:rPr>
                <w:rFonts w:ascii="Times New Roman" w:hAnsi="Times New Roman"/>
                <w:b w:val="0"/>
                <w:sz w:val="22"/>
                <w:szCs w:val="22"/>
              </w:rPr>
              <w:t>93 (7,3)</w:t>
            </w:r>
          </w:p>
        </w:tc>
      </w:tr>
      <w:tr w:rsidR="003B277A" w:rsidRPr="00783B4B" w14:paraId="14431994"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0830D8A1" w14:textId="77777777" w:rsidR="003B277A" w:rsidRPr="00783B4B" w:rsidRDefault="003B277A" w:rsidP="00783B4B">
            <w:pPr>
              <w:spacing w:before="100" w:beforeAutospacing="1" w:after="100" w:afterAutospacing="1"/>
              <w:ind w:left="200"/>
              <w:rPr>
                <w:b/>
                <w:sz w:val="22"/>
                <w:szCs w:val="22"/>
                <w:lang w:val="sr-Latn-ME"/>
              </w:rPr>
            </w:pPr>
            <w:r w:rsidRPr="00783B4B">
              <w:rPr>
                <w:i/>
                <w:sz w:val="22"/>
                <w:szCs w:val="22"/>
                <w:lang w:val="sr-Latn-ME"/>
              </w:rPr>
              <w:t xml:space="preserve">Hazard </w:t>
            </w:r>
            <w:proofErr w:type="spellStart"/>
            <w:r w:rsidRPr="00783B4B">
              <w:rPr>
                <w:i/>
                <w:sz w:val="22"/>
                <w:szCs w:val="22"/>
                <w:lang w:val="sr-Latn-ME"/>
              </w:rPr>
              <w:t>ratio</w:t>
            </w:r>
            <w:proofErr w:type="spellEnd"/>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54F348F7"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0,67</w:t>
            </w:r>
          </w:p>
        </w:tc>
      </w:tr>
      <w:tr w:rsidR="003B277A" w:rsidRPr="00783B4B" w14:paraId="77C40D96"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6D39012E" w14:textId="7777777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dvostrani 95%-</w:t>
            </w:r>
            <w:proofErr w:type="spellStart"/>
            <w:r w:rsidRPr="00783B4B">
              <w:rPr>
                <w:rFonts w:ascii="Times New Roman" w:hAnsi="Times New Roman"/>
                <w:b w:val="0"/>
                <w:sz w:val="22"/>
                <w:szCs w:val="22"/>
              </w:rPr>
              <w:t>tni</w:t>
            </w:r>
            <w:proofErr w:type="spellEnd"/>
            <w:r w:rsidRPr="00783B4B">
              <w:rPr>
                <w:rFonts w:ascii="Times New Roman" w:hAnsi="Times New Roman"/>
                <w:b w:val="0"/>
                <w:sz w:val="22"/>
                <w:szCs w:val="22"/>
              </w:rPr>
              <w:t xml:space="preserve"> interval pouzdanosti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3EEF2750"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0,49 - 0,92</w:t>
            </w:r>
          </w:p>
        </w:tc>
      </w:tr>
      <w:tr w:rsidR="003B277A" w:rsidRPr="00783B4B" w14:paraId="36695C7C" w14:textId="77777777" w:rsidTr="00B26DF2">
        <w:trPr>
          <w:trHeight w:val="314"/>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374A386A" w14:textId="2FEA4463"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p-vr</w:t>
            </w:r>
            <w:r w:rsidR="00D65909" w:rsidRPr="00783B4B">
              <w:rPr>
                <w:rFonts w:ascii="Times New Roman" w:hAnsi="Times New Roman"/>
                <w:b w:val="0"/>
                <w:sz w:val="22"/>
                <w:szCs w:val="22"/>
              </w:rPr>
              <w:t>ij</w:t>
            </w:r>
            <w:r w:rsidRPr="00783B4B">
              <w:rPr>
                <w:rFonts w:ascii="Times New Roman" w:hAnsi="Times New Roman"/>
                <w:b w:val="0"/>
                <w:sz w:val="22"/>
                <w:szCs w:val="22"/>
              </w:rPr>
              <w:t>ednost</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35631D57"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0,014</w:t>
            </w:r>
          </w:p>
        </w:tc>
      </w:tr>
      <w:tr w:rsidR="003B277A" w:rsidRPr="00783B4B" w14:paraId="6A749B2C"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030DDEA3" w14:textId="16109A77" w:rsidR="003B277A" w:rsidRPr="00783B4B" w:rsidRDefault="003B277A" w:rsidP="00783B4B">
            <w:pPr>
              <w:pStyle w:val="Bodytext20"/>
              <w:shd w:val="clear" w:color="auto" w:fill="auto"/>
              <w:spacing w:before="100" w:beforeAutospacing="1" w:after="100" w:afterAutospacing="1" w:line="240" w:lineRule="auto"/>
              <w:ind w:left="200"/>
              <w:rPr>
                <w:i/>
                <w:sz w:val="22"/>
                <w:szCs w:val="22"/>
              </w:rPr>
            </w:pPr>
            <w:r w:rsidRPr="00783B4B">
              <w:rPr>
                <w:i/>
                <w:sz w:val="22"/>
                <w:szCs w:val="22"/>
              </w:rPr>
              <w:t>Vr</w:t>
            </w:r>
            <w:r w:rsidR="00D65909" w:rsidRPr="00783B4B">
              <w:rPr>
                <w:i/>
                <w:sz w:val="22"/>
                <w:szCs w:val="22"/>
              </w:rPr>
              <w:t>ij</w:t>
            </w:r>
            <w:r w:rsidRPr="00783B4B">
              <w:rPr>
                <w:i/>
                <w:sz w:val="22"/>
                <w:szCs w:val="22"/>
              </w:rPr>
              <w:t>eme do pojave recidiva na bilo kojem m</w:t>
            </w:r>
            <w:r w:rsidR="00D65909" w:rsidRPr="00783B4B">
              <w:rPr>
                <w:i/>
                <w:sz w:val="22"/>
                <w:szCs w:val="22"/>
              </w:rPr>
              <w:t>j</w:t>
            </w:r>
            <w:r w:rsidRPr="00783B4B">
              <w:rPr>
                <w:i/>
                <w:sz w:val="22"/>
                <w:szCs w:val="22"/>
              </w:rPr>
              <w:t>estu</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tcPr>
          <w:p w14:paraId="4622C1AC" w14:textId="77777777" w:rsidR="003B277A" w:rsidRPr="00783B4B" w:rsidRDefault="003B277A" w:rsidP="00783B4B">
            <w:pPr>
              <w:pStyle w:val="Bodytext1"/>
              <w:shd w:val="clear" w:color="auto" w:fill="auto"/>
              <w:spacing w:before="100" w:beforeAutospacing="1" w:after="100" w:afterAutospacing="1" w:line="240" w:lineRule="auto"/>
              <w:ind w:left="940"/>
              <w:rPr>
                <w:rFonts w:ascii="Times New Roman" w:hAnsi="Times New Roman"/>
                <w:b w:val="0"/>
                <w:sz w:val="22"/>
                <w:szCs w:val="22"/>
              </w:rPr>
            </w:pPr>
            <w:r w:rsidRPr="00783B4B">
              <w:rPr>
                <w:rFonts w:ascii="Times New Roman" w:hAnsi="Times New Roman"/>
                <w:b w:val="0"/>
                <w:sz w:val="22"/>
                <w:szCs w:val="22"/>
              </w:rPr>
              <w:t>36 (2,8)</w:t>
            </w:r>
          </w:p>
        </w:tc>
        <w:tc>
          <w:tcPr>
            <w:tcW w:w="2795" w:type="dxa"/>
            <w:tcBorders>
              <w:top w:val="single" w:sz="4" w:space="0" w:color="auto"/>
              <w:left w:val="single" w:sz="4" w:space="0" w:color="auto"/>
              <w:bottom w:val="single" w:sz="4" w:space="0" w:color="auto"/>
              <w:right w:val="single" w:sz="4" w:space="0" w:color="auto"/>
            </w:tcBorders>
            <w:shd w:val="clear" w:color="auto" w:fill="FFFFFF"/>
          </w:tcPr>
          <w:p w14:paraId="3E6CAEA4" w14:textId="77777777" w:rsidR="003B277A" w:rsidRPr="00783B4B" w:rsidRDefault="003B277A" w:rsidP="00783B4B">
            <w:pPr>
              <w:pStyle w:val="Bodytext1"/>
              <w:shd w:val="clear" w:color="auto" w:fill="auto"/>
              <w:spacing w:before="100" w:beforeAutospacing="1" w:after="100" w:afterAutospacing="1" w:line="240" w:lineRule="auto"/>
              <w:ind w:left="860"/>
              <w:jc w:val="left"/>
              <w:rPr>
                <w:rFonts w:ascii="Times New Roman" w:hAnsi="Times New Roman"/>
                <w:b w:val="0"/>
                <w:sz w:val="22"/>
                <w:szCs w:val="22"/>
              </w:rPr>
            </w:pPr>
            <w:r w:rsidRPr="00783B4B">
              <w:rPr>
                <w:rFonts w:ascii="Times New Roman" w:hAnsi="Times New Roman"/>
                <w:b w:val="0"/>
                <w:sz w:val="22"/>
                <w:szCs w:val="22"/>
              </w:rPr>
              <w:t>66 (5,1)</w:t>
            </w:r>
          </w:p>
        </w:tc>
      </w:tr>
      <w:tr w:rsidR="003B277A" w:rsidRPr="00783B4B" w14:paraId="54868E62"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1671DFC6" w14:textId="77777777" w:rsidR="003B277A" w:rsidRPr="00783B4B" w:rsidRDefault="003B277A" w:rsidP="00783B4B">
            <w:pPr>
              <w:spacing w:before="100" w:beforeAutospacing="1" w:after="100" w:afterAutospacing="1"/>
              <w:ind w:left="200"/>
              <w:rPr>
                <w:b/>
                <w:sz w:val="22"/>
                <w:szCs w:val="22"/>
                <w:lang w:val="sr-Latn-ME"/>
              </w:rPr>
            </w:pPr>
            <w:r w:rsidRPr="00783B4B">
              <w:rPr>
                <w:i/>
                <w:sz w:val="22"/>
                <w:szCs w:val="22"/>
                <w:lang w:val="sr-Latn-ME"/>
              </w:rPr>
              <w:t xml:space="preserve">Hazard </w:t>
            </w:r>
            <w:proofErr w:type="spellStart"/>
            <w:r w:rsidRPr="00783B4B">
              <w:rPr>
                <w:i/>
                <w:sz w:val="22"/>
                <w:szCs w:val="22"/>
                <w:lang w:val="sr-Latn-ME"/>
              </w:rPr>
              <w:t>ratio</w:t>
            </w:r>
            <w:proofErr w:type="spellEnd"/>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29A25AEA"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0,53</w:t>
            </w:r>
          </w:p>
        </w:tc>
      </w:tr>
      <w:tr w:rsidR="003B277A" w:rsidRPr="00783B4B" w14:paraId="1DAA5CB5" w14:textId="77777777" w:rsidTr="00B26DF2">
        <w:trPr>
          <w:trHeight w:val="314"/>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49113B77" w14:textId="7777777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dvostrani 95%-</w:t>
            </w:r>
            <w:proofErr w:type="spellStart"/>
            <w:r w:rsidRPr="00783B4B">
              <w:rPr>
                <w:rFonts w:ascii="Times New Roman" w:hAnsi="Times New Roman"/>
                <w:b w:val="0"/>
                <w:sz w:val="22"/>
                <w:szCs w:val="22"/>
              </w:rPr>
              <w:t>tni</w:t>
            </w:r>
            <w:proofErr w:type="spellEnd"/>
            <w:r w:rsidRPr="00783B4B">
              <w:rPr>
                <w:rFonts w:ascii="Times New Roman" w:hAnsi="Times New Roman"/>
                <w:b w:val="0"/>
                <w:sz w:val="22"/>
                <w:szCs w:val="22"/>
              </w:rPr>
              <w:t xml:space="preserve"> interval pouzdanosti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3523135B"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0,35 - 0,79</w:t>
            </w:r>
          </w:p>
        </w:tc>
      </w:tr>
      <w:tr w:rsidR="003B277A" w:rsidRPr="00783B4B" w14:paraId="6A80CBA0" w14:textId="77777777" w:rsidTr="00B26DF2">
        <w:trPr>
          <w:trHeight w:val="314"/>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2BB34CA5" w14:textId="7A802886"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p-vr</w:t>
            </w:r>
            <w:r w:rsidR="00D65909" w:rsidRPr="00783B4B">
              <w:rPr>
                <w:rFonts w:ascii="Times New Roman" w:hAnsi="Times New Roman"/>
                <w:b w:val="0"/>
                <w:sz w:val="22"/>
                <w:szCs w:val="22"/>
              </w:rPr>
              <w:t>ij</w:t>
            </w:r>
            <w:r w:rsidRPr="00783B4B">
              <w:rPr>
                <w:rFonts w:ascii="Times New Roman" w:hAnsi="Times New Roman"/>
                <w:b w:val="0"/>
                <w:sz w:val="22"/>
                <w:szCs w:val="22"/>
              </w:rPr>
              <w:t>ednost</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189014F5"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0,002</w:t>
            </w:r>
          </w:p>
        </w:tc>
      </w:tr>
      <w:tr w:rsidR="003B277A" w:rsidRPr="00783B4B" w14:paraId="00DD80A9" w14:textId="77777777" w:rsidTr="00B26DF2">
        <w:trPr>
          <w:trHeight w:val="314"/>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6A10A40C" w14:textId="01473364" w:rsidR="003B277A" w:rsidRPr="00783B4B" w:rsidRDefault="003B277A" w:rsidP="00783B4B">
            <w:pPr>
              <w:pStyle w:val="Bodytext20"/>
              <w:shd w:val="clear" w:color="auto" w:fill="auto"/>
              <w:spacing w:before="100" w:beforeAutospacing="1" w:after="100" w:afterAutospacing="1" w:line="240" w:lineRule="auto"/>
              <w:ind w:left="200"/>
              <w:rPr>
                <w:i/>
                <w:sz w:val="22"/>
                <w:szCs w:val="22"/>
              </w:rPr>
            </w:pPr>
            <w:r w:rsidRPr="00783B4B">
              <w:rPr>
                <w:i/>
                <w:sz w:val="22"/>
                <w:szCs w:val="22"/>
              </w:rPr>
              <w:t>Vr</w:t>
            </w:r>
            <w:r w:rsidR="00D65909" w:rsidRPr="00783B4B">
              <w:rPr>
                <w:i/>
                <w:sz w:val="22"/>
                <w:szCs w:val="22"/>
              </w:rPr>
              <w:t>ij</w:t>
            </w:r>
            <w:r w:rsidRPr="00783B4B">
              <w:rPr>
                <w:i/>
                <w:sz w:val="22"/>
                <w:szCs w:val="22"/>
              </w:rPr>
              <w:t>eme do pojave udaljenog recidiva</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tcPr>
          <w:p w14:paraId="1B7241EB" w14:textId="77777777" w:rsidR="003B277A" w:rsidRPr="00783B4B" w:rsidRDefault="003B277A" w:rsidP="00783B4B">
            <w:pPr>
              <w:pStyle w:val="Bodytext1"/>
              <w:shd w:val="clear" w:color="auto" w:fill="auto"/>
              <w:spacing w:before="100" w:beforeAutospacing="1" w:after="100" w:afterAutospacing="1" w:line="240" w:lineRule="auto"/>
              <w:ind w:left="940"/>
              <w:jc w:val="left"/>
              <w:rPr>
                <w:rFonts w:ascii="Times New Roman" w:hAnsi="Times New Roman"/>
                <w:b w:val="0"/>
                <w:sz w:val="22"/>
                <w:szCs w:val="22"/>
              </w:rPr>
            </w:pPr>
            <w:r w:rsidRPr="00783B4B">
              <w:rPr>
                <w:rFonts w:ascii="Times New Roman" w:hAnsi="Times New Roman"/>
                <w:b w:val="0"/>
                <w:sz w:val="22"/>
                <w:szCs w:val="22"/>
              </w:rPr>
              <w:t>22 (1,7)</w:t>
            </w:r>
          </w:p>
        </w:tc>
        <w:tc>
          <w:tcPr>
            <w:tcW w:w="2795" w:type="dxa"/>
            <w:tcBorders>
              <w:top w:val="single" w:sz="4" w:space="0" w:color="auto"/>
              <w:left w:val="single" w:sz="4" w:space="0" w:color="auto"/>
              <w:bottom w:val="single" w:sz="4" w:space="0" w:color="auto"/>
              <w:right w:val="single" w:sz="4" w:space="0" w:color="auto"/>
            </w:tcBorders>
            <w:shd w:val="clear" w:color="auto" w:fill="FFFFFF"/>
          </w:tcPr>
          <w:p w14:paraId="09579AE2" w14:textId="77777777" w:rsidR="003B277A" w:rsidRPr="00783B4B" w:rsidRDefault="003B277A" w:rsidP="00783B4B">
            <w:pPr>
              <w:pStyle w:val="Bodytext1"/>
              <w:shd w:val="clear" w:color="auto" w:fill="auto"/>
              <w:spacing w:before="100" w:beforeAutospacing="1" w:after="100" w:afterAutospacing="1" w:line="240" w:lineRule="auto"/>
              <w:ind w:left="680"/>
              <w:jc w:val="left"/>
              <w:rPr>
                <w:rFonts w:ascii="Times New Roman" w:hAnsi="Times New Roman"/>
                <w:b w:val="0"/>
                <w:sz w:val="22"/>
                <w:szCs w:val="22"/>
              </w:rPr>
            </w:pPr>
            <w:r w:rsidRPr="00783B4B">
              <w:rPr>
                <w:rFonts w:ascii="Times New Roman" w:hAnsi="Times New Roman"/>
                <w:b w:val="0"/>
                <w:sz w:val="22"/>
                <w:szCs w:val="22"/>
              </w:rPr>
              <w:t>41 (3,2)</w:t>
            </w:r>
          </w:p>
        </w:tc>
      </w:tr>
      <w:tr w:rsidR="003B277A" w:rsidRPr="00783B4B" w14:paraId="4BA8410C"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4C9D7B7B" w14:textId="77777777" w:rsidR="003B277A" w:rsidRPr="00783B4B" w:rsidRDefault="003B277A" w:rsidP="00783B4B">
            <w:pPr>
              <w:spacing w:before="100" w:beforeAutospacing="1" w:after="100" w:afterAutospacing="1"/>
              <w:ind w:left="200"/>
              <w:rPr>
                <w:b/>
                <w:sz w:val="22"/>
                <w:szCs w:val="22"/>
                <w:lang w:val="sr-Latn-ME"/>
              </w:rPr>
            </w:pPr>
            <w:r w:rsidRPr="00783B4B">
              <w:rPr>
                <w:i/>
                <w:sz w:val="22"/>
                <w:szCs w:val="22"/>
                <w:lang w:val="sr-Latn-ME"/>
              </w:rPr>
              <w:t xml:space="preserve">Hazard </w:t>
            </w:r>
            <w:proofErr w:type="spellStart"/>
            <w:r w:rsidRPr="00783B4B">
              <w:rPr>
                <w:i/>
                <w:sz w:val="22"/>
                <w:szCs w:val="22"/>
                <w:lang w:val="sr-Latn-ME"/>
              </w:rPr>
              <w:t>ratio</w:t>
            </w:r>
            <w:proofErr w:type="spellEnd"/>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5096FE57"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0,52</w:t>
            </w:r>
          </w:p>
        </w:tc>
      </w:tr>
      <w:tr w:rsidR="003B277A" w:rsidRPr="00783B4B" w14:paraId="40B3CAB3" w14:textId="77777777" w:rsidTr="00B26DF2">
        <w:trPr>
          <w:trHeight w:val="314"/>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10D4435A" w14:textId="7777777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lastRenderedPageBreak/>
              <w:t>dvostrani 95%-</w:t>
            </w:r>
            <w:proofErr w:type="spellStart"/>
            <w:r w:rsidRPr="00783B4B">
              <w:rPr>
                <w:rFonts w:ascii="Times New Roman" w:hAnsi="Times New Roman"/>
                <w:b w:val="0"/>
                <w:sz w:val="22"/>
                <w:szCs w:val="22"/>
              </w:rPr>
              <w:t>tni</w:t>
            </w:r>
            <w:proofErr w:type="spellEnd"/>
            <w:r w:rsidRPr="00783B4B">
              <w:rPr>
                <w:rFonts w:ascii="Times New Roman" w:hAnsi="Times New Roman"/>
                <w:b w:val="0"/>
                <w:sz w:val="22"/>
                <w:szCs w:val="22"/>
              </w:rPr>
              <w:t xml:space="preserve"> interval pouzdanosti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3A288CF1"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0,31 -0,88</w:t>
            </w:r>
          </w:p>
        </w:tc>
      </w:tr>
      <w:tr w:rsidR="003B277A" w:rsidRPr="00783B4B" w14:paraId="03AE2509"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4C740400" w14:textId="2D274101"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p-vr</w:t>
            </w:r>
            <w:r w:rsidR="00D65909" w:rsidRPr="00783B4B">
              <w:rPr>
                <w:rFonts w:ascii="Times New Roman" w:hAnsi="Times New Roman"/>
                <w:b w:val="0"/>
                <w:sz w:val="22"/>
                <w:szCs w:val="22"/>
              </w:rPr>
              <w:t>ij</w:t>
            </w:r>
            <w:r w:rsidRPr="00783B4B">
              <w:rPr>
                <w:rFonts w:ascii="Times New Roman" w:hAnsi="Times New Roman"/>
                <w:b w:val="0"/>
                <w:sz w:val="22"/>
                <w:szCs w:val="22"/>
              </w:rPr>
              <w:t>ednost</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19CA5F13"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0,015</w:t>
            </w:r>
          </w:p>
        </w:tc>
      </w:tr>
      <w:tr w:rsidR="003B277A" w:rsidRPr="00783B4B" w14:paraId="59D20587" w14:textId="77777777" w:rsidTr="00B26DF2">
        <w:trPr>
          <w:trHeight w:val="309"/>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4ACF8889" w14:textId="77777777" w:rsidR="003B277A" w:rsidRPr="00783B4B" w:rsidRDefault="003B277A" w:rsidP="00783B4B">
            <w:pPr>
              <w:pStyle w:val="Bodytext20"/>
              <w:shd w:val="clear" w:color="auto" w:fill="auto"/>
              <w:spacing w:before="100" w:beforeAutospacing="1" w:after="100" w:afterAutospacing="1" w:line="240" w:lineRule="auto"/>
              <w:ind w:left="200"/>
              <w:rPr>
                <w:i/>
                <w:sz w:val="22"/>
                <w:szCs w:val="22"/>
              </w:rPr>
            </w:pPr>
            <w:r w:rsidRPr="00783B4B">
              <w:rPr>
                <w:i/>
                <w:sz w:val="22"/>
                <w:szCs w:val="22"/>
              </w:rPr>
              <w:t xml:space="preserve">Novi </w:t>
            </w:r>
            <w:proofErr w:type="spellStart"/>
            <w:r w:rsidRPr="00783B4B">
              <w:rPr>
                <w:i/>
                <w:sz w:val="22"/>
                <w:szCs w:val="22"/>
              </w:rPr>
              <w:t>kontralateralni</w:t>
            </w:r>
            <w:proofErr w:type="spellEnd"/>
            <w:r w:rsidRPr="00783B4B">
              <w:rPr>
                <w:i/>
                <w:sz w:val="22"/>
                <w:szCs w:val="22"/>
              </w:rPr>
              <w:t xml:space="preserve"> </w:t>
            </w:r>
            <w:proofErr w:type="spellStart"/>
            <w:r w:rsidRPr="00783B4B">
              <w:rPr>
                <w:i/>
                <w:sz w:val="22"/>
                <w:szCs w:val="22"/>
              </w:rPr>
              <w:t>karcinom</w:t>
            </w:r>
            <w:proofErr w:type="spellEnd"/>
            <w:r w:rsidRPr="00783B4B">
              <w:rPr>
                <w:i/>
                <w:sz w:val="22"/>
                <w:szCs w:val="22"/>
              </w:rPr>
              <w:t xml:space="preserve"> dojke</w:t>
            </w:r>
          </w:p>
        </w:tc>
        <w:tc>
          <w:tcPr>
            <w:tcW w:w="2565" w:type="dxa"/>
            <w:gridSpan w:val="2"/>
            <w:tcBorders>
              <w:top w:val="single" w:sz="4" w:space="0" w:color="auto"/>
              <w:left w:val="single" w:sz="4" w:space="0" w:color="auto"/>
              <w:bottom w:val="single" w:sz="4" w:space="0" w:color="auto"/>
              <w:right w:val="single" w:sz="4" w:space="0" w:color="auto"/>
            </w:tcBorders>
            <w:shd w:val="clear" w:color="auto" w:fill="FFFFFF"/>
          </w:tcPr>
          <w:p w14:paraId="16B5C770" w14:textId="77777777" w:rsidR="003B277A" w:rsidRPr="00783B4B" w:rsidRDefault="003B277A" w:rsidP="00783B4B">
            <w:pPr>
              <w:pStyle w:val="Bodytext1"/>
              <w:shd w:val="clear" w:color="auto" w:fill="auto"/>
              <w:spacing w:before="100" w:beforeAutospacing="1" w:after="100" w:afterAutospacing="1" w:line="240" w:lineRule="auto"/>
              <w:ind w:left="940"/>
              <w:rPr>
                <w:rFonts w:ascii="Times New Roman" w:hAnsi="Times New Roman"/>
                <w:b w:val="0"/>
                <w:sz w:val="22"/>
                <w:szCs w:val="22"/>
              </w:rPr>
            </w:pPr>
            <w:r w:rsidRPr="00783B4B">
              <w:rPr>
                <w:rFonts w:ascii="Times New Roman" w:hAnsi="Times New Roman"/>
                <w:b w:val="0"/>
                <w:sz w:val="22"/>
                <w:szCs w:val="22"/>
              </w:rPr>
              <w:t>7 (0,5)</w:t>
            </w:r>
          </w:p>
        </w:tc>
        <w:tc>
          <w:tcPr>
            <w:tcW w:w="2795" w:type="dxa"/>
            <w:tcBorders>
              <w:top w:val="single" w:sz="4" w:space="0" w:color="auto"/>
              <w:left w:val="single" w:sz="4" w:space="0" w:color="auto"/>
              <w:bottom w:val="single" w:sz="4" w:space="0" w:color="auto"/>
              <w:right w:val="single" w:sz="4" w:space="0" w:color="auto"/>
            </w:tcBorders>
            <w:shd w:val="clear" w:color="auto" w:fill="FFFFFF"/>
          </w:tcPr>
          <w:p w14:paraId="56B0DB18" w14:textId="77777777" w:rsidR="003B277A" w:rsidRPr="00783B4B" w:rsidRDefault="003B277A" w:rsidP="00783B4B">
            <w:pPr>
              <w:pStyle w:val="Bodytext1"/>
              <w:shd w:val="clear" w:color="auto" w:fill="auto"/>
              <w:spacing w:before="100" w:beforeAutospacing="1" w:after="100" w:afterAutospacing="1" w:line="240" w:lineRule="auto"/>
              <w:ind w:left="860"/>
              <w:rPr>
                <w:rFonts w:ascii="Times New Roman" w:hAnsi="Times New Roman"/>
                <w:b w:val="0"/>
                <w:sz w:val="22"/>
                <w:szCs w:val="22"/>
              </w:rPr>
            </w:pPr>
            <w:r w:rsidRPr="00783B4B">
              <w:rPr>
                <w:rFonts w:ascii="Times New Roman" w:hAnsi="Times New Roman"/>
                <w:b w:val="0"/>
                <w:sz w:val="22"/>
                <w:szCs w:val="22"/>
              </w:rPr>
              <w:t>15 (1,2)</w:t>
            </w:r>
          </w:p>
        </w:tc>
      </w:tr>
      <w:tr w:rsidR="003B277A" w:rsidRPr="00783B4B" w14:paraId="54289624"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692AF5C4" w14:textId="7777777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Odnos šansi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3023455C" w14:textId="77777777" w:rsidR="003B277A" w:rsidRPr="00783B4B" w:rsidRDefault="003B277A" w:rsidP="00783B4B">
            <w:pPr>
              <w:pStyle w:val="Bodytext1"/>
              <w:shd w:val="clear" w:color="auto" w:fill="auto"/>
              <w:spacing w:before="100" w:beforeAutospacing="1" w:after="100" w:afterAutospacing="1" w:line="240" w:lineRule="auto"/>
              <w:ind w:left="78"/>
              <w:rPr>
                <w:rFonts w:ascii="Times New Roman" w:hAnsi="Times New Roman"/>
                <w:b w:val="0"/>
                <w:sz w:val="22"/>
                <w:szCs w:val="22"/>
              </w:rPr>
            </w:pPr>
            <w:r w:rsidRPr="00783B4B">
              <w:rPr>
                <w:rFonts w:ascii="Times New Roman" w:hAnsi="Times New Roman"/>
                <w:b w:val="0"/>
                <w:sz w:val="22"/>
                <w:szCs w:val="22"/>
              </w:rPr>
              <w:t>0,46</w:t>
            </w:r>
          </w:p>
        </w:tc>
      </w:tr>
      <w:tr w:rsidR="003B277A" w:rsidRPr="00783B4B" w14:paraId="51302765"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3414B400" w14:textId="4898ACC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p-vr</w:t>
            </w:r>
            <w:r w:rsidR="00D65909" w:rsidRPr="00783B4B">
              <w:rPr>
                <w:rFonts w:ascii="Times New Roman" w:hAnsi="Times New Roman"/>
                <w:b w:val="0"/>
                <w:sz w:val="22"/>
                <w:szCs w:val="22"/>
              </w:rPr>
              <w:t>ij</w:t>
            </w:r>
            <w:r w:rsidRPr="00783B4B">
              <w:rPr>
                <w:rFonts w:ascii="Times New Roman" w:hAnsi="Times New Roman"/>
                <w:b w:val="0"/>
                <w:sz w:val="22"/>
                <w:szCs w:val="22"/>
              </w:rPr>
              <w:t>ednost</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194A446F" w14:textId="77777777" w:rsidR="003B277A" w:rsidRPr="00783B4B" w:rsidRDefault="003B277A" w:rsidP="00783B4B">
            <w:pPr>
              <w:pStyle w:val="Bodytext1"/>
              <w:shd w:val="clear" w:color="auto" w:fill="auto"/>
              <w:spacing w:before="100" w:beforeAutospacing="1" w:after="100" w:afterAutospacing="1" w:line="240" w:lineRule="auto"/>
              <w:ind w:left="2200"/>
              <w:jc w:val="left"/>
              <w:rPr>
                <w:rFonts w:ascii="Times New Roman" w:hAnsi="Times New Roman"/>
                <w:b w:val="0"/>
                <w:sz w:val="22"/>
                <w:szCs w:val="22"/>
              </w:rPr>
            </w:pPr>
            <w:r w:rsidRPr="00783B4B">
              <w:rPr>
                <w:rFonts w:ascii="Times New Roman" w:hAnsi="Times New Roman"/>
                <w:b w:val="0"/>
                <w:sz w:val="22"/>
                <w:szCs w:val="22"/>
              </w:rPr>
              <w:t xml:space="preserve"> 0,090</w:t>
            </w:r>
          </w:p>
        </w:tc>
      </w:tr>
      <w:tr w:rsidR="003B277A" w:rsidRPr="00783B4B" w14:paraId="4ECA18D0"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3F643C10" w14:textId="77777777" w:rsidR="003B277A" w:rsidRPr="00783B4B" w:rsidRDefault="003B277A" w:rsidP="00783B4B">
            <w:pPr>
              <w:pStyle w:val="Bodytext20"/>
              <w:shd w:val="clear" w:color="auto" w:fill="auto"/>
              <w:spacing w:before="100" w:beforeAutospacing="1" w:after="100" w:afterAutospacing="1" w:line="240" w:lineRule="auto"/>
              <w:ind w:left="200"/>
              <w:rPr>
                <w:i/>
                <w:sz w:val="22"/>
                <w:szCs w:val="22"/>
              </w:rPr>
            </w:pPr>
            <w:r w:rsidRPr="00783B4B">
              <w:rPr>
                <w:i/>
                <w:sz w:val="22"/>
                <w:szCs w:val="22"/>
              </w:rPr>
              <w:t>Ukupno preživljavanje</w:t>
            </w:r>
          </w:p>
        </w:tc>
        <w:tc>
          <w:tcPr>
            <w:tcW w:w="2493" w:type="dxa"/>
            <w:tcBorders>
              <w:top w:val="single" w:sz="4" w:space="0" w:color="auto"/>
              <w:left w:val="single" w:sz="4" w:space="0" w:color="auto"/>
              <w:bottom w:val="single" w:sz="4" w:space="0" w:color="auto"/>
              <w:right w:val="single" w:sz="4" w:space="0" w:color="auto"/>
            </w:tcBorders>
            <w:shd w:val="clear" w:color="auto" w:fill="FFFFFF"/>
          </w:tcPr>
          <w:p w14:paraId="0360FAA6" w14:textId="77777777" w:rsidR="003B277A" w:rsidRPr="00783B4B" w:rsidRDefault="003B277A" w:rsidP="00783B4B">
            <w:pPr>
              <w:pStyle w:val="Bodytext1"/>
              <w:shd w:val="clear" w:color="auto" w:fill="auto"/>
              <w:spacing w:before="100" w:beforeAutospacing="1" w:after="100" w:afterAutospacing="1" w:line="240" w:lineRule="auto"/>
              <w:ind w:left="940"/>
              <w:rPr>
                <w:rFonts w:ascii="Times New Roman" w:hAnsi="Times New Roman"/>
                <w:b w:val="0"/>
                <w:sz w:val="22"/>
                <w:szCs w:val="22"/>
              </w:rPr>
            </w:pPr>
            <w:r w:rsidRPr="00783B4B">
              <w:rPr>
                <w:rFonts w:ascii="Times New Roman" w:hAnsi="Times New Roman"/>
                <w:b w:val="0"/>
                <w:sz w:val="22"/>
                <w:szCs w:val="22"/>
              </w:rPr>
              <w:t>43 (3,3)</w:t>
            </w:r>
          </w:p>
        </w:tc>
        <w:tc>
          <w:tcPr>
            <w:tcW w:w="2867" w:type="dxa"/>
            <w:gridSpan w:val="2"/>
            <w:tcBorders>
              <w:top w:val="single" w:sz="4" w:space="0" w:color="auto"/>
              <w:left w:val="single" w:sz="4" w:space="0" w:color="auto"/>
              <w:bottom w:val="single" w:sz="4" w:space="0" w:color="auto"/>
              <w:right w:val="single" w:sz="4" w:space="0" w:color="auto"/>
            </w:tcBorders>
            <w:shd w:val="clear" w:color="auto" w:fill="FFFFFF"/>
          </w:tcPr>
          <w:p w14:paraId="3A7C54B3" w14:textId="77777777" w:rsidR="003B277A" w:rsidRPr="00783B4B" w:rsidRDefault="003B277A" w:rsidP="00783B4B">
            <w:pPr>
              <w:pStyle w:val="Bodytext1"/>
              <w:shd w:val="clear" w:color="auto" w:fill="auto"/>
              <w:spacing w:before="100" w:beforeAutospacing="1" w:after="100" w:afterAutospacing="1" w:line="240" w:lineRule="auto"/>
              <w:ind w:left="940"/>
              <w:rPr>
                <w:rFonts w:ascii="Times New Roman" w:hAnsi="Times New Roman"/>
                <w:b w:val="0"/>
                <w:sz w:val="22"/>
                <w:szCs w:val="22"/>
              </w:rPr>
            </w:pPr>
            <w:r w:rsidRPr="00783B4B">
              <w:rPr>
                <w:rFonts w:ascii="Times New Roman" w:hAnsi="Times New Roman"/>
                <w:b w:val="0"/>
                <w:sz w:val="22"/>
                <w:szCs w:val="22"/>
              </w:rPr>
              <w:t>45 (3,5)</w:t>
            </w:r>
          </w:p>
        </w:tc>
      </w:tr>
      <w:tr w:rsidR="003B277A" w:rsidRPr="00783B4B" w14:paraId="62970ED9"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3A26CFD6" w14:textId="77777777" w:rsidR="003B277A" w:rsidRPr="00783B4B" w:rsidRDefault="003B277A" w:rsidP="00783B4B">
            <w:pPr>
              <w:spacing w:before="100" w:beforeAutospacing="1" w:after="100" w:afterAutospacing="1"/>
              <w:ind w:left="200"/>
              <w:rPr>
                <w:b/>
                <w:sz w:val="22"/>
                <w:szCs w:val="22"/>
                <w:lang w:val="sr-Latn-ME"/>
              </w:rPr>
            </w:pPr>
            <w:r w:rsidRPr="00783B4B">
              <w:rPr>
                <w:i/>
                <w:sz w:val="22"/>
                <w:szCs w:val="22"/>
                <w:lang w:val="sr-Latn-ME"/>
              </w:rPr>
              <w:t xml:space="preserve">Hazard </w:t>
            </w:r>
            <w:proofErr w:type="spellStart"/>
            <w:r w:rsidRPr="00783B4B">
              <w:rPr>
                <w:i/>
                <w:sz w:val="22"/>
                <w:szCs w:val="22"/>
                <w:lang w:val="sr-Latn-ME"/>
              </w:rPr>
              <w:t>ratio</w:t>
            </w:r>
            <w:proofErr w:type="spellEnd"/>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7E000A46"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0,96</w:t>
            </w:r>
          </w:p>
        </w:tc>
      </w:tr>
      <w:tr w:rsidR="003B277A" w:rsidRPr="00783B4B" w14:paraId="09DDA63D"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58217891" w14:textId="7777777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dvostrani 95%-</w:t>
            </w:r>
            <w:proofErr w:type="spellStart"/>
            <w:r w:rsidRPr="00783B4B">
              <w:rPr>
                <w:rFonts w:ascii="Times New Roman" w:hAnsi="Times New Roman"/>
                <w:b w:val="0"/>
                <w:sz w:val="22"/>
                <w:szCs w:val="22"/>
              </w:rPr>
              <w:t>tni</w:t>
            </w:r>
            <w:proofErr w:type="spellEnd"/>
            <w:r w:rsidRPr="00783B4B">
              <w:rPr>
                <w:rFonts w:ascii="Times New Roman" w:hAnsi="Times New Roman"/>
                <w:b w:val="0"/>
                <w:sz w:val="22"/>
                <w:szCs w:val="22"/>
              </w:rPr>
              <w:t xml:space="preserve"> interval pouzdanosti</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171B356F"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0,63-1,46</w:t>
            </w:r>
          </w:p>
        </w:tc>
      </w:tr>
      <w:tr w:rsidR="003B277A" w:rsidRPr="00783B4B" w14:paraId="33B0DF60" w14:textId="77777777" w:rsidTr="00B26DF2">
        <w:trPr>
          <w:trHeight w:val="346"/>
        </w:trPr>
        <w:tc>
          <w:tcPr>
            <w:tcW w:w="3702" w:type="dxa"/>
            <w:tcBorders>
              <w:top w:val="single" w:sz="4" w:space="0" w:color="auto"/>
              <w:left w:val="single" w:sz="4" w:space="0" w:color="auto"/>
              <w:bottom w:val="single" w:sz="4" w:space="0" w:color="auto"/>
              <w:right w:val="single" w:sz="4" w:space="0" w:color="auto"/>
            </w:tcBorders>
            <w:shd w:val="clear" w:color="auto" w:fill="FFFFFF"/>
          </w:tcPr>
          <w:p w14:paraId="173F2D82" w14:textId="58A52127" w:rsidR="003B277A" w:rsidRPr="00783B4B" w:rsidRDefault="003B277A" w:rsidP="00783B4B">
            <w:pPr>
              <w:pStyle w:val="Bodytext1"/>
              <w:shd w:val="clear" w:color="auto" w:fill="auto"/>
              <w:spacing w:before="100" w:beforeAutospacing="1" w:after="100" w:afterAutospacing="1" w:line="240" w:lineRule="auto"/>
              <w:ind w:left="200"/>
              <w:jc w:val="left"/>
              <w:rPr>
                <w:rFonts w:ascii="Times New Roman" w:hAnsi="Times New Roman"/>
                <w:b w:val="0"/>
                <w:sz w:val="22"/>
                <w:szCs w:val="22"/>
              </w:rPr>
            </w:pPr>
            <w:r w:rsidRPr="00783B4B">
              <w:rPr>
                <w:rFonts w:ascii="Times New Roman" w:hAnsi="Times New Roman"/>
                <w:b w:val="0"/>
                <w:sz w:val="22"/>
                <w:szCs w:val="22"/>
              </w:rPr>
              <w:t>p-vr</w:t>
            </w:r>
            <w:r w:rsidR="00D65909" w:rsidRPr="00783B4B">
              <w:rPr>
                <w:rFonts w:ascii="Times New Roman" w:hAnsi="Times New Roman"/>
                <w:b w:val="0"/>
                <w:sz w:val="22"/>
                <w:szCs w:val="22"/>
              </w:rPr>
              <w:t>ij</w:t>
            </w:r>
            <w:r w:rsidRPr="00783B4B">
              <w:rPr>
                <w:rFonts w:ascii="Times New Roman" w:hAnsi="Times New Roman"/>
                <w:b w:val="0"/>
                <w:sz w:val="22"/>
                <w:szCs w:val="22"/>
              </w:rPr>
              <w:t>ednost</w:t>
            </w:r>
          </w:p>
        </w:tc>
        <w:tc>
          <w:tcPr>
            <w:tcW w:w="5360" w:type="dxa"/>
            <w:gridSpan w:val="3"/>
            <w:tcBorders>
              <w:top w:val="single" w:sz="4" w:space="0" w:color="auto"/>
              <w:left w:val="single" w:sz="4" w:space="0" w:color="auto"/>
              <w:bottom w:val="single" w:sz="4" w:space="0" w:color="auto"/>
              <w:right w:val="single" w:sz="4" w:space="0" w:color="auto"/>
            </w:tcBorders>
            <w:shd w:val="clear" w:color="auto" w:fill="FFFFFF"/>
          </w:tcPr>
          <w:p w14:paraId="6DC1824E" w14:textId="77777777" w:rsidR="003B277A" w:rsidRPr="00783B4B" w:rsidRDefault="003B277A" w:rsidP="00783B4B">
            <w:pPr>
              <w:pStyle w:val="Bodytext1"/>
              <w:shd w:val="clear" w:color="auto" w:fill="auto"/>
              <w:spacing w:before="100" w:beforeAutospacing="1" w:after="100" w:afterAutospacing="1" w:line="240" w:lineRule="auto"/>
              <w:rPr>
                <w:rFonts w:ascii="Times New Roman" w:hAnsi="Times New Roman"/>
                <w:b w:val="0"/>
                <w:sz w:val="22"/>
                <w:szCs w:val="22"/>
              </w:rPr>
            </w:pPr>
            <w:r w:rsidRPr="00783B4B">
              <w:rPr>
                <w:rFonts w:ascii="Times New Roman" w:hAnsi="Times New Roman"/>
                <w:b w:val="0"/>
                <w:sz w:val="22"/>
                <w:szCs w:val="22"/>
              </w:rPr>
              <w:t>0,840</w:t>
            </w:r>
          </w:p>
        </w:tc>
      </w:tr>
    </w:tbl>
    <w:p w14:paraId="269A42A5" w14:textId="77777777" w:rsidR="0074036A" w:rsidRPr="00783B4B" w:rsidRDefault="0074036A" w:rsidP="00783B4B">
      <w:pPr>
        <w:pStyle w:val="Header"/>
        <w:tabs>
          <w:tab w:val="left" w:pos="284"/>
        </w:tabs>
        <w:rPr>
          <w:sz w:val="22"/>
          <w:szCs w:val="22"/>
          <w:lang w:val="sr-Latn-ME"/>
        </w:rPr>
      </w:pPr>
    </w:p>
    <w:p w14:paraId="702C0892" w14:textId="1C10E94A" w:rsidR="00820946" w:rsidRPr="00783B4B" w:rsidRDefault="007D2936" w:rsidP="00783B4B">
      <w:pPr>
        <w:jc w:val="both"/>
        <w:rPr>
          <w:sz w:val="22"/>
          <w:szCs w:val="22"/>
          <w:lang w:val="sr-Latn-ME"/>
        </w:rPr>
      </w:pPr>
      <w:r w:rsidRPr="00783B4B">
        <w:rPr>
          <w:sz w:val="22"/>
          <w:szCs w:val="22"/>
          <w:lang w:val="sr-Latn-ME"/>
        </w:rPr>
        <w:t>Rezultati još d</w:t>
      </w:r>
      <w:r w:rsidR="00933EF8" w:rsidRPr="00783B4B">
        <w:rPr>
          <w:sz w:val="22"/>
          <w:szCs w:val="22"/>
          <w:lang w:val="sr-Latn-ME"/>
        </w:rPr>
        <w:t>vije slične studije (</w:t>
      </w:r>
      <w:proofErr w:type="spellStart"/>
      <w:r w:rsidR="00933EF8" w:rsidRPr="00783B4B">
        <w:rPr>
          <w:sz w:val="22"/>
          <w:szCs w:val="22"/>
          <w:lang w:val="sr-Latn-ME"/>
        </w:rPr>
        <w:t>GABG</w:t>
      </w:r>
      <w:proofErr w:type="spellEnd"/>
      <w:r w:rsidR="00933EF8" w:rsidRPr="00783B4B">
        <w:rPr>
          <w:sz w:val="22"/>
          <w:szCs w:val="22"/>
          <w:lang w:val="sr-Latn-ME"/>
        </w:rPr>
        <w:t xml:space="preserve">/ARNO 95 i </w:t>
      </w:r>
      <w:proofErr w:type="spellStart"/>
      <w:r w:rsidR="00933EF8" w:rsidRPr="00783B4B">
        <w:rPr>
          <w:sz w:val="22"/>
          <w:szCs w:val="22"/>
          <w:lang w:val="sr-Latn-ME"/>
        </w:rPr>
        <w:t>ITA</w:t>
      </w:r>
      <w:proofErr w:type="spellEnd"/>
      <w:r w:rsidR="00933EF8" w:rsidRPr="00783B4B">
        <w:rPr>
          <w:sz w:val="22"/>
          <w:szCs w:val="22"/>
          <w:lang w:val="sr-Latn-ME"/>
        </w:rPr>
        <w:t xml:space="preserve">), </w:t>
      </w:r>
      <w:r w:rsidR="00820946" w:rsidRPr="00783B4B">
        <w:rPr>
          <w:sz w:val="22"/>
          <w:szCs w:val="22"/>
          <w:lang w:val="sr-Latn-ME"/>
        </w:rPr>
        <w:t>gd</w:t>
      </w:r>
      <w:r w:rsidR="00807B8F" w:rsidRPr="00783B4B">
        <w:rPr>
          <w:sz w:val="22"/>
          <w:szCs w:val="22"/>
          <w:lang w:val="sr-Latn-ME"/>
        </w:rPr>
        <w:t>j</w:t>
      </w:r>
      <w:r w:rsidR="00820946" w:rsidRPr="00783B4B">
        <w:rPr>
          <w:sz w:val="22"/>
          <w:szCs w:val="22"/>
          <w:lang w:val="sr-Latn-ME"/>
        </w:rPr>
        <w:t xml:space="preserve">e su u jednoj od njih </w:t>
      </w:r>
      <w:proofErr w:type="spellStart"/>
      <w:r w:rsidR="00820946" w:rsidRPr="00783B4B">
        <w:rPr>
          <w:sz w:val="22"/>
          <w:szCs w:val="22"/>
          <w:lang w:val="sr-Latn-ME"/>
        </w:rPr>
        <w:t>pacijentkinje</w:t>
      </w:r>
      <w:proofErr w:type="spellEnd"/>
      <w:r w:rsidR="00820946" w:rsidRPr="00783B4B">
        <w:rPr>
          <w:sz w:val="22"/>
          <w:szCs w:val="22"/>
          <w:lang w:val="sr-Latn-ME"/>
        </w:rPr>
        <w:t xml:space="preserve"> bile operisane i primale </w:t>
      </w:r>
      <w:proofErr w:type="spellStart"/>
      <w:r w:rsidR="00820946" w:rsidRPr="00783B4B">
        <w:rPr>
          <w:sz w:val="22"/>
          <w:szCs w:val="22"/>
          <w:lang w:val="sr-Latn-ME"/>
        </w:rPr>
        <w:t>hemioterapiju</w:t>
      </w:r>
      <w:proofErr w:type="spellEnd"/>
      <w:r w:rsidR="00820946" w:rsidRPr="00783B4B">
        <w:rPr>
          <w:sz w:val="22"/>
          <w:szCs w:val="22"/>
          <w:lang w:val="sr-Latn-ME"/>
        </w:rPr>
        <w:t xml:space="preserve">, kao i kombinovana analiza rezultata iz </w:t>
      </w:r>
      <w:proofErr w:type="spellStart"/>
      <w:r w:rsidR="00820946" w:rsidRPr="00783B4B">
        <w:rPr>
          <w:sz w:val="22"/>
          <w:szCs w:val="22"/>
          <w:lang w:val="sr-Latn-ME"/>
        </w:rPr>
        <w:t>ABCSG</w:t>
      </w:r>
      <w:proofErr w:type="spellEnd"/>
      <w:r w:rsidR="00820946" w:rsidRPr="00783B4B">
        <w:rPr>
          <w:sz w:val="22"/>
          <w:szCs w:val="22"/>
          <w:lang w:val="sr-Latn-ME"/>
        </w:rPr>
        <w:t xml:space="preserve"> 8 i </w:t>
      </w:r>
      <w:proofErr w:type="spellStart"/>
      <w:r w:rsidR="00820946" w:rsidRPr="00783B4B">
        <w:rPr>
          <w:sz w:val="22"/>
          <w:szCs w:val="22"/>
          <w:lang w:val="sr-Latn-ME"/>
        </w:rPr>
        <w:t>GABG</w:t>
      </w:r>
      <w:proofErr w:type="spellEnd"/>
      <w:r w:rsidR="00820946" w:rsidRPr="00783B4B">
        <w:rPr>
          <w:sz w:val="22"/>
          <w:szCs w:val="22"/>
          <w:lang w:val="sr-Latn-ME"/>
        </w:rPr>
        <w:t>/ARNO 95 studija, potvrdili su prethodne podatke.</w:t>
      </w:r>
    </w:p>
    <w:p w14:paraId="67E512DE" w14:textId="77777777" w:rsidR="00933EF8" w:rsidRPr="00783B4B" w:rsidRDefault="00933EF8" w:rsidP="00783B4B">
      <w:pPr>
        <w:jc w:val="both"/>
        <w:rPr>
          <w:sz w:val="22"/>
          <w:szCs w:val="22"/>
          <w:u w:val="single"/>
          <w:lang w:val="sr-Latn-ME"/>
        </w:rPr>
      </w:pPr>
    </w:p>
    <w:p w14:paraId="223DEFEA" w14:textId="5C7AEC8A" w:rsidR="00FF5A03" w:rsidRPr="00783B4B" w:rsidRDefault="00933EF8" w:rsidP="00783B4B">
      <w:pPr>
        <w:jc w:val="both"/>
        <w:rPr>
          <w:sz w:val="22"/>
          <w:szCs w:val="22"/>
          <w:lang w:val="sr-Latn-ME"/>
        </w:rPr>
      </w:pPr>
      <w:proofErr w:type="spellStart"/>
      <w:r w:rsidRPr="00783B4B">
        <w:rPr>
          <w:sz w:val="22"/>
          <w:szCs w:val="22"/>
          <w:lang w:val="sr-Latn-ME"/>
        </w:rPr>
        <w:t>Bezbjednosni</w:t>
      </w:r>
      <w:proofErr w:type="spellEnd"/>
      <w:r w:rsidRPr="00783B4B">
        <w:rPr>
          <w:sz w:val="22"/>
          <w:szCs w:val="22"/>
          <w:lang w:val="sr-Latn-ME"/>
        </w:rPr>
        <w:t xml:space="preserve"> </w:t>
      </w:r>
      <w:r w:rsidR="002812DA" w:rsidRPr="00783B4B">
        <w:rPr>
          <w:sz w:val="22"/>
          <w:szCs w:val="22"/>
          <w:lang w:val="sr-Latn-ME"/>
        </w:rPr>
        <w:t xml:space="preserve">profil </w:t>
      </w:r>
      <w:proofErr w:type="spellStart"/>
      <w:r w:rsidR="00FF5A03" w:rsidRPr="00783B4B">
        <w:rPr>
          <w:sz w:val="22"/>
          <w:szCs w:val="22"/>
          <w:lang w:val="sr-Latn-ME"/>
        </w:rPr>
        <w:t>anastrozola</w:t>
      </w:r>
      <w:proofErr w:type="spellEnd"/>
      <w:r w:rsidR="00FF5A03" w:rsidRPr="00783B4B">
        <w:rPr>
          <w:sz w:val="22"/>
          <w:szCs w:val="22"/>
          <w:lang w:val="sr-Latn-ME"/>
        </w:rPr>
        <w:t xml:space="preserve"> u ove tri studije bio je konzistentan sa već poznatim podacima o </w:t>
      </w:r>
      <w:proofErr w:type="spellStart"/>
      <w:r w:rsidR="00FF5A03" w:rsidRPr="00783B4B">
        <w:rPr>
          <w:sz w:val="22"/>
          <w:szCs w:val="22"/>
          <w:lang w:val="sr-Latn-ME"/>
        </w:rPr>
        <w:t>podnošljivosti</w:t>
      </w:r>
      <w:proofErr w:type="spellEnd"/>
      <w:r w:rsidR="00FF5A03" w:rsidRPr="00783B4B">
        <w:rPr>
          <w:sz w:val="22"/>
          <w:szCs w:val="22"/>
          <w:lang w:val="sr-Latn-ME"/>
        </w:rPr>
        <w:t xml:space="preserve"> l</w:t>
      </w:r>
      <w:r w:rsidR="00D65909" w:rsidRPr="00783B4B">
        <w:rPr>
          <w:sz w:val="22"/>
          <w:szCs w:val="22"/>
          <w:lang w:val="sr-Latn-ME"/>
        </w:rPr>
        <w:t>ij</w:t>
      </w:r>
      <w:r w:rsidR="00FF5A03" w:rsidRPr="00783B4B">
        <w:rPr>
          <w:sz w:val="22"/>
          <w:szCs w:val="22"/>
          <w:lang w:val="sr-Latn-ME"/>
        </w:rPr>
        <w:t xml:space="preserve">eka kod žena u </w:t>
      </w:r>
      <w:proofErr w:type="spellStart"/>
      <w:r w:rsidR="00FF5A03" w:rsidRPr="00783B4B">
        <w:rPr>
          <w:sz w:val="22"/>
          <w:szCs w:val="22"/>
          <w:lang w:val="sr-Latn-ME"/>
        </w:rPr>
        <w:t>postmenopauzi</w:t>
      </w:r>
      <w:proofErr w:type="spellEnd"/>
      <w:r w:rsidR="00FF5A03" w:rsidRPr="00783B4B">
        <w:rPr>
          <w:sz w:val="22"/>
          <w:szCs w:val="22"/>
          <w:lang w:val="sr-Latn-ME"/>
        </w:rPr>
        <w:t xml:space="preserve"> sa hormon-receptor pozitivnim ranim </w:t>
      </w:r>
      <w:proofErr w:type="spellStart"/>
      <w:r w:rsidR="00FF5A03" w:rsidRPr="00783B4B">
        <w:rPr>
          <w:sz w:val="22"/>
          <w:szCs w:val="22"/>
          <w:lang w:val="sr-Latn-ME"/>
        </w:rPr>
        <w:t>karcinomom</w:t>
      </w:r>
      <w:proofErr w:type="spellEnd"/>
      <w:r w:rsidR="00FF5A03" w:rsidRPr="00783B4B">
        <w:rPr>
          <w:sz w:val="22"/>
          <w:szCs w:val="22"/>
          <w:lang w:val="sr-Latn-ME"/>
        </w:rPr>
        <w:t xml:space="preserve"> dojke.</w:t>
      </w:r>
    </w:p>
    <w:p w14:paraId="767BC6E9" w14:textId="77777777" w:rsidR="00933EF8" w:rsidRPr="00783B4B" w:rsidRDefault="00933EF8" w:rsidP="00783B4B">
      <w:pPr>
        <w:jc w:val="both"/>
        <w:rPr>
          <w:i/>
          <w:sz w:val="22"/>
          <w:szCs w:val="22"/>
          <w:u w:val="single"/>
          <w:lang w:val="sr-Latn-ME"/>
        </w:rPr>
      </w:pPr>
    </w:p>
    <w:p w14:paraId="49299BDA" w14:textId="77777777" w:rsidR="00475D4D" w:rsidRPr="00783B4B" w:rsidRDefault="00475D4D" w:rsidP="00783B4B">
      <w:pPr>
        <w:tabs>
          <w:tab w:val="left" w:pos="284"/>
        </w:tabs>
        <w:jc w:val="both"/>
        <w:rPr>
          <w:sz w:val="22"/>
          <w:szCs w:val="22"/>
          <w:u w:val="single"/>
          <w:lang w:val="sr-Latn-ME"/>
        </w:rPr>
      </w:pPr>
      <w:r w:rsidRPr="00783B4B">
        <w:rPr>
          <w:sz w:val="22"/>
          <w:szCs w:val="22"/>
          <w:u w:val="single"/>
          <w:lang w:val="sr-Latn-ME"/>
        </w:rPr>
        <w:t>Mineralna koštana gustina</w:t>
      </w:r>
    </w:p>
    <w:p w14:paraId="410DC352" w14:textId="77777777" w:rsidR="00475D4D" w:rsidRPr="00783B4B" w:rsidRDefault="00475D4D" w:rsidP="00783B4B">
      <w:pPr>
        <w:jc w:val="both"/>
        <w:rPr>
          <w:i/>
          <w:sz w:val="22"/>
          <w:szCs w:val="22"/>
          <w:u w:val="single"/>
          <w:lang w:val="sr-Latn-ME"/>
        </w:rPr>
      </w:pPr>
    </w:p>
    <w:p w14:paraId="5FA11647" w14:textId="066F1C2F" w:rsidR="00933EF8" w:rsidRPr="00783B4B" w:rsidRDefault="00BF2D78" w:rsidP="00783B4B">
      <w:pPr>
        <w:jc w:val="both"/>
        <w:rPr>
          <w:sz w:val="22"/>
          <w:szCs w:val="22"/>
          <w:lang w:val="sr-Latn-ME"/>
        </w:rPr>
      </w:pPr>
      <w:r w:rsidRPr="00783B4B">
        <w:rPr>
          <w:sz w:val="22"/>
          <w:szCs w:val="22"/>
          <w:lang w:val="sr-Latn-ME"/>
        </w:rPr>
        <w:t xml:space="preserve">U ispitivanju </w:t>
      </w:r>
      <w:r w:rsidR="00933EF8" w:rsidRPr="00783B4B">
        <w:rPr>
          <w:sz w:val="22"/>
          <w:szCs w:val="22"/>
          <w:lang w:val="sr-Latn-ME"/>
        </w:rPr>
        <w:t>faze III/IV (</w:t>
      </w:r>
      <w:r w:rsidR="00184F11" w:rsidRPr="00783B4B">
        <w:rPr>
          <w:sz w:val="22"/>
          <w:szCs w:val="22"/>
          <w:lang w:val="sr-Latn-ME"/>
        </w:rPr>
        <w:t xml:space="preserve">engl. </w:t>
      </w:r>
      <w:proofErr w:type="spellStart"/>
      <w:r w:rsidR="00184F11" w:rsidRPr="00783B4B">
        <w:rPr>
          <w:i/>
          <w:iCs/>
          <w:sz w:val="22"/>
          <w:szCs w:val="22"/>
          <w:lang w:val="sr-Latn-ME"/>
        </w:rPr>
        <w:t>Study</w:t>
      </w:r>
      <w:proofErr w:type="spellEnd"/>
      <w:r w:rsidR="00184F11" w:rsidRPr="00783B4B">
        <w:rPr>
          <w:i/>
          <w:iCs/>
          <w:sz w:val="22"/>
          <w:szCs w:val="22"/>
          <w:lang w:val="sr-Latn-ME"/>
        </w:rPr>
        <w:t xml:space="preserve"> </w:t>
      </w:r>
      <w:proofErr w:type="spellStart"/>
      <w:r w:rsidR="00184F11" w:rsidRPr="00783B4B">
        <w:rPr>
          <w:i/>
          <w:iCs/>
          <w:sz w:val="22"/>
          <w:szCs w:val="22"/>
          <w:lang w:val="sr-Latn-ME"/>
        </w:rPr>
        <w:t>of</w:t>
      </w:r>
      <w:proofErr w:type="spellEnd"/>
      <w:r w:rsidR="00184F11" w:rsidRPr="00783B4B">
        <w:rPr>
          <w:i/>
          <w:iCs/>
          <w:sz w:val="22"/>
          <w:szCs w:val="22"/>
          <w:lang w:val="sr-Latn-ME"/>
        </w:rPr>
        <w:t xml:space="preserve"> </w:t>
      </w:r>
      <w:proofErr w:type="spellStart"/>
      <w:r w:rsidR="00184F11" w:rsidRPr="00783B4B">
        <w:rPr>
          <w:i/>
          <w:iCs/>
          <w:sz w:val="22"/>
          <w:szCs w:val="22"/>
          <w:lang w:val="sr-Latn-ME"/>
        </w:rPr>
        <w:t>Anastrozole</w:t>
      </w:r>
      <w:proofErr w:type="spellEnd"/>
      <w:r w:rsidR="00184F11" w:rsidRPr="00783B4B">
        <w:rPr>
          <w:i/>
          <w:iCs/>
          <w:sz w:val="22"/>
          <w:szCs w:val="22"/>
          <w:lang w:val="sr-Latn-ME"/>
        </w:rPr>
        <w:t xml:space="preserve"> </w:t>
      </w:r>
      <w:proofErr w:type="spellStart"/>
      <w:r w:rsidR="00184F11" w:rsidRPr="00783B4B">
        <w:rPr>
          <w:i/>
          <w:iCs/>
          <w:sz w:val="22"/>
          <w:szCs w:val="22"/>
          <w:lang w:val="sr-Latn-ME"/>
        </w:rPr>
        <w:t>with</w:t>
      </w:r>
      <w:proofErr w:type="spellEnd"/>
      <w:r w:rsidR="00184F11" w:rsidRPr="00783B4B">
        <w:rPr>
          <w:i/>
          <w:iCs/>
          <w:sz w:val="22"/>
          <w:szCs w:val="22"/>
          <w:lang w:val="sr-Latn-ME"/>
        </w:rPr>
        <w:t xml:space="preserve"> </w:t>
      </w:r>
      <w:proofErr w:type="spellStart"/>
      <w:r w:rsidR="00184F11" w:rsidRPr="00783B4B">
        <w:rPr>
          <w:i/>
          <w:iCs/>
          <w:sz w:val="22"/>
          <w:szCs w:val="22"/>
          <w:lang w:val="sr-Latn-ME"/>
        </w:rPr>
        <w:t>the</w:t>
      </w:r>
      <w:proofErr w:type="spellEnd"/>
      <w:r w:rsidR="00184F11" w:rsidRPr="00783B4B">
        <w:rPr>
          <w:i/>
          <w:iCs/>
          <w:sz w:val="22"/>
          <w:szCs w:val="22"/>
          <w:lang w:val="sr-Latn-ME"/>
        </w:rPr>
        <w:t xml:space="preserve"> </w:t>
      </w:r>
      <w:proofErr w:type="spellStart"/>
      <w:r w:rsidR="00184F11" w:rsidRPr="00783B4B">
        <w:rPr>
          <w:i/>
          <w:iCs/>
          <w:sz w:val="22"/>
          <w:szCs w:val="22"/>
          <w:lang w:val="sr-Latn-ME"/>
        </w:rPr>
        <w:t>Bisphosphonate</w:t>
      </w:r>
      <w:proofErr w:type="spellEnd"/>
      <w:r w:rsidR="00184F11" w:rsidRPr="00783B4B">
        <w:rPr>
          <w:i/>
          <w:iCs/>
          <w:sz w:val="22"/>
          <w:szCs w:val="22"/>
          <w:lang w:val="sr-Latn-ME"/>
        </w:rPr>
        <w:t xml:space="preserve"> </w:t>
      </w:r>
      <w:proofErr w:type="spellStart"/>
      <w:r w:rsidR="00184F11" w:rsidRPr="00783B4B">
        <w:rPr>
          <w:i/>
          <w:iCs/>
          <w:sz w:val="22"/>
          <w:szCs w:val="22"/>
          <w:lang w:val="sr-Latn-ME"/>
        </w:rPr>
        <w:t>Risedronate</w:t>
      </w:r>
      <w:proofErr w:type="spellEnd"/>
      <w:r w:rsidR="00184F11" w:rsidRPr="00783B4B">
        <w:rPr>
          <w:i/>
          <w:iCs/>
          <w:sz w:val="22"/>
          <w:szCs w:val="22"/>
          <w:lang w:val="sr-Latn-ME"/>
        </w:rPr>
        <w:t xml:space="preserve">, </w:t>
      </w:r>
      <w:proofErr w:type="spellStart"/>
      <w:r w:rsidR="00933EF8" w:rsidRPr="00783B4B">
        <w:rPr>
          <w:sz w:val="22"/>
          <w:szCs w:val="22"/>
          <w:lang w:val="sr-Latn-ME"/>
        </w:rPr>
        <w:t>SABRE</w:t>
      </w:r>
      <w:proofErr w:type="spellEnd"/>
      <w:r w:rsidR="00933EF8" w:rsidRPr="00783B4B">
        <w:rPr>
          <w:sz w:val="22"/>
          <w:szCs w:val="22"/>
          <w:lang w:val="sr-Latn-ME"/>
        </w:rPr>
        <w:t>), 234 žena u</w:t>
      </w:r>
      <w:r w:rsidR="0088545A" w:rsidRPr="00783B4B">
        <w:rPr>
          <w:sz w:val="22"/>
          <w:szCs w:val="22"/>
          <w:lang w:val="sr-Latn-ME"/>
        </w:rPr>
        <w:t xml:space="preserve"> </w:t>
      </w:r>
      <w:proofErr w:type="spellStart"/>
      <w:r w:rsidR="00933EF8" w:rsidRPr="00783B4B">
        <w:rPr>
          <w:sz w:val="22"/>
          <w:szCs w:val="22"/>
          <w:lang w:val="sr-Latn-ME"/>
        </w:rPr>
        <w:t>postmenopauzi</w:t>
      </w:r>
      <w:proofErr w:type="spellEnd"/>
      <w:r w:rsidR="00933EF8" w:rsidRPr="00783B4B">
        <w:rPr>
          <w:sz w:val="22"/>
          <w:szCs w:val="22"/>
          <w:lang w:val="sr-Latn-ME"/>
        </w:rPr>
        <w:t xml:space="preserve"> sa hormon receptor- pozitivnim ranim </w:t>
      </w:r>
      <w:proofErr w:type="spellStart"/>
      <w:r w:rsidR="00933EF8" w:rsidRPr="00783B4B">
        <w:rPr>
          <w:sz w:val="22"/>
          <w:szCs w:val="22"/>
          <w:lang w:val="sr-Latn-ME"/>
        </w:rPr>
        <w:t>karcinomom</w:t>
      </w:r>
      <w:proofErr w:type="spellEnd"/>
      <w:r w:rsidR="00933EF8" w:rsidRPr="00783B4B">
        <w:rPr>
          <w:sz w:val="22"/>
          <w:szCs w:val="22"/>
          <w:lang w:val="sr-Latn-ME"/>
        </w:rPr>
        <w:t xml:space="preserve"> dojke </w:t>
      </w:r>
      <w:r w:rsidR="005473DC" w:rsidRPr="00783B4B">
        <w:rPr>
          <w:sz w:val="22"/>
          <w:szCs w:val="22"/>
          <w:lang w:val="sr-Latn-ME"/>
        </w:rPr>
        <w:t xml:space="preserve">koje su planirane za terapiju </w:t>
      </w:r>
      <w:proofErr w:type="spellStart"/>
      <w:r w:rsidR="00933EF8" w:rsidRPr="00783B4B">
        <w:rPr>
          <w:sz w:val="22"/>
          <w:szCs w:val="22"/>
          <w:lang w:val="sr-Latn-ME"/>
        </w:rPr>
        <w:t>anastrozolom</w:t>
      </w:r>
      <w:proofErr w:type="spellEnd"/>
      <w:r w:rsidR="0088545A" w:rsidRPr="00783B4B">
        <w:rPr>
          <w:sz w:val="22"/>
          <w:szCs w:val="22"/>
          <w:lang w:val="sr-Latn-ME"/>
        </w:rPr>
        <w:t xml:space="preserve"> </w:t>
      </w:r>
      <w:r w:rsidR="00933EF8" w:rsidRPr="00783B4B">
        <w:rPr>
          <w:sz w:val="22"/>
          <w:szCs w:val="22"/>
          <w:lang w:val="sr-Latn-ME"/>
        </w:rPr>
        <w:t>u dozi od 1 mg</w:t>
      </w:r>
      <w:r w:rsidR="005473DC" w:rsidRPr="00783B4B">
        <w:rPr>
          <w:sz w:val="22"/>
          <w:szCs w:val="22"/>
          <w:lang w:val="sr-Latn-ME"/>
        </w:rPr>
        <w:t>/</w:t>
      </w:r>
      <w:r w:rsidR="00933EF8" w:rsidRPr="00783B4B">
        <w:rPr>
          <w:sz w:val="22"/>
          <w:szCs w:val="22"/>
          <w:lang w:val="sr-Latn-ME"/>
        </w:rPr>
        <w:t>dnevno</w:t>
      </w:r>
      <w:r w:rsidR="00D67522" w:rsidRPr="00783B4B">
        <w:rPr>
          <w:sz w:val="22"/>
          <w:szCs w:val="22"/>
          <w:lang w:val="sr-Latn-ME"/>
        </w:rPr>
        <w:t>, klasifikovane su u grupe sa niskim</w:t>
      </w:r>
      <w:r w:rsidR="00933EF8" w:rsidRPr="00783B4B">
        <w:rPr>
          <w:sz w:val="22"/>
          <w:szCs w:val="22"/>
          <w:lang w:val="sr-Latn-ME"/>
        </w:rPr>
        <w:t xml:space="preserve">, </w:t>
      </w:r>
      <w:r w:rsidR="00D67522" w:rsidRPr="00783B4B">
        <w:rPr>
          <w:sz w:val="22"/>
          <w:szCs w:val="22"/>
          <w:lang w:val="sr-Latn-ME"/>
        </w:rPr>
        <w:t xml:space="preserve">umjerenim </w:t>
      </w:r>
      <w:r w:rsidR="00933EF8" w:rsidRPr="00783B4B">
        <w:rPr>
          <w:sz w:val="22"/>
          <w:szCs w:val="22"/>
          <w:lang w:val="sr-Latn-ME"/>
        </w:rPr>
        <w:t xml:space="preserve">i </w:t>
      </w:r>
      <w:r w:rsidR="00D67522" w:rsidRPr="00783B4B">
        <w:rPr>
          <w:sz w:val="22"/>
          <w:szCs w:val="22"/>
          <w:lang w:val="sr-Latn-ME"/>
        </w:rPr>
        <w:t>visokim rizikom</w:t>
      </w:r>
      <w:r w:rsidR="00933EF8" w:rsidRPr="00783B4B">
        <w:rPr>
          <w:sz w:val="22"/>
          <w:szCs w:val="22"/>
          <w:lang w:val="sr-Latn-ME"/>
        </w:rPr>
        <w:t xml:space="preserve"> </w:t>
      </w:r>
      <w:r w:rsidR="00AD5124" w:rsidRPr="00783B4B">
        <w:rPr>
          <w:sz w:val="22"/>
          <w:szCs w:val="22"/>
          <w:lang w:val="sr-Latn-ME"/>
        </w:rPr>
        <w:t xml:space="preserve">prema njihovom postojećem riziku od </w:t>
      </w:r>
      <w:r w:rsidR="00933EF8" w:rsidRPr="00783B4B">
        <w:rPr>
          <w:sz w:val="22"/>
          <w:szCs w:val="22"/>
          <w:lang w:val="sr-Latn-ME"/>
        </w:rPr>
        <w:t xml:space="preserve">fraktura. Primarni parametar efikasnosti </w:t>
      </w:r>
      <w:r w:rsidR="00440303" w:rsidRPr="00783B4B">
        <w:rPr>
          <w:sz w:val="22"/>
          <w:szCs w:val="22"/>
          <w:lang w:val="sr-Latn-ME"/>
        </w:rPr>
        <w:t xml:space="preserve">je </w:t>
      </w:r>
      <w:r w:rsidR="00933EF8" w:rsidRPr="00783B4B">
        <w:rPr>
          <w:sz w:val="22"/>
          <w:szCs w:val="22"/>
          <w:lang w:val="sr-Latn-ME"/>
        </w:rPr>
        <w:t>bila analiza gustine ko</w:t>
      </w:r>
      <w:r w:rsidR="00440303" w:rsidRPr="00783B4B">
        <w:rPr>
          <w:sz w:val="22"/>
          <w:szCs w:val="22"/>
          <w:lang w:val="sr-Latn-ME"/>
        </w:rPr>
        <w:t>š</w:t>
      </w:r>
      <w:r w:rsidR="00933EF8" w:rsidRPr="00783B4B">
        <w:rPr>
          <w:sz w:val="22"/>
          <w:szCs w:val="22"/>
          <w:lang w:val="sr-Latn-ME"/>
        </w:rPr>
        <w:t>t</w:t>
      </w:r>
      <w:r w:rsidR="00440303" w:rsidRPr="00783B4B">
        <w:rPr>
          <w:sz w:val="22"/>
          <w:szCs w:val="22"/>
          <w:lang w:val="sr-Latn-ME"/>
        </w:rPr>
        <w:t>a</w:t>
      </w:r>
      <w:r w:rsidR="00933EF8" w:rsidRPr="00783B4B">
        <w:rPr>
          <w:sz w:val="22"/>
          <w:szCs w:val="22"/>
          <w:lang w:val="sr-Latn-ME"/>
        </w:rPr>
        <w:t>ne mase lumbalnog dijela kičme</w:t>
      </w:r>
      <w:r w:rsidR="0088545A" w:rsidRPr="00783B4B">
        <w:rPr>
          <w:sz w:val="22"/>
          <w:szCs w:val="22"/>
          <w:lang w:val="sr-Latn-ME"/>
        </w:rPr>
        <w:t xml:space="preserve"> </w:t>
      </w:r>
      <w:r w:rsidR="00E10024" w:rsidRPr="00783B4B">
        <w:rPr>
          <w:sz w:val="22"/>
          <w:szCs w:val="22"/>
          <w:lang w:val="sr-Latn-ME"/>
        </w:rPr>
        <w:t xml:space="preserve">koristeći skeniranje </w:t>
      </w:r>
      <w:r w:rsidR="00933EF8" w:rsidRPr="00783B4B">
        <w:rPr>
          <w:sz w:val="22"/>
          <w:szCs w:val="22"/>
          <w:lang w:val="sr-Latn-ME"/>
        </w:rPr>
        <w:t xml:space="preserve">pomoću </w:t>
      </w:r>
      <w:proofErr w:type="spellStart"/>
      <w:r w:rsidR="00933EF8" w:rsidRPr="00783B4B">
        <w:rPr>
          <w:sz w:val="22"/>
          <w:szCs w:val="22"/>
          <w:lang w:val="sr-Latn-ME"/>
        </w:rPr>
        <w:t>DEXA</w:t>
      </w:r>
      <w:proofErr w:type="spellEnd"/>
      <w:r w:rsidR="00933EF8" w:rsidRPr="00783B4B">
        <w:rPr>
          <w:sz w:val="22"/>
          <w:szCs w:val="22"/>
          <w:lang w:val="sr-Latn-ME"/>
        </w:rPr>
        <w:t xml:space="preserve"> </w:t>
      </w:r>
      <w:r w:rsidR="00E10024" w:rsidRPr="00783B4B">
        <w:rPr>
          <w:sz w:val="22"/>
          <w:szCs w:val="22"/>
          <w:lang w:val="sr-Latn-ME"/>
        </w:rPr>
        <w:t>uređaja</w:t>
      </w:r>
      <w:r w:rsidR="00933EF8" w:rsidRPr="00783B4B">
        <w:rPr>
          <w:sz w:val="22"/>
          <w:szCs w:val="22"/>
          <w:lang w:val="sr-Latn-ME"/>
        </w:rPr>
        <w:t xml:space="preserve">. </w:t>
      </w:r>
      <w:r w:rsidR="00946116" w:rsidRPr="00783B4B">
        <w:rPr>
          <w:sz w:val="22"/>
          <w:szCs w:val="22"/>
          <w:lang w:val="sr-Latn-ME"/>
        </w:rPr>
        <w:t xml:space="preserve">Sve </w:t>
      </w:r>
      <w:proofErr w:type="spellStart"/>
      <w:r w:rsidR="00946116" w:rsidRPr="00783B4B">
        <w:rPr>
          <w:sz w:val="22"/>
          <w:szCs w:val="22"/>
          <w:lang w:val="sr-Latn-ME"/>
        </w:rPr>
        <w:t>pacijentkinje</w:t>
      </w:r>
      <w:proofErr w:type="spellEnd"/>
      <w:r w:rsidR="00946116" w:rsidRPr="00783B4B">
        <w:rPr>
          <w:sz w:val="22"/>
          <w:szCs w:val="22"/>
          <w:lang w:val="sr-Latn-ME"/>
        </w:rPr>
        <w:t xml:space="preserve"> su uzimale </w:t>
      </w:r>
      <w:r w:rsidR="00933EF8" w:rsidRPr="00783B4B">
        <w:rPr>
          <w:sz w:val="22"/>
          <w:szCs w:val="22"/>
          <w:lang w:val="sr-Latn-ME"/>
        </w:rPr>
        <w:t xml:space="preserve">terapiju </w:t>
      </w:r>
      <w:r w:rsidR="00946116" w:rsidRPr="00783B4B">
        <w:rPr>
          <w:sz w:val="22"/>
          <w:szCs w:val="22"/>
          <w:lang w:val="sr-Latn-ME"/>
        </w:rPr>
        <w:t xml:space="preserve">zajedno sa </w:t>
      </w:r>
      <w:r w:rsidR="00933EF8" w:rsidRPr="00783B4B">
        <w:rPr>
          <w:sz w:val="22"/>
          <w:szCs w:val="22"/>
          <w:lang w:val="sr-Latn-ME"/>
        </w:rPr>
        <w:t>vitamin</w:t>
      </w:r>
      <w:r w:rsidR="00946116" w:rsidRPr="00783B4B">
        <w:rPr>
          <w:sz w:val="22"/>
          <w:szCs w:val="22"/>
          <w:lang w:val="sr-Latn-ME"/>
        </w:rPr>
        <w:t>om</w:t>
      </w:r>
      <w:r w:rsidR="00933EF8" w:rsidRPr="00783B4B">
        <w:rPr>
          <w:sz w:val="22"/>
          <w:szCs w:val="22"/>
          <w:lang w:val="sr-Latn-ME"/>
        </w:rPr>
        <w:t xml:space="preserve"> D i kalcijum</w:t>
      </w:r>
      <w:r w:rsidR="00946116" w:rsidRPr="00783B4B">
        <w:rPr>
          <w:sz w:val="22"/>
          <w:szCs w:val="22"/>
          <w:lang w:val="sr-Latn-ME"/>
        </w:rPr>
        <w:t>om</w:t>
      </w:r>
      <w:r w:rsidR="00933EF8" w:rsidRPr="00783B4B">
        <w:rPr>
          <w:sz w:val="22"/>
          <w:szCs w:val="22"/>
          <w:lang w:val="sr-Latn-ME"/>
        </w:rPr>
        <w:t xml:space="preserve">. </w:t>
      </w:r>
      <w:proofErr w:type="spellStart"/>
      <w:r w:rsidR="00933EF8" w:rsidRPr="00783B4B">
        <w:rPr>
          <w:sz w:val="22"/>
          <w:szCs w:val="22"/>
          <w:lang w:val="sr-Latn-ME"/>
        </w:rPr>
        <w:t>Pacijentkinje</w:t>
      </w:r>
      <w:proofErr w:type="spellEnd"/>
      <w:r w:rsidR="00933EF8" w:rsidRPr="00783B4B">
        <w:rPr>
          <w:sz w:val="22"/>
          <w:szCs w:val="22"/>
          <w:lang w:val="sr-Latn-ME"/>
        </w:rPr>
        <w:t xml:space="preserve"> </w:t>
      </w:r>
      <w:r w:rsidR="00F11B0F" w:rsidRPr="00783B4B">
        <w:rPr>
          <w:sz w:val="22"/>
          <w:szCs w:val="22"/>
          <w:lang w:val="sr-Latn-ME"/>
        </w:rPr>
        <w:t>u grupi sa niskim rizikom su uzimale</w:t>
      </w:r>
      <w:r w:rsidR="00933EF8" w:rsidRPr="00783B4B">
        <w:rPr>
          <w:sz w:val="22"/>
          <w:szCs w:val="22"/>
          <w:lang w:val="sr-Latn-ME"/>
        </w:rPr>
        <w:t xml:space="preserve"> samo </w:t>
      </w:r>
      <w:proofErr w:type="spellStart"/>
      <w:r w:rsidR="00933EF8" w:rsidRPr="00783B4B">
        <w:rPr>
          <w:sz w:val="22"/>
          <w:szCs w:val="22"/>
          <w:lang w:val="sr-Latn-ME"/>
        </w:rPr>
        <w:t>anastrozol</w:t>
      </w:r>
      <w:proofErr w:type="spellEnd"/>
      <w:r w:rsidR="00933EF8" w:rsidRPr="00783B4B">
        <w:rPr>
          <w:sz w:val="22"/>
          <w:szCs w:val="22"/>
          <w:lang w:val="sr-Latn-ME"/>
        </w:rPr>
        <w:t xml:space="preserve"> (N=42), </w:t>
      </w:r>
      <w:r w:rsidR="000F6635" w:rsidRPr="00783B4B">
        <w:rPr>
          <w:sz w:val="22"/>
          <w:szCs w:val="22"/>
          <w:lang w:val="sr-Latn-ME"/>
        </w:rPr>
        <w:t>one u grupi sa um</w:t>
      </w:r>
      <w:r w:rsidR="00D65909" w:rsidRPr="00783B4B">
        <w:rPr>
          <w:sz w:val="22"/>
          <w:szCs w:val="22"/>
          <w:lang w:val="sr-Latn-ME"/>
        </w:rPr>
        <w:t>j</w:t>
      </w:r>
      <w:r w:rsidR="000F6635" w:rsidRPr="00783B4B">
        <w:rPr>
          <w:sz w:val="22"/>
          <w:szCs w:val="22"/>
          <w:lang w:val="sr-Latn-ME"/>
        </w:rPr>
        <w:t xml:space="preserve">erenim rizikom su </w:t>
      </w:r>
      <w:proofErr w:type="spellStart"/>
      <w:r w:rsidR="000F6635" w:rsidRPr="00783B4B">
        <w:rPr>
          <w:sz w:val="22"/>
          <w:szCs w:val="22"/>
          <w:lang w:val="sr-Latn-ME"/>
        </w:rPr>
        <w:t>randomizovane</w:t>
      </w:r>
      <w:proofErr w:type="spellEnd"/>
      <w:r w:rsidR="000F6635" w:rsidRPr="00783B4B">
        <w:rPr>
          <w:sz w:val="22"/>
          <w:szCs w:val="22"/>
          <w:lang w:val="sr-Latn-ME"/>
        </w:rPr>
        <w:t xml:space="preserve"> na one koje uzimaju</w:t>
      </w:r>
      <w:r w:rsidR="00933EF8" w:rsidRPr="00783B4B">
        <w:rPr>
          <w:sz w:val="22"/>
          <w:szCs w:val="22"/>
          <w:lang w:val="sr-Latn-ME"/>
        </w:rPr>
        <w:t xml:space="preserve"> </w:t>
      </w:r>
      <w:proofErr w:type="spellStart"/>
      <w:r w:rsidR="00933EF8" w:rsidRPr="00783B4B">
        <w:rPr>
          <w:sz w:val="22"/>
          <w:szCs w:val="22"/>
          <w:lang w:val="sr-Latn-ME"/>
        </w:rPr>
        <w:t>anastrozol</w:t>
      </w:r>
      <w:proofErr w:type="spellEnd"/>
      <w:r w:rsidR="00933EF8" w:rsidRPr="00783B4B">
        <w:rPr>
          <w:sz w:val="22"/>
          <w:szCs w:val="22"/>
          <w:lang w:val="sr-Latn-ME"/>
        </w:rPr>
        <w:t xml:space="preserve"> </w:t>
      </w:r>
      <w:r w:rsidR="000F6635" w:rsidRPr="00783B4B">
        <w:rPr>
          <w:sz w:val="22"/>
          <w:szCs w:val="22"/>
          <w:lang w:val="sr-Latn-ME"/>
        </w:rPr>
        <w:t xml:space="preserve">sa </w:t>
      </w:r>
      <w:proofErr w:type="spellStart"/>
      <w:r w:rsidR="00933EF8" w:rsidRPr="00783B4B">
        <w:rPr>
          <w:sz w:val="22"/>
          <w:szCs w:val="22"/>
          <w:lang w:val="sr-Latn-ME"/>
        </w:rPr>
        <w:t>rise</w:t>
      </w:r>
      <w:r w:rsidR="004D144A" w:rsidRPr="00783B4B">
        <w:rPr>
          <w:sz w:val="22"/>
          <w:szCs w:val="22"/>
          <w:lang w:val="sr-Latn-ME"/>
        </w:rPr>
        <w:t>n</w:t>
      </w:r>
      <w:r w:rsidR="00933EF8" w:rsidRPr="00783B4B">
        <w:rPr>
          <w:sz w:val="22"/>
          <w:szCs w:val="22"/>
          <w:lang w:val="sr-Latn-ME"/>
        </w:rPr>
        <w:t>dronat</w:t>
      </w:r>
      <w:r w:rsidR="004D144A" w:rsidRPr="00783B4B">
        <w:rPr>
          <w:sz w:val="22"/>
          <w:szCs w:val="22"/>
          <w:lang w:val="sr-Latn-ME"/>
        </w:rPr>
        <w:t>om</w:t>
      </w:r>
      <w:proofErr w:type="spellEnd"/>
      <w:r w:rsidR="00933EF8" w:rsidRPr="00783B4B">
        <w:rPr>
          <w:sz w:val="22"/>
          <w:szCs w:val="22"/>
          <w:lang w:val="sr-Latn-ME"/>
        </w:rPr>
        <w:t>, 35 mg jednom nedjeljno (N=77)</w:t>
      </w:r>
      <w:r w:rsidR="0088545A" w:rsidRPr="00783B4B">
        <w:rPr>
          <w:sz w:val="22"/>
          <w:szCs w:val="22"/>
          <w:lang w:val="sr-Latn-ME"/>
        </w:rPr>
        <w:t xml:space="preserve"> </w:t>
      </w:r>
      <w:r w:rsidR="00933EF8" w:rsidRPr="00783B4B">
        <w:rPr>
          <w:sz w:val="22"/>
          <w:szCs w:val="22"/>
          <w:lang w:val="sr-Latn-ME"/>
        </w:rPr>
        <w:t xml:space="preserve">i na one koje </w:t>
      </w:r>
      <w:r w:rsidR="004D144A" w:rsidRPr="00783B4B">
        <w:rPr>
          <w:sz w:val="22"/>
          <w:szCs w:val="22"/>
          <w:lang w:val="sr-Latn-ME"/>
        </w:rPr>
        <w:t>uzimaju</w:t>
      </w:r>
      <w:r w:rsidR="00933EF8" w:rsidRPr="00783B4B">
        <w:rPr>
          <w:sz w:val="22"/>
          <w:szCs w:val="22"/>
          <w:lang w:val="sr-Latn-ME"/>
        </w:rPr>
        <w:t xml:space="preserve"> </w:t>
      </w:r>
      <w:proofErr w:type="spellStart"/>
      <w:r w:rsidR="00933EF8" w:rsidRPr="00783B4B">
        <w:rPr>
          <w:sz w:val="22"/>
          <w:szCs w:val="22"/>
          <w:lang w:val="sr-Latn-ME"/>
        </w:rPr>
        <w:t>anastrozol</w:t>
      </w:r>
      <w:proofErr w:type="spellEnd"/>
      <w:r w:rsidR="00933EF8" w:rsidRPr="00783B4B">
        <w:rPr>
          <w:sz w:val="22"/>
          <w:szCs w:val="22"/>
          <w:lang w:val="sr-Latn-ME"/>
        </w:rPr>
        <w:t xml:space="preserve"> </w:t>
      </w:r>
      <w:r w:rsidR="004D144A" w:rsidRPr="00783B4B">
        <w:rPr>
          <w:sz w:val="22"/>
          <w:szCs w:val="22"/>
          <w:lang w:val="sr-Latn-ME"/>
        </w:rPr>
        <w:t xml:space="preserve">sa </w:t>
      </w:r>
      <w:proofErr w:type="spellStart"/>
      <w:r w:rsidR="00933EF8" w:rsidRPr="00783B4B">
        <w:rPr>
          <w:sz w:val="22"/>
          <w:szCs w:val="22"/>
          <w:lang w:val="sr-Latn-ME"/>
        </w:rPr>
        <w:t>placebo</w:t>
      </w:r>
      <w:r w:rsidR="004D144A" w:rsidRPr="00783B4B">
        <w:rPr>
          <w:sz w:val="22"/>
          <w:szCs w:val="22"/>
          <w:lang w:val="sr-Latn-ME"/>
        </w:rPr>
        <w:t>m</w:t>
      </w:r>
      <w:proofErr w:type="spellEnd"/>
      <w:r w:rsidR="00933EF8" w:rsidRPr="00783B4B">
        <w:rPr>
          <w:sz w:val="22"/>
          <w:szCs w:val="22"/>
          <w:lang w:val="sr-Latn-ME"/>
        </w:rPr>
        <w:t xml:space="preserve"> (N=77), a </w:t>
      </w:r>
      <w:r w:rsidR="005113D3" w:rsidRPr="00783B4B">
        <w:rPr>
          <w:sz w:val="22"/>
          <w:szCs w:val="22"/>
          <w:lang w:val="sr-Latn-ME"/>
        </w:rPr>
        <w:t>one u grupi sa visokim rizikom su uzimale</w:t>
      </w:r>
      <w:r w:rsidR="0088545A" w:rsidRPr="00783B4B">
        <w:rPr>
          <w:sz w:val="22"/>
          <w:szCs w:val="22"/>
          <w:lang w:val="sr-Latn-ME"/>
        </w:rPr>
        <w:t xml:space="preserve"> </w:t>
      </w:r>
      <w:proofErr w:type="spellStart"/>
      <w:r w:rsidR="000752D3" w:rsidRPr="00783B4B">
        <w:rPr>
          <w:sz w:val="22"/>
          <w:szCs w:val="22"/>
          <w:lang w:val="sr-Latn-ME"/>
        </w:rPr>
        <w:t>anastrozol</w:t>
      </w:r>
      <w:proofErr w:type="spellEnd"/>
      <w:r w:rsidR="000752D3" w:rsidRPr="00783B4B">
        <w:rPr>
          <w:sz w:val="22"/>
          <w:szCs w:val="22"/>
          <w:lang w:val="sr-Latn-ME"/>
        </w:rPr>
        <w:t xml:space="preserve"> </w:t>
      </w:r>
      <w:r w:rsidR="005113D3" w:rsidRPr="00783B4B">
        <w:rPr>
          <w:sz w:val="22"/>
          <w:szCs w:val="22"/>
          <w:lang w:val="sr-Latn-ME"/>
        </w:rPr>
        <w:t xml:space="preserve">sa </w:t>
      </w:r>
      <w:proofErr w:type="spellStart"/>
      <w:r w:rsidR="00933EF8" w:rsidRPr="00783B4B">
        <w:rPr>
          <w:sz w:val="22"/>
          <w:szCs w:val="22"/>
          <w:lang w:val="sr-Latn-ME"/>
        </w:rPr>
        <w:t>rise</w:t>
      </w:r>
      <w:r w:rsidR="005113D3" w:rsidRPr="00783B4B">
        <w:rPr>
          <w:sz w:val="22"/>
          <w:szCs w:val="22"/>
          <w:lang w:val="sr-Latn-ME"/>
        </w:rPr>
        <w:t>n</w:t>
      </w:r>
      <w:r w:rsidR="00933EF8" w:rsidRPr="00783B4B">
        <w:rPr>
          <w:sz w:val="22"/>
          <w:szCs w:val="22"/>
          <w:lang w:val="sr-Latn-ME"/>
        </w:rPr>
        <w:t>dronat</w:t>
      </w:r>
      <w:r w:rsidR="005113D3" w:rsidRPr="00783B4B">
        <w:rPr>
          <w:sz w:val="22"/>
          <w:szCs w:val="22"/>
          <w:lang w:val="sr-Latn-ME"/>
        </w:rPr>
        <w:t>om</w:t>
      </w:r>
      <w:proofErr w:type="spellEnd"/>
      <w:r w:rsidR="00933EF8" w:rsidRPr="00783B4B">
        <w:rPr>
          <w:sz w:val="22"/>
          <w:szCs w:val="22"/>
          <w:lang w:val="sr-Latn-ME"/>
        </w:rPr>
        <w:t xml:space="preserve">, 35 mg jednom nedjeljno (N=38). Primarni </w:t>
      </w:r>
      <w:r w:rsidR="00F951AF" w:rsidRPr="00783B4B">
        <w:rPr>
          <w:sz w:val="22"/>
          <w:szCs w:val="22"/>
          <w:lang w:val="sr-Latn-ME"/>
        </w:rPr>
        <w:t xml:space="preserve">parametar praćenja </w:t>
      </w:r>
      <w:r w:rsidR="00933EF8" w:rsidRPr="00783B4B">
        <w:rPr>
          <w:sz w:val="22"/>
          <w:szCs w:val="22"/>
          <w:lang w:val="sr-Latn-ME"/>
        </w:rPr>
        <w:t>ishod</w:t>
      </w:r>
      <w:r w:rsidR="00F951AF" w:rsidRPr="00783B4B">
        <w:rPr>
          <w:sz w:val="22"/>
          <w:szCs w:val="22"/>
          <w:lang w:val="sr-Latn-ME"/>
        </w:rPr>
        <w:t>a</w:t>
      </w:r>
      <w:r w:rsidR="00933EF8" w:rsidRPr="00783B4B">
        <w:rPr>
          <w:sz w:val="22"/>
          <w:szCs w:val="22"/>
          <w:lang w:val="sr-Latn-ME"/>
        </w:rPr>
        <w:t xml:space="preserve"> je </w:t>
      </w:r>
      <w:r w:rsidR="00F951AF" w:rsidRPr="00783B4B">
        <w:rPr>
          <w:sz w:val="22"/>
          <w:szCs w:val="22"/>
          <w:lang w:val="sr-Latn-ME"/>
        </w:rPr>
        <w:t xml:space="preserve">bio </w:t>
      </w:r>
      <w:r w:rsidR="00933EF8" w:rsidRPr="00783B4B">
        <w:rPr>
          <w:sz w:val="22"/>
          <w:szCs w:val="22"/>
          <w:lang w:val="sr-Latn-ME"/>
        </w:rPr>
        <w:t xml:space="preserve">promjena </w:t>
      </w:r>
      <w:r w:rsidR="00661D24" w:rsidRPr="00783B4B">
        <w:rPr>
          <w:sz w:val="22"/>
          <w:szCs w:val="22"/>
          <w:lang w:val="sr-Latn-ME"/>
        </w:rPr>
        <w:t>od početnog stanja u gustini koštane mase lumbalnog d</w:t>
      </w:r>
      <w:r w:rsidR="00D65909" w:rsidRPr="00783B4B">
        <w:rPr>
          <w:sz w:val="22"/>
          <w:szCs w:val="22"/>
          <w:lang w:val="sr-Latn-ME"/>
        </w:rPr>
        <w:t>ij</w:t>
      </w:r>
      <w:r w:rsidR="00661D24" w:rsidRPr="00783B4B">
        <w:rPr>
          <w:sz w:val="22"/>
          <w:szCs w:val="22"/>
          <w:lang w:val="sr-Latn-ME"/>
        </w:rPr>
        <w:t>ela kičme posl</w:t>
      </w:r>
      <w:r w:rsidR="00D65909" w:rsidRPr="00783B4B">
        <w:rPr>
          <w:sz w:val="22"/>
          <w:szCs w:val="22"/>
          <w:lang w:val="sr-Latn-ME"/>
        </w:rPr>
        <w:t>ij</w:t>
      </w:r>
      <w:r w:rsidR="00661D24" w:rsidRPr="00783B4B">
        <w:rPr>
          <w:sz w:val="22"/>
          <w:szCs w:val="22"/>
          <w:lang w:val="sr-Latn-ME"/>
        </w:rPr>
        <w:t xml:space="preserve">e </w:t>
      </w:r>
      <w:r w:rsidR="00933EF8" w:rsidRPr="00783B4B">
        <w:rPr>
          <w:sz w:val="22"/>
          <w:szCs w:val="22"/>
          <w:lang w:val="sr-Latn-ME"/>
        </w:rPr>
        <w:t>12 mjeseci.</w:t>
      </w:r>
    </w:p>
    <w:p w14:paraId="41E07DA8" w14:textId="77777777" w:rsidR="00933EF8" w:rsidRPr="00783B4B" w:rsidRDefault="00933EF8" w:rsidP="00783B4B">
      <w:pPr>
        <w:rPr>
          <w:sz w:val="22"/>
          <w:szCs w:val="22"/>
          <w:lang w:val="sr-Latn-ME"/>
        </w:rPr>
      </w:pPr>
    </w:p>
    <w:p w14:paraId="628E22EB" w14:textId="4C552EE5" w:rsidR="00933EF8" w:rsidRPr="00783B4B" w:rsidRDefault="00DB3B61" w:rsidP="009D122F">
      <w:pPr>
        <w:jc w:val="both"/>
        <w:rPr>
          <w:sz w:val="22"/>
          <w:szCs w:val="22"/>
          <w:lang w:val="sr-Latn-ME"/>
        </w:rPr>
      </w:pPr>
      <w:r w:rsidRPr="00783B4B">
        <w:rPr>
          <w:sz w:val="22"/>
          <w:szCs w:val="22"/>
          <w:lang w:val="sr-Latn-ME"/>
        </w:rPr>
        <w:t>12-m</w:t>
      </w:r>
      <w:r w:rsidR="00D65909" w:rsidRPr="00783B4B">
        <w:rPr>
          <w:sz w:val="22"/>
          <w:szCs w:val="22"/>
          <w:lang w:val="sr-Latn-ME"/>
        </w:rPr>
        <w:t>j</w:t>
      </w:r>
      <w:r w:rsidRPr="00783B4B">
        <w:rPr>
          <w:sz w:val="22"/>
          <w:szCs w:val="22"/>
          <w:lang w:val="sr-Latn-ME"/>
        </w:rPr>
        <w:t>esečna glavna analiza je pokazala da pacijenti koji već imaju um</w:t>
      </w:r>
      <w:r w:rsidR="00D65909" w:rsidRPr="00783B4B">
        <w:rPr>
          <w:sz w:val="22"/>
          <w:szCs w:val="22"/>
          <w:lang w:val="sr-Latn-ME"/>
        </w:rPr>
        <w:t>j</w:t>
      </w:r>
      <w:r w:rsidRPr="00783B4B">
        <w:rPr>
          <w:sz w:val="22"/>
          <w:szCs w:val="22"/>
          <w:lang w:val="sr-Latn-ME"/>
        </w:rPr>
        <w:t>ereno do visoki rizik od fraktura nisu imali smanjenje gustine svoje koštane mase (proc</w:t>
      </w:r>
      <w:r w:rsidR="00D65909" w:rsidRPr="00783B4B">
        <w:rPr>
          <w:sz w:val="22"/>
          <w:szCs w:val="22"/>
          <w:lang w:val="sr-Latn-ME"/>
        </w:rPr>
        <w:t>ij</w:t>
      </w:r>
      <w:r w:rsidRPr="00783B4B">
        <w:rPr>
          <w:sz w:val="22"/>
          <w:szCs w:val="22"/>
          <w:lang w:val="sr-Latn-ME"/>
        </w:rPr>
        <w:t>enjeno na osnovu gustine koštane mase lumbalnog d</w:t>
      </w:r>
      <w:r w:rsidR="00D65909" w:rsidRPr="00783B4B">
        <w:rPr>
          <w:sz w:val="22"/>
          <w:szCs w:val="22"/>
          <w:lang w:val="sr-Latn-ME"/>
        </w:rPr>
        <w:t>ij</w:t>
      </w:r>
      <w:r w:rsidRPr="00783B4B">
        <w:rPr>
          <w:sz w:val="22"/>
          <w:szCs w:val="22"/>
          <w:lang w:val="sr-Latn-ME"/>
        </w:rPr>
        <w:t xml:space="preserve">ela kičme koristeći skeniranje pomoću </w:t>
      </w:r>
      <w:proofErr w:type="spellStart"/>
      <w:r w:rsidRPr="00783B4B">
        <w:rPr>
          <w:sz w:val="22"/>
          <w:szCs w:val="22"/>
          <w:lang w:val="sr-Latn-ME"/>
        </w:rPr>
        <w:t>DEXA</w:t>
      </w:r>
      <w:proofErr w:type="spellEnd"/>
      <w:r w:rsidRPr="00783B4B">
        <w:rPr>
          <w:sz w:val="22"/>
          <w:szCs w:val="22"/>
          <w:lang w:val="sr-Latn-ME"/>
        </w:rPr>
        <w:t xml:space="preserve"> uređaja) kada su uzimali </w:t>
      </w:r>
      <w:proofErr w:type="spellStart"/>
      <w:r w:rsidR="00933EF8" w:rsidRPr="00783B4B">
        <w:rPr>
          <w:sz w:val="22"/>
          <w:szCs w:val="22"/>
          <w:lang w:val="sr-Latn-ME"/>
        </w:rPr>
        <w:t>anastrozolo</w:t>
      </w:r>
      <w:proofErr w:type="spellEnd"/>
      <w:r w:rsidR="00933EF8" w:rsidRPr="00783B4B">
        <w:rPr>
          <w:sz w:val="22"/>
          <w:szCs w:val="22"/>
          <w:lang w:val="sr-Latn-ME"/>
        </w:rPr>
        <w:t xml:space="preserve"> u dozi od </w:t>
      </w:r>
      <w:proofErr w:type="spellStart"/>
      <w:r w:rsidR="00933EF8" w:rsidRPr="00783B4B">
        <w:rPr>
          <w:sz w:val="22"/>
          <w:szCs w:val="22"/>
          <w:lang w:val="sr-Latn-ME"/>
        </w:rPr>
        <w:t>1mg</w:t>
      </w:r>
      <w:proofErr w:type="spellEnd"/>
      <w:r w:rsidR="00933EF8" w:rsidRPr="00783B4B">
        <w:rPr>
          <w:sz w:val="22"/>
          <w:szCs w:val="22"/>
          <w:lang w:val="sr-Latn-ME"/>
        </w:rPr>
        <w:t>/dnevno u kombinaciji sa</w:t>
      </w:r>
      <w:r w:rsidR="0088545A" w:rsidRPr="00783B4B">
        <w:rPr>
          <w:sz w:val="22"/>
          <w:szCs w:val="22"/>
          <w:lang w:val="sr-Latn-ME"/>
        </w:rPr>
        <w:t xml:space="preserve"> </w:t>
      </w:r>
      <w:proofErr w:type="spellStart"/>
      <w:r w:rsidR="00933EF8" w:rsidRPr="00783B4B">
        <w:rPr>
          <w:sz w:val="22"/>
          <w:szCs w:val="22"/>
          <w:lang w:val="sr-Latn-ME"/>
        </w:rPr>
        <w:t>risedronatom</w:t>
      </w:r>
      <w:proofErr w:type="spellEnd"/>
      <w:r w:rsidR="00933EF8" w:rsidRPr="00783B4B">
        <w:rPr>
          <w:sz w:val="22"/>
          <w:szCs w:val="22"/>
          <w:lang w:val="sr-Latn-ME"/>
        </w:rPr>
        <w:t>, 35 mg jednom nedjeljno</w:t>
      </w:r>
      <w:r w:rsidR="003B0C18" w:rsidRPr="00783B4B">
        <w:rPr>
          <w:sz w:val="22"/>
          <w:szCs w:val="22"/>
          <w:lang w:val="sr-Latn-ME"/>
        </w:rPr>
        <w:t>. Zato,</w:t>
      </w:r>
      <w:r w:rsidR="00933EF8" w:rsidRPr="00783B4B">
        <w:rPr>
          <w:sz w:val="22"/>
          <w:szCs w:val="22"/>
          <w:lang w:val="sr-Latn-ME"/>
        </w:rPr>
        <w:t xml:space="preserve"> smanjenje </w:t>
      </w:r>
      <w:r w:rsidR="003B0C18" w:rsidRPr="00783B4B">
        <w:rPr>
          <w:sz w:val="22"/>
          <w:szCs w:val="22"/>
          <w:lang w:val="sr-Latn-ME"/>
        </w:rPr>
        <w:t xml:space="preserve">u gustini koštane </w:t>
      </w:r>
      <w:r w:rsidR="00933EF8" w:rsidRPr="00783B4B">
        <w:rPr>
          <w:sz w:val="22"/>
          <w:szCs w:val="22"/>
          <w:lang w:val="sr-Latn-ME"/>
        </w:rPr>
        <w:t>mase, koje nije statistički značajno</w:t>
      </w:r>
      <w:r w:rsidR="00AA608C" w:rsidRPr="00783B4B">
        <w:rPr>
          <w:sz w:val="22"/>
          <w:szCs w:val="22"/>
          <w:lang w:val="sr-Latn-ME"/>
        </w:rPr>
        <w:t xml:space="preserve"> je viđeno u grupi sa niskim rizikom koji uzimaju</w:t>
      </w:r>
      <w:r w:rsidR="00933EF8" w:rsidRPr="00783B4B">
        <w:rPr>
          <w:sz w:val="22"/>
          <w:szCs w:val="22"/>
          <w:lang w:val="sr-Latn-ME"/>
        </w:rPr>
        <w:t xml:space="preserve"> samo </w:t>
      </w:r>
      <w:proofErr w:type="spellStart"/>
      <w:r w:rsidR="00933EF8" w:rsidRPr="00783B4B">
        <w:rPr>
          <w:sz w:val="22"/>
          <w:szCs w:val="22"/>
          <w:lang w:val="sr-Latn-ME"/>
        </w:rPr>
        <w:t>anastrozolo</w:t>
      </w:r>
      <w:proofErr w:type="spellEnd"/>
      <w:r w:rsidR="00933EF8" w:rsidRPr="00783B4B">
        <w:rPr>
          <w:sz w:val="22"/>
          <w:szCs w:val="22"/>
          <w:lang w:val="sr-Latn-ME"/>
        </w:rPr>
        <w:t xml:space="preserve"> u dozi od 1 mg/dnevno. Ov</w:t>
      </w:r>
      <w:r w:rsidR="00950C1E" w:rsidRPr="00783B4B">
        <w:rPr>
          <w:sz w:val="22"/>
          <w:szCs w:val="22"/>
          <w:lang w:val="sr-Latn-ME"/>
        </w:rPr>
        <w:t>a saznanja</w:t>
      </w:r>
      <w:r w:rsidR="00933EF8" w:rsidRPr="00783B4B">
        <w:rPr>
          <w:sz w:val="22"/>
          <w:szCs w:val="22"/>
          <w:lang w:val="sr-Latn-ME"/>
        </w:rPr>
        <w:t xml:space="preserve"> </w:t>
      </w:r>
      <w:r w:rsidR="007F6BBB" w:rsidRPr="00783B4B">
        <w:rPr>
          <w:sz w:val="22"/>
          <w:szCs w:val="22"/>
          <w:lang w:val="sr-Latn-ME"/>
        </w:rPr>
        <w:t>se ogledaju u sekundarnoj efikasnosti varijable prom</w:t>
      </w:r>
      <w:r w:rsidR="00D65909" w:rsidRPr="00783B4B">
        <w:rPr>
          <w:sz w:val="22"/>
          <w:szCs w:val="22"/>
          <w:lang w:val="sr-Latn-ME"/>
        </w:rPr>
        <w:t>j</w:t>
      </w:r>
      <w:r w:rsidR="007F6BBB" w:rsidRPr="00783B4B">
        <w:rPr>
          <w:sz w:val="22"/>
          <w:szCs w:val="22"/>
          <w:lang w:val="sr-Latn-ME"/>
        </w:rPr>
        <w:t>ene početnog stanja u ukupnoj gustini koštane mase kuka posl</w:t>
      </w:r>
      <w:r w:rsidR="00D65909" w:rsidRPr="00783B4B">
        <w:rPr>
          <w:sz w:val="22"/>
          <w:szCs w:val="22"/>
          <w:lang w:val="sr-Latn-ME"/>
        </w:rPr>
        <w:t>ij</w:t>
      </w:r>
      <w:r w:rsidR="007F6BBB" w:rsidRPr="00783B4B">
        <w:rPr>
          <w:sz w:val="22"/>
          <w:szCs w:val="22"/>
          <w:lang w:val="sr-Latn-ME"/>
        </w:rPr>
        <w:t xml:space="preserve">e </w:t>
      </w:r>
      <w:r w:rsidR="00933EF8" w:rsidRPr="00783B4B">
        <w:rPr>
          <w:sz w:val="22"/>
          <w:szCs w:val="22"/>
          <w:lang w:val="sr-Latn-ME"/>
        </w:rPr>
        <w:t>12 mjese</w:t>
      </w:r>
      <w:r w:rsidR="00281218" w:rsidRPr="00783B4B">
        <w:rPr>
          <w:sz w:val="22"/>
          <w:szCs w:val="22"/>
          <w:lang w:val="sr-Latn-ME"/>
        </w:rPr>
        <w:t>ci.</w:t>
      </w:r>
    </w:p>
    <w:p w14:paraId="01DE7076" w14:textId="77777777" w:rsidR="00933EF8" w:rsidRPr="00783B4B" w:rsidRDefault="00933EF8" w:rsidP="009D122F">
      <w:pPr>
        <w:jc w:val="both"/>
        <w:rPr>
          <w:sz w:val="22"/>
          <w:szCs w:val="22"/>
          <w:lang w:val="sr-Latn-ME"/>
        </w:rPr>
      </w:pPr>
    </w:p>
    <w:p w14:paraId="35288C9F" w14:textId="0887A68D" w:rsidR="00933EF8" w:rsidRPr="00783B4B" w:rsidRDefault="00933EF8" w:rsidP="009D122F">
      <w:pPr>
        <w:pStyle w:val="Header"/>
        <w:jc w:val="both"/>
        <w:rPr>
          <w:sz w:val="22"/>
          <w:szCs w:val="22"/>
          <w:lang w:val="sr-Latn-ME"/>
        </w:rPr>
      </w:pPr>
      <w:r w:rsidRPr="00783B4B">
        <w:rPr>
          <w:sz w:val="22"/>
          <w:szCs w:val="22"/>
          <w:lang w:val="sr-Latn-ME"/>
        </w:rPr>
        <w:t xml:space="preserve">Ova studija pruža dokaze da </w:t>
      </w:r>
      <w:r w:rsidR="007B030D" w:rsidRPr="00783B4B">
        <w:rPr>
          <w:sz w:val="22"/>
          <w:szCs w:val="22"/>
          <w:lang w:val="sr-Latn-ME"/>
        </w:rPr>
        <w:t xml:space="preserve">upotreba </w:t>
      </w:r>
      <w:proofErr w:type="spellStart"/>
      <w:r w:rsidRPr="00783B4B">
        <w:rPr>
          <w:sz w:val="22"/>
          <w:szCs w:val="22"/>
          <w:lang w:val="sr-Latn-ME"/>
        </w:rPr>
        <w:t>bifosfonat</w:t>
      </w:r>
      <w:r w:rsidR="007B030D" w:rsidRPr="00783B4B">
        <w:rPr>
          <w:sz w:val="22"/>
          <w:szCs w:val="22"/>
          <w:lang w:val="sr-Latn-ME"/>
        </w:rPr>
        <w:t>a</w:t>
      </w:r>
      <w:proofErr w:type="spellEnd"/>
      <w:r w:rsidRPr="00783B4B">
        <w:rPr>
          <w:sz w:val="22"/>
          <w:szCs w:val="22"/>
          <w:lang w:val="sr-Latn-ME"/>
        </w:rPr>
        <w:t xml:space="preserve"> treba </w:t>
      </w:r>
      <w:r w:rsidR="007B030D" w:rsidRPr="00783B4B">
        <w:rPr>
          <w:sz w:val="22"/>
          <w:szCs w:val="22"/>
          <w:lang w:val="sr-Latn-ME"/>
        </w:rPr>
        <w:t xml:space="preserve">biti </w:t>
      </w:r>
      <w:proofErr w:type="spellStart"/>
      <w:r w:rsidRPr="00783B4B">
        <w:rPr>
          <w:sz w:val="22"/>
          <w:szCs w:val="22"/>
          <w:lang w:val="sr-Latn-ME"/>
        </w:rPr>
        <w:t>razmatr</w:t>
      </w:r>
      <w:r w:rsidR="007B030D" w:rsidRPr="00783B4B">
        <w:rPr>
          <w:sz w:val="22"/>
          <w:szCs w:val="22"/>
          <w:lang w:val="sr-Latn-ME"/>
        </w:rPr>
        <w:t>ena</w:t>
      </w:r>
      <w:proofErr w:type="spellEnd"/>
      <w:r w:rsidRPr="00783B4B">
        <w:rPr>
          <w:sz w:val="22"/>
          <w:szCs w:val="22"/>
          <w:lang w:val="sr-Latn-ME"/>
        </w:rPr>
        <w:t xml:space="preserve"> </w:t>
      </w:r>
      <w:r w:rsidR="00150F20" w:rsidRPr="00783B4B">
        <w:rPr>
          <w:sz w:val="22"/>
          <w:szCs w:val="22"/>
          <w:lang w:val="sr-Latn-ME"/>
        </w:rPr>
        <w:t>kod terapije</w:t>
      </w:r>
      <w:r w:rsidR="00150F20" w:rsidRPr="00783B4B" w:rsidDel="00150F20">
        <w:rPr>
          <w:sz w:val="22"/>
          <w:szCs w:val="22"/>
          <w:lang w:val="sr-Latn-ME"/>
        </w:rPr>
        <w:t xml:space="preserve"> </w:t>
      </w:r>
      <w:r w:rsidRPr="00783B4B">
        <w:rPr>
          <w:sz w:val="22"/>
          <w:szCs w:val="22"/>
          <w:lang w:val="sr-Latn-ME"/>
        </w:rPr>
        <w:t xml:space="preserve">mogućeg gubitka </w:t>
      </w:r>
      <w:r w:rsidR="0012399C" w:rsidRPr="00783B4B">
        <w:rPr>
          <w:sz w:val="22"/>
          <w:szCs w:val="22"/>
          <w:lang w:val="sr-Latn-ME"/>
        </w:rPr>
        <w:t xml:space="preserve">gustine </w:t>
      </w:r>
      <w:r w:rsidRPr="00783B4B">
        <w:rPr>
          <w:sz w:val="22"/>
          <w:szCs w:val="22"/>
          <w:lang w:val="sr-Latn-ME"/>
        </w:rPr>
        <w:t>ko</w:t>
      </w:r>
      <w:r w:rsidR="0012399C" w:rsidRPr="00783B4B">
        <w:rPr>
          <w:sz w:val="22"/>
          <w:szCs w:val="22"/>
          <w:lang w:val="sr-Latn-ME"/>
        </w:rPr>
        <w:t>š</w:t>
      </w:r>
      <w:r w:rsidRPr="00783B4B">
        <w:rPr>
          <w:sz w:val="22"/>
          <w:szCs w:val="22"/>
          <w:lang w:val="sr-Latn-ME"/>
        </w:rPr>
        <w:t>t</w:t>
      </w:r>
      <w:r w:rsidR="0012399C" w:rsidRPr="00783B4B">
        <w:rPr>
          <w:sz w:val="22"/>
          <w:szCs w:val="22"/>
          <w:lang w:val="sr-Latn-ME"/>
        </w:rPr>
        <w:t>a</w:t>
      </w:r>
      <w:r w:rsidRPr="00783B4B">
        <w:rPr>
          <w:sz w:val="22"/>
          <w:szCs w:val="22"/>
          <w:lang w:val="sr-Latn-ME"/>
        </w:rPr>
        <w:t>ne mase kod žena u</w:t>
      </w:r>
      <w:r w:rsidR="0088545A" w:rsidRPr="00783B4B">
        <w:rPr>
          <w:sz w:val="22"/>
          <w:szCs w:val="22"/>
          <w:lang w:val="sr-Latn-ME"/>
        </w:rPr>
        <w:t xml:space="preserve"> </w:t>
      </w:r>
      <w:proofErr w:type="spellStart"/>
      <w:r w:rsidRPr="00783B4B">
        <w:rPr>
          <w:sz w:val="22"/>
          <w:szCs w:val="22"/>
          <w:lang w:val="sr-Latn-ME"/>
        </w:rPr>
        <w:t>postmenopauzi</w:t>
      </w:r>
      <w:proofErr w:type="spellEnd"/>
      <w:r w:rsidRPr="00783B4B">
        <w:rPr>
          <w:sz w:val="22"/>
          <w:szCs w:val="22"/>
          <w:lang w:val="sr-Latn-ME"/>
        </w:rPr>
        <w:t xml:space="preserve"> sa </w:t>
      </w:r>
      <w:r w:rsidR="0012399C" w:rsidRPr="00783B4B">
        <w:rPr>
          <w:sz w:val="22"/>
          <w:szCs w:val="22"/>
          <w:lang w:val="sr-Latn-ME"/>
        </w:rPr>
        <w:t xml:space="preserve">ranim </w:t>
      </w:r>
      <w:proofErr w:type="spellStart"/>
      <w:r w:rsidRPr="00783B4B">
        <w:rPr>
          <w:sz w:val="22"/>
          <w:szCs w:val="22"/>
          <w:lang w:val="sr-Latn-ME"/>
        </w:rPr>
        <w:t>karcinomom</w:t>
      </w:r>
      <w:proofErr w:type="spellEnd"/>
      <w:r w:rsidRPr="00783B4B">
        <w:rPr>
          <w:sz w:val="22"/>
          <w:szCs w:val="22"/>
          <w:lang w:val="sr-Latn-ME"/>
        </w:rPr>
        <w:t xml:space="preserve"> dojke </w:t>
      </w:r>
      <w:r w:rsidR="001A165B" w:rsidRPr="00783B4B">
        <w:rPr>
          <w:sz w:val="22"/>
          <w:szCs w:val="22"/>
          <w:lang w:val="sr-Latn-ME"/>
        </w:rPr>
        <w:t xml:space="preserve">koje su planirane za terapiju </w:t>
      </w:r>
      <w:proofErr w:type="spellStart"/>
      <w:r w:rsidRPr="00783B4B">
        <w:rPr>
          <w:sz w:val="22"/>
          <w:szCs w:val="22"/>
          <w:lang w:val="sr-Latn-ME"/>
        </w:rPr>
        <w:t>anastrozolom</w:t>
      </w:r>
      <w:proofErr w:type="spellEnd"/>
      <w:r w:rsidRPr="00783B4B">
        <w:rPr>
          <w:sz w:val="22"/>
          <w:szCs w:val="22"/>
          <w:lang w:val="sr-Latn-ME"/>
        </w:rPr>
        <w:t>.</w:t>
      </w:r>
    </w:p>
    <w:p w14:paraId="5388970A" w14:textId="125033DD" w:rsidR="00FD4F48" w:rsidRPr="00783B4B" w:rsidRDefault="00FD4F48" w:rsidP="00783B4B">
      <w:pPr>
        <w:tabs>
          <w:tab w:val="left" w:pos="540"/>
          <w:tab w:val="left" w:pos="569"/>
        </w:tabs>
        <w:rPr>
          <w:b/>
          <w:bCs/>
          <w:sz w:val="22"/>
          <w:szCs w:val="22"/>
          <w:lang w:val="sr-Latn-ME"/>
        </w:rPr>
      </w:pPr>
    </w:p>
    <w:p w14:paraId="6DAD28E7" w14:textId="7FD1B6C2" w:rsidR="004030DC" w:rsidRPr="00783B4B" w:rsidRDefault="004030DC" w:rsidP="00783B4B">
      <w:pPr>
        <w:pStyle w:val="Header"/>
        <w:jc w:val="both"/>
        <w:rPr>
          <w:iCs/>
          <w:sz w:val="22"/>
          <w:szCs w:val="22"/>
          <w:u w:val="single"/>
          <w:lang w:val="sr-Latn-ME"/>
        </w:rPr>
      </w:pPr>
      <w:r w:rsidRPr="00783B4B">
        <w:rPr>
          <w:iCs/>
          <w:sz w:val="22"/>
          <w:szCs w:val="22"/>
          <w:u w:val="single"/>
          <w:lang w:val="sr-Latn-ME"/>
        </w:rPr>
        <w:t>Pedijatrijska populacija</w:t>
      </w:r>
    </w:p>
    <w:p w14:paraId="2B5D3088" w14:textId="77777777" w:rsidR="00FE4CE0" w:rsidRPr="00783B4B" w:rsidRDefault="00FE4CE0" w:rsidP="00783B4B">
      <w:pPr>
        <w:pStyle w:val="Header"/>
        <w:jc w:val="both"/>
        <w:rPr>
          <w:iCs/>
          <w:sz w:val="22"/>
          <w:szCs w:val="22"/>
          <w:u w:val="single"/>
          <w:lang w:val="sr-Latn-ME"/>
        </w:rPr>
      </w:pPr>
    </w:p>
    <w:p w14:paraId="27071B55" w14:textId="706561BC" w:rsidR="004030DC" w:rsidRPr="00783B4B" w:rsidRDefault="004030DC" w:rsidP="00783B4B">
      <w:pPr>
        <w:pStyle w:val="Header"/>
        <w:jc w:val="both"/>
        <w:rPr>
          <w:sz w:val="22"/>
          <w:szCs w:val="22"/>
          <w:lang w:val="sr-Latn-ME"/>
        </w:rPr>
      </w:pPr>
      <w:r w:rsidRPr="00783B4B">
        <w:rPr>
          <w:sz w:val="22"/>
          <w:szCs w:val="22"/>
          <w:lang w:val="sr-Latn-ME"/>
        </w:rPr>
        <w:t xml:space="preserve">Primjena </w:t>
      </w:r>
      <w:proofErr w:type="spellStart"/>
      <w:r w:rsidRPr="00783B4B">
        <w:rPr>
          <w:sz w:val="22"/>
          <w:szCs w:val="22"/>
          <w:lang w:val="sr-Latn-ME"/>
        </w:rPr>
        <w:t>anastrozola</w:t>
      </w:r>
      <w:proofErr w:type="spellEnd"/>
      <w:r w:rsidRPr="00783B4B">
        <w:rPr>
          <w:sz w:val="22"/>
          <w:szCs w:val="22"/>
          <w:lang w:val="sr-Latn-ME"/>
        </w:rPr>
        <w:t xml:space="preserve"> nije </w:t>
      </w:r>
      <w:proofErr w:type="spellStart"/>
      <w:r w:rsidRPr="00783B4B">
        <w:rPr>
          <w:sz w:val="22"/>
          <w:szCs w:val="22"/>
          <w:lang w:val="sr-Latn-ME"/>
        </w:rPr>
        <w:t>indikovana</w:t>
      </w:r>
      <w:proofErr w:type="spellEnd"/>
      <w:r w:rsidRPr="00783B4B">
        <w:rPr>
          <w:sz w:val="22"/>
          <w:szCs w:val="22"/>
          <w:lang w:val="sr-Latn-ME"/>
        </w:rPr>
        <w:t xml:space="preserve"> </w:t>
      </w:r>
      <w:r w:rsidR="00304650" w:rsidRPr="00783B4B">
        <w:rPr>
          <w:sz w:val="22"/>
          <w:szCs w:val="22"/>
          <w:lang w:val="sr-Latn-ME"/>
        </w:rPr>
        <w:t>za l</w:t>
      </w:r>
      <w:r w:rsidR="00D65909" w:rsidRPr="00783B4B">
        <w:rPr>
          <w:sz w:val="22"/>
          <w:szCs w:val="22"/>
          <w:lang w:val="sr-Latn-ME"/>
        </w:rPr>
        <w:t>ij</w:t>
      </w:r>
      <w:r w:rsidR="00304650" w:rsidRPr="00783B4B">
        <w:rPr>
          <w:sz w:val="22"/>
          <w:szCs w:val="22"/>
          <w:lang w:val="sr-Latn-ME"/>
        </w:rPr>
        <w:t xml:space="preserve">ečenje </w:t>
      </w:r>
      <w:r w:rsidRPr="00783B4B">
        <w:rPr>
          <w:sz w:val="22"/>
          <w:szCs w:val="22"/>
          <w:lang w:val="sr-Latn-ME"/>
        </w:rPr>
        <w:t xml:space="preserve">djece i adolescenata. </w:t>
      </w:r>
      <w:r w:rsidR="00980FCC" w:rsidRPr="00783B4B">
        <w:rPr>
          <w:sz w:val="22"/>
          <w:szCs w:val="22"/>
          <w:lang w:val="sr-Latn-ME"/>
        </w:rPr>
        <w:t>Nije utvrđena efikasnost kod pedijatrijske</w:t>
      </w:r>
      <w:r w:rsidRPr="00783B4B">
        <w:rPr>
          <w:sz w:val="22"/>
          <w:szCs w:val="22"/>
          <w:lang w:val="sr-Latn-ME"/>
        </w:rPr>
        <w:t xml:space="preserve"> populacije </w:t>
      </w:r>
      <w:r w:rsidR="00472312" w:rsidRPr="00783B4B">
        <w:rPr>
          <w:sz w:val="22"/>
          <w:szCs w:val="22"/>
          <w:lang w:val="sr-Latn-ME"/>
        </w:rPr>
        <w:t xml:space="preserve">u studiji </w:t>
      </w:r>
      <w:r w:rsidRPr="00783B4B">
        <w:rPr>
          <w:sz w:val="22"/>
          <w:szCs w:val="22"/>
          <w:lang w:val="sr-Latn-ME"/>
        </w:rPr>
        <w:t xml:space="preserve">(vidjeti </w:t>
      </w:r>
      <w:r w:rsidR="00472312" w:rsidRPr="00783B4B">
        <w:rPr>
          <w:sz w:val="22"/>
          <w:szCs w:val="22"/>
          <w:lang w:val="sr-Latn-ME"/>
        </w:rPr>
        <w:t>dol</w:t>
      </w:r>
      <w:r w:rsidR="00D65909" w:rsidRPr="00783B4B">
        <w:rPr>
          <w:sz w:val="22"/>
          <w:szCs w:val="22"/>
          <w:lang w:val="sr-Latn-ME"/>
        </w:rPr>
        <w:t>j</w:t>
      </w:r>
      <w:r w:rsidR="00472312" w:rsidRPr="00783B4B">
        <w:rPr>
          <w:sz w:val="22"/>
          <w:szCs w:val="22"/>
          <w:lang w:val="sr-Latn-ME"/>
        </w:rPr>
        <w:t>e</w:t>
      </w:r>
      <w:r w:rsidRPr="00783B4B">
        <w:rPr>
          <w:sz w:val="22"/>
          <w:szCs w:val="22"/>
          <w:lang w:val="sr-Latn-ME"/>
        </w:rPr>
        <w:t xml:space="preserve">). Broj </w:t>
      </w:r>
      <w:r w:rsidR="00472312" w:rsidRPr="00783B4B">
        <w:rPr>
          <w:sz w:val="22"/>
          <w:szCs w:val="22"/>
          <w:lang w:val="sr-Latn-ME"/>
        </w:rPr>
        <w:t>l</w:t>
      </w:r>
      <w:r w:rsidR="00D65909" w:rsidRPr="00783B4B">
        <w:rPr>
          <w:sz w:val="22"/>
          <w:szCs w:val="22"/>
          <w:lang w:val="sr-Latn-ME"/>
        </w:rPr>
        <w:t>ij</w:t>
      </w:r>
      <w:r w:rsidR="00472312" w:rsidRPr="00783B4B">
        <w:rPr>
          <w:sz w:val="22"/>
          <w:szCs w:val="22"/>
          <w:lang w:val="sr-Latn-ME"/>
        </w:rPr>
        <w:t xml:space="preserve">ečene </w:t>
      </w:r>
      <w:r w:rsidRPr="00783B4B">
        <w:rPr>
          <w:sz w:val="22"/>
          <w:szCs w:val="22"/>
          <w:lang w:val="sr-Latn-ME"/>
        </w:rPr>
        <w:t xml:space="preserve">djece je bio </w:t>
      </w:r>
      <w:r w:rsidR="00472312" w:rsidRPr="00783B4B">
        <w:rPr>
          <w:sz w:val="22"/>
          <w:szCs w:val="22"/>
          <w:lang w:val="sr-Latn-ME"/>
        </w:rPr>
        <w:t>previše</w:t>
      </w:r>
      <w:r w:rsidRPr="00783B4B">
        <w:rPr>
          <w:sz w:val="22"/>
          <w:szCs w:val="22"/>
          <w:lang w:val="sr-Latn-ME"/>
        </w:rPr>
        <w:t xml:space="preserve"> ograničen da bi se </w:t>
      </w:r>
      <w:r w:rsidR="00E379AD" w:rsidRPr="00783B4B">
        <w:rPr>
          <w:sz w:val="22"/>
          <w:szCs w:val="22"/>
          <w:lang w:val="sr-Latn-ME"/>
        </w:rPr>
        <w:t>izveli pouzdani</w:t>
      </w:r>
      <w:r w:rsidRPr="00783B4B">
        <w:rPr>
          <w:sz w:val="22"/>
          <w:szCs w:val="22"/>
          <w:lang w:val="sr-Latn-ME"/>
        </w:rPr>
        <w:t xml:space="preserve"> zaključci o bezbjednosti. </w:t>
      </w:r>
      <w:r w:rsidR="00E379AD" w:rsidRPr="00783B4B">
        <w:rPr>
          <w:sz w:val="22"/>
          <w:szCs w:val="22"/>
          <w:lang w:val="sr-Latn-ME"/>
        </w:rPr>
        <w:t xml:space="preserve">Nisu </w:t>
      </w:r>
      <w:r w:rsidRPr="00783B4B">
        <w:rPr>
          <w:sz w:val="22"/>
          <w:szCs w:val="22"/>
          <w:lang w:val="sr-Latn-ME"/>
        </w:rPr>
        <w:t xml:space="preserve">dostupni </w:t>
      </w:r>
      <w:r w:rsidR="00E379AD" w:rsidRPr="00783B4B">
        <w:rPr>
          <w:sz w:val="22"/>
          <w:szCs w:val="22"/>
          <w:lang w:val="sr-Latn-ME"/>
        </w:rPr>
        <w:t xml:space="preserve">podaci </w:t>
      </w:r>
      <w:r w:rsidRPr="00783B4B">
        <w:rPr>
          <w:sz w:val="22"/>
          <w:szCs w:val="22"/>
          <w:lang w:val="sr-Latn-ME"/>
        </w:rPr>
        <w:t>o</w:t>
      </w:r>
      <w:r w:rsidR="00E379AD" w:rsidRPr="00783B4B">
        <w:rPr>
          <w:sz w:val="22"/>
          <w:szCs w:val="22"/>
          <w:lang w:val="sr-Latn-ME"/>
        </w:rPr>
        <w:t xml:space="preserve"> mogućim dugoročnim</w:t>
      </w:r>
      <w:r w:rsidRPr="00783B4B">
        <w:rPr>
          <w:sz w:val="22"/>
          <w:szCs w:val="22"/>
          <w:lang w:val="sr-Latn-ME"/>
        </w:rPr>
        <w:t xml:space="preserve"> efektima </w:t>
      </w:r>
      <w:r w:rsidR="0006506B" w:rsidRPr="00783B4B">
        <w:rPr>
          <w:sz w:val="22"/>
          <w:szCs w:val="22"/>
          <w:lang w:val="sr-Latn-ME"/>
        </w:rPr>
        <w:t>l</w:t>
      </w:r>
      <w:r w:rsidR="00D65909" w:rsidRPr="00783B4B">
        <w:rPr>
          <w:sz w:val="22"/>
          <w:szCs w:val="22"/>
          <w:lang w:val="sr-Latn-ME"/>
        </w:rPr>
        <w:t>ij</w:t>
      </w:r>
      <w:r w:rsidR="0006506B" w:rsidRPr="00783B4B">
        <w:rPr>
          <w:sz w:val="22"/>
          <w:szCs w:val="22"/>
          <w:lang w:val="sr-Latn-ME"/>
        </w:rPr>
        <w:t>ečenja</w:t>
      </w:r>
      <w:r w:rsidRPr="00783B4B">
        <w:rPr>
          <w:sz w:val="22"/>
          <w:szCs w:val="22"/>
          <w:lang w:val="sr-Latn-ME"/>
        </w:rPr>
        <w:t xml:space="preserve"> </w:t>
      </w:r>
      <w:proofErr w:type="spellStart"/>
      <w:r w:rsidR="0006506B" w:rsidRPr="00783B4B">
        <w:rPr>
          <w:sz w:val="22"/>
          <w:szCs w:val="22"/>
          <w:lang w:val="sr-Latn-ME"/>
        </w:rPr>
        <w:t>anastrozolom</w:t>
      </w:r>
      <w:proofErr w:type="spellEnd"/>
      <w:r w:rsidR="0006506B" w:rsidRPr="00783B4B">
        <w:rPr>
          <w:sz w:val="22"/>
          <w:szCs w:val="22"/>
          <w:lang w:val="sr-Latn-ME"/>
        </w:rPr>
        <w:t xml:space="preserve"> </w:t>
      </w:r>
      <w:r w:rsidRPr="00783B4B">
        <w:rPr>
          <w:sz w:val="22"/>
          <w:szCs w:val="22"/>
          <w:lang w:val="sr-Latn-ME"/>
        </w:rPr>
        <w:t xml:space="preserve">kod djece (vidjeti </w:t>
      </w:r>
      <w:r w:rsidR="0006506B" w:rsidRPr="00783B4B">
        <w:rPr>
          <w:sz w:val="22"/>
          <w:szCs w:val="22"/>
          <w:lang w:val="sr-Latn-ME"/>
        </w:rPr>
        <w:t>od</w:t>
      </w:r>
      <w:r w:rsidR="00D65909" w:rsidRPr="00783B4B">
        <w:rPr>
          <w:sz w:val="22"/>
          <w:szCs w:val="22"/>
          <w:lang w:val="sr-Latn-ME"/>
        </w:rPr>
        <w:t>j</w:t>
      </w:r>
      <w:r w:rsidR="0006506B" w:rsidRPr="00783B4B">
        <w:rPr>
          <w:sz w:val="22"/>
          <w:szCs w:val="22"/>
          <w:lang w:val="sr-Latn-ME"/>
        </w:rPr>
        <w:t>eljak</w:t>
      </w:r>
      <w:r w:rsidRPr="00783B4B">
        <w:rPr>
          <w:sz w:val="22"/>
          <w:szCs w:val="22"/>
          <w:lang w:val="sr-Latn-ME"/>
        </w:rPr>
        <w:t xml:space="preserve"> 5.3).</w:t>
      </w:r>
    </w:p>
    <w:p w14:paraId="56B057A1" w14:textId="77777777" w:rsidR="004030DC" w:rsidRPr="00783B4B" w:rsidRDefault="004030DC" w:rsidP="00783B4B">
      <w:pPr>
        <w:pStyle w:val="Header"/>
        <w:jc w:val="both"/>
        <w:rPr>
          <w:sz w:val="22"/>
          <w:szCs w:val="22"/>
          <w:lang w:val="sr-Latn-ME"/>
        </w:rPr>
      </w:pPr>
    </w:p>
    <w:p w14:paraId="461EADD4" w14:textId="4FB2DFEE" w:rsidR="004030DC" w:rsidRPr="00783B4B" w:rsidRDefault="004030DC" w:rsidP="00783B4B">
      <w:pPr>
        <w:pStyle w:val="Header"/>
        <w:jc w:val="both"/>
        <w:rPr>
          <w:sz w:val="22"/>
          <w:szCs w:val="22"/>
          <w:lang w:val="sr-Latn-ME"/>
        </w:rPr>
      </w:pPr>
      <w:r w:rsidRPr="00783B4B">
        <w:rPr>
          <w:sz w:val="22"/>
          <w:szCs w:val="22"/>
          <w:lang w:val="sr-Latn-ME"/>
        </w:rPr>
        <w:t xml:space="preserve">Evropska Agencija za ljekove </w:t>
      </w:r>
      <w:r w:rsidR="0006506B" w:rsidRPr="00783B4B">
        <w:rPr>
          <w:sz w:val="22"/>
          <w:szCs w:val="22"/>
          <w:lang w:val="sr-Latn-ME"/>
        </w:rPr>
        <w:t>izuzela je od</w:t>
      </w:r>
      <w:r w:rsidRPr="00783B4B">
        <w:rPr>
          <w:sz w:val="22"/>
          <w:szCs w:val="22"/>
          <w:lang w:val="sr-Latn-ME"/>
        </w:rPr>
        <w:t xml:space="preserve"> obaveze </w:t>
      </w:r>
      <w:r w:rsidR="0006506B" w:rsidRPr="00783B4B">
        <w:rPr>
          <w:sz w:val="22"/>
          <w:szCs w:val="22"/>
          <w:lang w:val="sr-Latn-ME"/>
        </w:rPr>
        <w:t>podnošenje</w:t>
      </w:r>
      <w:r w:rsidRPr="00783B4B">
        <w:rPr>
          <w:sz w:val="22"/>
          <w:szCs w:val="22"/>
          <w:lang w:val="sr-Latn-ME"/>
        </w:rPr>
        <w:t xml:space="preserve"> </w:t>
      </w:r>
      <w:r w:rsidR="0006506B" w:rsidRPr="00783B4B">
        <w:rPr>
          <w:sz w:val="22"/>
          <w:szCs w:val="22"/>
          <w:lang w:val="sr-Latn-ME"/>
        </w:rPr>
        <w:t xml:space="preserve">rezultata </w:t>
      </w:r>
      <w:r w:rsidRPr="00783B4B">
        <w:rPr>
          <w:sz w:val="22"/>
          <w:szCs w:val="22"/>
          <w:lang w:val="sr-Latn-ME"/>
        </w:rPr>
        <w:t xml:space="preserve">ispitivanja </w:t>
      </w:r>
      <w:proofErr w:type="spellStart"/>
      <w:r w:rsidRPr="00783B4B">
        <w:rPr>
          <w:sz w:val="22"/>
          <w:szCs w:val="22"/>
          <w:lang w:val="sr-Latn-ME"/>
        </w:rPr>
        <w:t>anastrozola</w:t>
      </w:r>
      <w:proofErr w:type="spellEnd"/>
      <w:r w:rsidRPr="00783B4B">
        <w:rPr>
          <w:sz w:val="22"/>
          <w:szCs w:val="22"/>
          <w:lang w:val="sr-Latn-ME"/>
        </w:rPr>
        <w:t xml:space="preserve"> u jednoj ili više podgrupa pedijatrijske populacije </w:t>
      </w:r>
      <w:r w:rsidR="006D6D3C" w:rsidRPr="00783B4B">
        <w:rPr>
          <w:sz w:val="22"/>
          <w:szCs w:val="22"/>
          <w:lang w:val="sr-Latn-ME"/>
        </w:rPr>
        <w:t xml:space="preserve">niske rastom </w:t>
      </w:r>
      <w:proofErr w:type="spellStart"/>
      <w:r w:rsidR="006D6D3C" w:rsidRPr="00783B4B">
        <w:rPr>
          <w:sz w:val="22"/>
          <w:szCs w:val="22"/>
          <w:lang w:val="sr-Latn-ME"/>
        </w:rPr>
        <w:t>usl</w:t>
      </w:r>
      <w:r w:rsidR="00D65909" w:rsidRPr="00783B4B">
        <w:rPr>
          <w:sz w:val="22"/>
          <w:szCs w:val="22"/>
          <w:lang w:val="sr-Latn-ME"/>
        </w:rPr>
        <w:t>j</w:t>
      </w:r>
      <w:r w:rsidR="006D6D3C" w:rsidRPr="00783B4B">
        <w:rPr>
          <w:sz w:val="22"/>
          <w:szCs w:val="22"/>
          <w:lang w:val="sr-Latn-ME"/>
        </w:rPr>
        <w:t>ed</w:t>
      </w:r>
      <w:proofErr w:type="spellEnd"/>
      <w:r w:rsidRPr="00783B4B">
        <w:rPr>
          <w:sz w:val="22"/>
          <w:szCs w:val="22"/>
          <w:lang w:val="sr-Latn-ME"/>
        </w:rPr>
        <w:t xml:space="preserve"> nedostatka hormona rasta</w:t>
      </w:r>
      <w:r w:rsidR="003F169C" w:rsidRPr="00783B4B">
        <w:rPr>
          <w:sz w:val="22"/>
          <w:szCs w:val="22"/>
          <w:lang w:val="sr-Latn-ME"/>
        </w:rPr>
        <w:t xml:space="preserve">, </w:t>
      </w:r>
      <w:proofErr w:type="spellStart"/>
      <w:r w:rsidR="00E54449" w:rsidRPr="00783B4B">
        <w:rPr>
          <w:sz w:val="22"/>
          <w:szCs w:val="22"/>
          <w:lang w:val="sr-Latn-ME"/>
        </w:rPr>
        <w:t>ij</w:t>
      </w:r>
      <w:r w:rsidRPr="00783B4B">
        <w:rPr>
          <w:sz w:val="22"/>
          <w:szCs w:val="22"/>
          <w:lang w:val="sr-Latn-ME"/>
        </w:rPr>
        <w:t>testotoksikoze</w:t>
      </w:r>
      <w:proofErr w:type="spellEnd"/>
      <w:r w:rsidRPr="00783B4B">
        <w:rPr>
          <w:sz w:val="22"/>
          <w:szCs w:val="22"/>
          <w:lang w:val="sr-Latn-ME"/>
        </w:rPr>
        <w:t xml:space="preserve">, </w:t>
      </w:r>
      <w:proofErr w:type="spellStart"/>
      <w:r w:rsidRPr="00783B4B">
        <w:rPr>
          <w:sz w:val="22"/>
          <w:szCs w:val="22"/>
          <w:lang w:val="sr-Latn-ME"/>
        </w:rPr>
        <w:t>ginekomastije</w:t>
      </w:r>
      <w:proofErr w:type="spellEnd"/>
      <w:r w:rsidR="003F169C" w:rsidRPr="00783B4B">
        <w:rPr>
          <w:sz w:val="22"/>
          <w:szCs w:val="22"/>
          <w:lang w:val="sr-Latn-ME"/>
        </w:rPr>
        <w:t>,</w:t>
      </w:r>
      <w:r w:rsidRPr="00783B4B">
        <w:rPr>
          <w:sz w:val="22"/>
          <w:szCs w:val="22"/>
          <w:lang w:val="sr-Latn-ME"/>
        </w:rPr>
        <w:t xml:space="preserve"> i </w:t>
      </w:r>
      <w:proofErr w:type="spellStart"/>
      <w:r w:rsidRPr="00783B4B">
        <w:rPr>
          <w:i/>
          <w:iCs/>
          <w:sz w:val="22"/>
          <w:szCs w:val="22"/>
          <w:lang w:val="sr-Latn-ME"/>
        </w:rPr>
        <w:t>McCune</w:t>
      </w:r>
      <w:proofErr w:type="spellEnd"/>
      <w:r w:rsidRPr="00783B4B">
        <w:rPr>
          <w:i/>
          <w:iCs/>
          <w:sz w:val="22"/>
          <w:szCs w:val="22"/>
          <w:lang w:val="sr-Latn-ME"/>
        </w:rPr>
        <w:t xml:space="preserve">- </w:t>
      </w:r>
      <w:proofErr w:type="spellStart"/>
      <w:r w:rsidRPr="00783B4B">
        <w:rPr>
          <w:i/>
          <w:iCs/>
          <w:sz w:val="22"/>
          <w:szCs w:val="22"/>
          <w:lang w:val="sr-Latn-ME"/>
        </w:rPr>
        <w:t>Albright</w:t>
      </w:r>
      <w:proofErr w:type="spellEnd"/>
      <w:r w:rsidRPr="00783B4B">
        <w:rPr>
          <w:sz w:val="22"/>
          <w:szCs w:val="22"/>
          <w:lang w:val="sr-Latn-ME"/>
        </w:rPr>
        <w:t xml:space="preserve"> sindroma (vidjeti </w:t>
      </w:r>
      <w:r w:rsidR="003F169C" w:rsidRPr="00783B4B">
        <w:rPr>
          <w:sz w:val="22"/>
          <w:szCs w:val="22"/>
          <w:lang w:val="sr-Latn-ME"/>
        </w:rPr>
        <w:t>od</w:t>
      </w:r>
      <w:r w:rsidR="00A45CA1" w:rsidRPr="00783B4B">
        <w:rPr>
          <w:sz w:val="22"/>
          <w:szCs w:val="22"/>
          <w:lang w:val="sr-Latn-ME"/>
        </w:rPr>
        <w:t>j</w:t>
      </w:r>
      <w:r w:rsidR="003F169C" w:rsidRPr="00783B4B">
        <w:rPr>
          <w:sz w:val="22"/>
          <w:szCs w:val="22"/>
          <w:lang w:val="sr-Latn-ME"/>
        </w:rPr>
        <w:t xml:space="preserve">eljak </w:t>
      </w:r>
      <w:r w:rsidRPr="00783B4B">
        <w:rPr>
          <w:sz w:val="22"/>
          <w:szCs w:val="22"/>
          <w:lang w:val="sr-Latn-ME"/>
        </w:rPr>
        <w:t>4.2).</w:t>
      </w:r>
    </w:p>
    <w:p w14:paraId="61B41212" w14:textId="40B9EFFB" w:rsidR="004030DC" w:rsidRPr="00783B4B" w:rsidRDefault="004030DC" w:rsidP="00783B4B">
      <w:pPr>
        <w:pStyle w:val="Header"/>
        <w:jc w:val="both"/>
        <w:rPr>
          <w:iCs/>
          <w:sz w:val="22"/>
          <w:szCs w:val="22"/>
          <w:u w:val="single"/>
          <w:lang w:val="sr-Latn-ME"/>
        </w:rPr>
      </w:pPr>
      <w:r w:rsidRPr="00783B4B">
        <w:rPr>
          <w:iCs/>
          <w:sz w:val="22"/>
          <w:szCs w:val="22"/>
          <w:u w:val="single"/>
          <w:lang w:val="sr-Latn-ME"/>
        </w:rPr>
        <w:lastRenderedPageBreak/>
        <w:t xml:space="preserve">Nizak rast </w:t>
      </w:r>
      <w:proofErr w:type="spellStart"/>
      <w:r w:rsidRPr="00783B4B">
        <w:rPr>
          <w:iCs/>
          <w:sz w:val="22"/>
          <w:szCs w:val="22"/>
          <w:u w:val="single"/>
          <w:lang w:val="sr-Latn-ME"/>
        </w:rPr>
        <w:t>usljed</w:t>
      </w:r>
      <w:proofErr w:type="spellEnd"/>
      <w:r w:rsidRPr="00783B4B">
        <w:rPr>
          <w:iCs/>
          <w:sz w:val="22"/>
          <w:szCs w:val="22"/>
          <w:u w:val="single"/>
          <w:lang w:val="sr-Latn-ME"/>
        </w:rPr>
        <w:t xml:space="preserve"> nedostatka hormona rasta</w:t>
      </w:r>
      <w:r w:rsidR="003F169C" w:rsidRPr="00783B4B">
        <w:rPr>
          <w:iCs/>
          <w:sz w:val="22"/>
          <w:szCs w:val="22"/>
          <w:u w:val="single"/>
          <w:lang w:val="sr-Latn-ME"/>
        </w:rPr>
        <w:t xml:space="preserve"> (</w:t>
      </w:r>
      <w:proofErr w:type="spellStart"/>
      <w:r w:rsidR="003F169C" w:rsidRPr="00783B4B">
        <w:rPr>
          <w:iCs/>
          <w:sz w:val="22"/>
          <w:szCs w:val="22"/>
          <w:u w:val="single"/>
          <w:lang w:val="sr-Latn-ME"/>
        </w:rPr>
        <w:t>NHR</w:t>
      </w:r>
      <w:proofErr w:type="spellEnd"/>
      <w:r w:rsidR="003F169C" w:rsidRPr="00783B4B">
        <w:rPr>
          <w:iCs/>
          <w:sz w:val="22"/>
          <w:szCs w:val="22"/>
          <w:u w:val="single"/>
          <w:lang w:val="sr-Latn-ME"/>
        </w:rPr>
        <w:t>)</w:t>
      </w:r>
    </w:p>
    <w:p w14:paraId="3838369F" w14:textId="77777777" w:rsidR="00FE4CE0" w:rsidRPr="00783B4B" w:rsidRDefault="00FE4CE0" w:rsidP="00783B4B">
      <w:pPr>
        <w:pStyle w:val="Header"/>
        <w:jc w:val="both"/>
        <w:rPr>
          <w:iCs/>
          <w:sz w:val="22"/>
          <w:szCs w:val="22"/>
          <w:u w:val="single"/>
          <w:lang w:val="sr-Latn-ME"/>
        </w:rPr>
      </w:pPr>
    </w:p>
    <w:p w14:paraId="1A494FF5" w14:textId="2AAD26BC" w:rsidR="004030DC" w:rsidRPr="00783B4B" w:rsidRDefault="00844B87" w:rsidP="00783B4B">
      <w:pPr>
        <w:pStyle w:val="Header"/>
        <w:jc w:val="both"/>
        <w:rPr>
          <w:sz w:val="22"/>
          <w:szCs w:val="22"/>
          <w:lang w:val="sr-Latn-ME"/>
        </w:rPr>
      </w:pPr>
      <w:proofErr w:type="spellStart"/>
      <w:r w:rsidRPr="00783B4B">
        <w:rPr>
          <w:sz w:val="22"/>
          <w:szCs w:val="22"/>
          <w:lang w:val="sr-Latn-ME"/>
        </w:rPr>
        <w:t>R</w:t>
      </w:r>
      <w:r w:rsidR="004030DC" w:rsidRPr="00783B4B">
        <w:rPr>
          <w:sz w:val="22"/>
          <w:szCs w:val="22"/>
          <w:lang w:val="sr-Latn-ME"/>
        </w:rPr>
        <w:t>andomizovana</w:t>
      </w:r>
      <w:proofErr w:type="spellEnd"/>
      <w:r w:rsidR="004030DC" w:rsidRPr="00783B4B">
        <w:rPr>
          <w:sz w:val="22"/>
          <w:szCs w:val="22"/>
          <w:lang w:val="sr-Latn-ME"/>
        </w:rPr>
        <w:t xml:space="preserve">, dvostruko-slijepa, </w:t>
      </w:r>
      <w:proofErr w:type="spellStart"/>
      <w:r w:rsidR="004030DC" w:rsidRPr="00783B4B">
        <w:rPr>
          <w:sz w:val="22"/>
          <w:szCs w:val="22"/>
          <w:lang w:val="sr-Latn-ME"/>
        </w:rPr>
        <w:t>multicentrična</w:t>
      </w:r>
      <w:proofErr w:type="spellEnd"/>
      <w:r w:rsidR="004030DC" w:rsidRPr="00783B4B">
        <w:rPr>
          <w:sz w:val="22"/>
          <w:szCs w:val="22"/>
          <w:lang w:val="sr-Latn-ME"/>
        </w:rPr>
        <w:t xml:space="preserve"> studija </w:t>
      </w:r>
      <w:r w:rsidRPr="00783B4B">
        <w:rPr>
          <w:sz w:val="22"/>
          <w:szCs w:val="22"/>
          <w:lang w:val="sr-Latn-ME"/>
        </w:rPr>
        <w:t xml:space="preserve">pokazala je </w:t>
      </w:r>
      <w:r w:rsidR="004030DC" w:rsidRPr="00783B4B">
        <w:rPr>
          <w:sz w:val="22"/>
          <w:szCs w:val="22"/>
          <w:lang w:val="sr-Latn-ME"/>
        </w:rPr>
        <w:t>52 dječaka u pubertetu (uzrasta od</w:t>
      </w:r>
      <w:r w:rsidR="0088545A" w:rsidRPr="00783B4B">
        <w:rPr>
          <w:sz w:val="22"/>
          <w:szCs w:val="22"/>
          <w:lang w:val="sr-Latn-ME"/>
        </w:rPr>
        <w:t xml:space="preserve"> </w:t>
      </w:r>
      <w:r w:rsidR="004030DC" w:rsidRPr="00783B4B">
        <w:rPr>
          <w:sz w:val="22"/>
          <w:szCs w:val="22"/>
          <w:lang w:val="sr-Latn-ME"/>
        </w:rPr>
        <w:t>11</w:t>
      </w:r>
      <w:r w:rsidR="00B007AF" w:rsidRPr="00783B4B">
        <w:rPr>
          <w:sz w:val="22"/>
          <w:szCs w:val="22"/>
          <w:lang w:val="sr-Latn-ME"/>
        </w:rPr>
        <w:t xml:space="preserve"> zaključno sa </w:t>
      </w:r>
      <w:r w:rsidR="004030DC" w:rsidRPr="00783B4B">
        <w:rPr>
          <w:sz w:val="22"/>
          <w:szCs w:val="22"/>
          <w:lang w:val="sr-Latn-ME"/>
        </w:rPr>
        <w:t xml:space="preserve">16 godina) sa </w:t>
      </w:r>
      <w:proofErr w:type="spellStart"/>
      <w:r w:rsidR="00B007AF" w:rsidRPr="00783B4B">
        <w:rPr>
          <w:sz w:val="22"/>
          <w:szCs w:val="22"/>
          <w:lang w:val="sr-Latn-ME"/>
        </w:rPr>
        <w:t>NHR</w:t>
      </w:r>
      <w:proofErr w:type="spellEnd"/>
      <w:r w:rsidR="004030DC" w:rsidRPr="00783B4B">
        <w:rPr>
          <w:sz w:val="22"/>
          <w:szCs w:val="22"/>
          <w:lang w:val="sr-Latn-ME"/>
        </w:rPr>
        <w:t xml:space="preserve">, koji su </w:t>
      </w:r>
      <w:r w:rsidR="00B007AF" w:rsidRPr="00783B4B">
        <w:rPr>
          <w:sz w:val="22"/>
          <w:szCs w:val="22"/>
          <w:lang w:val="sr-Latn-ME"/>
        </w:rPr>
        <w:t>l</w:t>
      </w:r>
      <w:r w:rsidR="00A45CA1" w:rsidRPr="00783B4B">
        <w:rPr>
          <w:sz w:val="22"/>
          <w:szCs w:val="22"/>
          <w:lang w:val="sr-Latn-ME"/>
        </w:rPr>
        <w:t>ij</w:t>
      </w:r>
      <w:r w:rsidR="00B007AF" w:rsidRPr="00783B4B">
        <w:rPr>
          <w:sz w:val="22"/>
          <w:szCs w:val="22"/>
          <w:lang w:val="sr-Latn-ME"/>
        </w:rPr>
        <w:t>ečeni</w:t>
      </w:r>
      <w:r w:rsidR="004030DC" w:rsidRPr="00783B4B">
        <w:rPr>
          <w:sz w:val="22"/>
          <w:szCs w:val="22"/>
          <w:lang w:val="sr-Latn-ME"/>
        </w:rPr>
        <w:t xml:space="preserve"> </w:t>
      </w:r>
      <w:r w:rsidR="00556269" w:rsidRPr="00783B4B">
        <w:rPr>
          <w:sz w:val="22"/>
          <w:szCs w:val="22"/>
          <w:lang w:val="sr-Latn-ME"/>
        </w:rPr>
        <w:t>od 12 do 36 mjeseci sa</w:t>
      </w:r>
      <w:r w:rsidR="004030DC" w:rsidRPr="00783B4B">
        <w:rPr>
          <w:sz w:val="22"/>
          <w:szCs w:val="22"/>
          <w:lang w:val="sr-Latn-ME"/>
        </w:rPr>
        <w:t xml:space="preserve"> </w:t>
      </w:r>
      <w:proofErr w:type="spellStart"/>
      <w:r w:rsidR="004030DC" w:rsidRPr="00783B4B">
        <w:rPr>
          <w:sz w:val="22"/>
          <w:szCs w:val="22"/>
          <w:lang w:val="sr-Latn-ME"/>
        </w:rPr>
        <w:t>anastrozolom</w:t>
      </w:r>
      <w:proofErr w:type="spellEnd"/>
      <w:r w:rsidR="004030DC" w:rsidRPr="00783B4B">
        <w:rPr>
          <w:sz w:val="22"/>
          <w:szCs w:val="22"/>
          <w:lang w:val="sr-Latn-ME"/>
        </w:rPr>
        <w:t xml:space="preserve"> </w:t>
      </w:r>
      <w:r w:rsidR="00556269" w:rsidRPr="00783B4B">
        <w:rPr>
          <w:sz w:val="22"/>
          <w:szCs w:val="22"/>
          <w:lang w:val="sr-Latn-ME"/>
        </w:rPr>
        <w:t xml:space="preserve">u dozi od </w:t>
      </w:r>
      <w:r w:rsidR="004030DC" w:rsidRPr="00783B4B">
        <w:rPr>
          <w:sz w:val="22"/>
          <w:szCs w:val="22"/>
          <w:lang w:val="sr-Latn-ME"/>
        </w:rPr>
        <w:t>1 mg</w:t>
      </w:r>
      <w:r w:rsidR="00556269" w:rsidRPr="00783B4B">
        <w:rPr>
          <w:sz w:val="22"/>
          <w:szCs w:val="22"/>
          <w:lang w:val="sr-Latn-ME"/>
        </w:rPr>
        <w:t>/</w:t>
      </w:r>
      <w:r w:rsidR="004030DC" w:rsidRPr="00783B4B">
        <w:rPr>
          <w:sz w:val="22"/>
          <w:szCs w:val="22"/>
          <w:lang w:val="sr-Latn-ME"/>
        </w:rPr>
        <w:t xml:space="preserve">dnevno ili </w:t>
      </w:r>
      <w:proofErr w:type="spellStart"/>
      <w:r w:rsidR="007846F6" w:rsidRPr="00783B4B">
        <w:rPr>
          <w:sz w:val="22"/>
          <w:szCs w:val="22"/>
          <w:lang w:val="sr-Latn-ME"/>
        </w:rPr>
        <w:t>placebom</w:t>
      </w:r>
      <w:proofErr w:type="spellEnd"/>
      <w:r w:rsidR="004030DC" w:rsidRPr="00783B4B">
        <w:rPr>
          <w:sz w:val="22"/>
          <w:szCs w:val="22"/>
          <w:lang w:val="sr-Latn-ME"/>
        </w:rPr>
        <w:t xml:space="preserve">, u kombinaciji sa hormonom rasta. Samo 14 </w:t>
      </w:r>
      <w:r w:rsidR="007846F6" w:rsidRPr="00783B4B">
        <w:rPr>
          <w:sz w:val="22"/>
          <w:szCs w:val="22"/>
          <w:lang w:val="sr-Latn-ME"/>
        </w:rPr>
        <w:t>pacijenata koji su uzimali</w:t>
      </w:r>
      <w:r w:rsidR="00FA4437" w:rsidRPr="00783B4B">
        <w:rPr>
          <w:sz w:val="22"/>
          <w:szCs w:val="22"/>
          <w:lang w:val="sr-Latn-ME"/>
        </w:rPr>
        <w:t xml:space="preserve"> </w:t>
      </w:r>
      <w:proofErr w:type="spellStart"/>
      <w:r w:rsidR="004030DC" w:rsidRPr="00783B4B">
        <w:rPr>
          <w:sz w:val="22"/>
          <w:szCs w:val="22"/>
          <w:lang w:val="sr-Latn-ME"/>
        </w:rPr>
        <w:t>anastrozol</w:t>
      </w:r>
      <w:proofErr w:type="spellEnd"/>
      <w:r w:rsidR="0088545A" w:rsidRPr="00783B4B">
        <w:rPr>
          <w:sz w:val="22"/>
          <w:szCs w:val="22"/>
          <w:lang w:val="sr-Latn-ME"/>
        </w:rPr>
        <w:t xml:space="preserve"> </w:t>
      </w:r>
      <w:r w:rsidR="004E7200" w:rsidRPr="00783B4B">
        <w:rPr>
          <w:sz w:val="22"/>
          <w:szCs w:val="22"/>
          <w:lang w:val="sr-Latn-ME"/>
        </w:rPr>
        <w:t>su bili u studiji svih</w:t>
      </w:r>
      <w:r w:rsidR="004030DC" w:rsidRPr="00783B4B">
        <w:rPr>
          <w:sz w:val="22"/>
          <w:szCs w:val="22"/>
          <w:lang w:val="sr-Latn-ME"/>
        </w:rPr>
        <w:t xml:space="preserve"> 36 mjeseci.</w:t>
      </w:r>
    </w:p>
    <w:p w14:paraId="098D3B28" w14:textId="77777777" w:rsidR="004030DC" w:rsidRPr="00783B4B" w:rsidRDefault="004030DC" w:rsidP="00783B4B">
      <w:pPr>
        <w:pStyle w:val="Header"/>
        <w:jc w:val="both"/>
        <w:rPr>
          <w:sz w:val="22"/>
          <w:szCs w:val="22"/>
          <w:lang w:val="sr-Latn-ME"/>
        </w:rPr>
      </w:pPr>
    </w:p>
    <w:p w14:paraId="6AAE3F22" w14:textId="7AF4E1B4" w:rsidR="0034305F" w:rsidRPr="00783B4B" w:rsidRDefault="003C62A5" w:rsidP="00783B4B">
      <w:pPr>
        <w:pStyle w:val="Header"/>
        <w:jc w:val="both"/>
        <w:rPr>
          <w:sz w:val="22"/>
          <w:szCs w:val="22"/>
          <w:lang w:val="sr-Latn-ME"/>
        </w:rPr>
      </w:pPr>
      <w:r w:rsidRPr="00783B4B">
        <w:rPr>
          <w:sz w:val="22"/>
          <w:szCs w:val="22"/>
          <w:lang w:val="sr-Latn-ME"/>
        </w:rPr>
        <w:t>Nije zab</w:t>
      </w:r>
      <w:r w:rsidR="00A45CA1" w:rsidRPr="00783B4B">
        <w:rPr>
          <w:sz w:val="22"/>
          <w:szCs w:val="22"/>
          <w:lang w:val="sr-Latn-ME"/>
        </w:rPr>
        <w:t>i</w:t>
      </w:r>
      <w:r w:rsidRPr="00783B4B">
        <w:rPr>
          <w:sz w:val="22"/>
          <w:szCs w:val="22"/>
          <w:lang w:val="sr-Latn-ME"/>
        </w:rPr>
        <w:t>l</w:t>
      </w:r>
      <w:r w:rsidR="00A45CA1" w:rsidRPr="00783B4B">
        <w:rPr>
          <w:sz w:val="22"/>
          <w:szCs w:val="22"/>
          <w:lang w:val="sr-Latn-ME"/>
        </w:rPr>
        <w:t>j</w:t>
      </w:r>
      <w:r w:rsidRPr="00783B4B">
        <w:rPr>
          <w:sz w:val="22"/>
          <w:szCs w:val="22"/>
          <w:lang w:val="sr-Latn-ME"/>
        </w:rPr>
        <w:t xml:space="preserve">ežena statistički značajna razlika u odnosu na </w:t>
      </w:r>
      <w:proofErr w:type="spellStart"/>
      <w:r w:rsidRPr="00783B4B">
        <w:rPr>
          <w:sz w:val="22"/>
          <w:szCs w:val="22"/>
          <w:lang w:val="sr-Latn-ME"/>
        </w:rPr>
        <w:t>placebo</w:t>
      </w:r>
      <w:proofErr w:type="spellEnd"/>
      <w:r w:rsidRPr="00783B4B">
        <w:rPr>
          <w:sz w:val="22"/>
          <w:szCs w:val="22"/>
          <w:lang w:val="sr-Latn-ME"/>
        </w:rPr>
        <w:t xml:space="preserve"> za parametre vezane za rast </w:t>
      </w:r>
      <w:r w:rsidR="004F0CA3" w:rsidRPr="00783B4B">
        <w:rPr>
          <w:sz w:val="22"/>
          <w:szCs w:val="22"/>
          <w:lang w:val="sr-Latn-ME"/>
        </w:rPr>
        <w:t xml:space="preserve">- </w:t>
      </w:r>
      <w:r w:rsidRPr="00783B4B">
        <w:rPr>
          <w:sz w:val="22"/>
          <w:szCs w:val="22"/>
          <w:lang w:val="sr-Latn-ME"/>
        </w:rPr>
        <w:t xml:space="preserve">predviđena visina </w:t>
      </w:r>
      <w:r w:rsidR="004F0CA3" w:rsidRPr="00783B4B">
        <w:rPr>
          <w:sz w:val="22"/>
          <w:szCs w:val="22"/>
          <w:lang w:val="sr-Latn-ME"/>
        </w:rPr>
        <w:t xml:space="preserve">u </w:t>
      </w:r>
      <w:r w:rsidRPr="00783B4B">
        <w:rPr>
          <w:sz w:val="22"/>
          <w:szCs w:val="22"/>
          <w:lang w:val="sr-Latn-ME"/>
        </w:rPr>
        <w:t>odrasl</w:t>
      </w:r>
      <w:r w:rsidR="004F0CA3" w:rsidRPr="00783B4B">
        <w:rPr>
          <w:sz w:val="22"/>
          <w:szCs w:val="22"/>
          <w:lang w:val="sr-Latn-ME"/>
        </w:rPr>
        <w:t>om dobu</w:t>
      </w:r>
      <w:r w:rsidRPr="00783B4B">
        <w:rPr>
          <w:sz w:val="22"/>
          <w:szCs w:val="22"/>
          <w:lang w:val="sr-Latn-ME"/>
        </w:rPr>
        <w:t>, visin</w:t>
      </w:r>
      <w:r w:rsidR="004F0CA3" w:rsidRPr="00783B4B">
        <w:rPr>
          <w:sz w:val="22"/>
          <w:szCs w:val="22"/>
          <w:lang w:val="sr-Latn-ME"/>
        </w:rPr>
        <w:t>a</w:t>
      </w:r>
      <w:r w:rsidRPr="00783B4B">
        <w:rPr>
          <w:sz w:val="22"/>
          <w:szCs w:val="22"/>
          <w:lang w:val="sr-Latn-ME"/>
        </w:rPr>
        <w:t>, visin</w:t>
      </w:r>
      <w:r w:rsidR="004F0CA3" w:rsidRPr="00783B4B">
        <w:rPr>
          <w:sz w:val="22"/>
          <w:szCs w:val="22"/>
          <w:lang w:val="sr-Latn-ME"/>
        </w:rPr>
        <w:t>a</w:t>
      </w:r>
      <w:r w:rsidRPr="00783B4B">
        <w:rPr>
          <w:sz w:val="22"/>
          <w:szCs w:val="22"/>
          <w:lang w:val="sr-Latn-ME"/>
        </w:rPr>
        <w:t xml:space="preserve"> </w:t>
      </w:r>
      <w:proofErr w:type="spellStart"/>
      <w:r w:rsidRPr="00783B4B">
        <w:rPr>
          <w:sz w:val="22"/>
          <w:szCs w:val="22"/>
          <w:lang w:val="sr-Latn-ME"/>
        </w:rPr>
        <w:t>SDS</w:t>
      </w:r>
      <w:proofErr w:type="spellEnd"/>
      <w:r w:rsidRPr="00783B4B">
        <w:rPr>
          <w:sz w:val="22"/>
          <w:szCs w:val="22"/>
          <w:lang w:val="sr-Latn-ME"/>
        </w:rPr>
        <w:t xml:space="preserve"> (</w:t>
      </w:r>
      <w:r w:rsidR="0065097A" w:rsidRPr="00783B4B">
        <w:rPr>
          <w:sz w:val="22"/>
          <w:szCs w:val="22"/>
          <w:lang w:val="sr-Latn-ME"/>
        </w:rPr>
        <w:t>skor standardne devijacije</w:t>
      </w:r>
      <w:r w:rsidRPr="00783B4B">
        <w:rPr>
          <w:sz w:val="22"/>
          <w:szCs w:val="22"/>
          <w:lang w:val="sr-Latn-ME"/>
        </w:rPr>
        <w:t>) i brzin</w:t>
      </w:r>
      <w:r w:rsidR="0065097A" w:rsidRPr="00783B4B">
        <w:rPr>
          <w:sz w:val="22"/>
          <w:szCs w:val="22"/>
          <w:lang w:val="sr-Latn-ME"/>
        </w:rPr>
        <w:t>a</w:t>
      </w:r>
      <w:r w:rsidRPr="00783B4B">
        <w:rPr>
          <w:sz w:val="22"/>
          <w:szCs w:val="22"/>
          <w:lang w:val="sr-Latn-ME"/>
        </w:rPr>
        <w:t xml:space="preserve"> rasta.</w:t>
      </w:r>
      <w:r w:rsidR="0065097A" w:rsidRPr="00783B4B">
        <w:rPr>
          <w:sz w:val="22"/>
          <w:szCs w:val="22"/>
          <w:lang w:val="sr-Latn-ME"/>
        </w:rPr>
        <w:t xml:space="preserve"> Konačni podaci o visini nijesu </w:t>
      </w:r>
      <w:r w:rsidR="00020E8A" w:rsidRPr="00783B4B">
        <w:rPr>
          <w:sz w:val="22"/>
          <w:szCs w:val="22"/>
          <w:lang w:val="sr-Latn-ME"/>
        </w:rPr>
        <w:t xml:space="preserve">bili </w:t>
      </w:r>
      <w:r w:rsidR="0065097A" w:rsidRPr="00783B4B">
        <w:rPr>
          <w:sz w:val="22"/>
          <w:szCs w:val="22"/>
          <w:lang w:val="sr-Latn-ME"/>
        </w:rPr>
        <w:t xml:space="preserve">dostupni. </w:t>
      </w:r>
      <w:r w:rsidR="0034305F" w:rsidRPr="00783B4B">
        <w:rPr>
          <w:sz w:val="22"/>
          <w:szCs w:val="22"/>
          <w:lang w:val="sr-Latn-ME"/>
        </w:rPr>
        <w:t>Dok je broj l</w:t>
      </w:r>
      <w:r w:rsidR="00A45CA1" w:rsidRPr="00783B4B">
        <w:rPr>
          <w:sz w:val="22"/>
          <w:szCs w:val="22"/>
          <w:lang w:val="sr-Latn-ME"/>
        </w:rPr>
        <w:t>ij</w:t>
      </w:r>
      <w:r w:rsidR="0034305F" w:rsidRPr="00783B4B">
        <w:rPr>
          <w:sz w:val="22"/>
          <w:szCs w:val="22"/>
          <w:lang w:val="sr-Latn-ME"/>
        </w:rPr>
        <w:t xml:space="preserve">ečene djece bio previše ograničen da bi se </w:t>
      </w:r>
      <w:r w:rsidR="004B4363" w:rsidRPr="00783B4B">
        <w:rPr>
          <w:sz w:val="22"/>
          <w:szCs w:val="22"/>
          <w:lang w:val="sr-Latn-ME"/>
        </w:rPr>
        <w:t>izvukli pouzdani</w:t>
      </w:r>
      <w:r w:rsidR="0034305F" w:rsidRPr="00783B4B">
        <w:rPr>
          <w:sz w:val="22"/>
          <w:szCs w:val="22"/>
          <w:lang w:val="sr-Latn-ME"/>
        </w:rPr>
        <w:t xml:space="preserve"> zaključci o bezbjednosti, </w:t>
      </w:r>
      <w:r w:rsidR="00A962D8" w:rsidRPr="00783B4B">
        <w:rPr>
          <w:sz w:val="22"/>
          <w:szCs w:val="22"/>
          <w:lang w:val="sr-Latn-ME"/>
        </w:rPr>
        <w:t xml:space="preserve">došlo se do podatka o </w:t>
      </w:r>
      <w:r w:rsidR="0034305F" w:rsidRPr="00783B4B">
        <w:rPr>
          <w:sz w:val="22"/>
          <w:szCs w:val="22"/>
          <w:lang w:val="sr-Latn-ME"/>
        </w:rPr>
        <w:t>povećan</w:t>
      </w:r>
      <w:r w:rsidR="00A962D8" w:rsidRPr="00783B4B">
        <w:rPr>
          <w:sz w:val="22"/>
          <w:szCs w:val="22"/>
          <w:lang w:val="sr-Latn-ME"/>
        </w:rPr>
        <w:t>oj</w:t>
      </w:r>
      <w:r w:rsidR="0034305F" w:rsidRPr="00783B4B">
        <w:rPr>
          <w:sz w:val="22"/>
          <w:szCs w:val="22"/>
          <w:lang w:val="sr-Latn-ME"/>
        </w:rPr>
        <w:t xml:space="preserve"> stop</w:t>
      </w:r>
      <w:r w:rsidR="00A962D8" w:rsidRPr="00783B4B">
        <w:rPr>
          <w:sz w:val="22"/>
          <w:szCs w:val="22"/>
          <w:lang w:val="sr-Latn-ME"/>
        </w:rPr>
        <w:t>i</w:t>
      </w:r>
      <w:r w:rsidR="0034305F" w:rsidRPr="00783B4B">
        <w:rPr>
          <w:sz w:val="22"/>
          <w:szCs w:val="22"/>
          <w:lang w:val="sr-Latn-ME"/>
        </w:rPr>
        <w:t xml:space="preserve"> </w:t>
      </w:r>
      <w:proofErr w:type="spellStart"/>
      <w:r w:rsidR="00D74622" w:rsidRPr="00783B4B">
        <w:rPr>
          <w:sz w:val="22"/>
          <w:szCs w:val="22"/>
          <w:lang w:val="sr-Latn-ME"/>
        </w:rPr>
        <w:t>preloma</w:t>
      </w:r>
      <w:proofErr w:type="spellEnd"/>
      <w:r w:rsidR="0034305F" w:rsidRPr="00783B4B">
        <w:rPr>
          <w:sz w:val="22"/>
          <w:szCs w:val="22"/>
          <w:lang w:val="sr-Latn-ME"/>
        </w:rPr>
        <w:t xml:space="preserve"> i trend</w:t>
      </w:r>
      <w:r w:rsidR="00D74622" w:rsidRPr="00783B4B">
        <w:rPr>
          <w:sz w:val="22"/>
          <w:szCs w:val="22"/>
          <w:lang w:val="sr-Latn-ME"/>
        </w:rPr>
        <w:t>u</w:t>
      </w:r>
      <w:r w:rsidR="0034305F" w:rsidRPr="00783B4B">
        <w:rPr>
          <w:sz w:val="22"/>
          <w:szCs w:val="22"/>
          <w:lang w:val="sr-Latn-ME"/>
        </w:rPr>
        <w:t xml:space="preserve"> smanjenja gustine ko</w:t>
      </w:r>
      <w:r w:rsidR="00D74622" w:rsidRPr="00783B4B">
        <w:rPr>
          <w:sz w:val="22"/>
          <w:szCs w:val="22"/>
          <w:lang w:val="sr-Latn-ME"/>
        </w:rPr>
        <w:t>štane</w:t>
      </w:r>
      <w:r w:rsidR="0034305F" w:rsidRPr="00783B4B">
        <w:rPr>
          <w:sz w:val="22"/>
          <w:szCs w:val="22"/>
          <w:lang w:val="sr-Latn-ME"/>
        </w:rPr>
        <w:t xml:space="preserve"> </w:t>
      </w:r>
      <w:r w:rsidR="00D74622" w:rsidRPr="00783B4B">
        <w:rPr>
          <w:sz w:val="22"/>
          <w:szCs w:val="22"/>
          <w:lang w:val="sr-Latn-ME"/>
        </w:rPr>
        <w:t>mase</w:t>
      </w:r>
      <w:r w:rsidR="0034305F" w:rsidRPr="00783B4B">
        <w:rPr>
          <w:sz w:val="22"/>
          <w:szCs w:val="22"/>
          <w:lang w:val="sr-Latn-ME"/>
        </w:rPr>
        <w:t xml:space="preserve"> u </w:t>
      </w:r>
      <w:r w:rsidR="00D74622" w:rsidRPr="00783B4B">
        <w:rPr>
          <w:sz w:val="22"/>
          <w:szCs w:val="22"/>
          <w:lang w:val="sr-Latn-ME"/>
        </w:rPr>
        <w:t xml:space="preserve">grupi koja je uzimala </w:t>
      </w:r>
      <w:proofErr w:type="spellStart"/>
      <w:r w:rsidR="0034305F" w:rsidRPr="00783B4B">
        <w:rPr>
          <w:sz w:val="22"/>
          <w:szCs w:val="22"/>
          <w:lang w:val="sr-Latn-ME"/>
        </w:rPr>
        <w:t>anastrozol</w:t>
      </w:r>
      <w:proofErr w:type="spellEnd"/>
      <w:r w:rsidR="0034305F" w:rsidRPr="00783B4B">
        <w:rPr>
          <w:sz w:val="22"/>
          <w:szCs w:val="22"/>
          <w:lang w:val="sr-Latn-ME"/>
        </w:rPr>
        <w:t xml:space="preserve"> u </w:t>
      </w:r>
      <w:r w:rsidR="00006672" w:rsidRPr="00783B4B">
        <w:rPr>
          <w:sz w:val="22"/>
          <w:szCs w:val="22"/>
          <w:lang w:val="sr-Latn-ME"/>
        </w:rPr>
        <w:t>poređenju sa</w:t>
      </w:r>
      <w:r w:rsidR="0034305F" w:rsidRPr="00783B4B">
        <w:rPr>
          <w:sz w:val="22"/>
          <w:szCs w:val="22"/>
          <w:lang w:val="sr-Latn-ME"/>
        </w:rPr>
        <w:t xml:space="preserve"> </w:t>
      </w:r>
      <w:proofErr w:type="spellStart"/>
      <w:r w:rsidR="0034305F" w:rsidRPr="00783B4B">
        <w:rPr>
          <w:sz w:val="22"/>
          <w:szCs w:val="22"/>
          <w:lang w:val="sr-Latn-ME"/>
        </w:rPr>
        <w:t>placebo</w:t>
      </w:r>
      <w:r w:rsidR="00006672" w:rsidRPr="00783B4B">
        <w:rPr>
          <w:sz w:val="22"/>
          <w:szCs w:val="22"/>
          <w:lang w:val="sr-Latn-ME"/>
        </w:rPr>
        <w:t>m</w:t>
      </w:r>
      <w:proofErr w:type="spellEnd"/>
      <w:r w:rsidR="0034305F" w:rsidRPr="00783B4B">
        <w:rPr>
          <w:sz w:val="22"/>
          <w:szCs w:val="22"/>
          <w:lang w:val="sr-Latn-ME"/>
        </w:rPr>
        <w:t>.</w:t>
      </w:r>
    </w:p>
    <w:p w14:paraId="7F154E26" w14:textId="77777777" w:rsidR="004030DC" w:rsidRPr="00783B4B" w:rsidRDefault="004030DC" w:rsidP="00783B4B">
      <w:pPr>
        <w:autoSpaceDE w:val="0"/>
        <w:autoSpaceDN w:val="0"/>
        <w:adjustRightInd w:val="0"/>
        <w:rPr>
          <w:sz w:val="22"/>
          <w:szCs w:val="22"/>
          <w:lang w:val="sr-Latn-ME"/>
        </w:rPr>
      </w:pPr>
    </w:p>
    <w:p w14:paraId="6F63F74C" w14:textId="1A567D0A" w:rsidR="004030DC" w:rsidRPr="00783B4B" w:rsidRDefault="004030DC" w:rsidP="00783B4B">
      <w:pPr>
        <w:autoSpaceDE w:val="0"/>
        <w:autoSpaceDN w:val="0"/>
        <w:adjustRightInd w:val="0"/>
        <w:jc w:val="both"/>
        <w:rPr>
          <w:sz w:val="22"/>
          <w:szCs w:val="22"/>
          <w:u w:val="single"/>
          <w:lang w:val="sr-Latn-ME"/>
        </w:rPr>
      </w:pPr>
      <w:proofErr w:type="spellStart"/>
      <w:r w:rsidRPr="00783B4B">
        <w:rPr>
          <w:sz w:val="22"/>
          <w:szCs w:val="22"/>
          <w:u w:val="single"/>
          <w:lang w:val="sr-Latn-ME"/>
        </w:rPr>
        <w:t>Testotoksikoza</w:t>
      </w:r>
      <w:proofErr w:type="spellEnd"/>
    </w:p>
    <w:p w14:paraId="0307B896" w14:textId="77777777" w:rsidR="00D83ADA" w:rsidRPr="00783B4B" w:rsidRDefault="00D83ADA" w:rsidP="00783B4B">
      <w:pPr>
        <w:autoSpaceDE w:val="0"/>
        <w:autoSpaceDN w:val="0"/>
        <w:adjustRightInd w:val="0"/>
        <w:jc w:val="both"/>
        <w:rPr>
          <w:sz w:val="22"/>
          <w:szCs w:val="22"/>
          <w:u w:val="single"/>
          <w:lang w:val="sr-Latn-ME"/>
        </w:rPr>
      </w:pPr>
    </w:p>
    <w:p w14:paraId="197012E7" w14:textId="5FA7FE8D" w:rsidR="004030DC" w:rsidRPr="00783B4B" w:rsidRDefault="0033579A" w:rsidP="00783B4B">
      <w:pPr>
        <w:autoSpaceDE w:val="0"/>
        <w:autoSpaceDN w:val="0"/>
        <w:adjustRightInd w:val="0"/>
        <w:jc w:val="both"/>
        <w:rPr>
          <w:sz w:val="22"/>
          <w:szCs w:val="22"/>
          <w:lang w:val="sr-Latn-ME"/>
        </w:rPr>
      </w:pPr>
      <w:r w:rsidRPr="00783B4B">
        <w:rPr>
          <w:sz w:val="22"/>
          <w:szCs w:val="22"/>
          <w:lang w:val="sr-Latn-ME"/>
        </w:rPr>
        <w:t>O</w:t>
      </w:r>
      <w:r w:rsidR="004030DC" w:rsidRPr="00783B4B">
        <w:rPr>
          <w:sz w:val="22"/>
          <w:szCs w:val="22"/>
          <w:lang w:val="sr-Latn-ME"/>
        </w:rPr>
        <w:t>tvoren</w:t>
      </w:r>
      <w:r w:rsidRPr="00783B4B">
        <w:rPr>
          <w:sz w:val="22"/>
          <w:szCs w:val="22"/>
          <w:lang w:val="sr-Latn-ME"/>
        </w:rPr>
        <w:t>a</w:t>
      </w:r>
      <w:r w:rsidR="004030DC" w:rsidRPr="00783B4B">
        <w:rPr>
          <w:sz w:val="22"/>
          <w:szCs w:val="22"/>
          <w:lang w:val="sr-Latn-ME"/>
        </w:rPr>
        <w:t xml:space="preserve">, </w:t>
      </w:r>
      <w:proofErr w:type="spellStart"/>
      <w:r w:rsidR="004030DC" w:rsidRPr="00783B4B">
        <w:rPr>
          <w:sz w:val="22"/>
          <w:szCs w:val="22"/>
          <w:lang w:val="sr-Latn-ME"/>
        </w:rPr>
        <w:t>nekomparativn</w:t>
      </w:r>
      <w:r w:rsidR="00963927" w:rsidRPr="00783B4B">
        <w:rPr>
          <w:sz w:val="22"/>
          <w:szCs w:val="22"/>
          <w:lang w:val="sr-Latn-ME"/>
        </w:rPr>
        <w:t>a</w:t>
      </w:r>
      <w:proofErr w:type="spellEnd"/>
      <w:r w:rsidR="004030DC" w:rsidRPr="00783B4B">
        <w:rPr>
          <w:sz w:val="22"/>
          <w:szCs w:val="22"/>
          <w:lang w:val="sr-Latn-ME"/>
        </w:rPr>
        <w:t xml:space="preserve">, </w:t>
      </w:r>
      <w:proofErr w:type="spellStart"/>
      <w:r w:rsidR="004030DC" w:rsidRPr="00783B4B">
        <w:rPr>
          <w:sz w:val="22"/>
          <w:szCs w:val="22"/>
          <w:lang w:val="sr-Latn-ME"/>
        </w:rPr>
        <w:t>multicentričn</w:t>
      </w:r>
      <w:r w:rsidR="00963927" w:rsidRPr="00783B4B">
        <w:rPr>
          <w:sz w:val="22"/>
          <w:szCs w:val="22"/>
          <w:lang w:val="sr-Latn-ME"/>
        </w:rPr>
        <w:t>a</w:t>
      </w:r>
      <w:proofErr w:type="spellEnd"/>
      <w:r w:rsidR="004030DC" w:rsidRPr="00783B4B">
        <w:rPr>
          <w:sz w:val="22"/>
          <w:szCs w:val="22"/>
          <w:lang w:val="sr-Latn-ME"/>
        </w:rPr>
        <w:t xml:space="preserve"> studiji </w:t>
      </w:r>
      <w:r w:rsidR="00883F79" w:rsidRPr="00783B4B">
        <w:rPr>
          <w:sz w:val="22"/>
          <w:szCs w:val="22"/>
          <w:lang w:val="sr-Latn-ME"/>
        </w:rPr>
        <w:t>proc</w:t>
      </w:r>
      <w:r w:rsidR="00A45CA1" w:rsidRPr="00783B4B">
        <w:rPr>
          <w:sz w:val="22"/>
          <w:szCs w:val="22"/>
          <w:lang w:val="sr-Latn-ME"/>
        </w:rPr>
        <w:t>ij</w:t>
      </w:r>
      <w:r w:rsidR="00883F79" w:rsidRPr="00783B4B">
        <w:rPr>
          <w:sz w:val="22"/>
          <w:szCs w:val="22"/>
          <w:lang w:val="sr-Latn-ME"/>
        </w:rPr>
        <w:t>enila</w:t>
      </w:r>
      <w:r w:rsidR="004030DC" w:rsidRPr="00783B4B">
        <w:rPr>
          <w:sz w:val="22"/>
          <w:szCs w:val="22"/>
          <w:lang w:val="sr-Latn-ME"/>
        </w:rPr>
        <w:t xml:space="preserve"> je 14 </w:t>
      </w:r>
      <w:r w:rsidR="00DF3006" w:rsidRPr="00783B4B">
        <w:rPr>
          <w:sz w:val="22"/>
          <w:szCs w:val="22"/>
          <w:lang w:val="sr-Latn-ME"/>
        </w:rPr>
        <w:t xml:space="preserve">muških pacijenata (uzrasta </w:t>
      </w:r>
      <w:r w:rsidR="004030DC" w:rsidRPr="00783B4B">
        <w:rPr>
          <w:sz w:val="22"/>
          <w:szCs w:val="22"/>
          <w:lang w:val="sr-Latn-ME"/>
        </w:rPr>
        <w:t>od</w:t>
      </w:r>
      <w:r w:rsidR="0088545A" w:rsidRPr="00783B4B">
        <w:rPr>
          <w:sz w:val="22"/>
          <w:szCs w:val="22"/>
          <w:lang w:val="sr-Latn-ME"/>
        </w:rPr>
        <w:t xml:space="preserve"> </w:t>
      </w:r>
      <w:r w:rsidR="004030DC" w:rsidRPr="00783B4B">
        <w:rPr>
          <w:sz w:val="22"/>
          <w:szCs w:val="22"/>
          <w:lang w:val="sr-Latn-ME"/>
        </w:rPr>
        <w:t>2</w:t>
      </w:r>
      <w:r w:rsidR="00DF3006" w:rsidRPr="00783B4B">
        <w:rPr>
          <w:sz w:val="22"/>
          <w:szCs w:val="22"/>
          <w:lang w:val="sr-Latn-ME"/>
        </w:rPr>
        <w:t>-</w:t>
      </w:r>
      <w:r w:rsidR="004030DC" w:rsidRPr="00783B4B">
        <w:rPr>
          <w:sz w:val="22"/>
          <w:szCs w:val="22"/>
          <w:lang w:val="sr-Latn-ME"/>
        </w:rPr>
        <w:t xml:space="preserve">9 godina) sa porodičnom </w:t>
      </w:r>
      <w:r w:rsidR="00EA341C" w:rsidRPr="00783B4B">
        <w:rPr>
          <w:sz w:val="22"/>
          <w:szCs w:val="22"/>
          <w:lang w:val="sr-Latn-ME"/>
        </w:rPr>
        <w:t>pr</w:t>
      </w:r>
      <w:r w:rsidR="00011A20" w:rsidRPr="00783B4B">
        <w:rPr>
          <w:sz w:val="22"/>
          <w:szCs w:val="22"/>
          <w:lang w:val="sr-Latn-ME"/>
        </w:rPr>
        <w:t>ij</w:t>
      </w:r>
      <w:r w:rsidR="00EA341C" w:rsidRPr="00783B4B">
        <w:rPr>
          <w:sz w:val="22"/>
          <w:szCs w:val="22"/>
          <w:lang w:val="sr-Latn-ME"/>
        </w:rPr>
        <w:t xml:space="preserve">evremenim </w:t>
      </w:r>
      <w:r w:rsidR="004030DC" w:rsidRPr="00783B4B">
        <w:rPr>
          <w:sz w:val="22"/>
          <w:szCs w:val="22"/>
          <w:lang w:val="sr-Latn-ME"/>
        </w:rPr>
        <w:t xml:space="preserve">pubertetom, </w:t>
      </w:r>
      <w:r w:rsidR="00A611B7" w:rsidRPr="00783B4B">
        <w:rPr>
          <w:sz w:val="22"/>
          <w:szCs w:val="22"/>
          <w:lang w:val="sr-Latn-ME"/>
        </w:rPr>
        <w:t xml:space="preserve">takođe poznatim kao </w:t>
      </w:r>
      <w:proofErr w:type="spellStart"/>
      <w:r w:rsidR="00A611B7" w:rsidRPr="00783B4B">
        <w:rPr>
          <w:sz w:val="22"/>
          <w:szCs w:val="22"/>
          <w:lang w:val="sr-Latn-ME"/>
        </w:rPr>
        <w:t>testotoksikoza</w:t>
      </w:r>
      <w:proofErr w:type="spellEnd"/>
      <w:r w:rsidR="00A611B7" w:rsidRPr="00783B4B">
        <w:rPr>
          <w:sz w:val="22"/>
          <w:szCs w:val="22"/>
          <w:lang w:val="sr-Latn-ME"/>
        </w:rPr>
        <w:t>, koji su l</w:t>
      </w:r>
      <w:r w:rsidR="00A45CA1" w:rsidRPr="00783B4B">
        <w:rPr>
          <w:sz w:val="22"/>
          <w:szCs w:val="22"/>
          <w:lang w:val="sr-Latn-ME"/>
        </w:rPr>
        <w:t>ij</w:t>
      </w:r>
      <w:r w:rsidR="00A611B7" w:rsidRPr="00783B4B">
        <w:rPr>
          <w:sz w:val="22"/>
          <w:szCs w:val="22"/>
          <w:lang w:val="sr-Latn-ME"/>
        </w:rPr>
        <w:t>ečeni kombinacijom l</w:t>
      </w:r>
      <w:r w:rsidR="00A45CA1" w:rsidRPr="00783B4B">
        <w:rPr>
          <w:sz w:val="22"/>
          <w:szCs w:val="22"/>
          <w:lang w:val="sr-Latn-ME"/>
        </w:rPr>
        <w:t>ij</w:t>
      </w:r>
      <w:r w:rsidR="00A611B7" w:rsidRPr="00783B4B">
        <w:rPr>
          <w:sz w:val="22"/>
          <w:szCs w:val="22"/>
          <w:lang w:val="sr-Latn-ME"/>
        </w:rPr>
        <w:t xml:space="preserve">eka </w:t>
      </w:r>
      <w:proofErr w:type="spellStart"/>
      <w:r w:rsidR="00A611B7" w:rsidRPr="00783B4B">
        <w:rPr>
          <w:sz w:val="22"/>
          <w:szCs w:val="22"/>
          <w:lang w:val="sr-Latn-ME"/>
        </w:rPr>
        <w:t>Trasolette</w:t>
      </w:r>
      <w:proofErr w:type="spellEnd"/>
      <w:r w:rsidR="004030DC" w:rsidRPr="00783B4B">
        <w:rPr>
          <w:sz w:val="22"/>
          <w:szCs w:val="22"/>
          <w:lang w:val="sr-Latn-ME"/>
        </w:rPr>
        <w:t xml:space="preserve"> i </w:t>
      </w:r>
      <w:proofErr w:type="spellStart"/>
      <w:r w:rsidR="004030DC" w:rsidRPr="00783B4B">
        <w:rPr>
          <w:sz w:val="22"/>
          <w:szCs w:val="22"/>
          <w:lang w:val="sr-Latn-ME"/>
        </w:rPr>
        <w:t>bikalutamida</w:t>
      </w:r>
      <w:proofErr w:type="spellEnd"/>
      <w:r w:rsidR="004030DC" w:rsidRPr="00783B4B">
        <w:rPr>
          <w:sz w:val="22"/>
          <w:szCs w:val="22"/>
          <w:lang w:val="sr-Latn-ME"/>
        </w:rPr>
        <w:t>. Primarni cilj je bio da se procijeni efikasnost i bezbjednost ove kombin</w:t>
      </w:r>
      <w:r w:rsidR="0053788A" w:rsidRPr="00783B4B">
        <w:rPr>
          <w:sz w:val="22"/>
          <w:szCs w:val="22"/>
          <w:lang w:val="sr-Latn-ME"/>
        </w:rPr>
        <w:t xml:space="preserve">acije </w:t>
      </w:r>
      <w:r w:rsidR="004030DC" w:rsidRPr="00783B4B">
        <w:rPr>
          <w:sz w:val="22"/>
          <w:szCs w:val="22"/>
          <w:lang w:val="sr-Latn-ME"/>
        </w:rPr>
        <w:t xml:space="preserve">tokom 12 mjeseci. Trinaest od 14 </w:t>
      </w:r>
      <w:r w:rsidR="00D038C2" w:rsidRPr="00783B4B">
        <w:rPr>
          <w:sz w:val="22"/>
          <w:szCs w:val="22"/>
          <w:lang w:val="sr-Latn-ME"/>
        </w:rPr>
        <w:t xml:space="preserve">uključenih </w:t>
      </w:r>
      <w:r w:rsidR="004030DC" w:rsidRPr="00783B4B">
        <w:rPr>
          <w:sz w:val="22"/>
          <w:szCs w:val="22"/>
          <w:lang w:val="sr-Latn-ME"/>
        </w:rPr>
        <w:t xml:space="preserve">pacijenata je </w:t>
      </w:r>
      <w:r w:rsidR="00D038C2" w:rsidRPr="00783B4B">
        <w:rPr>
          <w:sz w:val="22"/>
          <w:szCs w:val="22"/>
          <w:lang w:val="sr-Latn-ME"/>
        </w:rPr>
        <w:t>bilo</w:t>
      </w:r>
      <w:r w:rsidR="004030DC" w:rsidRPr="00783B4B">
        <w:rPr>
          <w:sz w:val="22"/>
          <w:szCs w:val="22"/>
          <w:lang w:val="sr-Latn-ME"/>
        </w:rPr>
        <w:t xml:space="preserve"> 12 mjeseci </w:t>
      </w:r>
      <w:r w:rsidR="009D574E" w:rsidRPr="00783B4B">
        <w:rPr>
          <w:sz w:val="22"/>
          <w:szCs w:val="22"/>
          <w:lang w:val="sr-Latn-ME"/>
        </w:rPr>
        <w:t xml:space="preserve">na ovoj terapijskoj kombinaciji </w:t>
      </w:r>
      <w:r w:rsidR="004030DC" w:rsidRPr="00783B4B">
        <w:rPr>
          <w:sz w:val="22"/>
          <w:szCs w:val="22"/>
          <w:lang w:val="sr-Latn-ME"/>
        </w:rPr>
        <w:t xml:space="preserve">(jedan pacijent </w:t>
      </w:r>
      <w:r w:rsidR="009D574E" w:rsidRPr="00783B4B">
        <w:rPr>
          <w:sz w:val="22"/>
          <w:szCs w:val="22"/>
          <w:lang w:val="sr-Latn-ME"/>
        </w:rPr>
        <w:t>je odustao tokom</w:t>
      </w:r>
      <w:r w:rsidR="004030DC" w:rsidRPr="00783B4B">
        <w:rPr>
          <w:sz w:val="22"/>
          <w:szCs w:val="22"/>
          <w:lang w:val="sr-Latn-ME"/>
        </w:rPr>
        <w:t xml:space="preserve"> faze praćenja). Nije bilo značajne razlike u stopi rasta poslije 12 mjeseci </w:t>
      </w:r>
      <w:r w:rsidR="009D574E" w:rsidRPr="00783B4B">
        <w:rPr>
          <w:sz w:val="22"/>
          <w:szCs w:val="22"/>
          <w:lang w:val="sr-Latn-ME"/>
        </w:rPr>
        <w:t>terapije</w:t>
      </w:r>
      <w:r w:rsidR="004030DC" w:rsidRPr="00783B4B">
        <w:rPr>
          <w:sz w:val="22"/>
          <w:szCs w:val="22"/>
          <w:lang w:val="sr-Latn-ME"/>
        </w:rPr>
        <w:t xml:space="preserve">, u </w:t>
      </w:r>
      <w:r w:rsidR="009D574E" w:rsidRPr="00783B4B">
        <w:rPr>
          <w:sz w:val="22"/>
          <w:szCs w:val="22"/>
          <w:lang w:val="sr-Latn-ME"/>
        </w:rPr>
        <w:t>poređenju sa stopom</w:t>
      </w:r>
      <w:r w:rsidR="004B3555" w:rsidRPr="00783B4B">
        <w:rPr>
          <w:sz w:val="22"/>
          <w:szCs w:val="22"/>
          <w:lang w:val="sr-Latn-ME"/>
        </w:rPr>
        <w:t xml:space="preserve"> tokom</w:t>
      </w:r>
      <w:r w:rsidR="004030DC" w:rsidRPr="00783B4B">
        <w:rPr>
          <w:sz w:val="22"/>
          <w:szCs w:val="22"/>
          <w:lang w:val="sr-Latn-ME"/>
        </w:rPr>
        <w:t xml:space="preserve"> 6 mjeseci prije započinjanja studije.</w:t>
      </w:r>
    </w:p>
    <w:p w14:paraId="29E26799" w14:textId="0C405BCE" w:rsidR="004030DC" w:rsidRPr="00783B4B" w:rsidRDefault="004030DC" w:rsidP="00783B4B">
      <w:pPr>
        <w:tabs>
          <w:tab w:val="left" w:pos="540"/>
          <w:tab w:val="left" w:pos="569"/>
        </w:tabs>
        <w:rPr>
          <w:b/>
          <w:bCs/>
          <w:sz w:val="22"/>
          <w:szCs w:val="22"/>
          <w:lang w:val="sr-Latn-ME"/>
        </w:rPr>
      </w:pPr>
    </w:p>
    <w:p w14:paraId="78076EF7" w14:textId="3746B519" w:rsidR="00565275" w:rsidRPr="00783B4B" w:rsidRDefault="004132A5" w:rsidP="00783B4B">
      <w:pPr>
        <w:autoSpaceDE w:val="0"/>
        <w:autoSpaceDN w:val="0"/>
        <w:adjustRightInd w:val="0"/>
        <w:jc w:val="both"/>
        <w:rPr>
          <w:sz w:val="22"/>
          <w:szCs w:val="22"/>
          <w:lang w:val="sr-Latn-ME"/>
        </w:rPr>
      </w:pPr>
      <w:r w:rsidRPr="00783B4B">
        <w:rPr>
          <w:sz w:val="22"/>
          <w:szCs w:val="22"/>
          <w:lang w:val="sr-Latn-ME"/>
        </w:rPr>
        <w:t xml:space="preserve">Studije </w:t>
      </w:r>
      <w:proofErr w:type="spellStart"/>
      <w:r w:rsidR="00DC38C1" w:rsidRPr="00783B4B">
        <w:rPr>
          <w:sz w:val="22"/>
          <w:szCs w:val="22"/>
          <w:lang w:val="sr-Latn-ME"/>
        </w:rPr>
        <w:t>g</w:t>
      </w:r>
      <w:r w:rsidRPr="00783B4B">
        <w:rPr>
          <w:sz w:val="22"/>
          <w:szCs w:val="22"/>
          <w:lang w:val="sr-Latn-ME"/>
        </w:rPr>
        <w:t>inekomastij</w:t>
      </w:r>
      <w:r w:rsidR="00DC38C1" w:rsidRPr="00783B4B">
        <w:rPr>
          <w:sz w:val="22"/>
          <w:szCs w:val="22"/>
          <w:lang w:val="sr-Latn-ME"/>
        </w:rPr>
        <w:t>e</w:t>
      </w:r>
      <w:proofErr w:type="spellEnd"/>
    </w:p>
    <w:p w14:paraId="2E9E47A4" w14:textId="77777777" w:rsidR="00FE4CE0" w:rsidRPr="00783B4B" w:rsidRDefault="00FE4CE0" w:rsidP="00783B4B">
      <w:pPr>
        <w:autoSpaceDE w:val="0"/>
        <w:autoSpaceDN w:val="0"/>
        <w:adjustRightInd w:val="0"/>
        <w:jc w:val="both"/>
        <w:rPr>
          <w:sz w:val="22"/>
          <w:szCs w:val="22"/>
          <w:lang w:val="sr-Latn-ME"/>
        </w:rPr>
      </w:pPr>
    </w:p>
    <w:p w14:paraId="55DB0532" w14:textId="516D04B0" w:rsidR="00565275" w:rsidRPr="00783B4B" w:rsidRDefault="00DC38C1" w:rsidP="00783B4B">
      <w:pPr>
        <w:autoSpaceDE w:val="0"/>
        <w:autoSpaceDN w:val="0"/>
        <w:adjustRightInd w:val="0"/>
        <w:jc w:val="both"/>
        <w:rPr>
          <w:sz w:val="22"/>
          <w:szCs w:val="22"/>
          <w:lang w:val="sr-Latn-ME"/>
        </w:rPr>
      </w:pPr>
      <w:r w:rsidRPr="00783B4B">
        <w:rPr>
          <w:sz w:val="22"/>
          <w:szCs w:val="22"/>
          <w:lang w:val="sr-Latn-ME"/>
        </w:rPr>
        <w:t xml:space="preserve">Studija 0006 je bila </w:t>
      </w:r>
      <w:proofErr w:type="spellStart"/>
      <w:r w:rsidRPr="00783B4B">
        <w:rPr>
          <w:sz w:val="22"/>
          <w:szCs w:val="22"/>
          <w:lang w:val="sr-Latn-ME"/>
        </w:rPr>
        <w:t>randomizovana</w:t>
      </w:r>
      <w:proofErr w:type="spellEnd"/>
      <w:r w:rsidR="00565275" w:rsidRPr="00783B4B">
        <w:rPr>
          <w:sz w:val="22"/>
          <w:szCs w:val="22"/>
          <w:lang w:val="sr-Latn-ME"/>
        </w:rPr>
        <w:t>, dvostruko</w:t>
      </w:r>
      <w:r w:rsidRPr="00783B4B">
        <w:rPr>
          <w:sz w:val="22"/>
          <w:szCs w:val="22"/>
          <w:lang w:val="sr-Latn-ME"/>
        </w:rPr>
        <w:t xml:space="preserve"> </w:t>
      </w:r>
      <w:r w:rsidR="00565275" w:rsidRPr="00783B4B">
        <w:rPr>
          <w:sz w:val="22"/>
          <w:szCs w:val="22"/>
          <w:lang w:val="sr-Latn-ME"/>
        </w:rPr>
        <w:t>slijep</w:t>
      </w:r>
      <w:r w:rsidRPr="00783B4B">
        <w:rPr>
          <w:sz w:val="22"/>
          <w:szCs w:val="22"/>
          <w:lang w:val="sr-Latn-ME"/>
        </w:rPr>
        <w:t>a</w:t>
      </w:r>
      <w:r w:rsidR="00565275" w:rsidRPr="00783B4B">
        <w:rPr>
          <w:sz w:val="22"/>
          <w:szCs w:val="22"/>
          <w:lang w:val="sr-Latn-ME"/>
        </w:rPr>
        <w:t xml:space="preserve">, </w:t>
      </w:r>
      <w:proofErr w:type="spellStart"/>
      <w:r w:rsidRPr="00783B4B">
        <w:rPr>
          <w:sz w:val="22"/>
          <w:szCs w:val="22"/>
          <w:lang w:val="sr-Latn-ME"/>
        </w:rPr>
        <w:t>multicentična</w:t>
      </w:r>
      <w:proofErr w:type="spellEnd"/>
      <w:r w:rsidRPr="00783B4B">
        <w:rPr>
          <w:sz w:val="22"/>
          <w:szCs w:val="22"/>
          <w:lang w:val="sr-Latn-ME"/>
        </w:rPr>
        <w:t xml:space="preserve"> </w:t>
      </w:r>
      <w:r w:rsidR="00565275" w:rsidRPr="00783B4B">
        <w:rPr>
          <w:sz w:val="22"/>
          <w:szCs w:val="22"/>
          <w:lang w:val="sr-Latn-ME"/>
        </w:rPr>
        <w:t xml:space="preserve">studiji </w:t>
      </w:r>
      <w:r w:rsidRPr="00783B4B">
        <w:rPr>
          <w:sz w:val="22"/>
          <w:szCs w:val="22"/>
          <w:lang w:val="sr-Latn-ME"/>
        </w:rPr>
        <w:t>sa</w:t>
      </w:r>
      <w:r w:rsidR="00565275" w:rsidRPr="00783B4B">
        <w:rPr>
          <w:sz w:val="22"/>
          <w:szCs w:val="22"/>
          <w:lang w:val="sr-Latn-ME"/>
        </w:rPr>
        <w:t xml:space="preserve"> 82 dječaka u pubertetu</w:t>
      </w:r>
      <w:r w:rsidR="0088545A" w:rsidRPr="00783B4B">
        <w:rPr>
          <w:sz w:val="22"/>
          <w:szCs w:val="22"/>
          <w:lang w:val="sr-Latn-ME"/>
        </w:rPr>
        <w:t xml:space="preserve"> </w:t>
      </w:r>
      <w:r w:rsidR="00565275" w:rsidRPr="00783B4B">
        <w:rPr>
          <w:sz w:val="22"/>
          <w:szCs w:val="22"/>
          <w:lang w:val="sr-Latn-ME"/>
        </w:rPr>
        <w:t>(</w:t>
      </w:r>
      <w:r w:rsidR="00AD3C64" w:rsidRPr="00783B4B">
        <w:rPr>
          <w:sz w:val="22"/>
          <w:szCs w:val="22"/>
          <w:lang w:val="sr-Latn-ME"/>
        </w:rPr>
        <w:t xml:space="preserve">uzrasta </w:t>
      </w:r>
      <w:r w:rsidR="00565275" w:rsidRPr="00783B4B">
        <w:rPr>
          <w:sz w:val="22"/>
          <w:szCs w:val="22"/>
          <w:lang w:val="sr-Latn-ME"/>
        </w:rPr>
        <w:t xml:space="preserve">od 11 </w:t>
      </w:r>
      <w:r w:rsidR="00AD3C64" w:rsidRPr="00783B4B">
        <w:rPr>
          <w:sz w:val="22"/>
          <w:szCs w:val="22"/>
          <w:lang w:val="sr-Latn-ME"/>
        </w:rPr>
        <w:t xml:space="preserve">zaključno sa </w:t>
      </w:r>
      <w:r w:rsidR="00565275" w:rsidRPr="00783B4B">
        <w:rPr>
          <w:sz w:val="22"/>
          <w:szCs w:val="22"/>
          <w:lang w:val="sr-Latn-ME"/>
        </w:rPr>
        <w:t>18 godina)</w:t>
      </w:r>
      <w:r w:rsidR="00502C98" w:rsidRPr="00783B4B">
        <w:rPr>
          <w:sz w:val="22"/>
          <w:szCs w:val="22"/>
          <w:lang w:val="sr-Latn-ME"/>
        </w:rPr>
        <w:t xml:space="preserve"> </w:t>
      </w:r>
      <w:r w:rsidR="00565275" w:rsidRPr="00783B4B">
        <w:rPr>
          <w:sz w:val="22"/>
          <w:szCs w:val="22"/>
          <w:lang w:val="sr-Latn-ME"/>
        </w:rPr>
        <w:t xml:space="preserve">sa </w:t>
      </w:r>
      <w:proofErr w:type="spellStart"/>
      <w:r w:rsidR="00565275" w:rsidRPr="00783B4B">
        <w:rPr>
          <w:sz w:val="22"/>
          <w:szCs w:val="22"/>
          <w:lang w:val="sr-Latn-ME"/>
        </w:rPr>
        <w:t>ginekomastijom</w:t>
      </w:r>
      <w:proofErr w:type="spellEnd"/>
      <w:r w:rsidR="002470DB" w:rsidRPr="00783B4B">
        <w:rPr>
          <w:sz w:val="22"/>
          <w:szCs w:val="22"/>
          <w:lang w:val="sr-Latn-ME"/>
        </w:rPr>
        <w:t>,</w:t>
      </w:r>
      <w:r w:rsidR="00565275" w:rsidRPr="00783B4B">
        <w:rPr>
          <w:sz w:val="22"/>
          <w:szCs w:val="22"/>
          <w:lang w:val="sr-Latn-ME"/>
        </w:rPr>
        <w:t xml:space="preserve"> </w:t>
      </w:r>
      <w:r w:rsidR="00502C98" w:rsidRPr="00783B4B">
        <w:rPr>
          <w:sz w:val="22"/>
          <w:szCs w:val="22"/>
          <w:lang w:val="sr-Latn-ME"/>
        </w:rPr>
        <w:t xml:space="preserve">sa trajanjem dužim od </w:t>
      </w:r>
      <w:r w:rsidR="00565275" w:rsidRPr="00783B4B">
        <w:rPr>
          <w:sz w:val="22"/>
          <w:szCs w:val="22"/>
          <w:lang w:val="sr-Latn-ME"/>
        </w:rPr>
        <w:t>12 mjeseci</w:t>
      </w:r>
      <w:r w:rsidR="008D247F" w:rsidRPr="00783B4B">
        <w:rPr>
          <w:sz w:val="22"/>
          <w:szCs w:val="22"/>
          <w:lang w:val="sr-Latn-ME"/>
        </w:rPr>
        <w:t>,</w:t>
      </w:r>
      <w:r w:rsidR="00565275" w:rsidRPr="00783B4B">
        <w:rPr>
          <w:sz w:val="22"/>
          <w:szCs w:val="22"/>
          <w:lang w:val="sr-Latn-ME"/>
        </w:rPr>
        <w:t xml:space="preserve"> </w:t>
      </w:r>
      <w:r w:rsidR="008D247F" w:rsidRPr="00783B4B">
        <w:rPr>
          <w:sz w:val="22"/>
          <w:szCs w:val="22"/>
          <w:lang w:val="sr-Latn-ME"/>
        </w:rPr>
        <w:t>koji su l</w:t>
      </w:r>
      <w:r w:rsidR="00A45CA1" w:rsidRPr="00783B4B">
        <w:rPr>
          <w:sz w:val="22"/>
          <w:szCs w:val="22"/>
          <w:lang w:val="sr-Latn-ME"/>
        </w:rPr>
        <w:t>ij</w:t>
      </w:r>
      <w:r w:rsidR="008D247F" w:rsidRPr="00783B4B">
        <w:rPr>
          <w:sz w:val="22"/>
          <w:szCs w:val="22"/>
          <w:lang w:val="sr-Latn-ME"/>
        </w:rPr>
        <w:t xml:space="preserve">ečeni </w:t>
      </w:r>
      <w:proofErr w:type="spellStart"/>
      <w:r w:rsidR="00565275" w:rsidRPr="00783B4B">
        <w:rPr>
          <w:sz w:val="22"/>
          <w:szCs w:val="22"/>
          <w:lang w:val="sr-Latn-ME"/>
        </w:rPr>
        <w:t>anastrozolom</w:t>
      </w:r>
      <w:proofErr w:type="spellEnd"/>
      <w:r w:rsidR="00565275" w:rsidRPr="00783B4B">
        <w:rPr>
          <w:sz w:val="22"/>
          <w:szCs w:val="22"/>
          <w:lang w:val="sr-Latn-ME"/>
        </w:rPr>
        <w:t xml:space="preserve"> u dozi od 1 mg/</w:t>
      </w:r>
      <w:r w:rsidR="00167B6E" w:rsidRPr="00783B4B">
        <w:rPr>
          <w:sz w:val="22"/>
          <w:szCs w:val="22"/>
          <w:lang w:val="sr-Latn-ME"/>
        </w:rPr>
        <w:t>dnevno</w:t>
      </w:r>
      <w:r w:rsidR="00565275" w:rsidRPr="00783B4B">
        <w:rPr>
          <w:sz w:val="22"/>
          <w:szCs w:val="22"/>
          <w:lang w:val="sr-Latn-ME"/>
        </w:rPr>
        <w:t xml:space="preserve"> ili </w:t>
      </w:r>
      <w:proofErr w:type="spellStart"/>
      <w:r w:rsidR="00565275" w:rsidRPr="00783B4B">
        <w:rPr>
          <w:sz w:val="22"/>
          <w:szCs w:val="22"/>
          <w:lang w:val="sr-Latn-ME"/>
        </w:rPr>
        <w:t>placebom</w:t>
      </w:r>
      <w:proofErr w:type="spellEnd"/>
      <w:r w:rsidR="00167B6E" w:rsidRPr="00783B4B">
        <w:rPr>
          <w:sz w:val="22"/>
          <w:szCs w:val="22"/>
          <w:lang w:val="sr-Latn-ME"/>
        </w:rPr>
        <w:t xml:space="preserve"> jednom </w:t>
      </w:r>
      <w:r w:rsidR="000174E1" w:rsidRPr="00783B4B">
        <w:rPr>
          <w:sz w:val="22"/>
          <w:szCs w:val="22"/>
          <w:lang w:val="sr-Latn-ME"/>
        </w:rPr>
        <w:t xml:space="preserve">do </w:t>
      </w:r>
      <w:r w:rsidR="00565275" w:rsidRPr="00783B4B">
        <w:rPr>
          <w:sz w:val="22"/>
          <w:szCs w:val="22"/>
          <w:lang w:val="sr-Latn-ME"/>
        </w:rPr>
        <w:t>6 mjeseci. Nije</w:t>
      </w:r>
      <w:r w:rsidR="0088545A" w:rsidRPr="00783B4B">
        <w:rPr>
          <w:sz w:val="22"/>
          <w:szCs w:val="22"/>
          <w:lang w:val="sr-Latn-ME"/>
        </w:rPr>
        <w:t xml:space="preserve"> </w:t>
      </w:r>
      <w:r w:rsidR="009C6046" w:rsidRPr="00783B4B">
        <w:rPr>
          <w:sz w:val="22"/>
          <w:szCs w:val="22"/>
          <w:lang w:val="sr-Latn-ME"/>
        </w:rPr>
        <w:t>zab</w:t>
      </w:r>
      <w:r w:rsidR="00A45CA1" w:rsidRPr="00783B4B">
        <w:rPr>
          <w:sz w:val="22"/>
          <w:szCs w:val="22"/>
          <w:lang w:val="sr-Latn-ME"/>
        </w:rPr>
        <w:t>i</w:t>
      </w:r>
      <w:r w:rsidR="009C6046" w:rsidRPr="00783B4B">
        <w:rPr>
          <w:sz w:val="22"/>
          <w:szCs w:val="22"/>
          <w:lang w:val="sr-Latn-ME"/>
        </w:rPr>
        <w:t>l</w:t>
      </w:r>
      <w:r w:rsidR="00A45CA1" w:rsidRPr="00783B4B">
        <w:rPr>
          <w:sz w:val="22"/>
          <w:szCs w:val="22"/>
          <w:lang w:val="sr-Latn-ME"/>
        </w:rPr>
        <w:t>j</w:t>
      </w:r>
      <w:r w:rsidR="009C6046" w:rsidRPr="00783B4B">
        <w:rPr>
          <w:sz w:val="22"/>
          <w:szCs w:val="22"/>
          <w:lang w:val="sr-Latn-ME"/>
        </w:rPr>
        <w:t>ežena</w:t>
      </w:r>
      <w:r w:rsidR="00565275" w:rsidRPr="00783B4B">
        <w:rPr>
          <w:sz w:val="22"/>
          <w:szCs w:val="22"/>
          <w:lang w:val="sr-Latn-ME"/>
        </w:rPr>
        <w:t xml:space="preserve"> značajna razlika u broju pacijenata koji su imali 50% ili veće smanjenje </w:t>
      </w:r>
      <w:r w:rsidR="005D491C" w:rsidRPr="00783B4B">
        <w:rPr>
          <w:sz w:val="22"/>
          <w:szCs w:val="22"/>
          <w:lang w:val="sr-Latn-ME"/>
        </w:rPr>
        <w:t>u ukupnoj veličini dojke</w:t>
      </w:r>
      <w:r w:rsidR="00565275" w:rsidRPr="00783B4B">
        <w:rPr>
          <w:sz w:val="22"/>
          <w:szCs w:val="22"/>
          <w:lang w:val="sr-Latn-ME"/>
        </w:rPr>
        <w:t xml:space="preserve"> poslije 6</w:t>
      </w:r>
      <w:r w:rsidR="0088545A" w:rsidRPr="00783B4B">
        <w:rPr>
          <w:sz w:val="22"/>
          <w:szCs w:val="22"/>
          <w:lang w:val="sr-Latn-ME"/>
        </w:rPr>
        <w:t xml:space="preserve"> </w:t>
      </w:r>
      <w:r w:rsidR="00565275" w:rsidRPr="00783B4B">
        <w:rPr>
          <w:sz w:val="22"/>
          <w:szCs w:val="22"/>
          <w:lang w:val="sr-Latn-ME"/>
        </w:rPr>
        <w:t>mjeseci</w:t>
      </w:r>
      <w:r w:rsidR="005D491C" w:rsidRPr="00783B4B">
        <w:rPr>
          <w:sz w:val="22"/>
          <w:szCs w:val="22"/>
          <w:lang w:val="sr-Latn-ME"/>
        </w:rPr>
        <w:t xml:space="preserve"> terapije,</w:t>
      </w:r>
      <w:r w:rsidR="00565275" w:rsidRPr="00783B4B">
        <w:rPr>
          <w:sz w:val="22"/>
          <w:szCs w:val="22"/>
          <w:lang w:val="sr-Latn-ME"/>
        </w:rPr>
        <w:t xml:space="preserve"> </w:t>
      </w:r>
      <w:r w:rsidR="00FD2B25" w:rsidRPr="00783B4B">
        <w:rPr>
          <w:sz w:val="22"/>
          <w:szCs w:val="22"/>
          <w:lang w:val="sr-Latn-ME"/>
        </w:rPr>
        <w:t xml:space="preserve">kad se poredi grupa koja je uzimala </w:t>
      </w:r>
      <w:proofErr w:type="spellStart"/>
      <w:r w:rsidR="00565275" w:rsidRPr="00783B4B">
        <w:rPr>
          <w:sz w:val="22"/>
          <w:szCs w:val="22"/>
          <w:lang w:val="sr-Latn-ME"/>
        </w:rPr>
        <w:t>anastrozol</w:t>
      </w:r>
      <w:proofErr w:type="spellEnd"/>
      <w:r w:rsidR="00565275" w:rsidRPr="00783B4B">
        <w:rPr>
          <w:sz w:val="22"/>
          <w:szCs w:val="22"/>
          <w:lang w:val="sr-Latn-ME"/>
        </w:rPr>
        <w:t xml:space="preserve"> </w:t>
      </w:r>
      <w:r w:rsidR="008609C0" w:rsidRPr="00783B4B">
        <w:rPr>
          <w:sz w:val="22"/>
          <w:szCs w:val="22"/>
          <w:lang w:val="sr-Latn-ME"/>
        </w:rPr>
        <w:t>u dozi od 1 mg i grupa koja je uzimala</w:t>
      </w:r>
      <w:r w:rsidR="00565275" w:rsidRPr="00783B4B">
        <w:rPr>
          <w:sz w:val="22"/>
          <w:szCs w:val="22"/>
          <w:lang w:val="sr-Latn-ME"/>
        </w:rPr>
        <w:t xml:space="preserve"> </w:t>
      </w:r>
      <w:proofErr w:type="spellStart"/>
      <w:r w:rsidR="00565275" w:rsidRPr="00783B4B">
        <w:rPr>
          <w:sz w:val="22"/>
          <w:szCs w:val="22"/>
          <w:lang w:val="sr-Latn-ME"/>
        </w:rPr>
        <w:t>placebo</w:t>
      </w:r>
      <w:proofErr w:type="spellEnd"/>
      <w:r w:rsidR="00565275" w:rsidRPr="00783B4B">
        <w:rPr>
          <w:sz w:val="22"/>
          <w:szCs w:val="22"/>
          <w:lang w:val="sr-Latn-ME"/>
        </w:rPr>
        <w:t>.</w:t>
      </w:r>
    </w:p>
    <w:p w14:paraId="4E6335E4" w14:textId="77777777" w:rsidR="00565275" w:rsidRPr="00783B4B" w:rsidRDefault="00565275" w:rsidP="00783B4B">
      <w:pPr>
        <w:autoSpaceDE w:val="0"/>
        <w:autoSpaceDN w:val="0"/>
        <w:adjustRightInd w:val="0"/>
        <w:jc w:val="both"/>
        <w:rPr>
          <w:sz w:val="22"/>
          <w:szCs w:val="22"/>
          <w:lang w:val="sr-Latn-ME"/>
        </w:rPr>
      </w:pPr>
    </w:p>
    <w:p w14:paraId="4F1746CA" w14:textId="2444789C" w:rsidR="00565275" w:rsidRPr="00783B4B" w:rsidRDefault="00797E0C" w:rsidP="00783B4B">
      <w:pPr>
        <w:autoSpaceDE w:val="0"/>
        <w:autoSpaceDN w:val="0"/>
        <w:adjustRightInd w:val="0"/>
        <w:jc w:val="both"/>
        <w:rPr>
          <w:sz w:val="22"/>
          <w:szCs w:val="22"/>
          <w:lang w:val="sr-Latn-ME"/>
        </w:rPr>
      </w:pPr>
      <w:r w:rsidRPr="00783B4B">
        <w:rPr>
          <w:sz w:val="22"/>
          <w:szCs w:val="22"/>
          <w:lang w:val="sr-Latn-ME"/>
        </w:rPr>
        <w:t>Studija 0001 je bila</w:t>
      </w:r>
      <w:r w:rsidR="00565275" w:rsidRPr="00783B4B">
        <w:rPr>
          <w:sz w:val="22"/>
          <w:szCs w:val="22"/>
          <w:lang w:val="sr-Latn-ME"/>
        </w:rPr>
        <w:t xml:space="preserve"> </w:t>
      </w:r>
      <w:r w:rsidRPr="00783B4B">
        <w:rPr>
          <w:sz w:val="22"/>
          <w:szCs w:val="22"/>
          <w:lang w:val="sr-Latn-ME"/>
        </w:rPr>
        <w:t>otvorena</w:t>
      </w:r>
      <w:r w:rsidR="00565275" w:rsidRPr="00783B4B">
        <w:rPr>
          <w:sz w:val="22"/>
          <w:szCs w:val="22"/>
          <w:lang w:val="sr-Latn-ME"/>
        </w:rPr>
        <w:t xml:space="preserve">, </w:t>
      </w:r>
      <w:proofErr w:type="spellStart"/>
      <w:r w:rsidRPr="00783B4B">
        <w:rPr>
          <w:sz w:val="22"/>
          <w:szCs w:val="22"/>
          <w:lang w:val="sr-Latn-ME"/>
        </w:rPr>
        <w:t>višedozna</w:t>
      </w:r>
      <w:proofErr w:type="spellEnd"/>
      <w:r w:rsidRPr="00783B4B">
        <w:rPr>
          <w:sz w:val="22"/>
          <w:szCs w:val="22"/>
          <w:lang w:val="sr-Latn-ME"/>
        </w:rPr>
        <w:t xml:space="preserve">, </w:t>
      </w:r>
      <w:proofErr w:type="spellStart"/>
      <w:r w:rsidRPr="00783B4B">
        <w:rPr>
          <w:sz w:val="22"/>
          <w:szCs w:val="22"/>
          <w:lang w:val="sr-Latn-ME"/>
        </w:rPr>
        <w:t>farmakokinetičk</w:t>
      </w:r>
      <w:r w:rsidR="00464ABC" w:rsidRPr="00783B4B">
        <w:rPr>
          <w:sz w:val="22"/>
          <w:szCs w:val="22"/>
          <w:lang w:val="sr-Latn-ME"/>
        </w:rPr>
        <w:t>a</w:t>
      </w:r>
      <w:proofErr w:type="spellEnd"/>
      <w:r w:rsidRPr="00783B4B">
        <w:rPr>
          <w:sz w:val="22"/>
          <w:szCs w:val="22"/>
          <w:lang w:val="sr-Latn-ME"/>
        </w:rPr>
        <w:t xml:space="preserve"> </w:t>
      </w:r>
      <w:r w:rsidR="00464ABC" w:rsidRPr="00783B4B">
        <w:rPr>
          <w:sz w:val="22"/>
          <w:szCs w:val="22"/>
          <w:lang w:val="sr-Latn-ME"/>
        </w:rPr>
        <w:t>sa</w:t>
      </w:r>
      <w:r w:rsidR="00565275" w:rsidRPr="00783B4B">
        <w:rPr>
          <w:sz w:val="22"/>
          <w:szCs w:val="22"/>
          <w:lang w:val="sr-Latn-ME"/>
        </w:rPr>
        <w:t xml:space="preserve"> </w:t>
      </w:r>
      <w:proofErr w:type="spellStart"/>
      <w:r w:rsidR="00464ABC" w:rsidRPr="00783B4B">
        <w:rPr>
          <w:sz w:val="22"/>
          <w:szCs w:val="22"/>
          <w:lang w:val="sr-Latn-ME"/>
        </w:rPr>
        <w:t>anastrozolom</w:t>
      </w:r>
      <w:proofErr w:type="spellEnd"/>
      <w:r w:rsidR="00464ABC" w:rsidRPr="00783B4B">
        <w:rPr>
          <w:sz w:val="22"/>
          <w:szCs w:val="22"/>
          <w:lang w:val="sr-Latn-ME"/>
        </w:rPr>
        <w:t xml:space="preserve"> </w:t>
      </w:r>
      <w:r w:rsidR="00565275" w:rsidRPr="00783B4B">
        <w:rPr>
          <w:sz w:val="22"/>
          <w:szCs w:val="22"/>
          <w:lang w:val="sr-Latn-ME"/>
        </w:rPr>
        <w:t xml:space="preserve">od </w:t>
      </w:r>
      <w:proofErr w:type="spellStart"/>
      <w:r w:rsidR="00565275" w:rsidRPr="00783B4B">
        <w:rPr>
          <w:sz w:val="22"/>
          <w:szCs w:val="22"/>
          <w:lang w:val="sr-Latn-ME"/>
        </w:rPr>
        <w:t>1mg</w:t>
      </w:r>
      <w:proofErr w:type="spellEnd"/>
      <w:r w:rsidR="00565275" w:rsidRPr="00783B4B">
        <w:rPr>
          <w:sz w:val="22"/>
          <w:szCs w:val="22"/>
          <w:lang w:val="sr-Latn-ME"/>
        </w:rPr>
        <w:t>/</w:t>
      </w:r>
      <w:r w:rsidR="00464ABC" w:rsidRPr="00783B4B">
        <w:rPr>
          <w:sz w:val="22"/>
          <w:szCs w:val="22"/>
          <w:lang w:val="sr-Latn-ME"/>
        </w:rPr>
        <w:t>dnevno</w:t>
      </w:r>
      <w:r w:rsidR="00565275" w:rsidRPr="00783B4B">
        <w:rPr>
          <w:sz w:val="22"/>
          <w:szCs w:val="22"/>
          <w:lang w:val="sr-Latn-ME"/>
        </w:rPr>
        <w:t xml:space="preserve"> </w:t>
      </w:r>
      <w:r w:rsidR="00464ABC" w:rsidRPr="00783B4B">
        <w:rPr>
          <w:sz w:val="22"/>
          <w:szCs w:val="22"/>
          <w:lang w:val="sr-Latn-ME"/>
        </w:rPr>
        <w:t xml:space="preserve">sa </w:t>
      </w:r>
      <w:r w:rsidR="00565275" w:rsidRPr="00783B4B">
        <w:rPr>
          <w:sz w:val="22"/>
          <w:szCs w:val="22"/>
          <w:lang w:val="sr-Latn-ME"/>
        </w:rPr>
        <w:t xml:space="preserve">36 dječaka u pubertetu sa </w:t>
      </w:r>
      <w:proofErr w:type="spellStart"/>
      <w:r w:rsidR="00565275" w:rsidRPr="00783B4B">
        <w:rPr>
          <w:sz w:val="22"/>
          <w:szCs w:val="22"/>
          <w:lang w:val="sr-Latn-ME"/>
        </w:rPr>
        <w:t>ginekomastijom</w:t>
      </w:r>
      <w:proofErr w:type="spellEnd"/>
      <w:r w:rsidR="00351AF0" w:rsidRPr="00783B4B">
        <w:rPr>
          <w:sz w:val="22"/>
          <w:szCs w:val="22"/>
          <w:lang w:val="sr-Latn-ME"/>
        </w:rPr>
        <w:t>,</w:t>
      </w:r>
      <w:r w:rsidR="00565275" w:rsidRPr="00783B4B">
        <w:rPr>
          <w:sz w:val="22"/>
          <w:szCs w:val="22"/>
          <w:lang w:val="sr-Latn-ME"/>
        </w:rPr>
        <w:t xml:space="preserve"> </w:t>
      </w:r>
      <w:r w:rsidR="00E54399" w:rsidRPr="00783B4B">
        <w:rPr>
          <w:sz w:val="22"/>
          <w:szCs w:val="22"/>
          <w:lang w:val="sr-Latn-ME"/>
        </w:rPr>
        <w:t>sa trajanjem od manje od</w:t>
      </w:r>
      <w:r w:rsidR="00565275" w:rsidRPr="00783B4B">
        <w:rPr>
          <w:sz w:val="22"/>
          <w:szCs w:val="22"/>
          <w:lang w:val="sr-Latn-ME"/>
        </w:rPr>
        <w:t xml:space="preserve"> 12 mjeseci</w:t>
      </w:r>
      <w:r w:rsidR="00E54399" w:rsidRPr="00783B4B">
        <w:rPr>
          <w:sz w:val="22"/>
          <w:szCs w:val="22"/>
          <w:lang w:val="sr-Latn-ME"/>
        </w:rPr>
        <w:t xml:space="preserve">. </w:t>
      </w:r>
      <w:r w:rsidR="00565275" w:rsidRPr="00783B4B">
        <w:rPr>
          <w:sz w:val="22"/>
          <w:szCs w:val="22"/>
          <w:lang w:val="sr-Latn-ME"/>
        </w:rPr>
        <w:t>Sekundarni cilj</w:t>
      </w:r>
      <w:r w:rsidR="00E54399" w:rsidRPr="00783B4B">
        <w:rPr>
          <w:sz w:val="22"/>
          <w:szCs w:val="22"/>
          <w:lang w:val="sr-Latn-ME"/>
        </w:rPr>
        <w:t>evi</w:t>
      </w:r>
      <w:r w:rsidR="00565275" w:rsidRPr="00783B4B">
        <w:rPr>
          <w:sz w:val="22"/>
          <w:szCs w:val="22"/>
          <w:lang w:val="sr-Latn-ME"/>
        </w:rPr>
        <w:t xml:space="preserve"> </w:t>
      </w:r>
      <w:r w:rsidR="00E37A47" w:rsidRPr="00783B4B">
        <w:rPr>
          <w:sz w:val="22"/>
          <w:szCs w:val="22"/>
          <w:lang w:val="sr-Latn-ME"/>
        </w:rPr>
        <w:t xml:space="preserve">su bili </w:t>
      </w:r>
      <w:r w:rsidR="00565275" w:rsidRPr="00783B4B">
        <w:rPr>
          <w:sz w:val="22"/>
          <w:szCs w:val="22"/>
          <w:lang w:val="sr-Latn-ME"/>
        </w:rPr>
        <w:t xml:space="preserve">da se </w:t>
      </w:r>
      <w:r w:rsidR="00E37A47" w:rsidRPr="00783B4B">
        <w:rPr>
          <w:sz w:val="22"/>
          <w:szCs w:val="22"/>
          <w:lang w:val="sr-Latn-ME"/>
        </w:rPr>
        <w:t>proc</w:t>
      </w:r>
      <w:r w:rsidR="00A45CA1" w:rsidRPr="00783B4B">
        <w:rPr>
          <w:sz w:val="22"/>
          <w:szCs w:val="22"/>
          <w:lang w:val="sr-Latn-ME"/>
        </w:rPr>
        <w:t>ij</w:t>
      </w:r>
      <w:r w:rsidR="00E37A47" w:rsidRPr="00783B4B">
        <w:rPr>
          <w:sz w:val="22"/>
          <w:szCs w:val="22"/>
          <w:lang w:val="sr-Latn-ME"/>
        </w:rPr>
        <w:t xml:space="preserve">eni </w:t>
      </w:r>
      <w:r w:rsidR="00565275" w:rsidRPr="00783B4B">
        <w:rPr>
          <w:sz w:val="22"/>
          <w:szCs w:val="22"/>
          <w:lang w:val="sr-Latn-ME"/>
        </w:rPr>
        <w:t xml:space="preserve">procenat pacijenata </w:t>
      </w:r>
      <w:r w:rsidR="009502C2" w:rsidRPr="00783B4B">
        <w:rPr>
          <w:sz w:val="22"/>
          <w:szCs w:val="22"/>
          <w:lang w:val="sr-Latn-ME"/>
        </w:rPr>
        <w:t xml:space="preserve">koji imaju </w:t>
      </w:r>
      <w:r w:rsidR="00565275" w:rsidRPr="00783B4B">
        <w:rPr>
          <w:sz w:val="22"/>
          <w:szCs w:val="22"/>
          <w:lang w:val="sr-Latn-ME"/>
        </w:rPr>
        <w:t xml:space="preserve">smanjenje </w:t>
      </w:r>
      <w:r w:rsidR="003116FC" w:rsidRPr="00783B4B">
        <w:rPr>
          <w:sz w:val="22"/>
          <w:szCs w:val="22"/>
          <w:lang w:val="sr-Latn-ME"/>
        </w:rPr>
        <w:t xml:space="preserve">u izračunatom obimu </w:t>
      </w:r>
      <w:r w:rsidR="00565275" w:rsidRPr="00783B4B">
        <w:rPr>
          <w:sz w:val="22"/>
          <w:szCs w:val="22"/>
          <w:lang w:val="sr-Latn-ME"/>
        </w:rPr>
        <w:t xml:space="preserve">stepena </w:t>
      </w:r>
      <w:proofErr w:type="spellStart"/>
      <w:r w:rsidR="00565275" w:rsidRPr="00783B4B">
        <w:rPr>
          <w:sz w:val="22"/>
          <w:szCs w:val="22"/>
          <w:lang w:val="sr-Latn-ME"/>
        </w:rPr>
        <w:t>ginekomastije</w:t>
      </w:r>
      <w:proofErr w:type="spellEnd"/>
      <w:r w:rsidR="00565275" w:rsidRPr="00783B4B">
        <w:rPr>
          <w:sz w:val="22"/>
          <w:szCs w:val="22"/>
          <w:lang w:val="sr-Latn-ME"/>
        </w:rPr>
        <w:t xml:space="preserve">, </w:t>
      </w:r>
      <w:r w:rsidR="007A5976" w:rsidRPr="00783B4B">
        <w:rPr>
          <w:sz w:val="22"/>
          <w:szCs w:val="22"/>
          <w:lang w:val="sr-Latn-ME"/>
        </w:rPr>
        <w:t>ob</w:t>
      </w:r>
      <w:r w:rsidR="00A45CA1" w:rsidRPr="00783B4B">
        <w:rPr>
          <w:sz w:val="22"/>
          <w:szCs w:val="22"/>
          <w:lang w:val="sr-Latn-ME"/>
        </w:rPr>
        <w:t>j</w:t>
      </w:r>
      <w:r w:rsidR="007A5976" w:rsidRPr="00783B4B">
        <w:rPr>
          <w:sz w:val="22"/>
          <w:szCs w:val="22"/>
          <w:lang w:val="sr-Latn-ME"/>
        </w:rPr>
        <w:t xml:space="preserve">e dojke </w:t>
      </w:r>
      <w:r w:rsidR="0048612C" w:rsidRPr="00783B4B">
        <w:rPr>
          <w:sz w:val="22"/>
          <w:szCs w:val="22"/>
          <w:lang w:val="sr-Latn-ME"/>
        </w:rPr>
        <w:t>računajući od prvog dana studije i posl</w:t>
      </w:r>
      <w:r w:rsidR="006133FE" w:rsidRPr="00783B4B">
        <w:rPr>
          <w:sz w:val="22"/>
          <w:szCs w:val="22"/>
          <w:lang w:val="sr-Latn-ME"/>
        </w:rPr>
        <w:t>ij</w:t>
      </w:r>
      <w:r w:rsidR="0048612C" w:rsidRPr="00783B4B">
        <w:rPr>
          <w:sz w:val="22"/>
          <w:szCs w:val="22"/>
          <w:lang w:val="sr-Latn-ME"/>
        </w:rPr>
        <w:t xml:space="preserve">e </w:t>
      </w:r>
      <w:r w:rsidR="00565275" w:rsidRPr="00783B4B">
        <w:rPr>
          <w:sz w:val="22"/>
          <w:szCs w:val="22"/>
          <w:lang w:val="sr-Latn-ME"/>
        </w:rPr>
        <w:t xml:space="preserve">6 mjeseci </w:t>
      </w:r>
      <w:r w:rsidR="0048612C" w:rsidRPr="00783B4B">
        <w:rPr>
          <w:sz w:val="22"/>
          <w:szCs w:val="22"/>
          <w:lang w:val="sr-Latn-ME"/>
        </w:rPr>
        <w:t>studije</w:t>
      </w:r>
      <w:r w:rsidR="00565275" w:rsidRPr="00783B4B">
        <w:rPr>
          <w:sz w:val="22"/>
          <w:szCs w:val="22"/>
          <w:lang w:val="sr-Latn-ME"/>
        </w:rPr>
        <w:t xml:space="preserve">, </w:t>
      </w:r>
      <w:r w:rsidR="00476EFB" w:rsidRPr="00783B4B">
        <w:rPr>
          <w:sz w:val="22"/>
          <w:szCs w:val="22"/>
          <w:lang w:val="sr-Latn-ME"/>
        </w:rPr>
        <w:t>u odnosu na početni obim, kao i tolerancija i bez</w:t>
      </w:r>
      <w:r w:rsidR="00A45CA1" w:rsidRPr="00783B4B">
        <w:rPr>
          <w:sz w:val="22"/>
          <w:szCs w:val="22"/>
          <w:lang w:val="sr-Latn-ME"/>
        </w:rPr>
        <w:t>bj</w:t>
      </w:r>
      <w:r w:rsidR="00476EFB" w:rsidRPr="00783B4B">
        <w:rPr>
          <w:sz w:val="22"/>
          <w:szCs w:val="22"/>
          <w:lang w:val="sr-Latn-ME"/>
        </w:rPr>
        <w:t>ednost pacijenata.</w:t>
      </w:r>
      <w:r w:rsidR="00565275" w:rsidRPr="00783B4B">
        <w:rPr>
          <w:sz w:val="22"/>
          <w:szCs w:val="22"/>
          <w:lang w:val="sr-Latn-ME"/>
        </w:rPr>
        <w:t xml:space="preserve"> </w:t>
      </w:r>
      <w:r w:rsidR="00CF3B0E" w:rsidRPr="00783B4B">
        <w:rPr>
          <w:sz w:val="22"/>
          <w:szCs w:val="22"/>
          <w:lang w:val="sr-Latn-ME"/>
        </w:rPr>
        <w:t>Zab</w:t>
      </w:r>
      <w:r w:rsidR="00A45CA1" w:rsidRPr="00783B4B">
        <w:rPr>
          <w:sz w:val="22"/>
          <w:szCs w:val="22"/>
          <w:lang w:val="sr-Latn-ME"/>
        </w:rPr>
        <w:t>i</w:t>
      </w:r>
      <w:r w:rsidR="00CF3B0E" w:rsidRPr="00783B4B">
        <w:rPr>
          <w:sz w:val="22"/>
          <w:szCs w:val="22"/>
          <w:lang w:val="sr-Latn-ME"/>
        </w:rPr>
        <w:t>l</w:t>
      </w:r>
      <w:r w:rsidR="00A45CA1" w:rsidRPr="00783B4B">
        <w:rPr>
          <w:sz w:val="22"/>
          <w:szCs w:val="22"/>
          <w:lang w:val="sr-Latn-ME"/>
        </w:rPr>
        <w:t>j</w:t>
      </w:r>
      <w:r w:rsidR="00CF3B0E" w:rsidRPr="00783B4B">
        <w:rPr>
          <w:sz w:val="22"/>
          <w:szCs w:val="22"/>
          <w:lang w:val="sr-Latn-ME"/>
        </w:rPr>
        <w:t>eženo</w:t>
      </w:r>
      <w:r w:rsidR="00565275" w:rsidRPr="00783B4B">
        <w:rPr>
          <w:sz w:val="22"/>
          <w:szCs w:val="22"/>
          <w:lang w:val="sr-Latn-ME"/>
        </w:rPr>
        <w:t xml:space="preserve"> je smanjenje u ukupnom obimu </w:t>
      </w:r>
      <w:r w:rsidR="00CC55BF" w:rsidRPr="00783B4B">
        <w:rPr>
          <w:sz w:val="22"/>
          <w:szCs w:val="22"/>
          <w:lang w:val="sr-Latn-ME"/>
        </w:rPr>
        <w:t>dojki</w:t>
      </w:r>
      <w:r w:rsidR="00CC55BF" w:rsidRPr="00783B4B" w:rsidDel="00CC55BF">
        <w:rPr>
          <w:sz w:val="22"/>
          <w:szCs w:val="22"/>
          <w:lang w:val="sr-Latn-ME"/>
        </w:rPr>
        <w:t xml:space="preserve"> </w:t>
      </w:r>
      <w:r w:rsidR="00565275" w:rsidRPr="00783B4B">
        <w:rPr>
          <w:sz w:val="22"/>
          <w:szCs w:val="22"/>
          <w:lang w:val="sr-Latn-ME"/>
        </w:rPr>
        <w:t>od 50% i više kod 56% dječaka</w:t>
      </w:r>
      <w:r w:rsidR="0040693A" w:rsidRPr="00783B4B">
        <w:rPr>
          <w:sz w:val="22"/>
          <w:szCs w:val="22"/>
          <w:lang w:val="sr-Latn-ME"/>
        </w:rPr>
        <w:t xml:space="preserve"> (20/36) nakon 6 m</w:t>
      </w:r>
      <w:r w:rsidR="00A45CA1" w:rsidRPr="00783B4B">
        <w:rPr>
          <w:sz w:val="22"/>
          <w:szCs w:val="22"/>
          <w:lang w:val="sr-Latn-ME"/>
        </w:rPr>
        <w:t>j</w:t>
      </w:r>
      <w:r w:rsidR="0040693A" w:rsidRPr="00783B4B">
        <w:rPr>
          <w:sz w:val="22"/>
          <w:szCs w:val="22"/>
          <w:lang w:val="sr-Latn-ME"/>
        </w:rPr>
        <w:t>eseci</w:t>
      </w:r>
      <w:r w:rsidR="00565275" w:rsidRPr="00783B4B">
        <w:rPr>
          <w:sz w:val="22"/>
          <w:szCs w:val="22"/>
          <w:lang w:val="sr-Latn-ME"/>
        </w:rPr>
        <w:t>.</w:t>
      </w:r>
    </w:p>
    <w:p w14:paraId="4B03A0DA" w14:textId="77777777" w:rsidR="00565275" w:rsidRPr="00783B4B" w:rsidRDefault="00565275" w:rsidP="00783B4B">
      <w:pPr>
        <w:pStyle w:val="Header"/>
        <w:tabs>
          <w:tab w:val="left" w:pos="284"/>
        </w:tabs>
        <w:jc w:val="both"/>
        <w:rPr>
          <w:sz w:val="22"/>
          <w:szCs w:val="22"/>
          <w:lang w:val="sr-Latn-ME"/>
        </w:rPr>
      </w:pPr>
    </w:p>
    <w:p w14:paraId="653EB37E" w14:textId="68A5818C" w:rsidR="00565275" w:rsidRPr="00783B4B" w:rsidRDefault="00565275" w:rsidP="00783B4B">
      <w:pPr>
        <w:pStyle w:val="Header"/>
        <w:jc w:val="both"/>
        <w:rPr>
          <w:iCs/>
          <w:sz w:val="22"/>
          <w:szCs w:val="22"/>
          <w:u w:val="single"/>
          <w:lang w:val="sr-Latn-ME"/>
        </w:rPr>
      </w:pPr>
      <w:proofErr w:type="spellStart"/>
      <w:r w:rsidRPr="00783B4B">
        <w:rPr>
          <w:iCs/>
          <w:sz w:val="22"/>
          <w:szCs w:val="22"/>
          <w:u w:val="single"/>
          <w:lang w:val="sr-Latn-ME"/>
        </w:rPr>
        <w:t>McCune-Albright</w:t>
      </w:r>
      <w:proofErr w:type="spellEnd"/>
      <w:r w:rsidRPr="00783B4B">
        <w:rPr>
          <w:iCs/>
          <w:sz w:val="22"/>
          <w:szCs w:val="22"/>
          <w:u w:val="single"/>
          <w:lang w:val="sr-Latn-ME"/>
        </w:rPr>
        <w:t xml:space="preserve"> sindrom</w:t>
      </w:r>
    </w:p>
    <w:p w14:paraId="3067D690" w14:textId="77777777" w:rsidR="00D83ADA" w:rsidRPr="00783B4B" w:rsidRDefault="00D83ADA" w:rsidP="00783B4B">
      <w:pPr>
        <w:pStyle w:val="Header"/>
        <w:jc w:val="both"/>
        <w:rPr>
          <w:iCs/>
          <w:sz w:val="22"/>
          <w:szCs w:val="22"/>
          <w:u w:val="single"/>
          <w:lang w:val="sr-Latn-ME"/>
        </w:rPr>
      </w:pPr>
    </w:p>
    <w:p w14:paraId="23C3CB48" w14:textId="569FF5E0" w:rsidR="00565275" w:rsidRPr="00783B4B" w:rsidRDefault="00E82A83" w:rsidP="00783B4B">
      <w:pPr>
        <w:pStyle w:val="Header"/>
        <w:jc w:val="both"/>
        <w:rPr>
          <w:sz w:val="22"/>
          <w:szCs w:val="22"/>
          <w:lang w:val="sr-Latn-ME"/>
        </w:rPr>
      </w:pPr>
      <w:r w:rsidRPr="00783B4B">
        <w:rPr>
          <w:sz w:val="22"/>
          <w:szCs w:val="22"/>
          <w:lang w:val="sr-Latn-ME"/>
        </w:rPr>
        <w:t xml:space="preserve">Studija 0046 </w:t>
      </w:r>
      <w:r w:rsidR="00793C11" w:rsidRPr="00783B4B">
        <w:rPr>
          <w:sz w:val="22"/>
          <w:szCs w:val="22"/>
          <w:lang w:val="sr-Latn-ME"/>
        </w:rPr>
        <w:t>je bila internacionalna</w:t>
      </w:r>
      <w:r w:rsidR="00565275" w:rsidRPr="00783B4B">
        <w:rPr>
          <w:sz w:val="22"/>
          <w:szCs w:val="22"/>
          <w:lang w:val="sr-Latn-ME"/>
        </w:rPr>
        <w:t>, multi</w:t>
      </w:r>
      <w:r w:rsidR="00793C11" w:rsidRPr="00783B4B">
        <w:rPr>
          <w:sz w:val="22"/>
          <w:szCs w:val="22"/>
          <w:lang w:val="sr-Latn-ME"/>
        </w:rPr>
        <w:t>-</w:t>
      </w:r>
      <w:proofErr w:type="spellStart"/>
      <w:r w:rsidR="00793C11" w:rsidRPr="00783B4B">
        <w:rPr>
          <w:sz w:val="22"/>
          <w:szCs w:val="22"/>
          <w:lang w:val="sr-Latn-ME"/>
        </w:rPr>
        <w:t>centrična</w:t>
      </w:r>
      <w:proofErr w:type="spellEnd"/>
      <w:r w:rsidR="00565275" w:rsidRPr="00783B4B">
        <w:rPr>
          <w:sz w:val="22"/>
          <w:szCs w:val="22"/>
          <w:lang w:val="sr-Latn-ME"/>
        </w:rPr>
        <w:t>, otvoren</w:t>
      </w:r>
      <w:r w:rsidR="00793C11" w:rsidRPr="00783B4B">
        <w:rPr>
          <w:sz w:val="22"/>
          <w:szCs w:val="22"/>
          <w:lang w:val="sr-Latn-ME"/>
        </w:rPr>
        <w:t>a</w:t>
      </w:r>
      <w:r w:rsidR="00565275" w:rsidRPr="00783B4B">
        <w:rPr>
          <w:sz w:val="22"/>
          <w:szCs w:val="22"/>
          <w:lang w:val="sr-Latn-ME"/>
        </w:rPr>
        <w:t xml:space="preserve"> </w:t>
      </w:r>
      <w:r w:rsidR="00454951" w:rsidRPr="00783B4B">
        <w:rPr>
          <w:sz w:val="22"/>
          <w:szCs w:val="22"/>
          <w:lang w:val="sr-Latn-ME"/>
        </w:rPr>
        <w:t xml:space="preserve">istraživačka studija sa </w:t>
      </w:r>
      <w:proofErr w:type="spellStart"/>
      <w:r w:rsidR="00454951" w:rsidRPr="00783B4B">
        <w:rPr>
          <w:sz w:val="22"/>
          <w:szCs w:val="22"/>
          <w:lang w:val="sr-Latn-ME"/>
        </w:rPr>
        <w:t>anastrozolom</w:t>
      </w:r>
      <w:proofErr w:type="spellEnd"/>
      <w:r w:rsidR="00454951" w:rsidRPr="00783B4B">
        <w:rPr>
          <w:sz w:val="22"/>
          <w:szCs w:val="22"/>
          <w:lang w:val="sr-Latn-ME"/>
        </w:rPr>
        <w:t xml:space="preserve"> kod </w:t>
      </w:r>
      <w:r w:rsidR="00565275" w:rsidRPr="00783B4B">
        <w:rPr>
          <w:sz w:val="22"/>
          <w:szCs w:val="22"/>
          <w:lang w:val="sr-Latn-ME"/>
        </w:rPr>
        <w:t>28 djevojčica (uzrasta od</w:t>
      </w:r>
      <w:r w:rsidR="00454951" w:rsidRPr="00783B4B">
        <w:rPr>
          <w:sz w:val="22"/>
          <w:szCs w:val="22"/>
          <w:lang w:val="sr-Latn-ME"/>
        </w:rPr>
        <w:t xml:space="preserve"> </w:t>
      </w:r>
      <w:r w:rsidR="00565275" w:rsidRPr="00783B4B">
        <w:rPr>
          <w:sz w:val="22"/>
          <w:szCs w:val="22"/>
          <w:lang w:val="sr-Latn-ME"/>
        </w:rPr>
        <w:t xml:space="preserve">2 do 10 godina) sa </w:t>
      </w:r>
      <w:proofErr w:type="spellStart"/>
      <w:r w:rsidR="00565275" w:rsidRPr="00783B4B">
        <w:rPr>
          <w:i/>
          <w:iCs/>
          <w:sz w:val="22"/>
          <w:szCs w:val="22"/>
          <w:lang w:val="sr-Latn-ME"/>
        </w:rPr>
        <w:t>McCune</w:t>
      </w:r>
      <w:proofErr w:type="spellEnd"/>
      <w:r w:rsidR="00565275" w:rsidRPr="00783B4B">
        <w:rPr>
          <w:i/>
          <w:iCs/>
          <w:sz w:val="22"/>
          <w:szCs w:val="22"/>
          <w:lang w:val="sr-Latn-ME"/>
        </w:rPr>
        <w:t xml:space="preserve"> </w:t>
      </w:r>
      <w:proofErr w:type="spellStart"/>
      <w:r w:rsidR="00565275" w:rsidRPr="00783B4B">
        <w:rPr>
          <w:i/>
          <w:iCs/>
          <w:sz w:val="22"/>
          <w:szCs w:val="22"/>
          <w:lang w:val="sr-Latn-ME"/>
        </w:rPr>
        <w:t>Albright</w:t>
      </w:r>
      <w:proofErr w:type="spellEnd"/>
      <w:r w:rsidR="00565275" w:rsidRPr="00783B4B">
        <w:rPr>
          <w:sz w:val="22"/>
          <w:szCs w:val="22"/>
          <w:lang w:val="sr-Latn-ME"/>
        </w:rPr>
        <w:t xml:space="preserve"> sindromom</w:t>
      </w:r>
      <w:r w:rsidR="00454951" w:rsidRPr="00783B4B">
        <w:rPr>
          <w:sz w:val="22"/>
          <w:szCs w:val="22"/>
          <w:lang w:val="sr-Latn-ME"/>
        </w:rPr>
        <w:t xml:space="preserve"> (</w:t>
      </w:r>
      <w:proofErr w:type="spellStart"/>
      <w:r w:rsidR="00454951" w:rsidRPr="00783B4B">
        <w:rPr>
          <w:sz w:val="22"/>
          <w:szCs w:val="22"/>
          <w:lang w:val="sr-Latn-ME"/>
        </w:rPr>
        <w:t>MAS</w:t>
      </w:r>
      <w:proofErr w:type="spellEnd"/>
      <w:r w:rsidR="00454951" w:rsidRPr="00783B4B">
        <w:rPr>
          <w:sz w:val="22"/>
          <w:szCs w:val="22"/>
          <w:lang w:val="sr-Latn-ME"/>
        </w:rPr>
        <w:t>)</w:t>
      </w:r>
      <w:r w:rsidR="00565275" w:rsidRPr="00783B4B">
        <w:rPr>
          <w:sz w:val="22"/>
          <w:szCs w:val="22"/>
          <w:lang w:val="sr-Latn-ME"/>
        </w:rPr>
        <w:t xml:space="preserve">. Primarni cilj je bio </w:t>
      </w:r>
      <w:proofErr w:type="spellStart"/>
      <w:r w:rsidR="00565275" w:rsidRPr="00783B4B">
        <w:rPr>
          <w:sz w:val="22"/>
          <w:szCs w:val="22"/>
          <w:lang w:val="sr-Latn-ME"/>
        </w:rPr>
        <w:t>procijen</w:t>
      </w:r>
      <w:r w:rsidR="00454951" w:rsidRPr="00783B4B">
        <w:rPr>
          <w:sz w:val="22"/>
          <w:szCs w:val="22"/>
          <w:lang w:val="sr-Latn-ME"/>
        </w:rPr>
        <w:t>a</w:t>
      </w:r>
      <w:proofErr w:type="spellEnd"/>
      <w:r w:rsidR="00565275" w:rsidRPr="00783B4B">
        <w:rPr>
          <w:sz w:val="22"/>
          <w:szCs w:val="22"/>
          <w:lang w:val="sr-Latn-ME"/>
        </w:rPr>
        <w:t xml:space="preserve"> bezbjednost</w:t>
      </w:r>
      <w:r w:rsidR="00454951" w:rsidRPr="00783B4B">
        <w:rPr>
          <w:sz w:val="22"/>
          <w:szCs w:val="22"/>
          <w:lang w:val="sr-Latn-ME"/>
        </w:rPr>
        <w:t>i</w:t>
      </w:r>
      <w:r w:rsidR="00565275" w:rsidRPr="00783B4B">
        <w:rPr>
          <w:sz w:val="22"/>
          <w:szCs w:val="22"/>
          <w:lang w:val="sr-Latn-ME"/>
        </w:rPr>
        <w:t xml:space="preserve"> i efikasnost</w:t>
      </w:r>
      <w:r w:rsidR="00454951" w:rsidRPr="00783B4B">
        <w:rPr>
          <w:sz w:val="22"/>
          <w:szCs w:val="22"/>
          <w:lang w:val="sr-Latn-ME"/>
        </w:rPr>
        <w:t>i</w:t>
      </w:r>
      <w:r w:rsidR="0088545A" w:rsidRPr="00783B4B">
        <w:rPr>
          <w:sz w:val="22"/>
          <w:szCs w:val="22"/>
          <w:lang w:val="sr-Latn-ME"/>
        </w:rPr>
        <w:t xml:space="preserve"> </w:t>
      </w:r>
      <w:proofErr w:type="spellStart"/>
      <w:r w:rsidR="00565275" w:rsidRPr="00783B4B">
        <w:rPr>
          <w:sz w:val="22"/>
          <w:szCs w:val="22"/>
          <w:lang w:val="sr-Latn-ME"/>
        </w:rPr>
        <w:t>anastrozola</w:t>
      </w:r>
      <w:proofErr w:type="spellEnd"/>
      <w:r w:rsidR="00565275" w:rsidRPr="00783B4B">
        <w:rPr>
          <w:sz w:val="22"/>
          <w:szCs w:val="22"/>
          <w:lang w:val="sr-Latn-ME"/>
        </w:rPr>
        <w:t xml:space="preserve"> u dozi od </w:t>
      </w:r>
      <w:proofErr w:type="spellStart"/>
      <w:r w:rsidR="00565275" w:rsidRPr="00783B4B">
        <w:rPr>
          <w:sz w:val="22"/>
          <w:szCs w:val="22"/>
          <w:lang w:val="sr-Latn-ME"/>
        </w:rPr>
        <w:t>1mg</w:t>
      </w:r>
      <w:proofErr w:type="spellEnd"/>
      <w:r w:rsidR="00780242" w:rsidRPr="00783B4B">
        <w:rPr>
          <w:sz w:val="22"/>
          <w:szCs w:val="22"/>
          <w:lang w:val="sr-Latn-ME"/>
        </w:rPr>
        <w:t>/</w:t>
      </w:r>
      <w:r w:rsidR="00565275" w:rsidRPr="00783B4B">
        <w:rPr>
          <w:sz w:val="22"/>
          <w:szCs w:val="22"/>
          <w:lang w:val="sr-Latn-ME"/>
        </w:rPr>
        <w:t xml:space="preserve">dnevno kod </w:t>
      </w:r>
      <w:r w:rsidR="00780242" w:rsidRPr="00783B4B">
        <w:rPr>
          <w:sz w:val="22"/>
          <w:szCs w:val="22"/>
          <w:lang w:val="sr-Latn-ME"/>
        </w:rPr>
        <w:t xml:space="preserve">pacijenata </w:t>
      </w:r>
      <w:r w:rsidR="00565275" w:rsidRPr="00783B4B">
        <w:rPr>
          <w:sz w:val="22"/>
          <w:szCs w:val="22"/>
          <w:lang w:val="sr-Latn-ME"/>
        </w:rPr>
        <w:t xml:space="preserve">sa </w:t>
      </w:r>
      <w:proofErr w:type="spellStart"/>
      <w:r w:rsidR="00780242" w:rsidRPr="00783B4B">
        <w:rPr>
          <w:sz w:val="22"/>
          <w:szCs w:val="22"/>
          <w:lang w:val="sr-Latn-ME"/>
        </w:rPr>
        <w:t>MAS</w:t>
      </w:r>
      <w:proofErr w:type="spellEnd"/>
      <w:r w:rsidR="00565275" w:rsidRPr="00783B4B">
        <w:rPr>
          <w:sz w:val="22"/>
          <w:szCs w:val="22"/>
          <w:lang w:val="sr-Latn-ME"/>
        </w:rPr>
        <w:t>. Efikasnost</w:t>
      </w:r>
      <w:r w:rsidR="0088545A" w:rsidRPr="00783B4B">
        <w:rPr>
          <w:sz w:val="22"/>
          <w:szCs w:val="22"/>
          <w:lang w:val="sr-Latn-ME"/>
        </w:rPr>
        <w:t xml:space="preserve"> </w:t>
      </w:r>
      <w:r w:rsidR="00565275" w:rsidRPr="00783B4B">
        <w:rPr>
          <w:sz w:val="22"/>
          <w:szCs w:val="22"/>
          <w:lang w:val="sr-Latn-ME"/>
        </w:rPr>
        <w:t xml:space="preserve">terapije </w:t>
      </w:r>
      <w:r w:rsidR="00780242" w:rsidRPr="00783B4B">
        <w:rPr>
          <w:sz w:val="22"/>
          <w:szCs w:val="22"/>
          <w:lang w:val="sr-Latn-ME"/>
        </w:rPr>
        <w:t>je zas</w:t>
      </w:r>
      <w:r w:rsidR="00AB475C" w:rsidRPr="00783B4B">
        <w:rPr>
          <w:sz w:val="22"/>
          <w:szCs w:val="22"/>
          <w:lang w:val="sr-Latn-ME"/>
        </w:rPr>
        <w:t xml:space="preserve">novana na </w:t>
      </w:r>
      <w:r w:rsidR="00565275" w:rsidRPr="00783B4B">
        <w:rPr>
          <w:sz w:val="22"/>
          <w:szCs w:val="22"/>
          <w:lang w:val="sr-Latn-ME"/>
        </w:rPr>
        <w:t xml:space="preserve"> </w:t>
      </w:r>
      <w:r w:rsidR="00AB475C" w:rsidRPr="00783B4B">
        <w:rPr>
          <w:sz w:val="22"/>
          <w:szCs w:val="22"/>
          <w:lang w:val="sr-Latn-ME"/>
        </w:rPr>
        <w:t xml:space="preserve">procentu pacijenata koji su ispunili definisani </w:t>
      </w:r>
      <w:r w:rsidR="00565275" w:rsidRPr="00783B4B">
        <w:rPr>
          <w:sz w:val="22"/>
          <w:szCs w:val="22"/>
          <w:lang w:val="sr-Latn-ME"/>
        </w:rPr>
        <w:t xml:space="preserve">kriterijum </w:t>
      </w:r>
      <w:r w:rsidR="00CD4222" w:rsidRPr="00783B4B">
        <w:rPr>
          <w:sz w:val="22"/>
          <w:szCs w:val="22"/>
          <w:lang w:val="sr-Latn-ME"/>
        </w:rPr>
        <w:t>koji se tiče</w:t>
      </w:r>
      <w:r w:rsidR="0088545A" w:rsidRPr="00783B4B">
        <w:rPr>
          <w:sz w:val="22"/>
          <w:szCs w:val="22"/>
          <w:lang w:val="sr-Latn-ME"/>
        </w:rPr>
        <w:t xml:space="preserve"> </w:t>
      </w:r>
      <w:r w:rsidR="00565275" w:rsidRPr="00783B4B">
        <w:rPr>
          <w:sz w:val="22"/>
          <w:szCs w:val="22"/>
          <w:lang w:val="sr-Latn-ME"/>
        </w:rPr>
        <w:t>vaginalnog krvarenja, starosti kostiju i brzine rasta.</w:t>
      </w:r>
    </w:p>
    <w:p w14:paraId="295A5403" w14:textId="77777777" w:rsidR="00565275" w:rsidRPr="00783B4B" w:rsidRDefault="00565275" w:rsidP="00783B4B">
      <w:pPr>
        <w:pStyle w:val="Header"/>
        <w:jc w:val="both"/>
        <w:rPr>
          <w:sz w:val="22"/>
          <w:szCs w:val="22"/>
          <w:lang w:val="sr-Latn-ME"/>
        </w:rPr>
      </w:pPr>
    </w:p>
    <w:p w14:paraId="205AC442" w14:textId="040D9275" w:rsidR="00565275" w:rsidRPr="00783B4B" w:rsidRDefault="00CD2483" w:rsidP="00783B4B">
      <w:pPr>
        <w:pStyle w:val="Header"/>
        <w:jc w:val="both"/>
        <w:rPr>
          <w:sz w:val="22"/>
          <w:szCs w:val="22"/>
          <w:lang w:val="sr-Latn-ME"/>
        </w:rPr>
      </w:pPr>
      <w:r w:rsidRPr="00783B4B">
        <w:rPr>
          <w:sz w:val="22"/>
          <w:szCs w:val="22"/>
          <w:lang w:val="sr-Latn-ME"/>
        </w:rPr>
        <w:t>Nije zab</w:t>
      </w:r>
      <w:r w:rsidR="00A45CA1" w:rsidRPr="00783B4B">
        <w:rPr>
          <w:sz w:val="22"/>
          <w:szCs w:val="22"/>
          <w:lang w:val="sr-Latn-ME"/>
        </w:rPr>
        <w:t>i</w:t>
      </w:r>
      <w:r w:rsidRPr="00783B4B">
        <w:rPr>
          <w:sz w:val="22"/>
          <w:szCs w:val="22"/>
          <w:lang w:val="sr-Latn-ME"/>
        </w:rPr>
        <w:t>l</w:t>
      </w:r>
      <w:r w:rsidR="00D83ADA" w:rsidRPr="00783B4B">
        <w:rPr>
          <w:sz w:val="22"/>
          <w:szCs w:val="22"/>
          <w:lang w:val="sr-Latn-ME"/>
        </w:rPr>
        <w:t>j</w:t>
      </w:r>
      <w:r w:rsidRPr="00783B4B">
        <w:rPr>
          <w:sz w:val="22"/>
          <w:szCs w:val="22"/>
          <w:lang w:val="sr-Latn-ME"/>
        </w:rPr>
        <w:t xml:space="preserve">ežena </w:t>
      </w:r>
      <w:r w:rsidR="00565275" w:rsidRPr="00783B4B">
        <w:rPr>
          <w:sz w:val="22"/>
          <w:szCs w:val="22"/>
          <w:lang w:val="sr-Latn-ME"/>
        </w:rPr>
        <w:t xml:space="preserve">statistički </w:t>
      </w:r>
      <w:r w:rsidRPr="00783B4B">
        <w:rPr>
          <w:sz w:val="22"/>
          <w:szCs w:val="22"/>
          <w:lang w:val="sr-Latn-ME"/>
        </w:rPr>
        <w:t xml:space="preserve">značajna promjena </w:t>
      </w:r>
      <w:r w:rsidR="00565275" w:rsidRPr="00783B4B">
        <w:rPr>
          <w:sz w:val="22"/>
          <w:szCs w:val="22"/>
          <w:lang w:val="sr-Latn-ME"/>
        </w:rPr>
        <w:t xml:space="preserve">u učestalosti </w:t>
      </w:r>
      <w:r w:rsidRPr="00783B4B">
        <w:rPr>
          <w:sz w:val="22"/>
          <w:szCs w:val="22"/>
          <w:lang w:val="sr-Latn-ME"/>
        </w:rPr>
        <w:t xml:space="preserve">dana vaginalnih </w:t>
      </w:r>
      <w:r w:rsidR="00565275" w:rsidRPr="00783B4B">
        <w:rPr>
          <w:sz w:val="22"/>
          <w:szCs w:val="22"/>
          <w:lang w:val="sr-Latn-ME"/>
        </w:rPr>
        <w:t>krvarenja tokom terapije. Nije bilo klinički</w:t>
      </w:r>
      <w:r w:rsidR="0088545A" w:rsidRPr="00783B4B">
        <w:rPr>
          <w:sz w:val="22"/>
          <w:szCs w:val="22"/>
          <w:lang w:val="sr-Latn-ME"/>
        </w:rPr>
        <w:t xml:space="preserve"> </w:t>
      </w:r>
      <w:r w:rsidRPr="00783B4B">
        <w:rPr>
          <w:sz w:val="22"/>
          <w:szCs w:val="22"/>
          <w:lang w:val="sr-Latn-ME"/>
        </w:rPr>
        <w:t xml:space="preserve">značajnih promjena </w:t>
      </w:r>
      <w:r w:rsidR="00465285" w:rsidRPr="00783B4B">
        <w:rPr>
          <w:sz w:val="22"/>
          <w:szCs w:val="22"/>
          <w:lang w:val="sr-Latn-ME"/>
        </w:rPr>
        <w:t xml:space="preserve">vezanih za </w:t>
      </w:r>
      <w:proofErr w:type="spellStart"/>
      <w:r w:rsidR="00565275" w:rsidRPr="00783B4B">
        <w:rPr>
          <w:sz w:val="22"/>
          <w:szCs w:val="22"/>
          <w:lang w:val="sr-Latn-ME"/>
        </w:rPr>
        <w:t>Tanner</w:t>
      </w:r>
      <w:proofErr w:type="spellEnd"/>
      <w:r w:rsidR="00565275" w:rsidRPr="00783B4B">
        <w:rPr>
          <w:sz w:val="22"/>
          <w:szCs w:val="22"/>
          <w:lang w:val="sr-Latn-ME"/>
        </w:rPr>
        <w:t xml:space="preserve"> </w:t>
      </w:r>
      <w:r w:rsidR="00465285" w:rsidRPr="00783B4B">
        <w:rPr>
          <w:sz w:val="22"/>
          <w:szCs w:val="22"/>
          <w:lang w:val="sr-Latn-ME"/>
        </w:rPr>
        <w:t>stadijume</w:t>
      </w:r>
      <w:r w:rsidR="00565275" w:rsidRPr="00783B4B">
        <w:rPr>
          <w:sz w:val="22"/>
          <w:szCs w:val="22"/>
          <w:lang w:val="sr-Latn-ME"/>
        </w:rPr>
        <w:t xml:space="preserve">, </w:t>
      </w:r>
      <w:r w:rsidR="00465285" w:rsidRPr="00783B4B">
        <w:rPr>
          <w:sz w:val="22"/>
          <w:szCs w:val="22"/>
          <w:lang w:val="sr-Latn-ME"/>
        </w:rPr>
        <w:t>kao niti u srednj</w:t>
      </w:r>
      <w:r w:rsidR="000C7F01" w:rsidRPr="00783B4B">
        <w:rPr>
          <w:sz w:val="22"/>
          <w:szCs w:val="22"/>
          <w:lang w:val="sr-Latn-ME"/>
        </w:rPr>
        <w:t>em</w:t>
      </w:r>
      <w:r w:rsidR="00465285" w:rsidRPr="00783B4B">
        <w:rPr>
          <w:sz w:val="22"/>
          <w:szCs w:val="22"/>
          <w:lang w:val="sr-Latn-ME"/>
        </w:rPr>
        <w:t xml:space="preserve"> </w:t>
      </w:r>
      <w:r w:rsidR="0089597E" w:rsidRPr="00783B4B">
        <w:rPr>
          <w:sz w:val="22"/>
          <w:szCs w:val="22"/>
          <w:lang w:val="sr-Latn-ME"/>
        </w:rPr>
        <w:t>volumenu</w:t>
      </w:r>
      <w:r w:rsidR="00565275" w:rsidRPr="00783B4B">
        <w:rPr>
          <w:sz w:val="22"/>
          <w:szCs w:val="22"/>
          <w:lang w:val="sr-Latn-ME"/>
        </w:rPr>
        <w:t xml:space="preserve"> jajnika ili </w:t>
      </w:r>
      <w:r w:rsidR="0099043D" w:rsidRPr="00783B4B">
        <w:rPr>
          <w:sz w:val="22"/>
          <w:szCs w:val="22"/>
          <w:lang w:val="sr-Latn-ME"/>
        </w:rPr>
        <w:t>srednjem volumenu materice</w:t>
      </w:r>
      <w:r w:rsidR="00565275" w:rsidRPr="00783B4B">
        <w:rPr>
          <w:sz w:val="22"/>
          <w:szCs w:val="22"/>
          <w:lang w:val="sr-Latn-ME"/>
        </w:rPr>
        <w:t xml:space="preserve">. </w:t>
      </w:r>
      <w:r w:rsidR="00BE0ACC" w:rsidRPr="00783B4B">
        <w:rPr>
          <w:sz w:val="22"/>
          <w:szCs w:val="22"/>
          <w:lang w:val="sr-Latn-ME"/>
        </w:rPr>
        <w:t>Nije zab</w:t>
      </w:r>
      <w:r w:rsidR="00A45CA1" w:rsidRPr="00783B4B">
        <w:rPr>
          <w:sz w:val="22"/>
          <w:szCs w:val="22"/>
          <w:lang w:val="sr-Latn-ME"/>
        </w:rPr>
        <w:t>i</w:t>
      </w:r>
      <w:r w:rsidR="00BE0ACC" w:rsidRPr="00783B4B">
        <w:rPr>
          <w:sz w:val="22"/>
          <w:szCs w:val="22"/>
          <w:lang w:val="sr-Latn-ME"/>
        </w:rPr>
        <w:t>l</w:t>
      </w:r>
      <w:r w:rsidR="00A45CA1" w:rsidRPr="00783B4B">
        <w:rPr>
          <w:sz w:val="22"/>
          <w:szCs w:val="22"/>
          <w:lang w:val="sr-Latn-ME"/>
        </w:rPr>
        <w:t>j</w:t>
      </w:r>
      <w:r w:rsidR="00BE0ACC" w:rsidRPr="00783B4B">
        <w:rPr>
          <w:sz w:val="22"/>
          <w:szCs w:val="22"/>
          <w:lang w:val="sr-Latn-ME"/>
        </w:rPr>
        <w:t xml:space="preserve">ežena </w:t>
      </w:r>
      <w:r w:rsidR="00565275" w:rsidRPr="00783B4B">
        <w:rPr>
          <w:sz w:val="22"/>
          <w:szCs w:val="22"/>
          <w:lang w:val="sr-Latn-ME"/>
        </w:rPr>
        <w:t xml:space="preserve">statistički </w:t>
      </w:r>
      <w:r w:rsidR="00BE0ACC" w:rsidRPr="00783B4B">
        <w:rPr>
          <w:sz w:val="22"/>
          <w:szCs w:val="22"/>
          <w:lang w:val="sr-Latn-ME"/>
        </w:rPr>
        <w:t xml:space="preserve">značajna </w:t>
      </w:r>
      <w:r w:rsidR="00204CF0" w:rsidRPr="00783B4B">
        <w:rPr>
          <w:sz w:val="22"/>
          <w:szCs w:val="22"/>
          <w:lang w:val="sr-Latn-ME"/>
        </w:rPr>
        <w:t>prom</w:t>
      </w:r>
      <w:r w:rsidR="00A45CA1" w:rsidRPr="00783B4B">
        <w:rPr>
          <w:sz w:val="22"/>
          <w:szCs w:val="22"/>
          <w:lang w:val="sr-Latn-ME"/>
        </w:rPr>
        <w:t>j</w:t>
      </w:r>
      <w:r w:rsidR="00204CF0" w:rsidRPr="00783B4B">
        <w:rPr>
          <w:sz w:val="22"/>
          <w:szCs w:val="22"/>
          <w:lang w:val="sr-Latn-ME"/>
        </w:rPr>
        <w:t xml:space="preserve">ena u stopi porasta starenja kostiju u toku terapije u odnosu na početno stanje. </w:t>
      </w:r>
      <w:r w:rsidR="00565275" w:rsidRPr="00783B4B">
        <w:rPr>
          <w:sz w:val="22"/>
          <w:szCs w:val="22"/>
          <w:lang w:val="sr-Latn-ME"/>
        </w:rPr>
        <w:t>Stopa rasta (</w:t>
      </w:r>
      <w:r w:rsidR="00204CF0" w:rsidRPr="00783B4B">
        <w:rPr>
          <w:sz w:val="22"/>
          <w:szCs w:val="22"/>
          <w:lang w:val="sr-Latn-ME"/>
        </w:rPr>
        <w:t xml:space="preserve">u </w:t>
      </w:r>
      <w:r w:rsidR="00565275" w:rsidRPr="00783B4B">
        <w:rPr>
          <w:sz w:val="22"/>
          <w:szCs w:val="22"/>
          <w:lang w:val="sr-Latn-ME"/>
        </w:rPr>
        <w:t>cm</w:t>
      </w:r>
      <w:r w:rsidR="00204CF0" w:rsidRPr="00783B4B">
        <w:rPr>
          <w:sz w:val="22"/>
          <w:szCs w:val="22"/>
          <w:lang w:val="sr-Latn-ME"/>
        </w:rPr>
        <w:t xml:space="preserve"> po </w:t>
      </w:r>
      <w:r w:rsidR="00565275" w:rsidRPr="00783B4B">
        <w:rPr>
          <w:sz w:val="22"/>
          <w:szCs w:val="22"/>
          <w:lang w:val="sr-Latn-ME"/>
        </w:rPr>
        <w:t>god</w:t>
      </w:r>
      <w:r w:rsidR="007D627F" w:rsidRPr="00783B4B">
        <w:rPr>
          <w:sz w:val="22"/>
          <w:szCs w:val="22"/>
          <w:lang w:val="sr-Latn-ME"/>
        </w:rPr>
        <w:t>ini</w:t>
      </w:r>
      <w:r w:rsidR="00565275" w:rsidRPr="00783B4B">
        <w:rPr>
          <w:sz w:val="22"/>
          <w:szCs w:val="22"/>
          <w:lang w:val="sr-Latn-ME"/>
        </w:rPr>
        <w:t xml:space="preserve">) </w:t>
      </w:r>
      <w:r w:rsidR="007D627F" w:rsidRPr="00783B4B">
        <w:rPr>
          <w:sz w:val="22"/>
          <w:szCs w:val="22"/>
          <w:lang w:val="sr-Latn-ME"/>
        </w:rPr>
        <w:t xml:space="preserve">je </w:t>
      </w:r>
      <w:r w:rsidR="00565275" w:rsidRPr="00783B4B">
        <w:rPr>
          <w:sz w:val="22"/>
          <w:szCs w:val="22"/>
          <w:lang w:val="sr-Latn-ME"/>
        </w:rPr>
        <w:t>bila značajno smanjena (p&lt;0</w:t>
      </w:r>
      <w:r w:rsidR="007D627F" w:rsidRPr="00783B4B">
        <w:rPr>
          <w:sz w:val="22"/>
          <w:szCs w:val="22"/>
          <w:lang w:val="sr-Latn-ME"/>
        </w:rPr>
        <w:t>,</w:t>
      </w:r>
      <w:r w:rsidR="00565275" w:rsidRPr="00783B4B">
        <w:rPr>
          <w:sz w:val="22"/>
          <w:szCs w:val="22"/>
          <w:lang w:val="sr-Latn-ME"/>
        </w:rPr>
        <w:t xml:space="preserve">05) u periodu prije </w:t>
      </w:r>
      <w:r w:rsidR="00F86F50" w:rsidRPr="00783B4B">
        <w:rPr>
          <w:sz w:val="22"/>
          <w:szCs w:val="22"/>
          <w:lang w:val="sr-Latn-ME"/>
        </w:rPr>
        <w:t>od nultog (0) m</w:t>
      </w:r>
      <w:r w:rsidR="00A45CA1" w:rsidRPr="00783B4B">
        <w:rPr>
          <w:sz w:val="22"/>
          <w:szCs w:val="22"/>
          <w:lang w:val="sr-Latn-ME"/>
        </w:rPr>
        <w:t>j</w:t>
      </w:r>
      <w:r w:rsidR="00F86F50" w:rsidRPr="00783B4B">
        <w:rPr>
          <w:sz w:val="22"/>
          <w:szCs w:val="22"/>
          <w:lang w:val="sr-Latn-ME"/>
        </w:rPr>
        <w:t>eseca do 12-</w:t>
      </w:r>
      <w:proofErr w:type="spellStart"/>
      <w:r w:rsidR="00F86F50" w:rsidRPr="00783B4B">
        <w:rPr>
          <w:sz w:val="22"/>
          <w:szCs w:val="22"/>
          <w:lang w:val="sr-Latn-ME"/>
        </w:rPr>
        <w:t>og</w:t>
      </w:r>
      <w:proofErr w:type="spellEnd"/>
      <w:r w:rsidR="00F86F50" w:rsidRPr="00783B4B">
        <w:rPr>
          <w:sz w:val="22"/>
          <w:szCs w:val="22"/>
          <w:lang w:val="sr-Latn-ME"/>
        </w:rPr>
        <w:t xml:space="preserve"> m</w:t>
      </w:r>
      <w:r w:rsidR="00A45CA1" w:rsidRPr="00783B4B">
        <w:rPr>
          <w:sz w:val="22"/>
          <w:szCs w:val="22"/>
          <w:lang w:val="sr-Latn-ME"/>
        </w:rPr>
        <w:t>j</w:t>
      </w:r>
      <w:r w:rsidR="00F86F50" w:rsidRPr="00783B4B">
        <w:rPr>
          <w:sz w:val="22"/>
          <w:szCs w:val="22"/>
          <w:lang w:val="sr-Latn-ME"/>
        </w:rPr>
        <w:t>eseca i u periodu pr</w:t>
      </w:r>
      <w:r w:rsidR="00A45CA1" w:rsidRPr="00783B4B">
        <w:rPr>
          <w:sz w:val="22"/>
          <w:szCs w:val="22"/>
          <w:lang w:val="sr-Latn-ME"/>
        </w:rPr>
        <w:t>ij</w:t>
      </w:r>
      <w:r w:rsidR="00F86F50" w:rsidRPr="00783B4B">
        <w:rPr>
          <w:sz w:val="22"/>
          <w:szCs w:val="22"/>
          <w:lang w:val="sr-Latn-ME"/>
        </w:rPr>
        <w:t>e terapije do drugih šest m</w:t>
      </w:r>
      <w:r w:rsidR="00A45CA1" w:rsidRPr="00783B4B">
        <w:rPr>
          <w:sz w:val="22"/>
          <w:szCs w:val="22"/>
          <w:lang w:val="sr-Latn-ME"/>
        </w:rPr>
        <w:t>j</w:t>
      </w:r>
      <w:r w:rsidR="00F86F50" w:rsidRPr="00783B4B">
        <w:rPr>
          <w:sz w:val="22"/>
          <w:szCs w:val="22"/>
          <w:lang w:val="sr-Latn-ME"/>
        </w:rPr>
        <w:t xml:space="preserve">eseci (od </w:t>
      </w:r>
      <w:r w:rsidR="00565275" w:rsidRPr="00783B4B">
        <w:rPr>
          <w:sz w:val="22"/>
          <w:szCs w:val="22"/>
          <w:lang w:val="sr-Latn-ME"/>
        </w:rPr>
        <w:t>7</w:t>
      </w:r>
      <w:r w:rsidR="00A00A5B" w:rsidRPr="00783B4B">
        <w:rPr>
          <w:sz w:val="22"/>
          <w:szCs w:val="22"/>
          <w:lang w:val="sr-Latn-ME"/>
        </w:rPr>
        <w:t>-</w:t>
      </w:r>
      <w:proofErr w:type="spellStart"/>
      <w:r w:rsidR="00A00A5B" w:rsidRPr="00783B4B">
        <w:rPr>
          <w:sz w:val="22"/>
          <w:szCs w:val="22"/>
          <w:lang w:val="sr-Latn-ME"/>
        </w:rPr>
        <w:t>og</w:t>
      </w:r>
      <w:proofErr w:type="spellEnd"/>
      <w:r w:rsidR="00A00A5B" w:rsidRPr="00783B4B">
        <w:rPr>
          <w:sz w:val="22"/>
          <w:szCs w:val="22"/>
          <w:lang w:val="sr-Latn-ME"/>
        </w:rPr>
        <w:t xml:space="preserve"> m</w:t>
      </w:r>
      <w:r w:rsidR="00A45CA1" w:rsidRPr="00783B4B">
        <w:rPr>
          <w:sz w:val="22"/>
          <w:szCs w:val="22"/>
          <w:lang w:val="sr-Latn-ME"/>
        </w:rPr>
        <w:t>j</w:t>
      </w:r>
      <w:r w:rsidR="00A00A5B" w:rsidRPr="00783B4B">
        <w:rPr>
          <w:sz w:val="22"/>
          <w:szCs w:val="22"/>
          <w:lang w:val="sr-Latn-ME"/>
        </w:rPr>
        <w:t xml:space="preserve">eseca do </w:t>
      </w:r>
      <w:r w:rsidR="00565275" w:rsidRPr="00783B4B">
        <w:rPr>
          <w:sz w:val="22"/>
          <w:szCs w:val="22"/>
          <w:lang w:val="sr-Latn-ME"/>
        </w:rPr>
        <w:t>12</w:t>
      </w:r>
      <w:r w:rsidR="00A00A5B" w:rsidRPr="00783B4B">
        <w:rPr>
          <w:sz w:val="22"/>
          <w:szCs w:val="22"/>
          <w:lang w:val="sr-Latn-ME"/>
        </w:rPr>
        <w:t>-</w:t>
      </w:r>
      <w:proofErr w:type="spellStart"/>
      <w:r w:rsidR="00A00A5B" w:rsidRPr="00783B4B">
        <w:rPr>
          <w:sz w:val="22"/>
          <w:szCs w:val="22"/>
          <w:lang w:val="sr-Latn-ME"/>
        </w:rPr>
        <w:t>og</w:t>
      </w:r>
      <w:proofErr w:type="spellEnd"/>
      <w:r w:rsidR="00A00A5B" w:rsidRPr="00783B4B">
        <w:rPr>
          <w:sz w:val="22"/>
          <w:szCs w:val="22"/>
          <w:lang w:val="sr-Latn-ME"/>
        </w:rPr>
        <w:t xml:space="preserve"> </w:t>
      </w:r>
      <w:r w:rsidR="00565275" w:rsidRPr="00783B4B">
        <w:rPr>
          <w:sz w:val="22"/>
          <w:szCs w:val="22"/>
          <w:lang w:val="sr-Latn-ME"/>
        </w:rPr>
        <w:t>mjeseca).</w:t>
      </w:r>
    </w:p>
    <w:p w14:paraId="1C0E9F71" w14:textId="77777777" w:rsidR="00565275" w:rsidRPr="00783B4B" w:rsidRDefault="00565275" w:rsidP="00783B4B">
      <w:pPr>
        <w:tabs>
          <w:tab w:val="left" w:pos="540"/>
          <w:tab w:val="left" w:pos="569"/>
        </w:tabs>
        <w:jc w:val="both"/>
        <w:rPr>
          <w:b/>
          <w:bCs/>
          <w:sz w:val="22"/>
          <w:szCs w:val="22"/>
          <w:lang w:val="sr-Latn-ME"/>
        </w:rPr>
      </w:pPr>
    </w:p>
    <w:p w14:paraId="67DC93AE" w14:textId="2F489449"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5.2. </w:t>
      </w:r>
      <w:r w:rsidR="00480FB1" w:rsidRPr="00783B4B">
        <w:rPr>
          <w:b/>
          <w:bCs/>
          <w:sz w:val="22"/>
          <w:szCs w:val="22"/>
          <w:lang w:val="sr-Latn-ME"/>
        </w:rPr>
        <w:tab/>
      </w:r>
      <w:proofErr w:type="spellStart"/>
      <w:r w:rsidRPr="00783B4B">
        <w:rPr>
          <w:b/>
          <w:bCs/>
          <w:sz w:val="22"/>
          <w:szCs w:val="22"/>
          <w:lang w:val="sr-Latn-ME"/>
        </w:rPr>
        <w:t>Farmakokinetički</w:t>
      </w:r>
      <w:proofErr w:type="spellEnd"/>
      <w:r w:rsidRPr="00783B4B">
        <w:rPr>
          <w:b/>
          <w:bCs/>
          <w:sz w:val="22"/>
          <w:szCs w:val="22"/>
          <w:lang w:val="sr-Latn-ME"/>
        </w:rPr>
        <w:t xml:space="preserve"> podaci</w:t>
      </w:r>
      <w:r w:rsidR="003A7059" w:rsidRPr="00783B4B">
        <w:rPr>
          <w:b/>
          <w:bCs/>
          <w:sz w:val="22"/>
          <w:szCs w:val="22"/>
          <w:lang w:val="sr-Latn-ME"/>
        </w:rPr>
        <w:t xml:space="preserve"> </w:t>
      </w:r>
    </w:p>
    <w:p w14:paraId="0E6D8944" w14:textId="77777777" w:rsidR="009977E8" w:rsidRPr="00783B4B" w:rsidRDefault="009977E8" w:rsidP="00783B4B">
      <w:pPr>
        <w:tabs>
          <w:tab w:val="left" w:pos="540"/>
          <w:tab w:val="left" w:pos="569"/>
        </w:tabs>
        <w:rPr>
          <w:b/>
          <w:bCs/>
          <w:sz w:val="22"/>
          <w:szCs w:val="22"/>
          <w:lang w:val="sr-Latn-ME"/>
        </w:rPr>
      </w:pPr>
    </w:p>
    <w:p w14:paraId="33872CD6" w14:textId="77777777" w:rsidR="009D122F" w:rsidRDefault="009D122F" w:rsidP="00783B4B">
      <w:pPr>
        <w:jc w:val="both"/>
        <w:rPr>
          <w:iCs/>
          <w:sz w:val="22"/>
          <w:szCs w:val="22"/>
          <w:u w:val="single"/>
          <w:lang w:val="sr-Latn-ME"/>
        </w:rPr>
      </w:pPr>
    </w:p>
    <w:p w14:paraId="12AE6D84" w14:textId="7FDF45D6" w:rsidR="009977E8" w:rsidRPr="00783B4B" w:rsidRDefault="009977E8" w:rsidP="00783B4B">
      <w:pPr>
        <w:jc w:val="both"/>
        <w:rPr>
          <w:iCs/>
          <w:sz w:val="22"/>
          <w:szCs w:val="22"/>
          <w:u w:val="single"/>
          <w:lang w:val="sr-Latn-ME"/>
        </w:rPr>
      </w:pPr>
      <w:r w:rsidRPr="00783B4B">
        <w:rPr>
          <w:iCs/>
          <w:sz w:val="22"/>
          <w:szCs w:val="22"/>
          <w:u w:val="single"/>
          <w:lang w:val="sr-Latn-ME"/>
        </w:rPr>
        <w:lastRenderedPageBreak/>
        <w:t>Resorpcija</w:t>
      </w:r>
    </w:p>
    <w:p w14:paraId="3E1DF3C4" w14:textId="77777777" w:rsidR="00A70290" w:rsidRPr="00783B4B" w:rsidRDefault="00A70290" w:rsidP="00783B4B">
      <w:pPr>
        <w:jc w:val="both"/>
        <w:rPr>
          <w:iCs/>
          <w:sz w:val="22"/>
          <w:szCs w:val="22"/>
          <w:u w:val="single"/>
          <w:lang w:val="sr-Latn-ME"/>
        </w:rPr>
      </w:pPr>
    </w:p>
    <w:p w14:paraId="5564C3AB" w14:textId="77777777" w:rsidR="00A70290" w:rsidRPr="00783B4B" w:rsidRDefault="009977E8" w:rsidP="00783B4B">
      <w:pPr>
        <w:jc w:val="both"/>
        <w:rPr>
          <w:sz w:val="22"/>
          <w:szCs w:val="22"/>
          <w:lang w:val="sr-Latn-ME"/>
        </w:rPr>
      </w:pPr>
      <w:r w:rsidRPr="00783B4B">
        <w:rPr>
          <w:sz w:val="22"/>
          <w:szCs w:val="22"/>
          <w:lang w:val="sr-Latn-ME"/>
        </w:rPr>
        <w:t xml:space="preserve">Resorpcija </w:t>
      </w:r>
      <w:proofErr w:type="spellStart"/>
      <w:r w:rsidRPr="00783B4B">
        <w:rPr>
          <w:sz w:val="22"/>
          <w:szCs w:val="22"/>
          <w:lang w:val="sr-Latn-ME"/>
        </w:rPr>
        <w:t>anastrozola</w:t>
      </w:r>
      <w:proofErr w:type="spellEnd"/>
      <w:r w:rsidRPr="00783B4B">
        <w:rPr>
          <w:sz w:val="22"/>
          <w:szCs w:val="22"/>
          <w:lang w:val="sr-Latn-ME"/>
        </w:rPr>
        <w:t xml:space="preserve"> </w:t>
      </w:r>
      <w:proofErr w:type="spellStart"/>
      <w:r w:rsidR="009F1C76" w:rsidRPr="00783B4B">
        <w:rPr>
          <w:sz w:val="22"/>
          <w:szCs w:val="22"/>
          <w:lang w:val="sr-Latn-ME"/>
        </w:rPr>
        <w:t>un</w:t>
      </w:r>
      <w:r w:rsidR="00A45CA1" w:rsidRPr="00783B4B">
        <w:rPr>
          <w:sz w:val="22"/>
          <w:szCs w:val="22"/>
          <w:lang w:val="sr-Latn-ME"/>
        </w:rPr>
        <w:t>ij</w:t>
      </w:r>
      <w:r w:rsidR="009F1C76" w:rsidRPr="00783B4B">
        <w:rPr>
          <w:sz w:val="22"/>
          <w:szCs w:val="22"/>
          <w:lang w:val="sr-Latn-ME"/>
        </w:rPr>
        <w:t>etog</w:t>
      </w:r>
      <w:proofErr w:type="spellEnd"/>
      <w:r w:rsidR="009F1C76" w:rsidRPr="00783B4B">
        <w:rPr>
          <w:sz w:val="22"/>
          <w:szCs w:val="22"/>
          <w:lang w:val="sr-Latn-ME"/>
        </w:rPr>
        <w:t xml:space="preserve"> </w:t>
      </w:r>
      <w:proofErr w:type="spellStart"/>
      <w:r w:rsidR="009F1C76" w:rsidRPr="00783B4B">
        <w:rPr>
          <w:sz w:val="22"/>
          <w:szCs w:val="22"/>
          <w:lang w:val="sr-Latn-ME"/>
        </w:rPr>
        <w:t>peroralno</w:t>
      </w:r>
      <w:proofErr w:type="spellEnd"/>
      <w:r w:rsidR="009F1C76" w:rsidRPr="00783B4B">
        <w:rPr>
          <w:sz w:val="22"/>
          <w:szCs w:val="22"/>
          <w:lang w:val="sr-Latn-ME"/>
        </w:rPr>
        <w:t xml:space="preserve">, i </w:t>
      </w:r>
      <w:proofErr w:type="spellStart"/>
      <w:r w:rsidR="009F1C76" w:rsidRPr="00783B4B">
        <w:rPr>
          <w:sz w:val="22"/>
          <w:szCs w:val="22"/>
          <w:lang w:val="sr-Latn-ME"/>
        </w:rPr>
        <w:t>natašte</w:t>
      </w:r>
      <w:proofErr w:type="spellEnd"/>
      <w:r w:rsidR="009F1C76" w:rsidRPr="00783B4B">
        <w:rPr>
          <w:sz w:val="22"/>
          <w:szCs w:val="22"/>
          <w:lang w:val="sr-Latn-ME"/>
        </w:rPr>
        <w:t>, relativno je brza. Maksimalne koncentracije l</w:t>
      </w:r>
      <w:r w:rsidR="00A45CA1" w:rsidRPr="00783B4B">
        <w:rPr>
          <w:sz w:val="22"/>
          <w:szCs w:val="22"/>
          <w:lang w:val="sr-Latn-ME"/>
        </w:rPr>
        <w:t>ij</w:t>
      </w:r>
      <w:r w:rsidR="009F1C76" w:rsidRPr="00783B4B">
        <w:rPr>
          <w:sz w:val="22"/>
          <w:szCs w:val="22"/>
          <w:lang w:val="sr-Latn-ME"/>
        </w:rPr>
        <w:t>eka postižu se u krvi posl</w:t>
      </w:r>
      <w:r w:rsidR="00A45CA1" w:rsidRPr="00783B4B">
        <w:rPr>
          <w:sz w:val="22"/>
          <w:szCs w:val="22"/>
          <w:lang w:val="sr-Latn-ME"/>
        </w:rPr>
        <w:t>ij</w:t>
      </w:r>
      <w:r w:rsidR="009F1C76" w:rsidRPr="00783B4B">
        <w:rPr>
          <w:sz w:val="22"/>
          <w:szCs w:val="22"/>
          <w:lang w:val="sr-Latn-ME"/>
        </w:rPr>
        <w:t>e približno 2 sata (kada je l</w:t>
      </w:r>
      <w:r w:rsidR="00A45CA1" w:rsidRPr="00783B4B">
        <w:rPr>
          <w:sz w:val="22"/>
          <w:szCs w:val="22"/>
          <w:lang w:val="sr-Latn-ME"/>
        </w:rPr>
        <w:t>ij</w:t>
      </w:r>
      <w:r w:rsidR="009F1C76" w:rsidRPr="00783B4B">
        <w:rPr>
          <w:sz w:val="22"/>
          <w:szCs w:val="22"/>
          <w:lang w:val="sr-Latn-ME"/>
        </w:rPr>
        <w:t xml:space="preserve">ek </w:t>
      </w:r>
      <w:proofErr w:type="spellStart"/>
      <w:r w:rsidR="009F1C76" w:rsidRPr="00783B4B">
        <w:rPr>
          <w:sz w:val="22"/>
          <w:szCs w:val="22"/>
          <w:lang w:val="sr-Latn-ME"/>
        </w:rPr>
        <w:t>un</w:t>
      </w:r>
      <w:r w:rsidR="00A45CA1" w:rsidRPr="00783B4B">
        <w:rPr>
          <w:sz w:val="22"/>
          <w:szCs w:val="22"/>
          <w:lang w:val="sr-Latn-ME"/>
        </w:rPr>
        <w:t>ij</w:t>
      </w:r>
      <w:r w:rsidR="009F1C76" w:rsidRPr="00783B4B">
        <w:rPr>
          <w:sz w:val="22"/>
          <w:szCs w:val="22"/>
          <w:lang w:val="sr-Latn-ME"/>
        </w:rPr>
        <w:t>et</w:t>
      </w:r>
      <w:proofErr w:type="spellEnd"/>
      <w:r w:rsidR="009F1C76" w:rsidRPr="00783B4B">
        <w:rPr>
          <w:sz w:val="22"/>
          <w:szCs w:val="22"/>
          <w:lang w:val="sr-Latn-ME"/>
        </w:rPr>
        <w:t xml:space="preserve"> </w:t>
      </w:r>
      <w:proofErr w:type="spellStart"/>
      <w:r w:rsidR="009F1C76" w:rsidRPr="00783B4B">
        <w:rPr>
          <w:sz w:val="22"/>
          <w:szCs w:val="22"/>
          <w:lang w:val="sr-Latn-ME"/>
        </w:rPr>
        <w:t>natašte</w:t>
      </w:r>
      <w:proofErr w:type="spellEnd"/>
      <w:r w:rsidR="009F1C76" w:rsidRPr="00783B4B">
        <w:rPr>
          <w:sz w:val="22"/>
          <w:szCs w:val="22"/>
          <w:lang w:val="sr-Latn-ME"/>
        </w:rPr>
        <w:t>). Prisustvo h</w:t>
      </w:r>
      <w:r w:rsidRPr="00783B4B">
        <w:rPr>
          <w:sz w:val="22"/>
          <w:szCs w:val="22"/>
          <w:lang w:val="sr-Latn-ME"/>
        </w:rPr>
        <w:t>ran</w:t>
      </w:r>
      <w:r w:rsidR="009F1C76" w:rsidRPr="00783B4B">
        <w:rPr>
          <w:sz w:val="22"/>
          <w:szCs w:val="22"/>
          <w:lang w:val="sr-Latn-ME"/>
        </w:rPr>
        <w:t>e</w:t>
      </w:r>
      <w:r w:rsidRPr="00783B4B">
        <w:rPr>
          <w:sz w:val="22"/>
          <w:szCs w:val="22"/>
          <w:lang w:val="sr-Latn-ME"/>
        </w:rPr>
        <w:t xml:space="preserve"> neznatno smanjuje brzinu ali ne i obim resorpcije. </w:t>
      </w:r>
      <w:r w:rsidR="00173F20" w:rsidRPr="00783B4B">
        <w:rPr>
          <w:sz w:val="22"/>
          <w:szCs w:val="22"/>
          <w:lang w:val="sr-Latn-ME"/>
        </w:rPr>
        <w:t>Ne očekuje se da m</w:t>
      </w:r>
      <w:r w:rsidRPr="00783B4B">
        <w:rPr>
          <w:sz w:val="22"/>
          <w:szCs w:val="22"/>
          <w:lang w:val="sr-Latn-ME"/>
        </w:rPr>
        <w:t>al</w:t>
      </w:r>
      <w:r w:rsidR="00173F20" w:rsidRPr="00783B4B">
        <w:rPr>
          <w:sz w:val="22"/>
          <w:szCs w:val="22"/>
          <w:lang w:val="sr-Latn-ME"/>
        </w:rPr>
        <w:t>e</w:t>
      </w:r>
      <w:r w:rsidRPr="00783B4B">
        <w:rPr>
          <w:sz w:val="22"/>
          <w:szCs w:val="22"/>
          <w:lang w:val="sr-Latn-ME"/>
        </w:rPr>
        <w:t xml:space="preserve"> </w:t>
      </w:r>
      <w:r w:rsidR="00173F20" w:rsidRPr="00783B4B">
        <w:rPr>
          <w:sz w:val="22"/>
          <w:szCs w:val="22"/>
          <w:lang w:val="sr-Latn-ME"/>
        </w:rPr>
        <w:t xml:space="preserve">promjene </w:t>
      </w:r>
      <w:r w:rsidRPr="00783B4B">
        <w:rPr>
          <w:sz w:val="22"/>
          <w:szCs w:val="22"/>
          <w:lang w:val="sr-Latn-ME"/>
        </w:rPr>
        <w:t xml:space="preserve">u brzini resorpcije </w:t>
      </w:r>
      <w:r w:rsidR="00355ED1" w:rsidRPr="00783B4B">
        <w:rPr>
          <w:sz w:val="22"/>
          <w:szCs w:val="22"/>
          <w:lang w:val="sr-Latn-ME"/>
        </w:rPr>
        <w:t xml:space="preserve">klinički značajno utiču na koncentraciju u plazmi u stanju ravnoteže, tokom uzimanja </w:t>
      </w:r>
      <w:proofErr w:type="spellStart"/>
      <w:r w:rsidR="00355ED1" w:rsidRPr="00783B4B">
        <w:rPr>
          <w:sz w:val="22"/>
          <w:szCs w:val="22"/>
          <w:lang w:val="sr-Latn-ME"/>
        </w:rPr>
        <w:t>anastrozola</w:t>
      </w:r>
      <w:proofErr w:type="spellEnd"/>
      <w:r w:rsidR="00355ED1" w:rsidRPr="00783B4B">
        <w:rPr>
          <w:sz w:val="22"/>
          <w:szCs w:val="22"/>
          <w:lang w:val="sr-Latn-ME"/>
        </w:rPr>
        <w:t xml:space="preserve"> jednom na dan. Oko</w:t>
      </w:r>
      <w:r w:rsidRPr="00783B4B">
        <w:rPr>
          <w:sz w:val="22"/>
          <w:szCs w:val="22"/>
          <w:lang w:val="sr-Latn-ME"/>
        </w:rPr>
        <w:t xml:space="preserve"> 90 do 95% koncentracije </w:t>
      </w:r>
      <w:proofErr w:type="spellStart"/>
      <w:r w:rsidRPr="00783B4B">
        <w:rPr>
          <w:sz w:val="22"/>
          <w:szCs w:val="22"/>
          <w:lang w:val="sr-Latn-ME"/>
        </w:rPr>
        <w:t>anastrozola</w:t>
      </w:r>
      <w:proofErr w:type="spellEnd"/>
      <w:r w:rsidRPr="00783B4B">
        <w:rPr>
          <w:sz w:val="22"/>
          <w:szCs w:val="22"/>
          <w:lang w:val="sr-Latn-ME"/>
        </w:rPr>
        <w:t xml:space="preserve"> u plazmi </w:t>
      </w:r>
      <w:r w:rsidR="000A3F39" w:rsidRPr="00783B4B">
        <w:rPr>
          <w:sz w:val="22"/>
          <w:szCs w:val="22"/>
          <w:lang w:val="sr-Latn-ME"/>
        </w:rPr>
        <w:t xml:space="preserve">u stanju ravnoteže postiže se nakon </w:t>
      </w:r>
      <w:r w:rsidRPr="00783B4B">
        <w:rPr>
          <w:sz w:val="22"/>
          <w:szCs w:val="22"/>
          <w:lang w:val="sr-Latn-ME"/>
        </w:rPr>
        <w:t xml:space="preserve">7 dnevnih doza </w:t>
      </w:r>
      <w:r w:rsidR="00400DAC" w:rsidRPr="00783B4B">
        <w:rPr>
          <w:sz w:val="22"/>
          <w:szCs w:val="22"/>
          <w:lang w:val="sr-Latn-ME"/>
        </w:rPr>
        <w:t xml:space="preserve">uz </w:t>
      </w:r>
      <w:r w:rsidRPr="00783B4B">
        <w:rPr>
          <w:sz w:val="22"/>
          <w:szCs w:val="22"/>
          <w:lang w:val="sr-Latn-ME"/>
        </w:rPr>
        <w:t>3</w:t>
      </w:r>
      <w:r w:rsidR="00291AE3" w:rsidRPr="00783B4B">
        <w:rPr>
          <w:sz w:val="22"/>
          <w:szCs w:val="22"/>
          <w:lang w:val="sr-Latn-ME"/>
        </w:rPr>
        <w:t>-</w:t>
      </w:r>
      <w:r w:rsidRPr="00783B4B">
        <w:rPr>
          <w:sz w:val="22"/>
          <w:szCs w:val="22"/>
          <w:lang w:val="sr-Latn-ME"/>
        </w:rPr>
        <w:t>4 puta</w:t>
      </w:r>
      <w:r w:rsidR="003E51CF" w:rsidRPr="00783B4B">
        <w:rPr>
          <w:sz w:val="22"/>
          <w:szCs w:val="22"/>
          <w:lang w:val="sr-Latn-ME"/>
        </w:rPr>
        <w:t xml:space="preserve"> veće nakupljanje</w:t>
      </w:r>
      <w:r w:rsidRPr="00783B4B">
        <w:rPr>
          <w:sz w:val="22"/>
          <w:szCs w:val="22"/>
          <w:lang w:val="sr-Latn-ME"/>
        </w:rPr>
        <w:t xml:space="preserve">. </w:t>
      </w:r>
      <w:r w:rsidR="00405340" w:rsidRPr="00783B4B">
        <w:rPr>
          <w:sz w:val="22"/>
          <w:szCs w:val="22"/>
          <w:lang w:val="sr-Latn-ME"/>
        </w:rPr>
        <w:t>Nema</w:t>
      </w:r>
      <w:r w:rsidR="00405340" w:rsidRPr="00783B4B" w:rsidDel="00405340">
        <w:rPr>
          <w:sz w:val="22"/>
          <w:szCs w:val="22"/>
          <w:lang w:val="sr-Latn-ME"/>
        </w:rPr>
        <w:t xml:space="preserve"> </w:t>
      </w:r>
      <w:r w:rsidRPr="00783B4B">
        <w:rPr>
          <w:sz w:val="22"/>
          <w:szCs w:val="22"/>
          <w:lang w:val="sr-Latn-ME"/>
        </w:rPr>
        <w:t>dokaz</w:t>
      </w:r>
      <w:r w:rsidR="00405340" w:rsidRPr="00783B4B">
        <w:rPr>
          <w:sz w:val="22"/>
          <w:szCs w:val="22"/>
          <w:lang w:val="sr-Latn-ME"/>
        </w:rPr>
        <w:t>a</w:t>
      </w:r>
      <w:r w:rsidRPr="00783B4B">
        <w:rPr>
          <w:sz w:val="22"/>
          <w:szCs w:val="22"/>
          <w:lang w:val="sr-Latn-ME"/>
        </w:rPr>
        <w:t xml:space="preserve"> o zavisnosti </w:t>
      </w:r>
      <w:proofErr w:type="spellStart"/>
      <w:r w:rsidRPr="00783B4B">
        <w:rPr>
          <w:sz w:val="22"/>
          <w:szCs w:val="22"/>
          <w:lang w:val="sr-Latn-ME"/>
        </w:rPr>
        <w:t>farmakokinetičkih</w:t>
      </w:r>
      <w:proofErr w:type="spellEnd"/>
      <w:r w:rsidRPr="00783B4B">
        <w:rPr>
          <w:sz w:val="22"/>
          <w:szCs w:val="22"/>
          <w:lang w:val="sr-Latn-ME"/>
        </w:rPr>
        <w:t xml:space="preserve"> parametara </w:t>
      </w:r>
      <w:proofErr w:type="spellStart"/>
      <w:r w:rsidRPr="00783B4B">
        <w:rPr>
          <w:sz w:val="22"/>
          <w:szCs w:val="22"/>
          <w:lang w:val="sr-Latn-ME"/>
        </w:rPr>
        <w:t>anastrozola</w:t>
      </w:r>
      <w:proofErr w:type="spellEnd"/>
      <w:r w:rsidR="00F406BB" w:rsidRPr="00783B4B">
        <w:rPr>
          <w:sz w:val="22"/>
          <w:szCs w:val="22"/>
          <w:lang w:val="sr-Latn-ME"/>
        </w:rPr>
        <w:t xml:space="preserve"> od </w:t>
      </w:r>
      <w:proofErr w:type="spellStart"/>
      <w:r w:rsidR="00F406BB" w:rsidRPr="00783B4B">
        <w:rPr>
          <w:sz w:val="22"/>
          <w:szCs w:val="22"/>
          <w:lang w:val="sr-Latn-ME"/>
        </w:rPr>
        <w:t>vremena</w:t>
      </w:r>
      <w:proofErr w:type="spellEnd"/>
      <w:r w:rsidR="00F406BB" w:rsidRPr="00783B4B">
        <w:rPr>
          <w:sz w:val="22"/>
          <w:szCs w:val="22"/>
          <w:lang w:val="sr-Latn-ME"/>
        </w:rPr>
        <w:t xml:space="preserve"> ili od doze</w:t>
      </w:r>
      <w:r w:rsidRPr="00783B4B">
        <w:rPr>
          <w:sz w:val="22"/>
          <w:szCs w:val="22"/>
          <w:lang w:val="sr-Latn-ME"/>
        </w:rPr>
        <w:t>.</w:t>
      </w:r>
    </w:p>
    <w:p w14:paraId="48AC20DE" w14:textId="17B83A72" w:rsidR="009977E8" w:rsidRPr="00783B4B" w:rsidRDefault="009977E8" w:rsidP="00783B4B">
      <w:pPr>
        <w:jc w:val="both"/>
        <w:rPr>
          <w:sz w:val="22"/>
          <w:szCs w:val="22"/>
          <w:lang w:val="sr-Latn-ME"/>
        </w:rPr>
      </w:pPr>
    </w:p>
    <w:p w14:paraId="7C56CEBF" w14:textId="77777777" w:rsidR="00566AF3" w:rsidRPr="00783B4B" w:rsidRDefault="00566AF3" w:rsidP="00783B4B">
      <w:pPr>
        <w:shd w:val="clear" w:color="auto" w:fill="FFFFFF"/>
        <w:jc w:val="both"/>
        <w:rPr>
          <w:bCs/>
          <w:sz w:val="22"/>
          <w:szCs w:val="22"/>
          <w:lang w:val="sr-Latn-ME"/>
        </w:rPr>
      </w:pPr>
      <w:r w:rsidRPr="00783B4B">
        <w:rPr>
          <w:bCs/>
          <w:sz w:val="22"/>
          <w:szCs w:val="22"/>
          <w:lang w:val="sr-Latn-ME"/>
        </w:rPr>
        <w:t xml:space="preserve">Životna dob žena u </w:t>
      </w:r>
      <w:proofErr w:type="spellStart"/>
      <w:r w:rsidRPr="00783B4B">
        <w:rPr>
          <w:bCs/>
          <w:sz w:val="22"/>
          <w:szCs w:val="22"/>
          <w:lang w:val="sr-Latn-ME"/>
        </w:rPr>
        <w:t>postmenopauzi</w:t>
      </w:r>
      <w:proofErr w:type="spellEnd"/>
      <w:r w:rsidRPr="00783B4B">
        <w:rPr>
          <w:bCs/>
          <w:sz w:val="22"/>
          <w:szCs w:val="22"/>
          <w:lang w:val="sr-Latn-ME"/>
        </w:rPr>
        <w:t xml:space="preserve"> ne utiče na </w:t>
      </w:r>
      <w:proofErr w:type="spellStart"/>
      <w:r w:rsidRPr="00783B4B">
        <w:rPr>
          <w:bCs/>
          <w:sz w:val="22"/>
          <w:szCs w:val="22"/>
          <w:lang w:val="sr-Latn-ME"/>
        </w:rPr>
        <w:t>farmakokinetiku</w:t>
      </w:r>
      <w:proofErr w:type="spellEnd"/>
      <w:r w:rsidRPr="00783B4B">
        <w:rPr>
          <w:bCs/>
          <w:sz w:val="22"/>
          <w:szCs w:val="22"/>
          <w:lang w:val="sr-Latn-ME"/>
        </w:rPr>
        <w:t xml:space="preserve"> </w:t>
      </w:r>
      <w:proofErr w:type="spellStart"/>
      <w:r w:rsidRPr="00783B4B">
        <w:rPr>
          <w:bCs/>
          <w:sz w:val="22"/>
          <w:szCs w:val="22"/>
          <w:lang w:val="sr-Latn-ME"/>
        </w:rPr>
        <w:t>anastrozola</w:t>
      </w:r>
      <w:proofErr w:type="spellEnd"/>
      <w:r w:rsidRPr="00783B4B">
        <w:rPr>
          <w:bCs/>
          <w:sz w:val="22"/>
          <w:szCs w:val="22"/>
          <w:lang w:val="sr-Latn-ME"/>
        </w:rPr>
        <w:t>.</w:t>
      </w:r>
    </w:p>
    <w:p w14:paraId="55C07717" w14:textId="77777777" w:rsidR="009977E8" w:rsidRPr="00783B4B" w:rsidRDefault="009977E8" w:rsidP="00783B4B">
      <w:pPr>
        <w:jc w:val="both"/>
        <w:rPr>
          <w:sz w:val="22"/>
          <w:szCs w:val="22"/>
          <w:lang w:val="sr-Latn-ME"/>
        </w:rPr>
      </w:pPr>
    </w:p>
    <w:p w14:paraId="53A59368" w14:textId="041B72BC" w:rsidR="009977E8" w:rsidRPr="00783B4B" w:rsidRDefault="009977E8" w:rsidP="00783B4B">
      <w:pPr>
        <w:jc w:val="both"/>
        <w:rPr>
          <w:iCs/>
          <w:sz w:val="22"/>
          <w:szCs w:val="22"/>
          <w:u w:val="single"/>
          <w:lang w:val="sr-Latn-ME"/>
        </w:rPr>
      </w:pPr>
      <w:r w:rsidRPr="00783B4B">
        <w:rPr>
          <w:iCs/>
          <w:sz w:val="22"/>
          <w:szCs w:val="22"/>
          <w:u w:val="single"/>
          <w:lang w:val="sr-Latn-ME"/>
        </w:rPr>
        <w:t>Distribucija</w:t>
      </w:r>
    </w:p>
    <w:p w14:paraId="2C0D41AF" w14:textId="77777777" w:rsidR="00A70290" w:rsidRPr="00783B4B" w:rsidRDefault="00A70290" w:rsidP="00783B4B">
      <w:pPr>
        <w:jc w:val="both"/>
        <w:rPr>
          <w:iCs/>
          <w:sz w:val="22"/>
          <w:szCs w:val="22"/>
          <w:u w:val="single"/>
          <w:lang w:val="sr-Latn-ME"/>
        </w:rPr>
      </w:pPr>
    </w:p>
    <w:p w14:paraId="1214E5C2" w14:textId="513D8CE3" w:rsidR="009977E8" w:rsidRPr="00783B4B" w:rsidRDefault="00F60C94" w:rsidP="00783B4B">
      <w:pPr>
        <w:jc w:val="both"/>
        <w:rPr>
          <w:sz w:val="22"/>
          <w:szCs w:val="22"/>
          <w:lang w:val="sr-Latn-ME"/>
        </w:rPr>
      </w:pPr>
      <w:r w:rsidRPr="00783B4B">
        <w:rPr>
          <w:sz w:val="22"/>
          <w:szCs w:val="22"/>
          <w:lang w:val="sr-Latn-ME"/>
        </w:rPr>
        <w:t>P</w:t>
      </w:r>
      <w:r w:rsidR="00CA20BB" w:rsidRPr="00783B4B">
        <w:rPr>
          <w:sz w:val="22"/>
          <w:szCs w:val="22"/>
          <w:lang w:val="sr-Latn-ME"/>
        </w:rPr>
        <w:t xml:space="preserve">ribližno 40% </w:t>
      </w:r>
      <w:proofErr w:type="spellStart"/>
      <w:r w:rsidR="00CA20BB" w:rsidRPr="00783B4B">
        <w:rPr>
          <w:sz w:val="22"/>
          <w:szCs w:val="22"/>
          <w:lang w:val="sr-Latn-ME"/>
        </w:rPr>
        <w:t>a</w:t>
      </w:r>
      <w:r w:rsidR="009977E8" w:rsidRPr="00783B4B">
        <w:rPr>
          <w:sz w:val="22"/>
          <w:szCs w:val="22"/>
          <w:lang w:val="sr-Latn-ME"/>
        </w:rPr>
        <w:t>nastrozol</w:t>
      </w:r>
      <w:proofErr w:type="spellEnd"/>
      <w:r w:rsidR="009977E8" w:rsidRPr="00783B4B">
        <w:rPr>
          <w:sz w:val="22"/>
          <w:szCs w:val="22"/>
          <w:lang w:val="sr-Latn-ME"/>
        </w:rPr>
        <w:t xml:space="preserve"> vez</w:t>
      </w:r>
      <w:r w:rsidR="00CA20BB" w:rsidRPr="00783B4B">
        <w:rPr>
          <w:sz w:val="22"/>
          <w:szCs w:val="22"/>
          <w:lang w:val="sr-Latn-ME"/>
        </w:rPr>
        <w:t>ano je</w:t>
      </w:r>
      <w:r w:rsidR="009977E8" w:rsidRPr="00783B4B">
        <w:rPr>
          <w:sz w:val="22"/>
          <w:szCs w:val="22"/>
          <w:lang w:val="sr-Latn-ME"/>
        </w:rPr>
        <w:t xml:space="preserve"> za proteine plazme</w:t>
      </w:r>
      <w:r w:rsidRPr="00783B4B">
        <w:rPr>
          <w:sz w:val="22"/>
          <w:szCs w:val="22"/>
          <w:lang w:val="sr-Latn-ME"/>
        </w:rPr>
        <w:t>.</w:t>
      </w:r>
      <w:r w:rsidR="009977E8" w:rsidRPr="00783B4B">
        <w:rPr>
          <w:sz w:val="22"/>
          <w:szCs w:val="22"/>
          <w:lang w:val="sr-Latn-ME"/>
        </w:rPr>
        <w:t xml:space="preserve"> </w:t>
      </w:r>
    </w:p>
    <w:p w14:paraId="46BF094F" w14:textId="77777777" w:rsidR="009977E8" w:rsidRPr="00783B4B" w:rsidRDefault="009977E8" w:rsidP="00783B4B">
      <w:pPr>
        <w:jc w:val="both"/>
        <w:rPr>
          <w:sz w:val="22"/>
          <w:szCs w:val="22"/>
          <w:lang w:val="sr-Latn-ME"/>
        </w:rPr>
      </w:pPr>
    </w:p>
    <w:p w14:paraId="29D500A1" w14:textId="53BB5D04" w:rsidR="009977E8" w:rsidRPr="00783B4B" w:rsidRDefault="009977E8" w:rsidP="00783B4B">
      <w:pPr>
        <w:jc w:val="both"/>
        <w:rPr>
          <w:iCs/>
          <w:sz w:val="22"/>
          <w:szCs w:val="22"/>
          <w:u w:val="single"/>
          <w:lang w:val="sr-Latn-ME"/>
        </w:rPr>
      </w:pPr>
      <w:r w:rsidRPr="00783B4B">
        <w:rPr>
          <w:iCs/>
          <w:sz w:val="22"/>
          <w:szCs w:val="22"/>
          <w:u w:val="single"/>
          <w:lang w:val="sr-Latn-ME"/>
        </w:rPr>
        <w:t>Eliminacija</w:t>
      </w:r>
    </w:p>
    <w:p w14:paraId="55EC394B" w14:textId="77777777" w:rsidR="00A70290" w:rsidRPr="00783B4B" w:rsidRDefault="00A70290" w:rsidP="00783B4B">
      <w:pPr>
        <w:jc w:val="both"/>
        <w:rPr>
          <w:iCs/>
          <w:sz w:val="22"/>
          <w:szCs w:val="22"/>
          <w:u w:val="single"/>
          <w:lang w:val="sr-Latn-ME"/>
        </w:rPr>
      </w:pPr>
    </w:p>
    <w:p w14:paraId="0BFB700C" w14:textId="11A6D3C6" w:rsidR="009977E8" w:rsidRPr="00783B4B" w:rsidRDefault="009977E8" w:rsidP="00783B4B">
      <w:pPr>
        <w:jc w:val="both"/>
        <w:rPr>
          <w:sz w:val="22"/>
          <w:szCs w:val="22"/>
          <w:lang w:val="sr-Latn-ME"/>
        </w:rPr>
      </w:pPr>
      <w:proofErr w:type="spellStart"/>
      <w:r w:rsidRPr="00783B4B">
        <w:rPr>
          <w:sz w:val="22"/>
          <w:szCs w:val="22"/>
          <w:lang w:val="sr-Latn-ME"/>
        </w:rPr>
        <w:t>Anastrozol</w:t>
      </w:r>
      <w:proofErr w:type="spellEnd"/>
      <w:r w:rsidRPr="00783B4B">
        <w:rPr>
          <w:sz w:val="22"/>
          <w:szCs w:val="22"/>
          <w:lang w:val="sr-Latn-ME"/>
        </w:rPr>
        <w:t xml:space="preserve"> se eliminiše sporo, sa </w:t>
      </w:r>
      <w:proofErr w:type="spellStart"/>
      <w:r w:rsidRPr="00783B4B">
        <w:rPr>
          <w:sz w:val="22"/>
          <w:szCs w:val="22"/>
          <w:lang w:val="sr-Latn-ME"/>
        </w:rPr>
        <w:t>poluvremenom</w:t>
      </w:r>
      <w:proofErr w:type="spellEnd"/>
      <w:r w:rsidRPr="00783B4B">
        <w:rPr>
          <w:sz w:val="22"/>
          <w:szCs w:val="22"/>
          <w:lang w:val="sr-Latn-ME"/>
        </w:rPr>
        <w:t xml:space="preserve"> eliminacije od 40 do 50 sati.</w:t>
      </w:r>
      <w:r w:rsidR="00F0093A" w:rsidRPr="00783B4B">
        <w:rPr>
          <w:sz w:val="22"/>
          <w:szCs w:val="22"/>
          <w:lang w:val="sr-Latn-ME"/>
        </w:rPr>
        <w:t xml:space="preserve"> </w:t>
      </w:r>
      <w:proofErr w:type="spellStart"/>
      <w:r w:rsidRPr="00783B4B">
        <w:rPr>
          <w:sz w:val="22"/>
          <w:szCs w:val="22"/>
          <w:lang w:val="sr-Latn-ME"/>
        </w:rPr>
        <w:t>Anastrozol</w:t>
      </w:r>
      <w:proofErr w:type="spellEnd"/>
      <w:r w:rsidRPr="00783B4B">
        <w:rPr>
          <w:sz w:val="22"/>
          <w:szCs w:val="22"/>
          <w:lang w:val="sr-Latn-ME"/>
        </w:rPr>
        <w:t xml:space="preserve"> se </w:t>
      </w:r>
      <w:r w:rsidR="00D37BA5" w:rsidRPr="00783B4B">
        <w:rPr>
          <w:bCs/>
          <w:sz w:val="22"/>
          <w:szCs w:val="22"/>
          <w:lang w:val="sr-Latn-ME"/>
        </w:rPr>
        <w:t xml:space="preserve">intenzivno </w:t>
      </w:r>
      <w:proofErr w:type="spellStart"/>
      <w:r w:rsidRPr="00783B4B">
        <w:rPr>
          <w:sz w:val="22"/>
          <w:szCs w:val="22"/>
          <w:lang w:val="sr-Latn-ME"/>
        </w:rPr>
        <w:t>metaboliše</w:t>
      </w:r>
      <w:proofErr w:type="spellEnd"/>
      <w:r w:rsidRPr="00783B4B">
        <w:rPr>
          <w:sz w:val="22"/>
          <w:szCs w:val="22"/>
          <w:lang w:val="sr-Latn-ME"/>
        </w:rPr>
        <w:t xml:space="preserve"> kod žena u </w:t>
      </w:r>
      <w:proofErr w:type="spellStart"/>
      <w:r w:rsidRPr="00783B4B">
        <w:rPr>
          <w:sz w:val="22"/>
          <w:szCs w:val="22"/>
          <w:lang w:val="sr-Latn-ME"/>
        </w:rPr>
        <w:t>postmenopauzi</w:t>
      </w:r>
      <w:proofErr w:type="spellEnd"/>
      <w:r w:rsidRPr="00783B4B">
        <w:rPr>
          <w:sz w:val="22"/>
          <w:szCs w:val="22"/>
          <w:lang w:val="sr-Latn-ME"/>
        </w:rPr>
        <w:t xml:space="preserve"> </w:t>
      </w:r>
      <w:r w:rsidR="00D37BA5" w:rsidRPr="00783B4B">
        <w:rPr>
          <w:sz w:val="22"/>
          <w:szCs w:val="22"/>
          <w:lang w:val="sr-Latn-ME"/>
        </w:rPr>
        <w:t>i</w:t>
      </w:r>
      <w:r w:rsidRPr="00783B4B">
        <w:rPr>
          <w:sz w:val="22"/>
          <w:szCs w:val="22"/>
          <w:lang w:val="sr-Latn-ME"/>
        </w:rPr>
        <w:t xml:space="preserve"> manje od 10% </w:t>
      </w:r>
      <w:proofErr w:type="spellStart"/>
      <w:r w:rsidR="00976742" w:rsidRPr="00783B4B">
        <w:rPr>
          <w:bCs/>
          <w:sz w:val="22"/>
          <w:szCs w:val="22"/>
          <w:lang w:val="sr-Latn-ME"/>
        </w:rPr>
        <w:t>un</w:t>
      </w:r>
      <w:r w:rsidR="00A45CA1" w:rsidRPr="00783B4B">
        <w:rPr>
          <w:bCs/>
          <w:sz w:val="22"/>
          <w:szCs w:val="22"/>
          <w:lang w:val="sr-Latn-ME"/>
        </w:rPr>
        <w:t>ij</w:t>
      </w:r>
      <w:r w:rsidR="00976742" w:rsidRPr="00783B4B">
        <w:rPr>
          <w:bCs/>
          <w:sz w:val="22"/>
          <w:szCs w:val="22"/>
          <w:lang w:val="sr-Latn-ME"/>
        </w:rPr>
        <w:t>ete</w:t>
      </w:r>
      <w:proofErr w:type="spellEnd"/>
      <w:r w:rsidR="00976742" w:rsidRPr="00783B4B">
        <w:rPr>
          <w:bCs/>
          <w:sz w:val="22"/>
          <w:szCs w:val="22"/>
          <w:lang w:val="sr-Latn-ME"/>
        </w:rPr>
        <w:t xml:space="preserve"> doze izlučuje se</w:t>
      </w:r>
      <w:r w:rsidR="00976742" w:rsidRPr="00783B4B" w:rsidDel="00976742">
        <w:rPr>
          <w:sz w:val="22"/>
          <w:szCs w:val="22"/>
          <w:lang w:val="sr-Latn-ME"/>
        </w:rPr>
        <w:t xml:space="preserve"> </w:t>
      </w:r>
      <w:r w:rsidR="00F0093A" w:rsidRPr="00783B4B">
        <w:rPr>
          <w:sz w:val="22"/>
          <w:szCs w:val="22"/>
          <w:lang w:val="sr-Latn-ME"/>
        </w:rPr>
        <w:t>tokom</w:t>
      </w:r>
      <w:r w:rsidRPr="00783B4B">
        <w:rPr>
          <w:sz w:val="22"/>
          <w:szCs w:val="22"/>
          <w:lang w:val="sr-Latn-ME"/>
        </w:rPr>
        <w:t xml:space="preserve"> 72 sata od </w:t>
      </w:r>
      <w:r w:rsidR="00F0093A" w:rsidRPr="00783B4B">
        <w:rPr>
          <w:sz w:val="22"/>
          <w:szCs w:val="22"/>
          <w:lang w:val="sr-Latn-ME"/>
        </w:rPr>
        <w:t>prim</w:t>
      </w:r>
      <w:r w:rsidR="00A45CA1" w:rsidRPr="00783B4B">
        <w:rPr>
          <w:sz w:val="22"/>
          <w:szCs w:val="22"/>
          <w:lang w:val="sr-Latn-ME"/>
        </w:rPr>
        <w:t>j</w:t>
      </w:r>
      <w:r w:rsidR="00F0093A" w:rsidRPr="00783B4B">
        <w:rPr>
          <w:sz w:val="22"/>
          <w:szCs w:val="22"/>
          <w:lang w:val="sr-Latn-ME"/>
        </w:rPr>
        <w:t xml:space="preserve">ene, </w:t>
      </w:r>
      <w:proofErr w:type="spellStart"/>
      <w:r w:rsidR="00F0093A" w:rsidRPr="00783B4B">
        <w:rPr>
          <w:sz w:val="22"/>
          <w:szCs w:val="22"/>
          <w:lang w:val="sr-Latn-ME"/>
        </w:rPr>
        <w:t>nepromijenjeno</w:t>
      </w:r>
      <w:proofErr w:type="spellEnd"/>
      <w:r w:rsidRPr="00783B4B">
        <w:rPr>
          <w:sz w:val="22"/>
          <w:szCs w:val="22"/>
          <w:lang w:val="sr-Latn-ME"/>
        </w:rPr>
        <w:t xml:space="preserve">. </w:t>
      </w:r>
      <w:proofErr w:type="spellStart"/>
      <w:r w:rsidR="00F0093A" w:rsidRPr="00783B4B">
        <w:rPr>
          <w:sz w:val="22"/>
          <w:szCs w:val="22"/>
          <w:lang w:val="sr-Latn-ME"/>
        </w:rPr>
        <w:t>A</w:t>
      </w:r>
      <w:r w:rsidRPr="00783B4B">
        <w:rPr>
          <w:sz w:val="22"/>
          <w:szCs w:val="22"/>
          <w:lang w:val="sr-Latn-ME"/>
        </w:rPr>
        <w:t>nastrozol</w:t>
      </w:r>
      <w:proofErr w:type="spellEnd"/>
      <w:r w:rsidR="00F93201" w:rsidRPr="00783B4B">
        <w:rPr>
          <w:sz w:val="22"/>
          <w:szCs w:val="22"/>
          <w:lang w:val="sr-Latn-ME"/>
        </w:rPr>
        <w:t xml:space="preserve"> se</w:t>
      </w:r>
      <w:r w:rsidRPr="00783B4B">
        <w:rPr>
          <w:sz w:val="22"/>
          <w:szCs w:val="22"/>
          <w:lang w:val="sr-Latn-ME"/>
        </w:rPr>
        <w:t xml:space="preserve"> N-</w:t>
      </w:r>
      <w:proofErr w:type="spellStart"/>
      <w:r w:rsidR="00F93201" w:rsidRPr="00783B4B">
        <w:rPr>
          <w:sz w:val="22"/>
          <w:szCs w:val="22"/>
          <w:lang w:val="sr-Latn-ME"/>
        </w:rPr>
        <w:t>dealkilacijom</w:t>
      </w:r>
      <w:proofErr w:type="spellEnd"/>
      <w:r w:rsidRPr="00783B4B">
        <w:rPr>
          <w:sz w:val="22"/>
          <w:szCs w:val="22"/>
          <w:lang w:val="sr-Latn-ME"/>
        </w:rPr>
        <w:t xml:space="preserve">, </w:t>
      </w:r>
      <w:proofErr w:type="spellStart"/>
      <w:r w:rsidR="00F93201" w:rsidRPr="00783B4B">
        <w:rPr>
          <w:sz w:val="22"/>
          <w:szCs w:val="22"/>
          <w:lang w:val="sr-Latn-ME"/>
        </w:rPr>
        <w:t>hidroksilacijom</w:t>
      </w:r>
      <w:proofErr w:type="spellEnd"/>
      <w:r w:rsidR="00F93201" w:rsidRPr="00783B4B">
        <w:rPr>
          <w:sz w:val="22"/>
          <w:szCs w:val="22"/>
          <w:lang w:val="sr-Latn-ME"/>
        </w:rPr>
        <w:t xml:space="preserve"> </w:t>
      </w:r>
      <w:r w:rsidRPr="00783B4B">
        <w:rPr>
          <w:sz w:val="22"/>
          <w:szCs w:val="22"/>
          <w:lang w:val="sr-Latn-ME"/>
        </w:rPr>
        <w:t xml:space="preserve">i </w:t>
      </w:r>
      <w:proofErr w:type="spellStart"/>
      <w:r w:rsidR="00F93201" w:rsidRPr="00783B4B">
        <w:rPr>
          <w:sz w:val="22"/>
          <w:szCs w:val="22"/>
          <w:lang w:val="sr-Latn-ME"/>
        </w:rPr>
        <w:t>glukuronidacijom</w:t>
      </w:r>
      <w:proofErr w:type="spellEnd"/>
      <w:r w:rsidR="00336AE9" w:rsidRPr="00783B4B">
        <w:rPr>
          <w:sz w:val="22"/>
          <w:szCs w:val="22"/>
          <w:lang w:val="sr-Latn-ME"/>
        </w:rPr>
        <w:t xml:space="preserve"> </w:t>
      </w:r>
      <w:r w:rsidR="00336AE9" w:rsidRPr="00783B4B">
        <w:rPr>
          <w:bCs/>
          <w:sz w:val="22"/>
          <w:szCs w:val="22"/>
          <w:lang w:val="sr-Latn-ME"/>
        </w:rPr>
        <w:t xml:space="preserve">prevodi u </w:t>
      </w:r>
      <w:proofErr w:type="spellStart"/>
      <w:r w:rsidR="00336AE9" w:rsidRPr="00783B4B">
        <w:rPr>
          <w:bCs/>
          <w:sz w:val="22"/>
          <w:szCs w:val="22"/>
          <w:lang w:val="sr-Latn-ME"/>
        </w:rPr>
        <w:t>metabolite</w:t>
      </w:r>
      <w:proofErr w:type="spellEnd"/>
      <w:r w:rsidR="00336AE9" w:rsidRPr="00783B4B">
        <w:rPr>
          <w:bCs/>
          <w:sz w:val="22"/>
          <w:szCs w:val="22"/>
          <w:lang w:val="sr-Latn-ME"/>
        </w:rPr>
        <w:t xml:space="preserve"> koji se izlučuju urinom</w:t>
      </w:r>
      <w:r w:rsidRPr="00783B4B">
        <w:rPr>
          <w:sz w:val="22"/>
          <w:szCs w:val="22"/>
          <w:lang w:val="sr-Latn-ME"/>
        </w:rPr>
        <w:t xml:space="preserve">. </w:t>
      </w:r>
      <w:r w:rsidR="00336AE9" w:rsidRPr="00783B4B">
        <w:rPr>
          <w:sz w:val="22"/>
          <w:szCs w:val="22"/>
          <w:lang w:val="sr-Latn-ME"/>
        </w:rPr>
        <w:t xml:space="preserve">Glavni </w:t>
      </w:r>
      <w:proofErr w:type="spellStart"/>
      <w:r w:rsidR="00336AE9" w:rsidRPr="00783B4B">
        <w:rPr>
          <w:sz w:val="22"/>
          <w:szCs w:val="22"/>
          <w:lang w:val="sr-Latn-ME"/>
        </w:rPr>
        <w:t>m</w:t>
      </w:r>
      <w:r w:rsidRPr="00783B4B">
        <w:rPr>
          <w:sz w:val="22"/>
          <w:szCs w:val="22"/>
          <w:lang w:val="sr-Latn-ME"/>
        </w:rPr>
        <w:t>etabolit</w:t>
      </w:r>
      <w:proofErr w:type="spellEnd"/>
      <w:r w:rsidRPr="00783B4B">
        <w:rPr>
          <w:sz w:val="22"/>
          <w:szCs w:val="22"/>
          <w:lang w:val="sr-Latn-ME"/>
        </w:rPr>
        <w:t xml:space="preserve"> </w:t>
      </w:r>
      <w:r w:rsidR="00336AE9" w:rsidRPr="00783B4B">
        <w:rPr>
          <w:sz w:val="22"/>
          <w:szCs w:val="22"/>
          <w:lang w:val="sr-Latn-ME"/>
        </w:rPr>
        <w:t xml:space="preserve">je </w:t>
      </w:r>
      <w:proofErr w:type="spellStart"/>
      <w:r w:rsidR="00336AE9" w:rsidRPr="00783B4B">
        <w:rPr>
          <w:sz w:val="22"/>
          <w:szCs w:val="22"/>
          <w:lang w:val="sr-Latn-ME"/>
        </w:rPr>
        <w:t>t</w:t>
      </w:r>
      <w:r w:rsidRPr="00783B4B">
        <w:rPr>
          <w:sz w:val="22"/>
          <w:szCs w:val="22"/>
          <w:lang w:val="sr-Latn-ME"/>
        </w:rPr>
        <w:t>riazol</w:t>
      </w:r>
      <w:proofErr w:type="spellEnd"/>
      <w:r w:rsidRPr="00783B4B">
        <w:rPr>
          <w:sz w:val="22"/>
          <w:szCs w:val="22"/>
          <w:lang w:val="sr-Latn-ME"/>
        </w:rPr>
        <w:t xml:space="preserve">, </w:t>
      </w:r>
      <w:r w:rsidR="006F4E84" w:rsidRPr="00783B4B">
        <w:rPr>
          <w:bCs/>
          <w:sz w:val="22"/>
          <w:szCs w:val="22"/>
          <w:lang w:val="sr-Latn-ME"/>
        </w:rPr>
        <w:t>i on ne pokazuje farmakološku aktivnost (</w:t>
      </w:r>
      <w:r w:rsidRPr="00783B4B">
        <w:rPr>
          <w:sz w:val="22"/>
          <w:szCs w:val="22"/>
          <w:lang w:val="sr-Latn-ME"/>
        </w:rPr>
        <w:t xml:space="preserve">ne inhibira </w:t>
      </w:r>
      <w:proofErr w:type="spellStart"/>
      <w:r w:rsidRPr="00783B4B">
        <w:rPr>
          <w:sz w:val="22"/>
          <w:szCs w:val="22"/>
          <w:lang w:val="sr-Latn-ME"/>
        </w:rPr>
        <w:t>aromatazu</w:t>
      </w:r>
      <w:proofErr w:type="spellEnd"/>
      <w:r w:rsidR="006F4E84" w:rsidRPr="00783B4B">
        <w:rPr>
          <w:sz w:val="22"/>
          <w:szCs w:val="22"/>
          <w:lang w:val="sr-Latn-ME"/>
        </w:rPr>
        <w:t>)</w:t>
      </w:r>
      <w:r w:rsidRPr="00783B4B">
        <w:rPr>
          <w:sz w:val="22"/>
          <w:szCs w:val="22"/>
          <w:lang w:val="sr-Latn-ME"/>
        </w:rPr>
        <w:t>.</w:t>
      </w:r>
    </w:p>
    <w:p w14:paraId="48063561" w14:textId="77777777" w:rsidR="009977E8" w:rsidRPr="00783B4B" w:rsidRDefault="009977E8" w:rsidP="00783B4B">
      <w:pPr>
        <w:jc w:val="both"/>
        <w:rPr>
          <w:sz w:val="22"/>
          <w:szCs w:val="22"/>
          <w:lang w:val="sr-Latn-ME"/>
        </w:rPr>
      </w:pPr>
    </w:p>
    <w:p w14:paraId="313AACD8" w14:textId="319480D4" w:rsidR="009977E8" w:rsidRPr="00783B4B" w:rsidRDefault="009977E8" w:rsidP="00783B4B">
      <w:pPr>
        <w:jc w:val="both"/>
        <w:rPr>
          <w:sz w:val="22"/>
          <w:szCs w:val="22"/>
          <w:u w:val="single"/>
          <w:lang w:val="sr-Latn-ME"/>
        </w:rPr>
      </w:pPr>
      <w:r w:rsidRPr="00783B4B">
        <w:rPr>
          <w:sz w:val="22"/>
          <w:szCs w:val="22"/>
          <w:u w:val="single"/>
          <w:lang w:val="sr-Latn-ME"/>
        </w:rPr>
        <w:t>Oštećena funkcija bubrega ili jetre</w:t>
      </w:r>
    </w:p>
    <w:p w14:paraId="291F1B7C" w14:textId="77777777" w:rsidR="00A70290" w:rsidRPr="00783B4B" w:rsidRDefault="00A70290" w:rsidP="00783B4B">
      <w:pPr>
        <w:jc w:val="both"/>
        <w:rPr>
          <w:sz w:val="22"/>
          <w:szCs w:val="22"/>
          <w:u w:val="single"/>
          <w:lang w:val="sr-Latn-ME"/>
        </w:rPr>
      </w:pPr>
    </w:p>
    <w:p w14:paraId="7D038A28" w14:textId="59254DD3" w:rsidR="009977E8" w:rsidRPr="00783B4B" w:rsidRDefault="009977E8" w:rsidP="00783B4B">
      <w:pPr>
        <w:jc w:val="both"/>
        <w:rPr>
          <w:sz w:val="22"/>
          <w:szCs w:val="22"/>
          <w:lang w:val="sr-Latn-ME"/>
        </w:rPr>
      </w:pPr>
      <w:proofErr w:type="spellStart"/>
      <w:r w:rsidRPr="00783B4B">
        <w:rPr>
          <w:sz w:val="22"/>
          <w:szCs w:val="22"/>
          <w:lang w:val="sr-Latn-ME"/>
        </w:rPr>
        <w:t>Klirens</w:t>
      </w:r>
      <w:proofErr w:type="spellEnd"/>
      <w:r w:rsidR="006567B1" w:rsidRPr="00783B4B">
        <w:rPr>
          <w:sz w:val="22"/>
          <w:szCs w:val="22"/>
          <w:lang w:val="sr-Latn-ME"/>
        </w:rPr>
        <w:t xml:space="preserve"> </w:t>
      </w:r>
      <w:r w:rsidRPr="00783B4B">
        <w:rPr>
          <w:sz w:val="22"/>
          <w:szCs w:val="22"/>
          <w:lang w:val="sr-Latn-ME"/>
        </w:rPr>
        <w:t xml:space="preserve">(CL/F) </w:t>
      </w:r>
      <w:proofErr w:type="spellStart"/>
      <w:r w:rsidR="00851A7F" w:rsidRPr="00783B4B">
        <w:rPr>
          <w:sz w:val="22"/>
          <w:szCs w:val="22"/>
          <w:lang w:val="sr-Latn-ME"/>
        </w:rPr>
        <w:t>anastrozola</w:t>
      </w:r>
      <w:proofErr w:type="spellEnd"/>
      <w:r w:rsidR="00851A7F" w:rsidRPr="00783B4B">
        <w:rPr>
          <w:sz w:val="22"/>
          <w:szCs w:val="22"/>
          <w:lang w:val="sr-Latn-ME"/>
        </w:rPr>
        <w:t xml:space="preserve"> </w:t>
      </w:r>
      <w:r w:rsidRPr="00783B4B">
        <w:rPr>
          <w:sz w:val="22"/>
          <w:szCs w:val="22"/>
          <w:lang w:val="sr-Latn-ME"/>
        </w:rPr>
        <w:t xml:space="preserve">nakon oralne primjene </w:t>
      </w:r>
      <w:r w:rsidR="00781756" w:rsidRPr="00783B4B">
        <w:rPr>
          <w:sz w:val="22"/>
          <w:szCs w:val="22"/>
          <w:lang w:val="sr-Latn-ME"/>
        </w:rPr>
        <w:t>l</w:t>
      </w:r>
      <w:r w:rsidR="00A45CA1" w:rsidRPr="00783B4B">
        <w:rPr>
          <w:sz w:val="22"/>
          <w:szCs w:val="22"/>
          <w:lang w:val="sr-Latn-ME"/>
        </w:rPr>
        <w:t>ij</w:t>
      </w:r>
      <w:r w:rsidR="00781756" w:rsidRPr="00783B4B">
        <w:rPr>
          <w:sz w:val="22"/>
          <w:szCs w:val="22"/>
          <w:lang w:val="sr-Latn-ME"/>
        </w:rPr>
        <w:t xml:space="preserve">eka je bio oko </w:t>
      </w:r>
      <w:r w:rsidRPr="00783B4B">
        <w:rPr>
          <w:sz w:val="22"/>
          <w:szCs w:val="22"/>
          <w:lang w:val="sr-Latn-ME"/>
        </w:rPr>
        <w:t>30% niži kod dobrovoljaca sa stabilnom</w:t>
      </w:r>
      <w:r w:rsidR="0088545A" w:rsidRPr="00783B4B">
        <w:rPr>
          <w:sz w:val="22"/>
          <w:szCs w:val="22"/>
          <w:lang w:val="sr-Latn-ME"/>
        </w:rPr>
        <w:t xml:space="preserve"> </w:t>
      </w:r>
      <w:r w:rsidRPr="00783B4B">
        <w:rPr>
          <w:sz w:val="22"/>
          <w:szCs w:val="22"/>
          <w:lang w:val="sr-Latn-ME"/>
        </w:rPr>
        <w:t xml:space="preserve">cirozom jetre u odnosu </w:t>
      </w:r>
      <w:r w:rsidR="00781756" w:rsidRPr="00783B4B">
        <w:rPr>
          <w:sz w:val="22"/>
          <w:szCs w:val="22"/>
          <w:lang w:val="sr-Latn-ME"/>
        </w:rPr>
        <w:t xml:space="preserve">sa kontrolnom grupom </w:t>
      </w:r>
      <w:r w:rsidRPr="00783B4B">
        <w:rPr>
          <w:sz w:val="22"/>
          <w:szCs w:val="22"/>
          <w:lang w:val="sr-Latn-ME"/>
        </w:rPr>
        <w:t>(</w:t>
      </w:r>
      <w:r w:rsidR="00781756" w:rsidRPr="00783B4B">
        <w:rPr>
          <w:sz w:val="22"/>
          <w:szCs w:val="22"/>
          <w:lang w:val="sr-Latn-ME"/>
        </w:rPr>
        <w:t xml:space="preserve">studija </w:t>
      </w:r>
      <w:proofErr w:type="spellStart"/>
      <w:r w:rsidRPr="00783B4B">
        <w:rPr>
          <w:sz w:val="22"/>
          <w:szCs w:val="22"/>
          <w:lang w:val="sr-Latn-ME"/>
        </w:rPr>
        <w:t>1033IL</w:t>
      </w:r>
      <w:proofErr w:type="spellEnd"/>
      <w:r w:rsidRPr="00783B4B">
        <w:rPr>
          <w:sz w:val="22"/>
          <w:szCs w:val="22"/>
          <w:lang w:val="sr-Latn-ME"/>
        </w:rPr>
        <w:t xml:space="preserve">/0014). Međutim, koncentracija </w:t>
      </w:r>
      <w:proofErr w:type="spellStart"/>
      <w:r w:rsidRPr="00783B4B">
        <w:rPr>
          <w:sz w:val="22"/>
          <w:szCs w:val="22"/>
          <w:lang w:val="sr-Latn-ME"/>
        </w:rPr>
        <w:t>anastrozola</w:t>
      </w:r>
      <w:proofErr w:type="spellEnd"/>
      <w:r w:rsidRPr="00783B4B">
        <w:rPr>
          <w:sz w:val="22"/>
          <w:szCs w:val="22"/>
          <w:lang w:val="sr-Latn-ME"/>
        </w:rPr>
        <w:t xml:space="preserve"> u</w:t>
      </w:r>
      <w:r w:rsidR="0088545A" w:rsidRPr="00783B4B">
        <w:rPr>
          <w:sz w:val="22"/>
          <w:szCs w:val="22"/>
          <w:lang w:val="sr-Latn-ME"/>
        </w:rPr>
        <w:t xml:space="preserve"> </w:t>
      </w:r>
      <w:r w:rsidRPr="00783B4B">
        <w:rPr>
          <w:sz w:val="22"/>
          <w:szCs w:val="22"/>
          <w:lang w:val="sr-Latn-ME"/>
        </w:rPr>
        <w:t xml:space="preserve">plazmi kod </w:t>
      </w:r>
      <w:r w:rsidR="004B47C1" w:rsidRPr="00783B4B">
        <w:rPr>
          <w:sz w:val="22"/>
          <w:szCs w:val="22"/>
          <w:lang w:val="sr-Latn-ME"/>
        </w:rPr>
        <w:t xml:space="preserve">dobrovoljaca </w:t>
      </w:r>
      <w:r w:rsidRPr="00783B4B">
        <w:rPr>
          <w:sz w:val="22"/>
          <w:szCs w:val="22"/>
          <w:lang w:val="sr-Latn-ME"/>
        </w:rPr>
        <w:t xml:space="preserve">sa cirozom jetre je bila </w:t>
      </w:r>
      <w:r w:rsidR="00DD4DFA" w:rsidRPr="00783B4B">
        <w:rPr>
          <w:sz w:val="22"/>
          <w:szCs w:val="22"/>
          <w:lang w:val="sr-Latn-ME"/>
        </w:rPr>
        <w:t xml:space="preserve">u visini koncentracija viđenih kod </w:t>
      </w:r>
      <w:r w:rsidRPr="00783B4B">
        <w:rPr>
          <w:sz w:val="22"/>
          <w:szCs w:val="22"/>
          <w:lang w:val="sr-Latn-ME"/>
        </w:rPr>
        <w:t xml:space="preserve">zdravih </w:t>
      </w:r>
      <w:r w:rsidR="00CD13AD" w:rsidRPr="00783B4B">
        <w:rPr>
          <w:sz w:val="22"/>
          <w:szCs w:val="22"/>
          <w:lang w:val="sr-Latn-ME"/>
        </w:rPr>
        <w:t>pojedinaca u ostalim studijama</w:t>
      </w:r>
      <w:r w:rsidRPr="00783B4B">
        <w:rPr>
          <w:sz w:val="22"/>
          <w:szCs w:val="22"/>
          <w:lang w:val="sr-Latn-ME"/>
        </w:rPr>
        <w:t xml:space="preserve">. </w:t>
      </w:r>
      <w:r w:rsidR="00CD13AD" w:rsidRPr="00783B4B">
        <w:rPr>
          <w:sz w:val="22"/>
          <w:szCs w:val="22"/>
          <w:lang w:val="sr-Latn-ME"/>
        </w:rPr>
        <w:t xml:space="preserve">Koncentracije </w:t>
      </w:r>
      <w:proofErr w:type="spellStart"/>
      <w:r w:rsidRPr="00783B4B">
        <w:rPr>
          <w:sz w:val="22"/>
          <w:szCs w:val="22"/>
          <w:lang w:val="sr-Latn-ME"/>
        </w:rPr>
        <w:t>anastrozola</w:t>
      </w:r>
      <w:proofErr w:type="spellEnd"/>
      <w:r w:rsidRPr="00783B4B">
        <w:rPr>
          <w:sz w:val="22"/>
          <w:szCs w:val="22"/>
          <w:lang w:val="sr-Latn-ME"/>
        </w:rPr>
        <w:t xml:space="preserve"> u plazmi </w:t>
      </w:r>
      <w:r w:rsidR="005951D4" w:rsidRPr="00783B4B">
        <w:rPr>
          <w:sz w:val="22"/>
          <w:szCs w:val="22"/>
          <w:lang w:val="sr-Latn-ME"/>
        </w:rPr>
        <w:t xml:space="preserve">plazmi posmatrane tokom dugotrajnih studija efikasnosti kod pacijenata sa oštećenjem jetre su bile u visini koncentracije </w:t>
      </w:r>
      <w:proofErr w:type="spellStart"/>
      <w:r w:rsidR="005951D4" w:rsidRPr="00783B4B">
        <w:rPr>
          <w:sz w:val="22"/>
          <w:szCs w:val="22"/>
          <w:lang w:val="sr-Latn-ME"/>
        </w:rPr>
        <w:t>anastrozola</w:t>
      </w:r>
      <w:proofErr w:type="spellEnd"/>
      <w:r w:rsidR="005951D4" w:rsidRPr="00783B4B">
        <w:rPr>
          <w:sz w:val="22"/>
          <w:szCs w:val="22"/>
          <w:lang w:val="sr-Latn-ME"/>
        </w:rPr>
        <w:t xml:space="preserve"> u plazmi viđene</w:t>
      </w:r>
      <w:r w:rsidRPr="00783B4B">
        <w:rPr>
          <w:sz w:val="22"/>
          <w:szCs w:val="22"/>
          <w:lang w:val="sr-Latn-ME"/>
        </w:rPr>
        <w:t xml:space="preserve"> kod pacijenata bez</w:t>
      </w:r>
      <w:r w:rsidR="0088545A" w:rsidRPr="00783B4B">
        <w:rPr>
          <w:sz w:val="22"/>
          <w:szCs w:val="22"/>
          <w:lang w:val="sr-Latn-ME"/>
        </w:rPr>
        <w:t xml:space="preserve"> </w:t>
      </w:r>
      <w:r w:rsidRPr="00783B4B">
        <w:rPr>
          <w:sz w:val="22"/>
          <w:szCs w:val="22"/>
          <w:lang w:val="sr-Latn-ME"/>
        </w:rPr>
        <w:t xml:space="preserve">oštećenja </w:t>
      </w:r>
      <w:r w:rsidR="005C365D" w:rsidRPr="00783B4B">
        <w:rPr>
          <w:sz w:val="22"/>
          <w:szCs w:val="22"/>
          <w:lang w:val="sr-Latn-ME"/>
        </w:rPr>
        <w:t xml:space="preserve">funkcije </w:t>
      </w:r>
      <w:r w:rsidRPr="00783B4B">
        <w:rPr>
          <w:sz w:val="22"/>
          <w:szCs w:val="22"/>
          <w:lang w:val="sr-Latn-ME"/>
        </w:rPr>
        <w:t>jetre.</w:t>
      </w:r>
    </w:p>
    <w:p w14:paraId="0BD82741" w14:textId="77777777" w:rsidR="009977E8" w:rsidRPr="00783B4B" w:rsidRDefault="009977E8" w:rsidP="00783B4B">
      <w:pPr>
        <w:jc w:val="both"/>
        <w:rPr>
          <w:sz w:val="22"/>
          <w:szCs w:val="22"/>
          <w:lang w:val="sr-Latn-ME"/>
        </w:rPr>
      </w:pPr>
    </w:p>
    <w:p w14:paraId="2BA56E43" w14:textId="396B7247" w:rsidR="009977E8" w:rsidRPr="00783B4B" w:rsidRDefault="00026719" w:rsidP="00783B4B">
      <w:pPr>
        <w:jc w:val="both"/>
        <w:rPr>
          <w:sz w:val="22"/>
          <w:szCs w:val="22"/>
          <w:lang w:val="sr-Latn-ME"/>
        </w:rPr>
      </w:pPr>
      <w:proofErr w:type="spellStart"/>
      <w:r w:rsidRPr="00783B4B">
        <w:rPr>
          <w:sz w:val="22"/>
          <w:szCs w:val="22"/>
          <w:lang w:val="sr-Latn-ME"/>
        </w:rPr>
        <w:t>Klirens</w:t>
      </w:r>
      <w:proofErr w:type="spellEnd"/>
      <w:r w:rsidRPr="00783B4B">
        <w:rPr>
          <w:sz w:val="22"/>
          <w:szCs w:val="22"/>
          <w:lang w:val="sr-Latn-ME"/>
        </w:rPr>
        <w:t xml:space="preserve"> (CL/F) </w:t>
      </w:r>
      <w:proofErr w:type="spellStart"/>
      <w:r w:rsidRPr="00783B4B">
        <w:rPr>
          <w:sz w:val="22"/>
          <w:szCs w:val="22"/>
          <w:lang w:val="sr-Latn-ME"/>
        </w:rPr>
        <w:t>anastrozola</w:t>
      </w:r>
      <w:proofErr w:type="spellEnd"/>
      <w:r w:rsidRPr="00783B4B">
        <w:rPr>
          <w:sz w:val="22"/>
          <w:szCs w:val="22"/>
          <w:lang w:val="sr-Latn-ME"/>
        </w:rPr>
        <w:t xml:space="preserve"> nakon oralne prim</w:t>
      </w:r>
      <w:r w:rsidR="00A45CA1" w:rsidRPr="00783B4B">
        <w:rPr>
          <w:sz w:val="22"/>
          <w:szCs w:val="22"/>
          <w:lang w:val="sr-Latn-ME"/>
        </w:rPr>
        <w:t>j</w:t>
      </w:r>
      <w:r w:rsidRPr="00783B4B">
        <w:rPr>
          <w:sz w:val="22"/>
          <w:szCs w:val="22"/>
          <w:lang w:val="sr-Latn-ME"/>
        </w:rPr>
        <w:t xml:space="preserve">ene </w:t>
      </w:r>
      <w:r w:rsidR="009977E8" w:rsidRPr="00783B4B">
        <w:rPr>
          <w:sz w:val="22"/>
          <w:szCs w:val="22"/>
          <w:lang w:val="sr-Latn-ME"/>
        </w:rPr>
        <w:t>nije</w:t>
      </w:r>
      <w:r w:rsidR="00B74B33" w:rsidRPr="00783B4B">
        <w:rPr>
          <w:sz w:val="22"/>
          <w:szCs w:val="22"/>
          <w:lang w:val="sr-Latn-ME"/>
        </w:rPr>
        <w:t xml:space="preserve"> </w:t>
      </w:r>
      <w:r w:rsidR="009977E8" w:rsidRPr="00783B4B">
        <w:rPr>
          <w:sz w:val="22"/>
          <w:szCs w:val="22"/>
          <w:lang w:val="sr-Latn-ME"/>
        </w:rPr>
        <w:t>promijenjen kod</w:t>
      </w:r>
      <w:r w:rsidR="00A70290" w:rsidRPr="00783B4B">
        <w:rPr>
          <w:sz w:val="22"/>
          <w:szCs w:val="22"/>
          <w:lang w:val="sr-Latn-ME"/>
        </w:rPr>
        <w:t xml:space="preserve"> </w:t>
      </w:r>
      <w:r w:rsidR="00DC6583" w:rsidRPr="00783B4B">
        <w:rPr>
          <w:sz w:val="22"/>
          <w:szCs w:val="22"/>
          <w:lang w:val="sr-Latn-ME"/>
        </w:rPr>
        <w:t xml:space="preserve">dobrovoljaca sa teškom </w:t>
      </w:r>
      <w:proofErr w:type="spellStart"/>
      <w:r w:rsidR="00DC6583" w:rsidRPr="00783B4B">
        <w:rPr>
          <w:sz w:val="22"/>
          <w:szCs w:val="22"/>
          <w:lang w:val="sr-Latn-ME"/>
        </w:rPr>
        <w:t>insuficijencijom</w:t>
      </w:r>
      <w:proofErr w:type="spellEnd"/>
      <w:r w:rsidR="00DC6583" w:rsidRPr="00783B4B" w:rsidDel="00DC6583">
        <w:rPr>
          <w:sz w:val="22"/>
          <w:szCs w:val="22"/>
          <w:lang w:val="sr-Latn-ME"/>
        </w:rPr>
        <w:t xml:space="preserve"> </w:t>
      </w:r>
      <w:r w:rsidR="009977E8" w:rsidRPr="00783B4B">
        <w:rPr>
          <w:sz w:val="22"/>
          <w:szCs w:val="22"/>
          <w:lang w:val="sr-Latn-ME"/>
        </w:rPr>
        <w:t>bubreg</w:t>
      </w:r>
      <w:r w:rsidR="00DC6583" w:rsidRPr="00783B4B">
        <w:rPr>
          <w:sz w:val="22"/>
          <w:szCs w:val="22"/>
          <w:lang w:val="sr-Latn-ME"/>
        </w:rPr>
        <w:t>a</w:t>
      </w:r>
      <w:r w:rsidR="009977E8" w:rsidRPr="00783B4B">
        <w:rPr>
          <w:sz w:val="22"/>
          <w:szCs w:val="22"/>
          <w:lang w:val="sr-Latn-ME"/>
        </w:rPr>
        <w:t xml:space="preserve"> (</w:t>
      </w:r>
      <w:r w:rsidR="0057052D" w:rsidRPr="00783B4B">
        <w:rPr>
          <w:sz w:val="22"/>
          <w:szCs w:val="22"/>
          <w:lang w:val="sr-Latn-ME"/>
        </w:rPr>
        <w:t xml:space="preserve">brzina </w:t>
      </w:r>
      <w:proofErr w:type="spellStart"/>
      <w:r w:rsidR="0057052D" w:rsidRPr="00783B4B">
        <w:rPr>
          <w:sz w:val="22"/>
          <w:szCs w:val="22"/>
          <w:lang w:val="sr-Latn-ME"/>
        </w:rPr>
        <w:t>glomerularne</w:t>
      </w:r>
      <w:proofErr w:type="spellEnd"/>
      <w:r w:rsidR="0057052D" w:rsidRPr="00783B4B">
        <w:rPr>
          <w:sz w:val="22"/>
          <w:szCs w:val="22"/>
          <w:lang w:val="sr-Latn-ME"/>
        </w:rPr>
        <w:t xml:space="preserve"> filtracije</w:t>
      </w:r>
      <w:r w:rsidR="009977E8" w:rsidRPr="00783B4B">
        <w:rPr>
          <w:sz w:val="22"/>
          <w:szCs w:val="22"/>
          <w:lang w:val="sr-Latn-ME"/>
        </w:rPr>
        <w:t xml:space="preserve"> &lt; </w:t>
      </w:r>
      <w:proofErr w:type="spellStart"/>
      <w:r w:rsidR="009977E8" w:rsidRPr="00783B4B">
        <w:rPr>
          <w:sz w:val="22"/>
          <w:szCs w:val="22"/>
          <w:lang w:val="sr-Latn-ME"/>
        </w:rPr>
        <w:t>30mL</w:t>
      </w:r>
      <w:proofErr w:type="spellEnd"/>
      <w:r w:rsidR="009977E8" w:rsidRPr="00783B4B">
        <w:rPr>
          <w:sz w:val="22"/>
          <w:szCs w:val="22"/>
          <w:lang w:val="sr-Latn-ME"/>
        </w:rPr>
        <w:t>/min)</w:t>
      </w:r>
      <w:r w:rsidR="00284A4C" w:rsidRPr="00783B4B">
        <w:rPr>
          <w:sz w:val="22"/>
          <w:szCs w:val="22"/>
          <w:lang w:val="sr-Latn-ME"/>
        </w:rPr>
        <w:t xml:space="preserve"> u studiji </w:t>
      </w:r>
      <w:proofErr w:type="spellStart"/>
      <w:r w:rsidR="00284A4C" w:rsidRPr="00783B4B">
        <w:rPr>
          <w:sz w:val="22"/>
          <w:szCs w:val="22"/>
          <w:lang w:val="sr-Latn-ME"/>
        </w:rPr>
        <w:t>1033IL</w:t>
      </w:r>
      <w:proofErr w:type="spellEnd"/>
      <w:r w:rsidR="00284A4C" w:rsidRPr="00783B4B">
        <w:rPr>
          <w:sz w:val="22"/>
          <w:szCs w:val="22"/>
          <w:lang w:val="sr-Latn-ME"/>
        </w:rPr>
        <w:t>/0018</w:t>
      </w:r>
      <w:r w:rsidR="009977E8" w:rsidRPr="00783B4B">
        <w:rPr>
          <w:sz w:val="22"/>
          <w:szCs w:val="22"/>
          <w:lang w:val="sr-Latn-ME"/>
        </w:rPr>
        <w:t>, u skladu sa činjenicom da se</w:t>
      </w:r>
      <w:r w:rsidR="0088545A" w:rsidRPr="00783B4B">
        <w:rPr>
          <w:sz w:val="22"/>
          <w:szCs w:val="22"/>
          <w:lang w:val="sr-Latn-ME"/>
        </w:rPr>
        <w:t xml:space="preserve"> </w:t>
      </w:r>
      <w:proofErr w:type="spellStart"/>
      <w:r w:rsidR="009977E8" w:rsidRPr="00783B4B">
        <w:rPr>
          <w:sz w:val="22"/>
          <w:szCs w:val="22"/>
          <w:lang w:val="sr-Latn-ME"/>
        </w:rPr>
        <w:t>anastrozol</w:t>
      </w:r>
      <w:proofErr w:type="spellEnd"/>
      <w:r w:rsidR="009977E8" w:rsidRPr="00783B4B">
        <w:rPr>
          <w:sz w:val="22"/>
          <w:szCs w:val="22"/>
          <w:lang w:val="sr-Latn-ME"/>
        </w:rPr>
        <w:t xml:space="preserve"> primarno eliminiše metabolizmom. Koncentracija </w:t>
      </w:r>
      <w:proofErr w:type="spellStart"/>
      <w:r w:rsidR="009977E8" w:rsidRPr="00783B4B">
        <w:rPr>
          <w:sz w:val="22"/>
          <w:szCs w:val="22"/>
          <w:lang w:val="sr-Latn-ME"/>
        </w:rPr>
        <w:t>anastrozola</w:t>
      </w:r>
      <w:proofErr w:type="spellEnd"/>
      <w:r w:rsidR="009977E8" w:rsidRPr="00783B4B">
        <w:rPr>
          <w:sz w:val="22"/>
          <w:szCs w:val="22"/>
          <w:lang w:val="sr-Latn-ME"/>
        </w:rPr>
        <w:t xml:space="preserve"> u plazmi, </w:t>
      </w:r>
      <w:r w:rsidR="00AB50E2" w:rsidRPr="00783B4B">
        <w:rPr>
          <w:sz w:val="22"/>
          <w:szCs w:val="22"/>
          <w:lang w:val="sr-Latn-ME"/>
        </w:rPr>
        <w:t>posmatrane tokom dugotrajnih</w:t>
      </w:r>
      <w:r w:rsidR="00AB50E2" w:rsidRPr="00783B4B" w:rsidDel="00AB50E2">
        <w:rPr>
          <w:sz w:val="22"/>
          <w:szCs w:val="22"/>
          <w:lang w:val="sr-Latn-ME"/>
        </w:rPr>
        <w:t xml:space="preserve"> </w:t>
      </w:r>
      <w:r w:rsidR="009977E8" w:rsidRPr="00783B4B">
        <w:rPr>
          <w:sz w:val="22"/>
          <w:szCs w:val="22"/>
          <w:lang w:val="sr-Latn-ME"/>
        </w:rPr>
        <w:t xml:space="preserve">studija efikasnosti kod pacijenata sa </w:t>
      </w:r>
      <w:r w:rsidR="000B4F55" w:rsidRPr="00783B4B">
        <w:rPr>
          <w:sz w:val="22"/>
          <w:szCs w:val="22"/>
          <w:lang w:val="sr-Latn-ME"/>
        </w:rPr>
        <w:t>oštećenjem</w:t>
      </w:r>
      <w:r w:rsidR="009977E8" w:rsidRPr="00783B4B">
        <w:rPr>
          <w:sz w:val="22"/>
          <w:szCs w:val="22"/>
          <w:lang w:val="sr-Latn-ME"/>
        </w:rPr>
        <w:t xml:space="preserve"> bubrega</w:t>
      </w:r>
      <w:r w:rsidR="000B4F55" w:rsidRPr="00783B4B">
        <w:rPr>
          <w:sz w:val="22"/>
          <w:szCs w:val="22"/>
          <w:lang w:val="sr-Latn-ME"/>
        </w:rPr>
        <w:t xml:space="preserve"> su </w:t>
      </w:r>
      <w:r w:rsidR="009977E8" w:rsidRPr="00783B4B">
        <w:rPr>
          <w:sz w:val="22"/>
          <w:szCs w:val="22"/>
          <w:lang w:val="sr-Latn-ME"/>
        </w:rPr>
        <w:t>bil</w:t>
      </w:r>
      <w:r w:rsidR="000B4F55" w:rsidRPr="00783B4B">
        <w:rPr>
          <w:sz w:val="22"/>
          <w:szCs w:val="22"/>
          <w:lang w:val="sr-Latn-ME"/>
        </w:rPr>
        <w:t>e</w:t>
      </w:r>
      <w:r w:rsidR="009977E8" w:rsidRPr="00783B4B">
        <w:rPr>
          <w:sz w:val="22"/>
          <w:szCs w:val="22"/>
          <w:lang w:val="sr-Latn-ME"/>
        </w:rPr>
        <w:t xml:space="preserve"> </w:t>
      </w:r>
      <w:r w:rsidR="00E62783" w:rsidRPr="00783B4B">
        <w:rPr>
          <w:sz w:val="22"/>
          <w:szCs w:val="22"/>
          <w:lang w:val="sr-Latn-ME"/>
        </w:rPr>
        <w:t xml:space="preserve">u visini koncentracije </w:t>
      </w:r>
      <w:proofErr w:type="spellStart"/>
      <w:r w:rsidR="00E62783" w:rsidRPr="00783B4B">
        <w:rPr>
          <w:sz w:val="22"/>
          <w:szCs w:val="22"/>
          <w:lang w:val="sr-Latn-ME"/>
        </w:rPr>
        <w:t>anastrozola</w:t>
      </w:r>
      <w:proofErr w:type="spellEnd"/>
      <w:r w:rsidR="00E62783" w:rsidRPr="00783B4B">
        <w:rPr>
          <w:sz w:val="22"/>
          <w:szCs w:val="22"/>
          <w:lang w:val="sr-Latn-ME"/>
        </w:rPr>
        <w:t xml:space="preserve"> u plazmi viđene kod pacijenata bez oštećenja bubrega</w:t>
      </w:r>
      <w:r w:rsidR="009977E8" w:rsidRPr="00783B4B">
        <w:rPr>
          <w:sz w:val="22"/>
          <w:szCs w:val="22"/>
          <w:lang w:val="sr-Latn-ME"/>
        </w:rPr>
        <w:t xml:space="preserve">. Kod pacijenata sa teškim </w:t>
      </w:r>
      <w:r w:rsidR="00BD3492" w:rsidRPr="00783B4B">
        <w:rPr>
          <w:sz w:val="22"/>
          <w:szCs w:val="22"/>
          <w:lang w:val="sr-Latn-ME"/>
        </w:rPr>
        <w:t xml:space="preserve">oštećenjem </w:t>
      </w:r>
      <w:r w:rsidR="009977E8" w:rsidRPr="00783B4B">
        <w:rPr>
          <w:sz w:val="22"/>
          <w:szCs w:val="22"/>
          <w:lang w:val="sr-Latn-ME"/>
        </w:rPr>
        <w:t xml:space="preserve">funkcije bubrega, </w:t>
      </w:r>
      <w:r w:rsidR="00BD3492" w:rsidRPr="00783B4B">
        <w:rPr>
          <w:sz w:val="22"/>
          <w:szCs w:val="22"/>
          <w:lang w:val="sr-Latn-ME"/>
        </w:rPr>
        <w:t>prim</w:t>
      </w:r>
      <w:r w:rsidR="00A45CA1" w:rsidRPr="00783B4B">
        <w:rPr>
          <w:sz w:val="22"/>
          <w:szCs w:val="22"/>
          <w:lang w:val="sr-Latn-ME"/>
        </w:rPr>
        <w:t>j</w:t>
      </w:r>
      <w:r w:rsidR="00BD3492" w:rsidRPr="00783B4B">
        <w:rPr>
          <w:sz w:val="22"/>
          <w:szCs w:val="22"/>
          <w:lang w:val="sr-Latn-ME"/>
        </w:rPr>
        <w:t xml:space="preserve">ena </w:t>
      </w:r>
      <w:proofErr w:type="spellStart"/>
      <w:r w:rsidR="009977E8" w:rsidRPr="00783B4B">
        <w:rPr>
          <w:sz w:val="22"/>
          <w:szCs w:val="22"/>
          <w:lang w:val="sr-Latn-ME"/>
        </w:rPr>
        <w:t>anastrozol</w:t>
      </w:r>
      <w:r w:rsidR="00BD3492" w:rsidRPr="00783B4B">
        <w:rPr>
          <w:sz w:val="22"/>
          <w:szCs w:val="22"/>
          <w:lang w:val="sr-Latn-ME"/>
        </w:rPr>
        <w:t>a</w:t>
      </w:r>
      <w:proofErr w:type="spellEnd"/>
      <w:r w:rsidR="009977E8" w:rsidRPr="00783B4B">
        <w:rPr>
          <w:sz w:val="22"/>
          <w:szCs w:val="22"/>
          <w:lang w:val="sr-Latn-ME"/>
        </w:rPr>
        <w:t xml:space="preserve"> treba </w:t>
      </w:r>
      <w:r w:rsidR="00D4039E" w:rsidRPr="00783B4B">
        <w:rPr>
          <w:sz w:val="22"/>
          <w:szCs w:val="22"/>
          <w:lang w:val="sr-Latn-ME"/>
        </w:rPr>
        <w:t xml:space="preserve">da bude uz oprez </w:t>
      </w:r>
      <w:r w:rsidR="009977E8" w:rsidRPr="00783B4B">
        <w:rPr>
          <w:sz w:val="22"/>
          <w:szCs w:val="22"/>
          <w:lang w:val="sr-Latn-ME"/>
        </w:rPr>
        <w:t xml:space="preserve">(vidjeti </w:t>
      </w:r>
      <w:r w:rsidR="00D4039E" w:rsidRPr="00783B4B">
        <w:rPr>
          <w:sz w:val="22"/>
          <w:szCs w:val="22"/>
          <w:lang w:val="sr-Latn-ME"/>
        </w:rPr>
        <w:t>od</w:t>
      </w:r>
      <w:r w:rsidR="00A45CA1" w:rsidRPr="00783B4B">
        <w:rPr>
          <w:sz w:val="22"/>
          <w:szCs w:val="22"/>
          <w:lang w:val="sr-Latn-ME"/>
        </w:rPr>
        <w:t>j</w:t>
      </w:r>
      <w:r w:rsidR="00D4039E" w:rsidRPr="00783B4B">
        <w:rPr>
          <w:sz w:val="22"/>
          <w:szCs w:val="22"/>
          <w:lang w:val="sr-Latn-ME"/>
        </w:rPr>
        <w:t xml:space="preserve">eljke </w:t>
      </w:r>
      <w:r w:rsidR="009977E8" w:rsidRPr="00783B4B">
        <w:rPr>
          <w:sz w:val="22"/>
          <w:szCs w:val="22"/>
          <w:lang w:val="sr-Latn-ME"/>
        </w:rPr>
        <w:t xml:space="preserve">4.2 i 4.4). </w:t>
      </w:r>
    </w:p>
    <w:p w14:paraId="0483D430" w14:textId="77777777" w:rsidR="009977E8" w:rsidRPr="00783B4B" w:rsidRDefault="009977E8" w:rsidP="00783B4B">
      <w:pPr>
        <w:rPr>
          <w:sz w:val="22"/>
          <w:szCs w:val="22"/>
          <w:lang w:val="sr-Latn-ME"/>
        </w:rPr>
      </w:pPr>
    </w:p>
    <w:p w14:paraId="506FF2BA" w14:textId="1A3E3D3D" w:rsidR="009977E8" w:rsidRPr="00783B4B" w:rsidRDefault="009977E8" w:rsidP="00783B4B">
      <w:pPr>
        <w:pStyle w:val="Header"/>
        <w:jc w:val="both"/>
        <w:rPr>
          <w:sz w:val="22"/>
          <w:szCs w:val="22"/>
          <w:u w:val="single"/>
          <w:lang w:val="sr-Latn-ME"/>
        </w:rPr>
      </w:pPr>
      <w:r w:rsidRPr="00783B4B">
        <w:rPr>
          <w:sz w:val="22"/>
          <w:szCs w:val="22"/>
          <w:u w:val="single"/>
          <w:lang w:val="sr-Latn-ME"/>
        </w:rPr>
        <w:t>Pedijatrijska populacija</w:t>
      </w:r>
    </w:p>
    <w:p w14:paraId="60C01697" w14:textId="77777777" w:rsidR="00A70290" w:rsidRPr="00783B4B" w:rsidRDefault="00A70290" w:rsidP="00783B4B">
      <w:pPr>
        <w:pStyle w:val="Header"/>
        <w:jc w:val="both"/>
        <w:rPr>
          <w:sz w:val="22"/>
          <w:szCs w:val="22"/>
          <w:u w:val="single"/>
          <w:lang w:val="sr-Latn-ME"/>
        </w:rPr>
      </w:pPr>
    </w:p>
    <w:p w14:paraId="71BFB9BC" w14:textId="60EE468B" w:rsidR="009977E8" w:rsidRPr="00783B4B" w:rsidRDefault="009977E8" w:rsidP="00783B4B">
      <w:pPr>
        <w:pStyle w:val="Header"/>
        <w:jc w:val="both"/>
        <w:rPr>
          <w:sz w:val="22"/>
          <w:szCs w:val="22"/>
          <w:lang w:val="sr-Latn-ME"/>
        </w:rPr>
      </w:pPr>
      <w:r w:rsidRPr="00783B4B">
        <w:rPr>
          <w:sz w:val="22"/>
          <w:szCs w:val="22"/>
          <w:lang w:val="sr-Latn-ME"/>
        </w:rPr>
        <w:t xml:space="preserve">Kod dječaka u pubertetu sa </w:t>
      </w:r>
      <w:proofErr w:type="spellStart"/>
      <w:r w:rsidRPr="00783B4B">
        <w:rPr>
          <w:sz w:val="22"/>
          <w:szCs w:val="22"/>
          <w:lang w:val="sr-Latn-ME"/>
        </w:rPr>
        <w:t>ginekomastijom</w:t>
      </w:r>
      <w:proofErr w:type="spellEnd"/>
      <w:r w:rsidRPr="00783B4B">
        <w:rPr>
          <w:sz w:val="22"/>
          <w:szCs w:val="22"/>
          <w:lang w:val="sr-Latn-ME"/>
        </w:rPr>
        <w:t xml:space="preserve"> (10 </w:t>
      </w:r>
      <w:r w:rsidR="001D1681" w:rsidRPr="00783B4B">
        <w:rPr>
          <w:sz w:val="22"/>
          <w:szCs w:val="22"/>
          <w:lang w:val="sr-Latn-ME"/>
        </w:rPr>
        <w:t xml:space="preserve">do </w:t>
      </w:r>
      <w:r w:rsidRPr="00783B4B">
        <w:rPr>
          <w:sz w:val="22"/>
          <w:szCs w:val="22"/>
          <w:lang w:val="sr-Latn-ME"/>
        </w:rPr>
        <w:t xml:space="preserve">17 godina), </w:t>
      </w:r>
      <w:proofErr w:type="spellStart"/>
      <w:r w:rsidRPr="00783B4B">
        <w:rPr>
          <w:sz w:val="22"/>
          <w:szCs w:val="22"/>
          <w:lang w:val="sr-Latn-ME"/>
        </w:rPr>
        <w:t>anastrozol</w:t>
      </w:r>
      <w:proofErr w:type="spellEnd"/>
      <w:r w:rsidRPr="00783B4B">
        <w:rPr>
          <w:sz w:val="22"/>
          <w:szCs w:val="22"/>
          <w:lang w:val="sr-Latn-ME"/>
        </w:rPr>
        <w:t xml:space="preserve"> </w:t>
      </w:r>
      <w:r w:rsidR="002B1268" w:rsidRPr="00783B4B">
        <w:rPr>
          <w:bCs/>
          <w:sz w:val="22"/>
          <w:szCs w:val="22"/>
          <w:lang w:val="sr-Latn-ME"/>
        </w:rPr>
        <w:t>je bio brzo resorbovan</w:t>
      </w:r>
      <w:r w:rsidRPr="00783B4B">
        <w:rPr>
          <w:sz w:val="22"/>
          <w:szCs w:val="22"/>
          <w:lang w:val="sr-Latn-ME"/>
        </w:rPr>
        <w:t>,</w:t>
      </w:r>
    </w:p>
    <w:p w14:paraId="6F7C804F" w14:textId="77777777" w:rsidR="00A70290" w:rsidRPr="00783B4B" w:rsidRDefault="009977E8" w:rsidP="00783B4B">
      <w:pPr>
        <w:pStyle w:val="Header"/>
        <w:jc w:val="both"/>
        <w:rPr>
          <w:sz w:val="22"/>
          <w:szCs w:val="22"/>
          <w:lang w:val="sr-Latn-ME"/>
        </w:rPr>
      </w:pPr>
      <w:r w:rsidRPr="00783B4B">
        <w:rPr>
          <w:sz w:val="22"/>
          <w:szCs w:val="22"/>
          <w:lang w:val="sr-Latn-ME"/>
        </w:rPr>
        <w:t xml:space="preserve">široko </w:t>
      </w:r>
      <w:r w:rsidR="002B1268" w:rsidRPr="00783B4B">
        <w:rPr>
          <w:sz w:val="22"/>
          <w:szCs w:val="22"/>
          <w:lang w:val="sr-Latn-ME"/>
        </w:rPr>
        <w:t xml:space="preserve">distribuiran </w:t>
      </w:r>
      <w:r w:rsidRPr="00783B4B">
        <w:rPr>
          <w:sz w:val="22"/>
          <w:szCs w:val="22"/>
          <w:lang w:val="sr-Latn-ME"/>
        </w:rPr>
        <w:t>i sporo eliminisa</w:t>
      </w:r>
      <w:r w:rsidR="002B1268" w:rsidRPr="00783B4B">
        <w:rPr>
          <w:sz w:val="22"/>
          <w:szCs w:val="22"/>
          <w:lang w:val="sr-Latn-ME"/>
        </w:rPr>
        <w:t>n</w:t>
      </w:r>
      <w:r w:rsidRPr="00783B4B">
        <w:rPr>
          <w:sz w:val="22"/>
          <w:szCs w:val="22"/>
          <w:lang w:val="sr-Latn-ME"/>
        </w:rPr>
        <w:t xml:space="preserve"> sa </w:t>
      </w:r>
      <w:proofErr w:type="spellStart"/>
      <w:r w:rsidRPr="00783B4B">
        <w:rPr>
          <w:sz w:val="22"/>
          <w:szCs w:val="22"/>
          <w:lang w:val="sr-Latn-ME"/>
        </w:rPr>
        <w:t>poluvremenom</w:t>
      </w:r>
      <w:proofErr w:type="spellEnd"/>
      <w:r w:rsidRPr="00783B4B">
        <w:rPr>
          <w:sz w:val="22"/>
          <w:szCs w:val="22"/>
          <w:lang w:val="sr-Latn-ME"/>
        </w:rPr>
        <w:t xml:space="preserve"> eliminacije od približno 2 dana. </w:t>
      </w:r>
      <w:proofErr w:type="spellStart"/>
      <w:r w:rsidRPr="00783B4B">
        <w:rPr>
          <w:sz w:val="22"/>
          <w:szCs w:val="22"/>
          <w:lang w:val="sr-Latn-ME"/>
        </w:rPr>
        <w:t>Klirens</w:t>
      </w:r>
      <w:proofErr w:type="spellEnd"/>
      <w:r w:rsidRPr="00783B4B">
        <w:rPr>
          <w:sz w:val="22"/>
          <w:szCs w:val="22"/>
          <w:lang w:val="sr-Latn-ME"/>
        </w:rPr>
        <w:t xml:space="preserve"> </w:t>
      </w:r>
      <w:proofErr w:type="spellStart"/>
      <w:r w:rsidRPr="00783B4B">
        <w:rPr>
          <w:sz w:val="22"/>
          <w:szCs w:val="22"/>
          <w:lang w:val="sr-Latn-ME"/>
        </w:rPr>
        <w:t>anastrozola</w:t>
      </w:r>
      <w:proofErr w:type="spellEnd"/>
      <w:r w:rsidR="0088545A" w:rsidRPr="00783B4B">
        <w:rPr>
          <w:sz w:val="22"/>
          <w:szCs w:val="22"/>
          <w:lang w:val="sr-Latn-ME"/>
        </w:rPr>
        <w:t xml:space="preserve"> </w:t>
      </w:r>
      <w:r w:rsidRPr="00783B4B">
        <w:rPr>
          <w:sz w:val="22"/>
          <w:szCs w:val="22"/>
          <w:lang w:val="sr-Latn-ME"/>
        </w:rPr>
        <w:t xml:space="preserve">je bio niži kod djevojčica (3 </w:t>
      </w:r>
      <w:r w:rsidR="00AA1CF8" w:rsidRPr="00783B4B">
        <w:rPr>
          <w:sz w:val="22"/>
          <w:szCs w:val="22"/>
          <w:lang w:val="sr-Latn-ME"/>
        </w:rPr>
        <w:t>do</w:t>
      </w:r>
      <w:r w:rsidRPr="00783B4B">
        <w:rPr>
          <w:sz w:val="22"/>
          <w:szCs w:val="22"/>
          <w:lang w:val="sr-Latn-ME"/>
        </w:rPr>
        <w:t xml:space="preserve"> 10 godina) nego kod starijih dječaka</w:t>
      </w:r>
      <w:r w:rsidR="00AA1CF8" w:rsidRPr="00783B4B">
        <w:rPr>
          <w:sz w:val="22"/>
          <w:szCs w:val="22"/>
          <w:lang w:val="sr-Latn-ME"/>
        </w:rPr>
        <w:t xml:space="preserve">, a </w:t>
      </w:r>
      <w:r w:rsidRPr="00783B4B">
        <w:rPr>
          <w:sz w:val="22"/>
          <w:szCs w:val="22"/>
          <w:lang w:val="sr-Latn-ME"/>
        </w:rPr>
        <w:t>izloženost veća.</w:t>
      </w:r>
    </w:p>
    <w:p w14:paraId="54233536" w14:textId="77777777" w:rsidR="00A70290" w:rsidRPr="00783B4B" w:rsidRDefault="00A70290" w:rsidP="00783B4B">
      <w:pPr>
        <w:pStyle w:val="Header"/>
        <w:jc w:val="both"/>
        <w:rPr>
          <w:sz w:val="22"/>
          <w:szCs w:val="22"/>
          <w:lang w:val="sr-Latn-ME"/>
        </w:rPr>
      </w:pPr>
    </w:p>
    <w:p w14:paraId="38F5D113" w14:textId="6A0BDECA" w:rsidR="009977E8" w:rsidRPr="00783B4B" w:rsidRDefault="00634F2F" w:rsidP="00783B4B">
      <w:pPr>
        <w:pStyle w:val="Header"/>
        <w:jc w:val="both"/>
        <w:rPr>
          <w:sz w:val="22"/>
          <w:szCs w:val="22"/>
          <w:lang w:val="sr-Latn-ME"/>
        </w:rPr>
      </w:pPr>
      <w:proofErr w:type="spellStart"/>
      <w:r w:rsidRPr="00783B4B">
        <w:rPr>
          <w:sz w:val="22"/>
          <w:szCs w:val="22"/>
          <w:lang w:val="sr-Latn-ME"/>
        </w:rPr>
        <w:t>Anasrozol</w:t>
      </w:r>
      <w:proofErr w:type="spellEnd"/>
      <w:r w:rsidRPr="00783B4B">
        <w:rPr>
          <w:sz w:val="22"/>
          <w:szCs w:val="22"/>
          <w:lang w:val="sr-Latn-ME"/>
        </w:rPr>
        <w:t xml:space="preserve"> k</w:t>
      </w:r>
      <w:r w:rsidR="009977E8" w:rsidRPr="00783B4B">
        <w:rPr>
          <w:sz w:val="22"/>
          <w:szCs w:val="22"/>
          <w:lang w:val="sr-Latn-ME"/>
        </w:rPr>
        <w:t>od</w:t>
      </w:r>
      <w:r w:rsidR="0088545A" w:rsidRPr="00783B4B">
        <w:rPr>
          <w:sz w:val="22"/>
          <w:szCs w:val="22"/>
          <w:lang w:val="sr-Latn-ME"/>
        </w:rPr>
        <w:t xml:space="preserve"> </w:t>
      </w:r>
      <w:r w:rsidR="009977E8" w:rsidRPr="00783B4B">
        <w:rPr>
          <w:sz w:val="22"/>
          <w:szCs w:val="22"/>
          <w:lang w:val="sr-Latn-ME"/>
        </w:rPr>
        <w:t>djevojčica</w:t>
      </w:r>
      <w:r w:rsidRPr="00783B4B">
        <w:rPr>
          <w:sz w:val="22"/>
          <w:szCs w:val="22"/>
          <w:lang w:val="sr-Latn-ME"/>
        </w:rPr>
        <w:t xml:space="preserve"> je bio </w:t>
      </w:r>
      <w:r w:rsidR="009977E8" w:rsidRPr="00783B4B">
        <w:rPr>
          <w:sz w:val="22"/>
          <w:szCs w:val="22"/>
          <w:lang w:val="sr-Latn-ME"/>
        </w:rPr>
        <w:t xml:space="preserve">široko </w:t>
      </w:r>
      <w:r w:rsidRPr="00783B4B">
        <w:rPr>
          <w:sz w:val="22"/>
          <w:szCs w:val="22"/>
          <w:lang w:val="sr-Latn-ME"/>
        </w:rPr>
        <w:t xml:space="preserve">distribuiran </w:t>
      </w:r>
      <w:r w:rsidR="009977E8" w:rsidRPr="00783B4B">
        <w:rPr>
          <w:sz w:val="22"/>
          <w:szCs w:val="22"/>
          <w:lang w:val="sr-Latn-ME"/>
        </w:rPr>
        <w:t xml:space="preserve">i sporo </w:t>
      </w:r>
      <w:r w:rsidRPr="00783B4B">
        <w:rPr>
          <w:sz w:val="22"/>
          <w:szCs w:val="22"/>
          <w:lang w:val="sr-Latn-ME"/>
        </w:rPr>
        <w:t>eliminisan</w:t>
      </w:r>
      <w:r w:rsidR="009977E8" w:rsidRPr="00783B4B">
        <w:rPr>
          <w:sz w:val="22"/>
          <w:szCs w:val="22"/>
          <w:lang w:val="sr-Latn-ME"/>
        </w:rPr>
        <w:t>.</w:t>
      </w:r>
    </w:p>
    <w:p w14:paraId="67DC93AF" w14:textId="77777777" w:rsidR="0072020E" w:rsidRPr="00783B4B" w:rsidRDefault="0072020E" w:rsidP="00783B4B">
      <w:pPr>
        <w:tabs>
          <w:tab w:val="left" w:pos="540"/>
          <w:tab w:val="left" w:pos="569"/>
        </w:tabs>
        <w:rPr>
          <w:bCs/>
          <w:sz w:val="22"/>
          <w:szCs w:val="22"/>
          <w:lang w:val="sr-Latn-ME"/>
        </w:rPr>
      </w:pPr>
    </w:p>
    <w:p w14:paraId="67DC93B0"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5.3. </w:t>
      </w:r>
      <w:r w:rsidR="00480FB1" w:rsidRPr="00783B4B">
        <w:rPr>
          <w:b/>
          <w:bCs/>
          <w:sz w:val="22"/>
          <w:szCs w:val="22"/>
          <w:lang w:val="sr-Latn-ME"/>
        </w:rPr>
        <w:tab/>
      </w:r>
      <w:proofErr w:type="spellStart"/>
      <w:r w:rsidRPr="00783B4B">
        <w:rPr>
          <w:b/>
          <w:bCs/>
          <w:sz w:val="22"/>
          <w:szCs w:val="22"/>
          <w:lang w:val="sr-Latn-ME"/>
        </w:rPr>
        <w:t>Pretklinički</w:t>
      </w:r>
      <w:proofErr w:type="spellEnd"/>
      <w:r w:rsidRPr="00783B4B">
        <w:rPr>
          <w:b/>
          <w:bCs/>
          <w:sz w:val="22"/>
          <w:szCs w:val="22"/>
          <w:lang w:val="sr-Latn-ME"/>
        </w:rPr>
        <w:t xml:space="preserve"> podaci o bezbjednosti </w:t>
      </w:r>
    </w:p>
    <w:p w14:paraId="67DC93B1" w14:textId="24A0B2C0" w:rsidR="00836B35" w:rsidRPr="00783B4B" w:rsidRDefault="00836B35" w:rsidP="00783B4B">
      <w:pPr>
        <w:tabs>
          <w:tab w:val="left" w:pos="540"/>
          <w:tab w:val="left" w:pos="569"/>
        </w:tabs>
        <w:rPr>
          <w:bCs/>
          <w:sz w:val="22"/>
          <w:szCs w:val="22"/>
          <w:lang w:val="sr-Latn-ME"/>
        </w:rPr>
      </w:pPr>
    </w:p>
    <w:p w14:paraId="77B21686" w14:textId="6052BE30" w:rsidR="002F3156" w:rsidRPr="00783B4B" w:rsidRDefault="003E3A41" w:rsidP="00783B4B">
      <w:pPr>
        <w:jc w:val="both"/>
        <w:rPr>
          <w:sz w:val="22"/>
          <w:szCs w:val="22"/>
          <w:lang w:val="sr-Latn-ME"/>
        </w:rPr>
      </w:pPr>
      <w:proofErr w:type="spellStart"/>
      <w:r w:rsidRPr="00783B4B">
        <w:rPr>
          <w:bCs/>
          <w:sz w:val="22"/>
          <w:szCs w:val="22"/>
          <w:lang w:val="sr-Latn-ME"/>
        </w:rPr>
        <w:t>Pretklinički</w:t>
      </w:r>
      <w:proofErr w:type="spellEnd"/>
      <w:r w:rsidRPr="00783B4B">
        <w:rPr>
          <w:bCs/>
          <w:sz w:val="22"/>
          <w:szCs w:val="22"/>
          <w:lang w:val="sr-Latn-ME"/>
        </w:rPr>
        <w:t xml:space="preserve"> podaci </w:t>
      </w:r>
      <w:r w:rsidR="00FB54CB" w:rsidRPr="00783B4B">
        <w:rPr>
          <w:sz w:val="22"/>
          <w:szCs w:val="22"/>
          <w:lang w:val="sr-Latn-ME"/>
        </w:rPr>
        <w:t xml:space="preserve">dobijeni </w:t>
      </w:r>
      <w:r w:rsidR="002F3156" w:rsidRPr="00783B4B">
        <w:rPr>
          <w:bCs/>
          <w:sz w:val="22"/>
          <w:szCs w:val="22"/>
          <w:lang w:val="sr-Latn-ME"/>
        </w:rPr>
        <w:t>na osnovu konvencionalnih</w:t>
      </w:r>
      <w:r w:rsidR="0088545A" w:rsidRPr="00783B4B">
        <w:rPr>
          <w:bCs/>
          <w:sz w:val="22"/>
          <w:szCs w:val="22"/>
          <w:lang w:val="sr-Latn-ME"/>
        </w:rPr>
        <w:t xml:space="preserve"> </w:t>
      </w:r>
      <w:r w:rsidR="00F37E97" w:rsidRPr="00783B4B">
        <w:rPr>
          <w:sz w:val="22"/>
          <w:szCs w:val="22"/>
          <w:lang w:val="sr-Latn-ME"/>
        </w:rPr>
        <w:t xml:space="preserve">studija </w:t>
      </w:r>
      <w:proofErr w:type="spellStart"/>
      <w:r w:rsidR="00F37E97" w:rsidRPr="00783B4B">
        <w:rPr>
          <w:sz w:val="22"/>
          <w:szCs w:val="22"/>
          <w:lang w:val="sr-Latn-ME"/>
        </w:rPr>
        <w:t>bezb</w:t>
      </w:r>
      <w:r w:rsidR="00A45CA1" w:rsidRPr="00783B4B">
        <w:rPr>
          <w:sz w:val="22"/>
          <w:szCs w:val="22"/>
          <w:lang w:val="sr-Latn-ME"/>
        </w:rPr>
        <w:t>j</w:t>
      </w:r>
      <w:r w:rsidR="00F37E97" w:rsidRPr="00783B4B">
        <w:rPr>
          <w:sz w:val="22"/>
          <w:szCs w:val="22"/>
          <w:lang w:val="sr-Latn-ME"/>
        </w:rPr>
        <w:t>ednosne</w:t>
      </w:r>
      <w:proofErr w:type="spellEnd"/>
      <w:r w:rsidR="00F37E97" w:rsidRPr="00783B4B">
        <w:rPr>
          <w:sz w:val="22"/>
          <w:szCs w:val="22"/>
          <w:lang w:val="sr-Latn-ME"/>
        </w:rPr>
        <w:t xml:space="preserve"> farmakologije</w:t>
      </w:r>
      <w:r w:rsidR="002F3156" w:rsidRPr="00783B4B">
        <w:rPr>
          <w:bCs/>
          <w:sz w:val="22"/>
          <w:szCs w:val="22"/>
          <w:lang w:val="sr-Latn-ME"/>
        </w:rPr>
        <w:t xml:space="preserve">, toksičnosti ponovljenih doza, </w:t>
      </w:r>
      <w:proofErr w:type="spellStart"/>
      <w:r w:rsidR="002F3156" w:rsidRPr="00783B4B">
        <w:rPr>
          <w:bCs/>
          <w:sz w:val="22"/>
          <w:szCs w:val="22"/>
          <w:lang w:val="sr-Latn-ME"/>
        </w:rPr>
        <w:t>genotoksičnosti</w:t>
      </w:r>
      <w:proofErr w:type="spellEnd"/>
      <w:r w:rsidR="002F3156" w:rsidRPr="00783B4B">
        <w:rPr>
          <w:bCs/>
          <w:sz w:val="22"/>
          <w:szCs w:val="22"/>
          <w:lang w:val="sr-Latn-ME"/>
        </w:rPr>
        <w:t xml:space="preserve">, </w:t>
      </w:r>
      <w:proofErr w:type="spellStart"/>
      <w:r w:rsidR="00C361EA" w:rsidRPr="00783B4B">
        <w:rPr>
          <w:sz w:val="22"/>
          <w:szCs w:val="22"/>
          <w:lang w:val="sr-Latn-ME"/>
        </w:rPr>
        <w:t>karcinogenog</w:t>
      </w:r>
      <w:proofErr w:type="spellEnd"/>
      <w:r w:rsidR="00C361EA" w:rsidRPr="00783B4B">
        <w:rPr>
          <w:sz w:val="22"/>
          <w:szCs w:val="22"/>
          <w:lang w:val="sr-Latn-ME"/>
        </w:rPr>
        <w:t xml:space="preserve"> potencijala</w:t>
      </w:r>
      <w:r w:rsidR="002F3156" w:rsidRPr="00783B4B">
        <w:rPr>
          <w:bCs/>
          <w:sz w:val="22"/>
          <w:szCs w:val="22"/>
          <w:lang w:val="sr-Latn-ME"/>
        </w:rPr>
        <w:t xml:space="preserve"> i reproduktivne </w:t>
      </w:r>
      <w:r w:rsidR="00322D6A" w:rsidRPr="00783B4B">
        <w:rPr>
          <w:sz w:val="22"/>
          <w:szCs w:val="22"/>
          <w:lang w:val="sr-Latn-ME"/>
        </w:rPr>
        <w:t xml:space="preserve">i razvojne </w:t>
      </w:r>
      <w:r w:rsidR="002F3156" w:rsidRPr="00783B4B">
        <w:rPr>
          <w:bCs/>
          <w:sz w:val="22"/>
          <w:szCs w:val="22"/>
          <w:lang w:val="sr-Latn-ME"/>
        </w:rPr>
        <w:t>toksičnosti</w:t>
      </w:r>
      <w:r w:rsidR="00CB2CC0" w:rsidRPr="00783B4B">
        <w:rPr>
          <w:bCs/>
          <w:sz w:val="22"/>
          <w:szCs w:val="22"/>
          <w:lang w:val="sr-Latn-ME"/>
        </w:rPr>
        <w:t xml:space="preserve">, </w:t>
      </w:r>
      <w:r w:rsidR="00CB2CC0" w:rsidRPr="00783B4B">
        <w:rPr>
          <w:sz w:val="22"/>
          <w:szCs w:val="22"/>
          <w:lang w:val="sr-Latn-ME"/>
        </w:rPr>
        <w:t>ne ukazuju na posebne rizike pri prim</w:t>
      </w:r>
      <w:r w:rsidR="00A45CA1" w:rsidRPr="00783B4B">
        <w:rPr>
          <w:sz w:val="22"/>
          <w:szCs w:val="22"/>
          <w:lang w:val="sr-Latn-ME"/>
        </w:rPr>
        <w:t>j</w:t>
      </w:r>
      <w:r w:rsidR="00CB2CC0" w:rsidRPr="00783B4B">
        <w:rPr>
          <w:sz w:val="22"/>
          <w:szCs w:val="22"/>
          <w:lang w:val="sr-Latn-ME"/>
        </w:rPr>
        <w:t>eni l</w:t>
      </w:r>
      <w:r w:rsidR="00A45CA1" w:rsidRPr="00783B4B">
        <w:rPr>
          <w:sz w:val="22"/>
          <w:szCs w:val="22"/>
          <w:lang w:val="sr-Latn-ME"/>
        </w:rPr>
        <w:t>ij</w:t>
      </w:r>
      <w:r w:rsidR="00CB2CC0" w:rsidRPr="00783B4B">
        <w:rPr>
          <w:sz w:val="22"/>
          <w:szCs w:val="22"/>
          <w:lang w:val="sr-Latn-ME"/>
        </w:rPr>
        <w:t xml:space="preserve">eka kod </w:t>
      </w:r>
      <w:proofErr w:type="spellStart"/>
      <w:r w:rsidR="00CB2CC0" w:rsidRPr="00783B4B">
        <w:rPr>
          <w:sz w:val="22"/>
          <w:szCs w:val="22"/>
          <w:lang w:val="sr-Latn-ME"/>
        </w:rPr>
        <w:t>ljudi</w:t>
      </w:r>
      <w:proofErr w:type="spellEnd"/>
      <w:r w:rsidR="00CB2CC0" w:rsidRPr="00783B4B">
        <w:rPr>
          <w:sz w:val="22"/>
          <w:szCs w:val="22"/>
          <w:lang w:val="sr-Latn-ME"/>
        </w:rPr>
        <w:t>.</w:t>
      </w:r>
    </w:p>
    <w:p w14:paraId="0616F883" w14:textId="77777777" w:rsidR="002F3156" w:rsidRPr="00783B4B" w:rsidRDefault="002F3156" w:rsidP="00783B4B">
      <w:pPr>
        <w:pStyle w:val="NormalWeb"/>
        <w:spacing w:before="0" w:beforeAutospacing="0" w:after="0" w:afterAutospacing="0"/>
        <w:jc w:val="both"/>
        <w:rPr>
          <w:bCs/>
          <w:sz w:val="22"/>
          <w:szCs w:val="22"/>
          <w:lang w:val="sr-Latn-ME"/>
        </w:rPr>
      </w:pPr>
    </w:p>
    <w:p w14:paraId="2C114F4C" w14:textId="77777777" w:rsidR="009D122F" w:rsidRDefault="009D122F" w:rsidP="00783B4B">
      <w:pPr>
        <w:pStyle w:val="NormalWeb"/>
        <w:spacing w:before="0" w:beforeAutospacing="0" w:after="0" w:afterAutospacing="0"/>
        <w:jc w:val="both"/>
        <w:rPr>
          <w:b/>
          <w:iCs/>
          <w:sz w:val="22"/>
          <w:szCs w:val="22"/>
          <w:u w:val="single"/>
          <w:lang w:val="sr-Latn-ME"/>
        </w:rPr>
      </w:pPr>
    </w:p>
    <w:p w14:paraId="3A5B537B" w14:textId="77777777" w:rsidR="009D122F" w:rsidRDefault="009D122F" w:rsidP="00783B4B">
      <w:pPr>
        <w:pStyle w:val="NormalWeb"/>
        <w:spacing w:before="0" w:beforeAutospacing="0" w:after="0" w:afterAutospacing="0"/>
        <w:jc w:val="both"/>
        <w:rPr>
          <w:b/>
          <w:iCs/>
          <w:sz w:val="22"/>
          <w:szCs w:val="22"/>
          <w:u w:val="single"/>
          <w:lang w:val="sr-Latn-ME"/>
        </w:rPr>
      </w:pPr>
    </w:p>
    <w:p w14:paraId="3A48675F" w14:textId="558DC214" w:rsidR="002F3156" w:rsidRPr="00783B4B" w:rsidRDefault="002F3156" w:rsidP="00783B4B">
      <w:pPr>
        <w:pStyle w:val="NormalWeb"/>
        <w:spacing w:before="0" w:beforeAutospacing="0" w:after="0" w:afterAutospacing="0"/>
        <w:jc w:val="both"/>
        <w:rPr>
          <w:b/>
          <w:iCs/>
          <w:sz w:val="22"/>
          <w:szCs w:val="22"/>
          <w:u w:val="single"/>
          <w:lang w:val="sr-Latn-ME"/>
        </w:rPr>
      </w:pPr>
      <w:r w:rsidRPr="00783B4B">
        <w:rPr>
          <w:b/>
          <w:iCs/>
          <w:sz w:val="22"/>
          <w:szCs w:val="22"/>
          <w:u w:val="single"/>
          <w:lang w:val="sr-Latn-ME"/>
        </w:rPr>
        <w:lastRenderedPageBreak/>
        <w:t>Akutna toksičnost</w:t>
      </w:r>
    </w:p>
    <w:p w14:paraId="20B58CD1" w14:textId="77777777" w:rsidR="00A5468E" w:rsidRPr="00783B4B" w:rsidRDefault="00A5468E" w:rsidP="00783B4B">
      <w:pPr>
        <w:pStyle w:val="NormalWeb"/>
        <w:spacing w:before="0" w:beforeAutospacing="0" w:after="0" w:afterAutospacing="0"/>
        <w:jc w:val="both"/>
        <w:rPr>
          <w:b/>
          <w:iCs/>
          <w:sz w:val="22"/>
          <w:szCs w:val="22"/>
          <w:u w:val="single"/>
          <w:lang w:val="sr-Latn-ME"/>
        </w:rPr>
      </w:pPr>
    </w:p>
    <w:p w14:paraId="06B280AE" w14:textId="353081A5" w:rsidR="002F3156" w:rsidRPr="00783B4B" w:rsidRDefault="002F3156" w:rsidP="00783B4B">
      <w:pPr>
        <w:pStyle w:val="NormalWeb"/>
        <w:spacing w:before="0" w:beforeAutospacing="0" w:after="0" w:afterAutospacing="0"/>
        <w:jc w:val="both"/>
        <w:rPr>
          <w:sz w:val="22"/>
          <w:szCs w:val="22"/>
          <w:lang w:val="sr-Latn-ME"/>
        </w:rPr>
      </w:pPr>
      <w:r w:rsidRPr="00783B4B">
        <w:rPr>
          <w:bCs/>
          <w:sz w:val="22"/>
          <w:szCs w:val="22"/>
          <w:lang w:val="sr-Latn-ME"/>
        </w:rPr>
        <w:t>U studijama na životinjama</w:t>
      </w:r>
      <w:r w:rsidR="00117BCB" w:rsidRPr="00783B4B">
        <w:rPr>
          <w:bCs/>
          <w:sz w:val="22"/>
          <w:szCs w:val="22"/>
          <w:lang w:val="sr-Latn-ME"/>
        </w:rPr>
        <w:t>,</w:t>
      </w:r>
      <w:r w:rsidRPr="00783B4B">
        <w:rPr>
          <w:bCs/>
          <w:sz w:val="22"/>
          <w:szCs w:val="22"/>
          <w:lang w:val="sr-Latn-ME"/>
        </w:rPr>
        <w:t xml:space="preserve"> toksičnost je primijećena samo pri visokim dozama. </w:t>
      </w:r>
      <w:r w:rsidR="00B14D22" w:rsidRPr="00783B4B">
        <w:rPr>
          <w:sz w:val="22"/>
          <w:szCs w:val="22"/>
          <w:lang w:val="sr-Latn-ME" w:eastAsia="en-US"/>
        </w:rPr>
        <w:t>U</w:t>
      </w:r>
      <w:r w:rsidRPr="00783B4B">
        <w:rPr>
          <w:sz w:val="22"/>
          <w:szCs w:val="22"/>
          <w:lang w:val="sr-Latn-ME"/>
        </w:rPr>
        <w:t xml:space="preserve"> </w:t>
      </w:r>
      <w:r w:rsidR="00B14D22" w:rsidRPr="00783B4B">
        <w:rPr>
          <w:sz w:val="22"/>
          <w:szCs w:val="22"/>
          <w:lang w:val="sr-Latn-ME"/>
        </w:rPr>
        <w:t xml:space="preserve">ispitivanjima </w:t>
      </w:r>
      <w:r w:rsidRPr="00783B4B">
        <w:rPr>
          <w:sz w:val="22"/>
          <w:szCs w:val="22"/>
          <w:lang w:val="sr-Latn-ME"/>
        </w:rPr>
        <w:t xml:space="preserve">akutne toksičnosti na glodarima srednja </w:t>
      </w:r>
      <w:proofErr w:type="spellStart"/>
      <w:r w:rsidRPr="00783B4B">
        <w:rPr>
          <w:sz w:val="22"/>
          <w:szCs w:val="22"/>
          <w:lang w:val="sr-Latn-ME"/>
        </w:rPr>
        <w:t>letalna</w:t>
      </w:r>
      <w:proofErr w:type="spellEnd"/>
      <w:r w:rsidRPr="00783B4B">
        <w:rPr>
          <w:sz w:val="22"/>
          <w:szCs w:val="22"/>
          <w:lang w:val="sr-Latn-ME"/>
        </w:rPr>
        <w:t xml:space="preserve"> doza </w:t>
      </w:r>
      <w:proofErr w:type="spellStart"/>
      <w:r w:rsidRPr="00783B4B">
        <w:rPr>
          <w:sz w:val="22"/>
          <w:szCs w:val="22"/>
          <w:lang w:val="sr-Latn-ME"/>
        </w:rPr>
        <w:t>anastrozola</w:t>
      </w:r>
      <w:proofErr w:type="spellEnd"/>
      <w:r w:rsidRPr="00783B4B">
        <w:rPr>
          <w:sz w:val="22"/>
          <w:szCs w:val="22"/>
          <w:lang w:val="sr-Latn-ME"/>
        </w:rPr>
        <w:t xml:space="preserve"> bila </w:t>
      </w:r>
      <w:r w:rsidR="00B14D22" w:rsidRPr="00783B4B">
        <w:rPr>
          <w:sz w:val="22"/>
          <w:szCs w:val="22"/>
          <w:lang w:val="sr-Latn-ME"/>
        </w:rPr>
        <w:t xml:space="preserve">je </w:t>
      </w:r>
      <w:r w:rsidRPr="00783B4B">
        <w:rPr>
          <w:sz w:val="22"/>
          <w:szCs w:val="22"/>
          <w:lang w:val="sr-Latn-ME"/>
        </w:rPr>
        <w:t xml:space="preserve">veća od 100 mg/kg/dan </w:t>
      </w:r>
      <w:r w:rsidR="00263B8C" w:rsidRPr="00783B4B">
        <w:rPr>
          <w:sz w:val="22"/>
          <w:szCs w:val="22"/>
          <w:lang w:val="sr-Latn-ME" w:eastAsia="en-US"/>
        </w:rPr>
        <w:t>kada je prim</w:t>
      </w:r>
      <w:r w:rsidR="00A45CA1" w:rsidRPr="00783B4B">
        <w:rPr>
          <w:sz w:val="22"/>
          <w:szCs w:val="22"/>
          <w:lang w:val="sr-Latn-ME" w:eastAsia="en-US"/>
        </w:rPr>
        <w:t>j</w:t>
      </w:r>
      <w:r w:rsidR="00263B8C" w:rsidRPr="00783B4B">
        <w:rPr>
          <w:sz w:val="22"/>
          <w:szCs w:val="22"/>
          <w:lang w:val="sr-Latn-ME" w:eastAsia="en-US"/>
        </w:rPr>
        <w:t>enjivan</w:t>
      </w:r>
      <w:r w:rsidRPr="00783B4B">
        <w:rPr>
          <w:sz w:val="22"/>
          <w:szCs w:val="22"/>
          <w:lang w:val="sr-Latn-ME"/>
        </w:rPr>
        <w:t xml:space="preserve"> </w:t>
      </w:r>
      <w:r w:rsidR="00263B8C" w:rsidRPr="00783B4B">
        <w:rPr>
          <w:sz w:val="22"/>
          <w:szCs w:val="22"/>
          <w:lang w:val="sr-Latn-ME"/>
        </w:rPr>
        <w:t xml:space="preserve">oralno odnosno </w:t>
      </w:r>
      <w:r w:rsidRPr="00783B4B">
        <w:rPr>
          <w:sz w:val="22"/>
          <w:szCs w:val="22"/>
          <w:lang w:val="sr-Latn-ME"/>
        </w:rPr>
        <w:t xml:space="preserve">50 mg/kg/dan </w:t>
      </w:r>
      <w:r w:rsidR="000B05E7" w:rsidRPr="00783B4B">
        <w:rPr>
          <w:sz w:val="22"/>
          <w:szCs w:val="22"/>
          <w:lang w:val="sr-Latn-ME" w:eastAsia="en-US"/>
        </w:rPr>
        <w:t>ukoliko je prim</w:t>
      </w:r>
      <w:r w:rsidR="00A45CA1" w:rsidRPr="00783B4B">
        <w:rPr>
          <w:sz w:val="22"/>
          <w:szCs w:val="22"/>
          <w:lang w:val="sr-Latn-ME" w:eastAsia="en-US"/>
        </w:rPr>
        <w:t>j</w:t>
      </w:r>
      <w:r w:rsidR="000B05E7" w:rsidRPr="00783B4B">
        <w:rPr>
          <w:sz w:val="22"/>
          <w:szCs w:val="22"/>
          <w:lang w:val="sr-Latn-ME" w:eastAsia="en-US"/>
        </w:rPr>
        <w:t>enjivan</w:t>
      </w:r>
      <w:r w:rsidRPr="00783B4B">
        <w:rPr>
          <w:sz w:val="22"/>
          <w:szCs w:val="22"/>
          <w:lang w:val="sr-Latn-ME"/>
        </w:rPr>
        <w:t xml:space="preserve"> </w:t>
      </w:r>
      <w:proofErr w:type="spellStart"/>
      <w:r w:rsidR="000B05E7" w:rsidRPr="00783B4B">
        <w:rPr>
          <w:sz w:val="22"/>
          <w:szCs w:val="22"/>
          <w:lang w:val="sr-Latn-ME"/>
        </w:rPr>
        <w:t>intraperitonealno</w:t>
      </w:r>
      <w:proofErr w:type="spellEnd"/>
      <w:r w:rsidR="000B05E7" w:rsidRPr="00783B4B">
        <w:rPr>
          <w:sz w:val="22"/>
          <w:szCs w:val="22"/>
          <w:lang w:val="sr-Latn-ME"/>
        </w:rPr>
        <w:t xml:space="preserve">. </w:t>
      </w:r>
      <w:r w:rsidR="00AE567C" w:rsidRPr="00783B4B">
        <w:rPr>
          <w:sz w:val="22"/>
          <w:szCs w:val="22"/>
          <w:lang w:val="sr-Latn-ME" w:eastAsia="en-US"/>
        </w:rPr>
        <w:t xml:space="preserve">U jednoj studiji </w:t>
      </w:r>
      <w:r w:rsidRPr="00783B4B">
        <w:rPr>
          <w:sz w:val="22"/>
          <w:szCs w:val="22"/>
          <w:lang w:val="sr-Latn-ME"/>
        </w:rPr>
        <w:t xml:space="preserve">akutne toksičnosti na psima </w:t>
      </w:r>
      <w:proofErr w:type="spellStart"/>
      <w:r w:rsidR="009402DC" w:rsidRPr="00783B4B">
        <w:rPr>
          <w:sz w:val="22"/>
          <w:szCs w:val="22"/>
          <w:lang w:val="sr-Latn-ME" w:eastAsia="en-US"/>
        </w:rPr>
        <w:t>medijana</w:t>
      </w:r>
      <w:proofErr w:type="spellEnd"/>
      <w:r w:rsidR="009402DC" w:rsidRPr="00783B4B">
        <w:rPr>
          <w:sz w:val="22"/>
          <w:szCs w:val="22"/>
          <w:lang w:val="sr-Latn-ME" w:eastAsia="en-US"/>
        </w:rPr>
        <w:t xml:space="preserve"> </w:t>
      </w:r>
      <w:proofErr w:type="spellStart"/>
      <w:r w:rsidR="009402DC" w:rsidRPr="00783B4B">
        <w:rPr>
          <w:sz w:val="22"/>
          <w:szCs w:val="22"/>
          <w:lang w:val="sr-Latn-ME" w:eastAsia="en-US"/>
        </w:rPr>
        <w:t>letalne</w:t>
      </w:r>
      <w:proofErr w:type="spellEnd"/>
      <w:r w:rsidR="009402DC" w:rsidRPr="00783B4B">
        <w:rPr>
          <w:sz w:val="22"/>
          <w:szCs w:val="22"/>
          <w:lang w:val="sr-Latn-ME" w:eastAsia="en-US"/>
        </w:rPr>
        <w:t xml:space="preserve"> doze kod oralne prim</w:t>
      </w:r>
      <w:r w:rsidR="00A45CA1" w:rsidRPr="00783B4B">
        <w:rPr>
          <w:sz w:val="22"/>
          <w:szCs w:val="22"/>
          <w:lang w:val="sr-Latn-ME" w:eastAsia="en-US"/>
        </w:rPr>
        <w:t>j</w:t>
      </w:r>
      <w:r w:rsidR="009402DC" w:rsidRPr="00783B4B">
        <w:rPr>
          <w:sz w:val="22"/>
          <w:szCs w:val="22"/>
          <w:lang w:val="sr-Latn-ME" w:eastAsia="en-US"/>
        </w:rPr>
        <w:t>ene</w:t>
      </w:r>
      <w:r w:rsidR="009402DC" w:rsidRPr="00783B4B">
        <w:rPr>
          <w:sz w:val="22"/>
          <w:szCs w:val="22"/>
          <w:lang w:val="sr-Latn-ME"/>
        </w:rPr>
        <w:t xml:space="preserve">, </w:t>
      </w:r>
      <w:r w:rsidRPr="00783B4B">
        <w:rPr>
          <w:sz w:val="22"/>
          <w:szCs w:val="22"/>
          <w:lang w:val="sr-Latn-ME"/>
        </w:rPr>
        <w:t xml:space="preserve">bila </w:t>
      </w:r>
      <w:r w:rsidR="009402DC" w:rsidRPr="00783B4B">
        <w:rPr>
          <w:sz w:val="22"/>
          <w:szCs w:val="22"/>
          <w:lang w:val="sr-Latn-ME"/>
        </w:rPr>
        <w:t xml:space="preserve">je </w:t>
      </w:r>
      <w:r w:rsidRPr="00783B4B">
        <w:rPr>
          <w:sz w:val="22"/>
          <w:szCs w:val="22"/>
          <w:lang w:val="sr-Latn-ME"/>
        </w:rPr>
        <w:t xml:space="preserve">veća od 45 mg/kg/dan. </w:t>
      </w:r>
    </w:p>
    <w:p w14:paraId="08FF4C89" w14:textId="77777777" w:rsidR="002F3156" w:rsidRPr="00783B4B" w:rsidRDefault="002F3156" w:rsidP="00783B4B">
      <w:pPr>
        <w:pStyle w:val="NormalWeb"/>
        <w:spacing w:before="0" w:beforeAutospacing="0" w:after="0" w:afterAutospacing="0"/>
        <w:rPr>
          <w:bCs/>
          <w:sz w:val="22"/>
          <w:szCs w:val="22"/>
          <w:lang w:val="sr-Latn-ME"/>
        </w:rPr>
      </w:pPr>
    </w:p>
    <w:p w14:paraId="4527D586" w14:textId="6110E144" w:rsidR="002F3156" w:rsidRPr="00783B4B" w:rsidRDefault="002F3156" w:rsidP="00783B4B">
      <w:pPr>
        <w:pStyle w:val="NormalWeb"/>
        <w:spacing w:before="0" w:beforeAutospacing="0" w:after="0" w:afterAutospacing="0"/>
        <w:jc w:val="both"/>
        <w:rPr>
          <w:b/>
          <w:iCs/>
          <w:sz w:val="22"/>
          <w:szCs w:val="22"/>
          <w:u w:val="single"/>
          <w:lang w:val="sr-Latn-ME"/>
        </w:rPr>
      </w:pPr>
      <w:r w:rsidRPr="00783B4B">
        <w:rPr>
          <w:b/>
          <w:iCs/>
          <w:sz w:val="22"/>
          <w:szCs w:val="22"/>
          <w:u w:val="single"/>
          <w:lang w:val="sr-Latn-ME"/>
        </w:rPr>
        <w:t>Hronična toksičnost</w:t>
      </w:r>
    </w:p>
    <w:p w14:paraId="5F9EC7B1" w14:textId="77777777" w:rsidR="00A5468E" w:rsidRPr="00783B4B" w:rsidRDefault="00A5468E" w:rsidP="00783B4B">
      <w:pPr>
        <w:pStyle w:val="NormalWeb"/>
        <w:spacing w:before="0" w:beforeAutospacing="0" w:after="0" w:afterAutospacing="0"/>
        <w:jc w:val="both"/>
        <w:rPr>
          <w:b/>
          <w:iCs/>
          <w:sz w:val="22"/>
          <w:szCs w:val="22"/>
          <w:u w:val="single"/>
          <w:lang w:val="sr-Latn-ME"/>
        </w:rPr>
      </w:pPr>
    </w:p>
    <w:p w14:paraId="24374089" w14:textId="50818E48" w:rsidR="002F3156" w:rsidRPr="00783B4B" w:rsidRDefault="002F3156" w:rsidP="00783B4B">
      <w:pPr>
        <w:pStyle w:val="NormalWeb"/>
        <w:spacing w:before="0" w:beforeAutospacing="0" w:after="0" w:afterAutospacing="0"/>
        <w:jc w:val="both"/>
        <w:rPr>
          <w:sz w:val="22"/>
          <w:szCs w:val="22"/>
          <w:lang w:val="sr-Latn-ME"/>
        </w:rPr>
      </w:pPr>
      <w:r w:rsidRPr="00783B4B">
        <w:rPr>
          <w:sz w:val="22"/>
          <w:szCs w:val="22"/>
          <w:lang w:val="sr-Latn-ME"/>
        </w:rPr>
        <w:t xml:space="preserve">U studijama na životinjama </w:t>
      </w:r>
      <w:r w:rsidR="00B52084" w:rsidRPr="00783B4B">
        <w:rPr>
          <w:sz w:val="22"/>
          <w:szCs w:val="22"/>
          <w:lang w:val="sr-Latn-ME"/>
        </w:rPr>
        <w:t xml:space="preserve">neželjeni efekti </w:t>
      </w:r>
      <w:r w:rsidRPr="00783B4B">
        <w:rPr>
          <w:sz w:val="22"/>
          <w:szCs w:val="22"/>
          <w:lang w:val="sr-Latn-ME"/>
        </w:rPr>
        <w:t xml:space="preserve">su </w:t>
      </w:r>
      <w:proofErr w:type="spellStart"/>
      <w:r w:rsidR="00DB5FE9" w:rsidRPr="00783B4B">
        <w:rPr>
          <w:sz w:val="22"/>
          <w:szCs w:val="22"/>
          <w:lang w:val="sr-Latn-ME"/>
        </w:rPr>
        <w:t>vidjeni</w:t>
      </w:r>
      <w:proofErr w:type="spellEnd"/>
      <w:r w:rsidR="00DB5FE9" w:rsidRPr="00783B4B">
        <w:rPr>
          <w:sz w:val="22"/>
          <w:szCs w:val="22"/>
          <w:lang w:val="sr-Latn-ME"/>
        </w:rPr>
        <w:t xml:space="preserve"> samo </w:t>
      </w:r>
      <w:r w:rsidRPr="00783B4B">
        <w:rPr>
          <w:sz w:val="22"/>
          <w:szCs w:val="22"/>
          <w:lang w:val="sr-Latn-ME"/>
        </w:rPr>
        <w:t xml:space="preserve">pri </w:t>
      </w:r>
      <w:r w:rsidR="00DB5FE9" w:rsidRPr="00783B4B">
        <w:rPr>
          <w:sz w:val="22"/>
          <w:szCs w:val="22"/>
          <w:lang w:val="sr-Latn-ME"/>
        </w:rPr>
        <w:t>prim</w:t>
      </w:r>
      <w:r w:rsidR="00A45CA1" w:rsidRPr="00783B4B">
        <w:rPr>
          <w:sz w:val="22"/>
          <w:szCs w:val="22"/>
          <w:lang w:val="sr-Latn-ME"/>
        </w:rPr>
        <w:t>j</w:t>
      </w:r>
      <w:r w:rsidR="00DB5FE9" w:rsidRPr="00783B4B">
        <w:rPr>
          <w:sz w:val="22"/>
          <w:szCs w:val="22"/>
          <w:lang w:val="sr-Latn-ME"/>
        </w:rPr>
        <w:t>eni visokih doza  l</w:t>
      </w:r>
      <w:r w:rsidR="00A45CA1" w:rsidRPr="00783B4B">
        <w:rPr>
          <w:sz w:val="22"/>
          <w:szCs w:val="22"/>
          <w:lang w:val="sr-Latn-ME"/>
        </w:rPr>
        <w:t>ij</w:t>
      </w:r>
      <w:r w:rsidR="00DB5FE9" w:rsidRPr="00783B4B">
        <w:rPr>
          <w:sz w:val="22"/>
          <w:szCs w:val="22"/>
          <w:lang w:val="sr-Latn-ME"/>
        </w:rPr>
        <w:t>eka</w:t>
      </w:r>
      <w:r w:rsidRPr="00783B4B">
        <w:rPr>
          <w:sz w:val="22"/>
          <w:szCs w:val="22"/>
          <w:lang w:val="sr-Latn-ME"/>
        </w:rPr>
        <w:t xml:space="preserve">. </w:t>
      </w:r>
      <w:r w:rsidR="005C1751" w:rsidRPr="00783B4B">
        <w:rPr>
          <w:sz w:val="22"/>
          <w:szCs w:val="22"/>
          <w:lang w:val="sr-Latn-ME" w:eastAsia="en-US"/>
        </w:rPr>
        <w:t>Ispitivanja su sprovedena na</w:t>
      </w:r>
      <w:r w:rsidR="005C1751" w:rsidRPr="00783B4B" w:rsidDel="005C1751">
        <w:rPr>
          <w:bCs/>
          <w:sz w:val="22"/>
          <w:szCs w:val="22"/>
          <w:lang w:val="sr-Latn-ME"/>
        </w:rPr>
        <w:t xml:space="preserve"> </w:t>
      </w:r>
      <w:r w:rsidRPr="00783B4B">
        <w:rPr>
          <w:sz w:val="22"/>
          <w:szCs w:val="22"/>
          <w:lang w:val="sr-Latn-ME"/>
        </w:rPr>
        <w:t xml:space="preserve">pacovima i psima. U ispitivanjima toksičnosti nijesu </w:t>
      </w:r>
      <w:r w:rsidR="006777AA" w:rsidRPr="00783B4B">
        <w:rPr>
          <w:sz w:val="22"/>
          <w:szCs w:val="22"/>
          <w:lang w:val="sr-Latn-ME" w:eastAsia="en-US"/>
        </w:rPr>
        <w:t>ustanovljene doze bez efekta</w:t>
      </w:r>
      <w:r w:rsidRPr="00783B4B">
        <w:rPr>
          <w:sz w:val="22"/>
          <w:szCs w:val="22"/>
          <w:lang w:val="sr-Latn-ME"/>
        </w:rPr>
        <w:t xml:space="preserve">, ali efekti uočeni pri niskim (1 mg/kg/dan) i </w:t>
      </w:r>
      <w:r w:rsidR="006777AA" w:rsidRPr="00783B4B">
        <w:rPr>
          <w:sz w:val="22"/>
          <w:szCs w:val="22"/>
          <w:lang w:val="sr-Latn-ME"/>
        </w:rPr>
        <w:t>um</w:t>
      </w:r>
      <w:r w:rsidR="00A45CA1" w:rsidRPr="00783B4B">
        <w:rPr>
          <w:sz w:val="22"/>
          <w:szCs w:val="22"/>
          <w:lang w:val="sr-Latn-ME"/>
        </w:rPr>
        <w:t>j</w:t>
      </w:r>
      <w:r w:rsidR="006777AA" w:rsidRPr="00783B4B">
        <w:rPr>
          <w:sz w:val="22"/>
          <w:szCs w:val="22"/>
          <w:lang w:val="sr-Latn-ME"/>
        </w:rPr>
        <w:t>erenim</w:t>
      </w:r>
      <w:r w:rsidRPr="00783B4B">
        <w:rPr>
          <w:sz w:val="22"/>
          <w:szCs w:val="22"/>
          <w:lang w:val="sr-Latn-ME"/>
        </w:rPr>
        <w:t xml:space="preserve"> (3 mg/kg/dan</w:t>
      </w:r>
      <w:r w:rsidR="00796D79" w:rsidRPr="00783B4B">
        <w:rPr>
          <w:sz w:val="22"/>
          <w:szCs w:val="22"/>
          <w:lang w:val="sr-Latn-ME"/>
        </w:rPr>
        <w:t xml:space="preserve"> kod pasa</w:t>
      </w:r>
      <w:r w:rsidRPr="00783B4B">
        <w:rPr>
          <w:sz w:val="22"/>
          <w:szCs w:val="22"/>
          <w:lang w:val="sr-Latn-ME"/>
        </w:rPr>
        <w:t>; 5 mg/kg/dan</w:t>
      </w:r>
      <w:r w:rsidR="00796D79" w:rsidRPr="00783B4B">
        <w:rPr>
          <w:sz w:val="22"/>
          <w:szCs w:val="22"/>
          <w:lang w:val="sr-Latn-ME"/>
        </w:rPr>
        <w:t xml:space="preserve"> kod pacova</w:t>
      </w:r>
      <w:r w:rsidRPr="00783B4B">
        <w:rPr>
          <w:sz w:val="22"/>
          <w:szCs w:val="22"/>
          <w:lang w:val="sr-Latn-ME"/>
        </w:rPr>
        <w:t xml:space="preserve">) </w:t>
      </w:r>
      <w:r w:rsidR="00D76AA3" w:rsidRPr="00783B4B">
        <w:rPr>
          <w:sz w:val="22"/>
          <w:szCs w:val="22"/>
          <w:lang w:val="sr-Latn-ME"/>
        </w:rPr>
        <w:t>dozama odnosili su se</w:t>
      </w:r>
      <w:r w:rsidRPr="00783B4B">
        <w:rPr>
          <w:sz w:val="22"/>
          <w:szCs w:val="22"/>
          <w:lang w:val="sr-Latn-ME"/>
        </w:rPr>
        <w:t xml:space="preserve"> ili </w:t>
      </w:r>
      <w:r w:rsidR="00D76AA3" w:rsidRPr="00783B4B">
        <w:rPr>
          <w:sz w:val="22"/>
          <w:szCs w:val="22"/>
          <w:lang w:val="sr-Latn-ME"/>
        </w:rPr>
        <w:t xml:space="preserve">na </w:t>
      </w:r>
      <w:r w:rsidR="00247C90" w:rsidRPr="00783B4B">
        <w:rPr>
          <w:sz w:val="22"/>
          <w:szCs w:val="22"/>
          <w:lang w:val="sr-Latn-ME"/>
        </w:rPr>
        <w:t xml:space="preserve">farmakološka dejstva </w:t>
      </w:r>
      <w:proofErr w:type="spellStart"/>
      <w:r w:rsidR="00247C90" w:rsidRPr="00783B4B">
        <w:rPr>
          <w:sz w:val="22"/>
          <w:szCs w:val="22"/>
          <w:lang w:val="sr-Latn-ME"/>
        </w:rPr>
        <w:t>anastrozola</w:t>
      </w:r>
      <w:proofErr w:type="spellEnd"/>
      <w:r w:rsidRPr="00783B4B">
        <w:rPr>
          <w:sz w:val="22"/>
          <w:szCs w:val="22"/>
          <w:lang w:val="sr-Latn-ME"/>
        </w:rPr>
        <w:t xml:space="preserve"> ili </w:t>
      </w:r>
      <w:r w:rsidR="001073F4" w:rsidRPr="00783B4B">
        <w:rPr>
          <w:sz w:val="22"/>
          <w:szCs w:val="22"/>
          <w:lang w:val="sr-Latn-ME" w:eastAsia="en-US"/>
        </w:rPr>
        <w:t>na njegovo d</w:t>
      </w:r>
      <w:r w:rsidR="00A45CA1" w:rsidRPr="00783B4B">
        <w:rPr>
          <w:sz w:val="22"/>
          <w:szCs w:val="22"/>
          <w:lang w:val="sr-Latn-ME" w:eastAsia="en-US"/>
        </w:rPr>
        <w:t>j</w:t>
      </w:r>
      <w:r w:rsidR="001073F4" w:rsidRPr="00783B4B">
        <w:rPr>
          <w:sz w:val="22"/>
          <w:szCs w:val="22"/>
          <w:lang w:val="sr-Latn-ME" w:eastAsia="en-US"/>
        </w:rPr>
        <w:t>elovanje na enzime</w:t>
      </w:r>
      <w:r w:rsidRPr="00783B4B">
        <w:rPr>
          <w:sz w:val="22"/>
          <w:szCs w:val="22"/>
          <w:lang w:val="sr-Latn-ME"/>
        </w:rPr>
        <w:t xml:space="preserve"> i nijesu bili praćeni značajnim toksičnim i degenerativnim promjenama. </w:t>
      </w:r>
    </w:p>
    <w:p w14:paraId="76B38CDA" w14:textId="77777777" w:rsidR="002F3156" w:rsidRPr="00783B4B" w:rsidRDefault="002F3156" w:rsidP="00783B4B">
      <w:pPr>
        <w:pStyle w:val="NormalWeb"/>
        <w:spacing w:before="0" w:beforeAutospacing="0" w:after="0" w:afterAutospacing="0"/>
        <w:rPr>
          <w:sz w:val="22"/>
          <w:szCs w:val="22"/>
          <w:lang w:val="sr-Latn-ME"/>
        </w:rPr>
      </w:pPr>
    </w:p>
    <w:p w14:paraId="612F732A" w14:textId="47A58B6B" w:rsidR="002F3156" w:rsidRPr="00783B4B" w:rsidRDefault="002F3156" w:rsidP="00783B4B">
      <w:pPr>
        <w:pStyle w:val="NormalWeb"/>
        <w:spacing w:before="0" w:beforeAutospacing="0" w:after="0" w:afterAutospacing="0"/>
        <w:jc w:val="both"/>
        <w:rPr>
          <w:b/>
          <w:iCs/>
          <w:sz w:val="22"/>
          <w:szCs w:val="22"/>
          <w:u w:val="single"/>
          <w:lang w:val="sr-Latn-ME"/>
        </w:rPr>
      </w:pPr>
      <w:proofErr w:type="spellStart"/>
      <w:r w:rsidRPr="00783B4B">
        <w:rPr>
          <w:b/>
          <w:iCs/>
          <w:sz w:val="22"/>
          <w:szCs w:val="22"/>
          <w:u w:val="single"/>
          <w:lang w:val="sr-Latn-ME"/>
        </w:rPr>
        <w:t>Mutagenost</w:t>
      </w:r>
      <w:proofErr w:type="spellEnd"/>
    </w:p>
    <w:p w14:paraId="34E2714C" w14:textId="77777777" w:rsidR="00A5468E" w:rsidRPr="00783B4B" w:rsidRDefault="00A5468E" w:rsidP="00783B4B">
      <w:pPr>
        <w:pStyle w:val="NormalWeb"/>
        <w:spacing w:before="0" w:beforeAutospacing="0" w:after="0" w:afterAutospacing="0"/>
        <w:jc w:val="both"/>
        <w:rPr>
          <w:b/>
          <w:iCs/>
          <w:sz w:val="22"/>
          <w:szCs w:val="22"/>
          <w:u w:val="single"/>
          <w:lang w:val="sr-Latn-ME"/>
        </w:rPr>
      </w:pPr>
    </w:p>
    <w:p w14:paraId="746208B7" w14:textId="646ED2C8" w:rsidR="002F3156" w:rsidRPr="00783B4B" w:rsidRDefault="001E37C2" w:rsidP="00783B4B">
      <w:pPr>
        <w:pStyle w:val="NormalWeb"/>
        <w:spacing w:before="0" w:beforeAutospacing="0" w:after="0" w:afterAutospacing="0"/>
        <w:jc w:val="both"/>
        <w:rPr>
          <w:sz w:val="22"/>
          <w:szCs w:val="22"/>
          <w:lang w:val="sr-Latn-ME"/>
        </w:rPr>
      </w:pPr>
      <w:r w:rsidRPr="00783B4B">
        <w:rPr>
          <w:sz w:val="22"/>
          <w:szCs w:val="22"/>
          <w:lang w:val="sr-Latn-ME"/>
        </w:rPr>
        <w:t xml:space="preserve">Genetička </w:t>
      </w:r>
      <w:proofErr w:type="spellStart"/>
      <w:r w:rsidR="002F3156" w:rsidRPr="00783B4B">
        <w:rPr>
          <w:sz w:val="22"/>
          <w:szCs w:val="22"/>
          <w:lang w:val="sr-Latn-ME"/>
        </w:rPr>
        <w:t>toksikološka</w:t>
      </w:r>
      <w:proofErr w:type="spellEnd"/>
      <w:r w:rsidR="002F3156" w:rsidRPr="00783B4B">
        <w:rPr>
          <w:sz w:val="22"/>
          <w:szCs w:val="22"/>
          <w:lang w:val="sr-Latn-ME"/>
        </w:rPr>
        <w:t xml:space="preserve"> ispitivanja </w:t>
      </w:r>
      <w:r w:rsidRPr="00783B4B">
        <w:rPr>
          <w:sz w:val="22"/>
          <w:szCs w:val="22"/>
          <w:lang w:val="sr-Latn-ME"/>
        </w:rPr>
        <w:t xml:space="preserve">pokazuju da </w:t>
      </w:r>
      <w:proofErr w:type="spellStart"/>
      <w:r w:rsidR="002F3156" w:rsidRPr="00783B4B">
        <w:rPr>
          <w:sz w:val="22"/>
          <w:szCs w:val="22"/>
          <w:lang w:val="sr-Latn-ME"/>
        </w:rPr>
        <w:t>anastrozol</w:t>
      </w:r>
      <w:proofErr w:type="spellEnd"/>
      <w:r w:rsidR="002F3156" w:rsidRPr="00783B4B">
        <w:rPr>
          <w:sz w:val="22"/>
          <w:szCs w:val="22"/>
          <w:lang w:val="sr-Latn-ME"/>
        </w:rPr>
        <w:t xml:space="preserve"> nije </w:t>
      </w:r>
      <w:proofErr w:type="spellStart"/>
      <w:r w:rsidR="002F3156" w:rsidRPr="00783B4B">
        <w:rPr>
          <w:sz w:val="22"/>
          <w:szCs w:val="22"/>
          <w:lang w:val="sr-Latn-ME"/>
        </w:rPr>
        <w:t>mutagen</w:t>
      </w:r>
      <w:proofErr w:type="spellEnd"/>
      <w:r w:rsidR="002F3156" w:rsidRPr="00783B4B">
        <w:rPr>
          <w:sz w:val="22"/>
          <w:szCs w:val="22"/>
          <w:lang w:val="sr-Latn-ME"/>
        </w:rPr>
        <w:t xml:space="preserve"> niti </w:t>
      </w:r>
      <w:proofErr w:type="spellStart"/>
      <w:r w:rsidR="002F3156" w:rsidRPr="00783B4B">
        <w:rPr>
          <w:sz w:val="22"/>
          <w:szCs w:val="22"/>
          <w:lang w:val="sr-Latn-ME"/>
        </w:rPr>
        <w:t>klastogen</w:t>
      </w:r>
      <w:proofErr w:type="spellEnd"/>
      <w:r w:rsidR="002F3156" w:rsidRPr="00783B4B">
        <w:rPr>
          <w:sz w:val="22"/>
          <w:szCs w:val="22"/>
          <w:lang w:val="sr-Latn-ME"/>
        </w:rPr>
        <w:t xml:space="preserve">. </w:t>
      </w:r>
    </w:p>
    <w:p w14:paraId="6FF55B59" w14:textId="77777777" w:rsidR="002F3156" w:rsidRPr="00783B4B" w:rsidRDefault="002F3156" w:rsidP="00783B4B">
      <w:pPr>
        <w:pStyle w:val="NormalWeb"/>
        <w:spacing w:before="0" w:beforeAutospacing="0" w:after="0" w:afterAutospacing="0"/>
        <w:rPr>
          <w:sz w:val="22"/>
          <w:szCs w:val="22"/>
          <w:lang w:val="sr-Latn-ME"/>
        </w:rPr>
      </w:pPr>
    </w:p>
    <w:p w14:paraId="32BE63BD" w14:textId="01F709C1" w:rsidR="002F3156" w:rsidRPr="00783B4B" w:rsidRDefault="002F3156" w:rsidP="00783B4B">
      <w:pPr>
        <w:pStyle w:val="NormalWeb"/>
        <w:spacing w:before="0" w:beforeAutospacing="0" w:after="0" w:afterAutospacing="0"/>
        <w:jc w:val="both"/>
        <w:rPr>
          <w:b/>
          <w:iCs/>
          <w:sz w:val="22"/>
          <w:szCs w:val="22"/>
          <w:u w:val="single"/>
          <w:lang w:val="sr-Latn-ME"/>
        </w:rPr>
      </w:pPr>
      <w:r w:rsidRPr="00783B4B">
        <w:rPr>
          <w:b/>
          <w:iCs/>
          <w:sz w:val="22"/>
          <w:szCs w:val="22"/>
          <w:u w:val="single"/>
          <w:lang w:val="sr-Latn-ME"/>
        </w:rPr>
        <w:t>Reproduktivna toksičnost</w:t>
      </w:r>
    </w:p>
    <w:p w14:paraId="7D3DF2AC" w14:textId="77777777" w:rsidR="00A5468E" w:rsidRPr="00783B4B" w:rsidRDefault="00A5468E" w:rsidP="00783B4B">
      <w:pPr>
        <w:pStyle w:val="NormalWeb"/>
        <w:spacing w:before="0" w:beforeAutospacing="0" w:after="0" w:afterAutospacing="0"/>
        <w:jc w:val="both"/>
        <w:rPr>
          <w:b/>
          <w:iCs/>
          <w:sz w:val="22"/>
          <w:szCs w:val="22"/>
          <w:u w:val="single"/>
          <w:lang w:val="sr-Latn-ME"/>
        </w:rPr>
      </w:pPr>
    </w:p>
    <w:p w14:paraId="4D050D9F" w14:textId="32B859D7" w:rsidR="002F3156" w:rsidRPr="00783B4B" w:rsidRDefault="002F3156" w:rsidP="00783B4B">
      <w:pPr>
        <w:autoSpaceDE w:val="0"/>
        <w:autoSpaceDN w:val="0"/>
        <w:adjustRightInd w:val="0"/>
        <w:jc w:val="both"/>
        <w:rPr>
          <w:sz w:val="22"/>
          <w:szCs w:val="22"/>
          <w:lang w:val="sr-Latn-ME"/>
        </w:rPr>
      </w:pPr>
      <w:r w:rsidRPr="00783B4B">
        <w:rPr>
          <w:sz w:val="22"/>
          <w:szCs w:val="22"/>
          <w:lang w:val="sr-Latn-ME"/>
        </w:rPr>
        <w:t xml:space="preserve">U studiji plodnosti </w:t>
      </w:r>
      <w:r w:rsidR="00D030A3" w:rsidRPr="00783B4B">
        <w:rPr>
          <w:bCs/>
          <w:sz w:val="22"/>
          <w:szCs w:val="22"/>
          <w:lang w:val="sr-Latn-ME"/>
        </w:rPr>
        <w:t xml:space="preserve">muškim pacovima su </w:t>
      </w:r>
      <w:proofErr w:type="spellStart"/>
      <w:r w:rsidR="00D030A3" w:rsidRPr="00783B4B">
        <w:rPr>
          <w:bCs/>
          <w:sz w:val="22"/>
          <w:szCs w:val="22"/>
          <w:lang w:val="sr-Latn-ME"/>
        </w:rPr>
        <w:t>peroralno</w:t>
      </w:r>
      <w:proofErr w:type="spellEnd"/>
      <w:r w:rsidR="00D030A3" w:rsidRPr="00783B4B">
        <w:rPr>
          <w:bCs/>
          <w:sz w:val="22"/>
          <w:szCs w:val="22"/>
          <w:lang w:val="sr-Latn-ME"/>
        </w:rPr>
        <w:t xml:space="preserve"> davane doze </w:t>
      </w:r>
      <w:r w:rsidRPr="00783B4B">
        <w:rPr>
          <w:sz w:val="22"/>
          <w:szCs w:val="22"/>
          <w:lang w:val="sr-Latn-ME"/>
        </w:rPr>
        <w:t xml:space="preserve">od 50 ili </w:t>
      </w:r>
      <w:r w:rsidR="00831BFF" w:rsidRPr="00783B4B">
        <w:rPr>
          <w:sz w:val="22"/>
          <w:szCs w:val="22"/>
          <w:lang w:val="sr-Latn-ME"/>
        </w:rPr>
        <w:t xml:space="preserve">od </w:t>
      </w:r>
      <w:r w:rsidRPr="00783B4B">
        <w:rPr>
          <w:sz w:val="22"/>
          <w:szCs w:val="22"/>
          <w:lang w:val="sr-Latn-ME"/>
        </w:rPr>
        <w:t>400 mg/</w:t>
      </w:r>
      <w:r w:rsidR="00831BFF" w:rsidRPr="00783B4B">
        <w:rPr>
          <w:sz w:val="22"/>
          <w:szCs w:val="22"/>
          <w:lang w:val="sr-Latn-ME"/>
        </w:rPr>
        <w:t xml:space="preserve">L </w:t>
      </w:r>
      <w:proofErr w:type="spellStart"/>
      <w:r w:rsidR="00831BFF" w:rsidRPr="00783B4B">
        <w:rPr>
          <w:sz w:val="22"/>
          <w:szCs w:val="22"/>
          <w:lang w:val="sr-Latn-ME"/>
        </w:rPr>
        <w:t>anastrozola</w:t>
      </w:r>
      <w:proofErr w:type="spellEnd"/>
      <w:r w:rsidRPr="00783B4B">
        <w:rPr>
          <w:sz w:val="22"/>
          <w:szCs w:val="22"/>
          <w:lang w:val="sr-Latn-ME"/>
        </w:rPr>
        <w:t xml:space="preserve"> </w:t>
      </w:r>
      <w:proofErr w:type="spellStart"/>
      <w:r w:rsidRPr="00783B4B">
        <w:rPr>
          <w:sz w:val="22"/>
          <w:szCs w:val="22"/>
          <w:lang w:val="sr-Latn-ME"/>
        </w:rPr>
        <w:t>preko</w:t>
      </w:r>
      <w:proofErr w:type="spellEnd"/>
      <w:r w:rsidRPr="00783B4B">
        <w:rPr>
          <w:sz w:val="22"/>
          <w:szCs w:val="22"/>
          <w:lang w:val="sr-Latn-ME"/>
        </w:rPr>
        <w:t xml:space="preserve"> </w:t>
      </w:r>
      <w:r w:rsidR="00831BFF" w:rsidRPr="00783B4B">
        <w:rPr>
          <w:sz w:val="22"/>
          <w:szCs w:val="22"/>
          <w:lang w:val="sr-Latn-ME"/>
        </w:rPr>
        <w:t xml:space="preserve">njihove </w:t>
      </w:r>
      <w:r w:rsidRPr="00783B4B">
        <w:rPr>
          <w:sz w:val="22"/>
          <w:szCs w:val="22"/>
          <w:lang w:val="sr-Latn-ME"/>
        </w:rPr>
        <w:t>vode za piće</w:t>
      </w:r>
      <w:r w:rsidR="00831BFF" w:rsidRPr="00783B4B">
        <w:rPr>
          <w:sz w:val="22"/>
          <w:szCs w:val="22"/>
          <w:lang w:val="sr-Latn-ME"/>
        </w:rPr>
        <w:t xml:space="preserve"> tokom</w:t>
      </w:r>
      <w:r w:rsidRPr="00783B4B">
        <w:rPr>
          <w:sz w:val="22"/>
          <w:szCs w:val="22"/>
          <w:lang w:val="sr-Latn-ME"/>
        </w:rPr>
        <w:t xml:space="preserve"> 10 nedjelja. Izmjerene srednje koncentracije u plazmi </w:t>
      </w:r>
      <w:r w:rsidR="00F65408" w:rsidRPr="00783B4B">
        <w:rPr>
          <w:sz w:val="22"/>
          <w:szCs w:val="22"/>
          <w:lang w:val="sr-Latn-ME"/>
        </w:rPr>
        <w:t xml:space="preserve">su </w:t>
      </w:r>
      <w:r w:rsidRPr="00783B4B">
        <w:rPr>
          <w:sz w:val="22"/>
          <w:szCs w:val="22"/>
          <w:lang w:val="sr-Latn-ME"/>
        </w:rPr>
        <w:t xml:space="preserve">bile 44,4 (± 14,7) </w:t>
      </w:r>
      <w:proofErr w:type="spellStart"/>
      <w:r w:rsidRPr="00783B4B">
        <w:rPr>
          <w:sz w:val="22"/>
          <w:szCs w:val="22"/>
          <w:lang w:val="sr-Latn-ME"/>
        </w:rPr>
        <w:t>n</w:t>
      </w:r>
      <w:r w:rsidR="00F65408" w:rsidRPr="00783B4B">
        <w:rPr>
          <w:sz w:val="22"/>
          <w:szCs w:val="22"/>
          <w:lang w:val="sr-Latn-ME"/>
        </w:rPr>
        <w:t>nanograma</w:t>
      </w:r>
      <w:proofErr w:type="spellEnd"/>
      <w:r w:rsidRPr="00783B4B">
        <w:rPr>
          <w:sz w:val="22"/>
          <w:szCs w:val="22"/>
          <w:lang w:val="sr-Latn-ME"/>
        </w:rPr>
        <w:t>/</w:t>
      </w:r>
      <w:proofErr w:type="spellStart"/>
      <w:r w:rsidR="0061033B" w:rsidRPr="00783B4B">
        <w:rPr>
          <w:sz w:val="22"/>
          <w:szCs w:val="22"/>
          <w:lang w:val="sr-Latn-ME"/>
        </w:rPr>
        <w:t>mL</w:t>
      </w:r>
      <w:proofErr w:type="spellEnd"/>
      <w:r w:rsidR="0061033B" w:rsidRPr="00783B4B">
        <w:rPr>
          <w:sz w:val="22"/>
          <w:szCs w:val="22"/>
          <w:lang w:val="sr-Latn-ME"/>
        </w:rPr>
        <w:t xml:space="preserve"> i</w:t>
      </w:r>
      <w:r w:rsidRPr="00783B4B">
        <w:rPr>
          <w:sz w:val="22"/>
          <w:szCs w:val="22"/>
          <w:lang w:val="sr-Latn-ME"/>
        </w:rPr>
        <w:t xml:space="preserve"> 165 (± 90) </w:t>
      </w:r>
      <w:proofErr w:type="spellStart"/>
      <w:r w:rsidR="0061033B" w:rsidRPr="00783B4B">
        <w:rPr>
          <w:sz w:val="22"/>
          <w:szCs w:val="22"/>
          <w:lang w:val="sr-Latn-ME"/>
        </w:rPr>
        <w:t>nanograma</w:t>
      </w:r>
      <w:proofErr w:type="spellEnd"/>
      <w:r w:rsidRPr="00783B4B">
        <w:rPr>
          <w:sz w:val="22"/>
          <w:szCs w:val="22"/>
          <w:lang w:val="sr-Latn-ME"/>
        </w:rPr>
        <w:t>/</w:t>
      </w:r>
      <w:proofErr w:type="spellStart"/>
      <w:r w:rsidR="0061033B" w:rsidRPr="00783B4B">
        <w:rPr>
          <w:sz w:val="22"/>
          <w:szCs w:val="22"/>
          <w:lang w:val="sr-Latn-ME"/>
        </w:rPr>
        <w:t>mL</w:t>
      </w:r>
      <w:proofErr w:type="spellEnd"/>
      <w:r w:rsidR="00BA03DE" w:rsidRPr="00783B4B">
        <w:rPr>
          <w:sz w:val="22"/>
          <w:szCs w:val="22"/>
          <w:lang w:val="sr-Latn-ME"/>
        </w:rPr>
        <w:t xml:space="preserve">. </w:t>
      </w:r>
      <w:r w:rsidR="00BA03DE" w:rsidRPr="00783B4B">
        <w:rPr>
          <w:bCs/>
          <w:sz w:val="22"/>
          <w:szCs w:val="22"/>
          <w:lang w:val="sr-Latn-ME"/>
        </w:rPr>
        <w:t>Bilo je negativnog uticaja na indekse parenja u ob</w:t>
      </w:r>
      <w:r w:rsidR="00A45CA1" w:rsidRPr="00783B4B">
        <w:rPr>
          <w:bCs/>
          <w:sz w:val="22"/>
          <w:szCs w:val="22"/>
          <w:lang w:val="sr-Latn-ME"/>
        </w:rPr>
        <w:t>j</w:t>
      </w:r>
      <w:r w:rsidR="00BA03DE" w:rsidRPr="00783B4B">
        <w:rPr>
          <w:bCs/>
          <w:sz w:val="22"/>
          <w:szCs w:val="22"/>
          <w:lang w:val="sr-Latn-ME"/>
        </w:rPr>
        <w:t>e grupe, dok je smanjenje plodnosti bilo očigledno samo kod doze</w:t>
      </w:r>
      <w:r w:rsidRPr="00783B4B">
        <w:rPr>
          <w:sz w:val="22"/>
          <w:szCs w:val="22"/>
          <w:lang w:val="sr-Latn-ME"/>
        </w:rPr>
        <w:t xml:space="preserve"> od 400 mg/l. Smanjenje je bilo prolazno</w:t>
      </w:r>
      <w:r w:rsidR="00BA03DE" w:rsidRPr="00783B4B">
        <w:rPr>
          <w:sz w:val="22"/>
          <w:szCs w:val="22"/>
          <w:lang w:val="sr-Latn-ME"/>
        </w:rPr>
        <w:t>g karaktera</w:t>
      </w:r>
      <w:r w:rsidR="005644F9" w:rsidRPr="00783B4B">
        <w:rPr>
          <w:sz w:val="22"/>
          <w:szCs w:val="22"/>
          <w:lang w:val="sr-Latn-ME"/>
        </w:rPr>
        <w:t xml:space="preserve">, </w:t>
      </w:r>
      <w:r w:rsidR="00CC27A6" w:rsidRPr="00783B4B">
        <w:rPr>
          <w:rStyle w:val="Bodytext10pt"/>
          <w:sz w:val="22"/>
          <w:szCs w:val="22"/>
          <w:lang w:val="sr-Latn-ME"/>
        </w:rPr>
        <w:t xml:space="preserve">kako su </w:t>
      </w:r>
      <w:r w:rsidRPr="00783B4B">
        <w:rPr>
          <w:sz w:val="22"/>
          <w:szCs w:val="22"/>
          <w:lang w:val="sr-Latn-ME"/>
        </w:rPr>
        <w:t xml:space="preserve">svi parametri parenja i plodnosti bili slični </w:t>
      </w:r>
      <w:r w:rsidR="00CC27A6" w:rsidRPr="00783B4B">
        <w:rPr>
          <w:sz w:val="22"/>
          <w:szCs w:val="22"/>
          <w:lang w:val="sr-Latn-ME"/>
        </w:rPr>
        <w:t>vr</w:t>
      </w:r>
      <w:r w:rsidR="00A45CA1" w:rsidRPr="00783B4B">
        <w:rPr>
          <w:sz w:val="22"/>
          <w:szCs w:val="22"/>
          <w:lang w:val="sr-Latn-ME"/>
        </w:rPr>
        <w:t>ij</w:t>
      </w:r>
      <w:r w:rsidR="00CC27A6" w:rsidRPr="00783B4B">
        <w:rPr>
          <w:sz w:val="22"/>
          <w:szCs w:val="22"/>
          <w:lang w:val="sr-Latn-ME"/>
        </w:rPr>
        <w:t xml:space="preserve">ednostima </w:t>
      </w:r>
      <w:r w:rsidRPr="00783B4B">
        <w:rPr>
          <w:sz w:val="22"/>
          <w:szCs w:val="22"/>
          <w:lang w:val="sr-Latn-ME"/>
        </w:rPr>
        <w:t>u kontrolnoj grupi</w:t>
      </w:r>
      <w:r w:rsidR="00CC27A6" w:rsidRPr="00783B4B">
        <w:rPr>
          <w:sz w:val="22"/>
          <w:szCs w:val="22"/>
          <w:lang w:val="sr-Latn-ME"/>
        </w:rPr>
        <w:t xml:space="preserve"> od sl</w:t>
      </w:r>
      <w:r w:rsidR="00A45CA1" w:rsidRPr="00783B4B">
        <w:rPr>
          <w:sz w:val="22"/>
          <w:szCs w:val="22"/>
          <w:lang w:val="sr-Latn-ME"/>
        </w:rPr>
        <w:t>j</w:t>
      </w:r>
      <w:r w:rsidR="00CC27A6" w:rsidRPr="00783B4B">
        <w:rPr>
          <w:sz w:val="22"/>
          <w:szCs w:val="22"/>
          <w:lang w:val="sr-Latn-ME"/>
        </w:rPr>
        <w:t>edećih</w:t>
      </w:r>
      <w:r w:rsidRPr="00783B4B">
        <w:rPr>
          <w:sz w:val="22"/>
          <w:szCs w:val="22"/>
          <w:lang w:val="sr-Latn-ME"/>
        </w:rPr>
        <w:t xml:space="preserve"> 9 nedjelja bez terapije.</w:t>
      </w:r>
    </w:p>
    <w:p w14:paraId="55E85CEF" w14:textId="77777777" w:rsidR="002F3156" w:rsidRPr="00783B4B" w:rsidRDefault="002F3156" w:rsidP="00783B4B">
      <w:pPr>
        <w:autoSpaceDE w:val="0"/>
        <w:autoSpaceDN w:val="0"/>
        <w:adjustRightInd w:val="0"/>
        <w:rPr>
          <w:sz w:val="22"/>
          <w:szCs w:val="22"/>
          <w:lang w:val="sr-Latn-ME"/>
        </w:rPr>
      </w:pPr>
    </w:p>
    <w:p w14:paraId="6E190937" w14:textId="2D3859FE" w:rsidR="009E1115" w:rsidRPr="00783B4B" w:rsidRDefault="003A0687" w:rsidP="00783B4B">
      <w:pPr>
        <w:jc w:val="both"/>
        <w:rPr>
          <w:sz w:val="22"/>
          <w:szCs w:val="22"/>
          <w:lang w:val="sr-Latn-ME"/>
        </w:rPr>
      </w:pPr>
      <w:r w:rsidRPr="00783B4B">
        <w:rPr>
          <w:sz w:val="22"/>
          <w:szCs w:val="22"/>
          <w:lang w:val="sr-Latn-ME"/>
        </w:rPr>
        <w:t xml:space="preserve">Pri oralnim dozama </w:t>
      </w:r>
      <w:r w:rsidR="002F3156" w:rsidRPr="00783B4B">
        <w:rPr>
          <w:sz w:val="22"/>
          <w:szCs w:val="22"/>
          <w:lang w:val="sr-Latn-ME"/>
        </w:rPr>
        <w:t xml:space="preserve">od 1 mg/kg/dan </w:t>
      </w:r>
      <w:proofErr w:type="spellStart"/>
      <w:r w:rsidR="00A8584B" w:rsidRPr="00783B4B">
        <w:rPr>
          <w:sz w:val="22"/>
          <w:szCs w:val="22"/>
          <w:lang w:val="sr-Latn-ME"/>
        </w:rPr>
        <w:t>anastrozola</w:t>
      </w:r>
      <w:proofErr w:type="spellEnd"/>
      <w:r w:rsidR="00A8584B" w:rsidRPr="00783B4B">
        <w:rPr>
          <w:sz w:val="22"/>
          <w:szCs w:val="22"/>
          <w:lang w:val="sr-Latn-ME"/>
        </w:rPr>
        <w:t xml:space="preserve"> </w:t>
      </w:r>
      <w:r w:rsidR="002F3156" w:rsidRPr="00783B4B">
        <w:rPr>
          <w:sz w:val="22"/>
          <w:szCs w:val="22"/>
          <w:lang w:val="sr-Latn-ME"/>
        </w:rPr>
        <w:t xml:space="preserve">kod ženki pacova </w:t>
      </w:r>
      <w:r w:rsidR="00F10369" w:rsidRPr="00783B4B">
        <w:rPr>
          <w:sz w:val="22"/>
          <w:szCs w:val="22"/>
          <w:lang w:val="sr-Latn-ME"/>
        </w:rPr>
        <w:t xml:space="preserve">izazvana je visoka </w:t>
      </w:r>
      <w:proofErr w:type="spellStart"/>
      <w:r w:rsidR="00F10369" w:rsidRPr="00783B4B">
        <w:rPr>
          <w:sz w:val="22"/>
          <w:szCs w:val="22"/>
          <w:lang w:val="sr-Latn-ME"/>
        </w:rPr>
        <w:t>incidenca</w:t>
      </w:r>
      <w:proofErr w:type="spellEnd"/>
      <w:r w:rsidR="00F10369" w:rsidRPr="00783B4B">
        <w:rPr>
          <w:sz w:val="22"/>
          <w:szCs w:val="22"/>
          <w:lang w:val="sr-Latn-ME"/>
        </w:rPr>
        <w:t xml:space="preserve"> </w:t>
      </w:r>
      <w:r w:rsidR="002F3156" w:rsidRPr="00783B4B">
        <w:rPr>
          <w:sz w:val="22"/>
          <w:szCs w:val="22"/>
          <w:lang w:val="sr-Latn-ME"/>
        </w:rPr>
        <w:t xml:space="preserve">neplodnosti, </w:t>
      </w:r>
      <w:r w:rsidR="00142AD5" w:rsidRPr="00783B4B">
        <w:rPr>
          <w:sz w:val="22"/>
          <w:szCs w:val="22"/>
          <w:lang w:val="sr-Latn-ME"/>
        </w:rPr>
        <w:t xml:space="preserve">a pri dozama </w:t>
      </w:r>
      <w:r w:rsidR="002F3156" w:rsidRPr="00783B4B">
        <w:rPr>
          <w:sz w:val="22"/>
          <w:szCs w:val="22"/>
          <w:lang w:val="sr-Latn-ME"/>
        </w:rPr>
        <w:t>od 0,02 mg/kg/dan</w:t>
      </w:r>
      <w:r w:rsidR="00F55F6E" w:rsidRPr="00783B4B">
        <w:rPr>
          <w:sz w:val="22"/>
          <w:szCs w:val="22"/>
          <w:lang w:val="sr-Latn-ME"/>
        </w:rPr>
        <w:t xml:space="preserve">, </w:t>
      </w:r>
      <w:r w:rsidR="002F3156" w:rsidRPr="00783B4B">
        <w:rPr>
          <w:sz w:val="22"/>
          <w:szCs w:val="22"/>
          <w:lang w:val="sr-Latn-ME"/>
        </w:rPr>
        <w:t xml:space="preserve"> </w:t>
      </w:r>
      <w:r w:rsidR="00C24260" w:rsidRPr="00783B4B">
        <w:rPr>
          <w:sz w:val="22"/>
          <w:szCs w:val="22"/>
          <w:lang w:val="sr-Latn-ME"/>
        </w:rPr>
        <w:t xml:space="preserve">povećan je broj </w:t>
      </w:r>
      <w:proofErr w:type="spellStart"/>
      <w:r w:rsidR="00C24260" w:rsidRPr="00783B4B">
        <w:rPr>
          <w:sz w:val="22"/>
          <w:szCs w:val="22"/>
          <w:lang w:val="sr-Latn-ME"/>
        </w:rPr>
        <w:t>preimplantacijskih</w:t>
      </w:r>
      <w:proofErr w:type="spellEnd"/>
      <w:r w:rsidR="00C24260" w:rsidRPr="00783B4B">
        <w:rPr>
          <w:sz w:val="22"/>
          <w:szCs w:val="22"/>
          <w:lang w:val="sr-Latn-ME"/>
        </w:rPr>
        <w:t xml:space="preserve"> gubitaka</w:t>
      </w:r>
      <w:r w:rsidR="002F3156" w:rsidRPr="00783B4B">
        <w:rPr>
          <w:sz w:val="22"/>
          <w:szCs w:val="22"/>
          <w:lang w:val="sr-Latn-ME"/>
        </w:rPr>
        <w:t xml:space="preserve">. Ovi efekti </w:t>
      </w:r>
      <w:r w:rsidR="00C24260" w:rsidRPr="00783B4B">
        <w:rPr>
          <w:sz w:val="22"/>
          <w:szCs w:val="22"/>
          <w:lang w:val="sr-Latn-ME"/>
        </w:rPr>
        <w:t xml:space="preserve">su ispoljeni </w:t>
      </w:r>
      <w:r w:rsidR="002F3156" w:rsidRPr="00783B4B">
        <w:rPr>
          <w:sz w:val="22"/>
          <w:szCs w:val="22"/>
          <w:lang w:val="sr-Latn-ME"/>
        </w:rPr>
        <w:t xml:space="preserve">u klinički relevantnim dozama. Efekti </w:t>
      </w:r>
      <w:r w:rsidR="00D9058C" w:rsidRPr="00783B4B">
        <w:rPr>
          <w:sz w:val="22"/>
          <w:szCs w:val="22"/>
          <w:lang w:val="sr-Latn-ME"/>
        </w:rPr>
        <w:t xml:space="preserve">u humanoj populaciji ne mogu da se </w:t>
      </w:r>
      <w:r w:rsidR="002F3156" w:rsidRPr="00783B4B">
        <w:rPr>
          <w:sz w:val="22"/>
          <w:szCs w:val="22"/>
          <w:lang w:val="sr-Latn-ME"/>
        </w:rPr>
        <w:t xml:space="preserve">isključe. Ovi efekti </w:t>
      </w:r>
      <w:r w:rsidR="00D434CF" w:rsidRPr="00783B4B">
        <w:rPr>
          <w:sz w:val="22"/>
          <w:szCs w:val="22"/>
          <w:lang w:val="sr-Latn-ME"/>
        </w:rPr>
        <w:t xml:space="preserve">su se odnosili na </w:t>
      </w:r>
      <w:r w:rsidR="002F3156" w:rsidRPr="00783B4B">
        <w:rPr>
          <w:sz w:val="22"/>
          <w:szCs w:val="22"/>
          <w:lang w:val="sr-Latn-ME"/>
        </w:rPr>
        <w:t>farmakolo</w:t>
      </w:r>
      <w:r w:rsidR="00D434CF" w:rsidRPr="00783B4B">
        <w:rPr>
          <w:sz w:val="22"/>
          <w:szCs w:val="22"/>
          <w:lang w:val="sr-Latn-ME"/>
        </w:rPr>
        <w:t>giju</w:t>
      </w:r>
      <w:r w:rsidR="002F3156" w:rsidRPr="00783B4B">
        <w:rPr>
          <w:sz w:val="22"/>
          <w:szCs w:val="22"/>
          <w:lang w:val="sr-Latn-ME"/>
        </w:rPr>
        <w:t xml:space="preserve"> </w:t>
      </w:r>
      <w:proofErr w:type="spellStart"/>
      <w:r w:rsidR="00D434CF" w:rsidRPr="00783B4B">
        <w:rPr>
          <w:sz w:val="22"/>
          <w:szCs w:val="22"/>
          <w:lang w:val="sr-Latn-ME"/>
        </w:rPr>
        <w:t>anastrozola</w:t>
      </w:r>
      <w:proofErr w:type="spellEnd"/>
      <w:r w:rsidR="00EA6628" w:rsidRPr="00783B4B">
        <w:rPr>
          <w:sz w:val="22"/>
          <w:szCs w:val="22"/>
          <w:lang w:val="sr-Latn-ME"/>
        </w:rPr>
        <w:t>,</w:t>
      </w:r>
      <w:r w:rsidR="009E1115" w:rsidRPr="00783B4B">
        <w:rPr>
          <w:sz w:val="22"/>
          <w:szCs w:val="22"/>
          <w:lang w:val="sr-Latn-ME"/>
        </w:rPr>
        <w:t xml:space="preserve"> a izuzimanjem </w:t>
      </w:r>
      <w:proofErr w:type="spellStart"/>
      <w:r w:rsidR="009E1115" w:rsidRPr="00783B4B">
        <w:rPr>
          <w:sz w:val="22"/>
          <w:szCs w:val="22"/>
          <w:lang w:val="sr-Latn-ME"/>
        </w:rPr>
        <w:t>anastrozola</w:t>
      </w:r>
      <w:proofErr w:type="spellEnd"/>
      <w:r w:rsidR="009E1115" w:rsidRPr="00783B4B">
        <w:rPr>
          <w:sz w:val="22"/>
          <w:szCs w:val="22"/>
          <w:lang w:val="sr-Latn-ME"/>
        </w:rPr>
        <w:t xml:space="preserve"> u periodu od 5 ned</w:t>
      </w:r>
      <w:r w:rsidR="009E150D" w:rsidRPr="00783B4B">
        <w:rPr>
          <w:sz w:val="22"/>
          <w:szCs w:val="22"/>
          <w:lang w:val="sr-Latn-ME"/>
        </w:rPr>
        <w:t>j</w:t>
      </w:r>
      <w:r w:rsidR="009E1115" w:rsidRPr="00783B4B">
        <w:rPr>
          <w:sz w:val="22"/>
          <w:szCs w:val="22"/>
          <w:lang w:val="sr-Latn-ME"/>
        </w:rPr>
        <w:t>elja vraćeno je u potpunosti prvobitno stanje.</w:t>
      </w:r>
    </w:p>
    <w:p w14:paraId="5A7771E4" w14:textId="77777777" w:rsidR="002F3156" w:rsidRPr="00783B4B" w:rsidRDefault="002F3156" w:rsidP="00783B4B">
      <w:pPr>
        <w:autoSpaceDE w:val="0"/>
        <w:autoSpaceDN w:val="0"/>
        <w:adjustRightInd w:val="0"/>
        <w:rPr>
          <w:sz w:val="22"/>
          <w:szCs w:val="22"/>
          <w:lang w:val="sr-Latn-ME"/>
        </w:rPr>
      </w:pPr>
    </w:p>
    <w:p w14:paraId="33592274" w14:textId="736E6850" w:rsidR="002F3156" w:rsidRPr="00783B4B" w:rsidRDefault="002F3156" w:rsidP="00783B4B">
      <w:pPr>
        <w:autoSpaceDE w:val="0"/>
        <w:autoSpaceDN w:val="0"/>
        <w:adjustRightInd w:val="0"/>
        <w:jc w:val="both"/>
        <w:rPr>
          <w:sz w:val="22"/>
          <w:szCs w:val="22"/>
          <w:lang w:val="sr-Latn-ME"/>
        </w:rPr>
      </w:pPr>
      <w:r w:rsidRPr="00783B4B">
        <w:rPr>
          <w:sz w:val="22"/>
          <w:szCs w:val="22"/>
          <w:lang w:val="sr-Latn-ME"/>
        </w:rPr>
        <w:t xml:space="preserve">Oralna primjena </w:t>
      </w:r>
      <w:proofErr w:type="spellStart"/>
      <w:r w:rsidRPr="00783B4B">
        <w:rPr>
          <w:sz w:val="22"/>
          <w:szCs w:val="22"/>
          <w:lang w:val="sr-Latn-ME"/>
        </w:rPr>
        <w:t>anastrozola</w:t>
      </w:r>
      <w:proofErr w:type="spellEnd"/>
      <w:r w:rsidRPr="00783B4B">
        <w:rPr>
          <w:sz w:val="22"/>
          <w:szCs w:val="22"/>
          <w:lang w:val="sr-Latn-ME"/>
        </w:rPr>
        <w:t xml:space="preserve"> kod skotnih ženki pacova</w:t>
      </w:r>
      <w:r w:rsidR="002B0E01" w:rsidRPr="00783B4B">
        <w:rPr>
          <w:sz w:val="22"/>
          <w:szCs w:val="22"/>
          <w:lang w:val="sr-Latn-ME"/>
        </w:rPr>
        <w:t xml:space="preserve"> (1,0 mg/kg/dan)</w:t>
      </w:r>
      <w:r w:rsidRPr="00783B4B">
        <w:rPr>
          <w:sz w:val="22"/>
          <w:szCs w:val="22"/>
          <w:lang w:val="sr-Latn-ME"/>
        </w:rPr>
        <w:t xml:space="preserve"> i </w:t>
      </w:r>
      <w:r w:rsidR="00997232" w:rsidRPr="00783B4B">
        <w:rPr>
          <w:sz w:val="22"/>
          <w:szCs w:val="22"/>
          <w:lang w:val="sr-Latn-ME"/>
        </w:rPr>
        <w:t>kod kunića (</w:t>
      </w:r>
      <w:r w:rsidRPr="00783B4B">
        <w:rPr>
          <w:sz w:val="22"/>
          <w:szCs w:val="22"/>
          <w:lang w:val="sr-Latn-ME"/>
        </w:rPr>
        <w:t>0,2 mg/kg/dan</w:t>
      </w:r>
      <w:r w:rsidR="00997232" w:rsidRPr="00783B4B">
        <w:rPr>
          <w:sz w:val="22"/>
          <w:szCs w:val="22"/>
          <w:lang w:val="sr-Latn-ME"/>
        </w:rPr>
        <w:t>)</w:t>
      </w:r>
      <w:r w:rsidRPr="00783B4B">
        <w:rPr>
          <w:sz w:val="22"/>
          <w:szCs w:val="22"/>
          <w:lang w:val="sr-Latn-ME"/>
        </w:rPr>
        <w:t xml:space="preserve">, </w:t>
      </w:r>
      <w:r w:rsidR="00C63173" w:rsidRPr="00783B4B">
        <w:rPr>
          <w:sz w:val="22"/>
          <w:szCs w:val="22"/>
          <w:lang w:val="sr-Latn-ME"/>
        </w:rPr>
        <w:t>nije dovela do</w:t>
      </w:r>
      <w:r w:rsidR="00C63173" w:rsidRPr="00783B4B" w:rsidDel="00C63173">
        <w:rPr>
          <w:sz w:val="22"/>
          <w:szCs w:val="22"/>
          <w:lang w:val="sr-Latn-ME"/>
        </w:rPr>
        <w:t xml:space="preserve"> </w:t>
      </w:r>
      <w:proofErr w:type="spellStart"/>
      <w:r w:rsidRPr="00783B4B">
        <w:rPr>
          <w:sz w:val="22"/>
          <w:szCs w:val="22"/>
          <w:lang w:val="sr-Latn-ME"/>
        </w:rPr>
        <w:t>teratogen</w:t>
      </w:r>
      <w:r w:rsidR="00C63173" w:rsidRPr="00783B4B">
        <w:rPr>
          <w:sz w:val="22"/>
          <w:szCs w:val="22"/>
          <w:lang w:val="sr-Latn-ME"/>
        </w:rPr>
        <w:t>ih</w:t>
      </w:r>
      <w:proofErr w:type="spellEnd"/>
      <w:r w:rsidRPr="00783B4B">
        <w:rPr>
          <w:sz w:val="22"/>
          <w:szCs w:val="22"/>
          <w:lang w:val="sr-Latn-ME"/>
        </w:rPr>
        <w:t xml:space="preserve"> efek</w:t>
      </w:r>
      <w:r w:rsidR="00C63173" w:rsidRPr="00783B4B">
        <w:rPr>
          <w:sz w:val="22"/>
          <w:szCs w:val="22"/>
          <w:lang w:val="sr-Latn-ME"/>
        </w:rPr>
        <w:t>a</w:t>
      </w:r>
      <w:r w:rsidRPr="00783B4B">
        <w:rPr>
          <w:sz w:val="22"/>
          <w:szCs w:val="22"/>
          <w:lang w:val="sr-Latn-ME"/>
        </w:rPr>
        <w:t>t</w:t>
      </w:r>
      <w:r w:rsidR="00C63173" w:rsidRPr="00783B4B">
        <w:rPr>
          <w:sz w:val="22"/>
          <w:szCs w:val="22"/>
          <w:lang w:val="sr-Latn-ME"/>
        </w:rPr>
        <w:t>a</w:t>
      </w:r>
      <w:r w:rsidRPr="00783B4B">
        <w:rPr>
          <w:sz w:val="22"/>
          <w:szCs w:val="22"/>
          <w:lang w:val="sr-Latn-ME"/>
        </w:rPr>
        <w:t xml:space="preserve">. </w:t>
      </w:r>
      <w:r w:rsidR="00FF7A42" w:rsidRPr="00783B4B">
        <w:rPr>
          <w:sz w:val="22"/>
          <w:szCs w:val="22"/>
          <w:lang w:val="sr-Latn-ME"/>
        </w:rPr>
        <w:t>Pojave poput</w:t>
      </w:r>
      <w:r w:rsidR="00FF7A42" w:rsidRPr="00783B4B" w:rsidDel="00FF7A42">
        <w:rPr>
          <w:sz w:val="22"/>
          <w:szCs w:val="22"/>
          <w:lang w:val="sr-Latn-ME"/>
        </w:rPr>
        <w:t xml:space="preserve"> </w:t>
      </w:r>
      <w:r w:rsidRPr="00783B4B">
        <w:rPr>
          <w:sz w:val="22"/>
          <w:szCs w:val="22"/>
          <w:lang w:val="sr-Latn-ME"/>
        </w:rPr>
        <w:t>uvećanj</w:t>
      </w:r>
      <w:r w:rsidR="00FF7A42" w:rsidRPr="00783B4B">
        <w:rPr>
          <w:sz w:val="22"/>
          <w:szCs w:val="22"/>
          <w:lang w:val="sr-Latn-ME"/>
        </w:rPr>
        <w:t>a</w:t>
      </w:r>
      <w:r w:rsidRPr="00783B4B">
        <w:rPr>
          <w:sz w:val="22"/>
          <w:szCs w:val="22"/>
          <w:lang w:val="sr-Latn-ME"/>
        </w:rPr>
        <w:t xml:space="preserve"> placente kod ženki pacova</w:t>
      </w:r>
      <w:r w:rsidR="00FF7A42" w:rsidRPr="00783B4B">
        <w:rPr>
          <w:sz w:val="22"/>
          <w:szCs w:val="22"/>
          <w:lang w:val="sr-Latn-ME"/>
        </w:rPr>
        <w:t xml:space="preserve"> ili</w:t>
      </w:r>
      <w:r w:rsidRPr="00783B4B">
        <w:rPr>
          <w:sz w:val="22"/>
          <w:szCs w:val="22"/>
          <w:lang w:val="sr-Latn-ME"/>
        </w:rPr>
        <w:t xml:space="preserve"> </w:t>
      </w:r>
      <w:r w:rsidR="00FF7A42" w:rsidRPr="00783B4B">
        <w:rPr>
          <w:sz w:val="22"/>
          <w:szCs w:val="22"/>
          <w:lang w:val="sr-Latn-ME"/>
        </w:rPr>
        <w:t xml:space="preserve">spontanih pobačaja </w:t>
      </w:r>
      <w:r w:rsidRPr="00783B4B">
        <w:rPr>
          <w:sz w:val="22"/>
          <w:szCs w:val="22"/>
          <w:lang w:val="sr-Latn-ME"/>
        </w:rPr>
        <w:t xml:space="preserve">kod </w:t>
      </w:r>
      <w:r w:rsidR="00FF7A42" w:rsidRPr="00783B4B">
        <w:rPr>
          <w:sz w:val="22"/>
          <w:szCs w:val="22"/>
          <w:lang w:val="sr-Latn-ME"/>
        </w:rPr>
        <w:t>kunića</w:t>
      </w:r>
      <w:r w:rsidR="009A3ABF" w:rsidRPr="00783B4B">
        <w:rPr>
          <w:sz w:val="22"/>
          <w:szCs w:val="22"/>
          <w:lang w:val="sr-Latn-ME"/>
        </w:rPr>
        <w:t>,</w:t>
      </w:r>
      <w:r w:rsidRPr="00783B4B">
        <w:rPr>
          <w:sz w:val="22"/>
          <w:szCs w:val="22"/>
          <w:lang w:val="sr-Latn-ME"/>
        </w:rPr>
        <w:t xml:space="preserve"> bil</w:t>
      </w:r>
      <w:r w:rsidR="009A3ABF" w:rsidRPr="00783B4B">
        <w:rPr>
          <w:sz w:val="22"/>
          <w:szCs w:val="22"/>
          <w:lang w:val="sr-Latn-ME"/>
        </w:rPr>
        <w:t>e</w:t>
      </w:r>
      <w:r w:rsidRPr="00783B4B">
        <w:rPr>
          <w:sz w:val="22"/>
          <w:szCs w:val="22"/>
          <w:lang w:val="sr-Latn-ME"/>
        </w:rPr>
        <w:t xml:space="preserve"> su </w:t>
      </w:r>
      <w:r w:rsidR="00CC52BB" w:rsidRPr="00783B4B">
        <w:rPr>
          <w:sz w:val="22"/>
          <w:szCs w:val="22"/>
          <w:lang w:val="sr-Latn-ME"/>
        </w:rPr>
        <w:t xml:space="preserve">neposredni rezultat </w:t>
      </w:r>
      <w:proofErr w:type="spellStart"/>
      <w:r w:rsidR="00CC52BB" w:rsidRPr="00783B4B">
        <w:rPr>
          <w:sz w:val="22"/>
          <w:szCs w:val="22"/>
          <w:lang w:val="sr-Latn-ME"/>
        </w:rPr>
        <w:t>farmakodinamskih</w:t>
      </w:r>
      <w:proofErr w:type="spellEnd"/>
      <w:r w:rsidR="00CC52BB" w:rsidRPr="00783B4B">
        <w:rPr>
          <w:sz w:val="22"/>
          <w:szCs w:val="22"/>
          <w:lang w:val="sr-Latn-ME"/>
        </w:rPr>
        <w:t xml:space="preserve"> osobenosti </w:t>
      </w:r>
      <w:proofErr w:type="spellStart"/>
      <w:r w:rsidRPr="00783B4B">
        <w:rPr>
          <w:sz w:val="22"/>
          <w:szCs w:val="22"/>
          <w:lang w:val="sr-Latn-ME"/>
        </w:rPr>
        <w:t>anastrozola</w:t>
      </w:r>
      <w:proofErr w:type="spellEnd"/>
      <w:r w:rsidRPr="00783B4B">
        <w:rPr>
          <w:sz w:val="22"/>
          <w:szCs w:val="22"/>
          <w:lang w:val="sr-Latn-ME"/>
        </w:rPr>
        <w:t xml:space="preserve">. </w:t>
      </w:r>
    </w:p>
    <w:p w14:paraId="7D8B81D2" w14:textId="77777777" w:rsidR="002F3156" w:rsidRPr="00783B4B" w:rsidRDefault="002F3156" w:rsidP="00783B4B">
      <w:pPr>
        <w:autoSpaceDE w:val="0"/>
        <w:autoSpaceDN w:val="0"/>
        <w:adjustRightInd w:val="0"/>
        <w:jc w:val="both"/>
        <w:rPr>
          <w:sz w:val="22"/>
          <w:szCs w:val="22"/>
          <w:lang w:val="sr-Latn-ME"/>
        </w:rPr>
      </w:pPr>
    </w:p>
    <w:p w14:paraId="107853A8" w14:textId="7B758705" w:rsidR="0094756D" w:rsidRPr="00783B4B" w:rsidRDefault="002F3156" w:rsidP="00783B4B">
      <w:pPr>
        <w:jc w:val="both"/>
        <w:rPr>
          <w:sz w:val="22"/>
          <w:szCs w:val="22"/>
          <w:lang w:val="sr-Latn-ME"/>
        </w:rPr>
      </w:pPr>
      <w:r w:rsidRPr="00783B4B">
        <w:rPr>
          <w:sz w:val="22"/>
          <w:szCs w:val="22"/>
          <w:lang w:val="sr-Latn-ME"/>
        </w:rPr>
        <w:t xml:space="preserve">Preživljavanje </w:t>
      </w:r>
      <w:r w:rsidR="00BD3823" w:rsidRPr="00783B4B">
        <w:rPr>
          <w:sz w:val="22"/>
          <w:szCs w:val="22"/>
          <w:lang w:val="sr-Latn-ME"/>
        </w:rPr>
        <w:t>okota gd</w:t>
      </w:r>
      <w:r w:rsidR="00742011" w:rsidRPr="00783B4B">
        <w:rPr>
          <w:sz w:val="22"/>
          <w:szCs w:val="22"/>
          <w:lang w:val="sr-Latn-ME"/>
        </w:rPr>
        <w:t>j</w:t>
      </w:r>
      <w:r w:rsidR="00BD3823" w:rsidRPr="00783B4B">
        <w:rPr>
          <w:sz w:val="22"/>
          <w:szCs w:val="22"/>
          <w:lang w:val="sr-Latn-ME"/>
        </w:rPr>
        <w:t xml:space="preserve">e su </w:t>
      </w:r>
      <w:r w:rsidRPr="00783B4B">
        <w:rPr>
          <w:sz w:val="22"/>
          <w:szCs w:val="22"/>
          <w:lang w:val="sr-Latn-ME"/>
        </w:rPr>
        <w:t>ženk</w:t>
      </w:r>
      <w:r w:rsidR="00BD3823" w:rsidRPr="00783B4B">
        <w:rPr>
          <w:sz w:val="22"/>
          <w:szCs w:val="22"/>
          <w:lang w:val="sr-Latn-ME"/>
        </w:rPr>
        <w:t>e</w:t>
      </w:r>
      <w:r w:rsidRPr="00783B4B">
        <w:rPr>
          <w:sz w:val="22"/>
          <w:szCs w:val="22"/>
          <w:lang w:val="sr-Latn-ME"/>
        </w:rPr>
        <w:t xml:space="preserve"> dobijale </w:t>
      </w:r>
      <w:r w:rsidR="00BD3823" w:rsidRPr="00783B4B">
        <w:rPr>
          <w:sz w:val="22"/>
          <w:szCs w:val="22"/>
          <w:lang w:val="sr-Latn-ME"/>
        </w:rPr>
        <w:t xml:space="preserve">doze </w:t>
      </w:r>
      <w:proofErr w:type="spellStart"/>
      <w:r w:rsidRPr="00783B4B">
        <w:rPr>
          <w:sz w:val="22"/>
          <w:szCs w:val="22"/>
          <w:lang w:val="sr-Latn-ME"/>
        </w:rPr>
        <w:t>anastrozol</w:t>
      </w:r>
      <w:r w:rsidR="00BD3823" w:rsidRPr="00783B4B">
        <w:rPr>
          <w:sz w:val="22"/>
          <w:szCs w:val="22"/>
          <w:lang w:val="sr-Latn-ME"/>
        </w:rPr>
        <w:t>a</w:t>
      </w:r>
      <w:proofErr w:type="spellEnd"/>
      <w:r w:rsidRPr="00783B4B">
        <w:rPr>
          <w:sz w:val="22"/>
          <w:szCs w:val="22"/>
          <w:lang w:val="sr-Latn-ME"/>
        </w:rPr>
        <w:t xml:space="preserve"> od 0,02 mg/kg/dan i </w:t>
      </w:r>
      <w:r w:rsidR="00CB1BD0" w:rsidRPr="00783B4B">
        <w:rPr>
          <w:sz w:val="22"/>
          <w:szCs w:val="22"/>
          <w:lang w:val="sr-Latn-ME"/>
        </w:rPr>
        <w:t>više doze</w:t>
      </w:r>
      <w:r w:rsidRPr="00783B4B">
        <w:rPr>
          <w:sz w:val="22"/>
          <w:szCs w:val="22"/>
          <w:lang w:val="sr-Latn-ME"/>
        </w:rPr>
        <w:t xml:space="preserve"> (od 17. dana skotnosti do 22. dana </w:t>
      </w:r>
      <w:r w:rsidR="00CB1BD0" w:rsidRPr="00783B4B">
        <w:rPr>
          <w:sz w:val="22"/>
          <w:szCs w:val="22"/>
          <w:lang w:val="sr-Latn-ME"/>
        </w:rPr>
        <w:t>posl</w:t>
      </w:r>
      <w:r w:rsidR="009E150D" w:rsidRPr="00783B4B">
        <w:rPr>
          <w:sz w:val="22"/>
          <w:szCs w:val="22"/>
          <w:lang w:val="sr-Latn-ME"/>
        </w:rPr>
        <w:t>ij</w:t>
      </w:r>
      <w:r w:rsidR="00CB1BD0" w:rsidRPr="00783B4B">
        <w:rPr>
          <w:sz w:val="22"/>
          <w:szCs w:val="22"/>
          <w:lang w:val="sr-Latn-ME"/>
        </w:rPr>
        <w:t>e</w:t>
      </w:r>
      <w:r w:rsidRPr="00783B4B">
        <w:rPr>
          <w:sz w:val="22"/>
          <w:szCs w:val="22"/>
          <w:lang w:val="sr-Latn-ME"/>
        </w:rPr>
        <w:t xml:space="preserve"> porođaja) </w:t>
      </w:r>
      <w:r w:rsidR="004C4CEC" w:rsidRPr="00783B4B">
        <w:rPr>
          <w:sz w:val="22"/>
          <w:szCs w:val="22"/>
          <w:lang w:val="sr-Latn-ME"/>
        </w:rPr>
        <w:t xml:space="preserve">bilo je kompromitovano, što je za očekivati </w:t>
      </w:r>
      <w:proofErr w:type="spellStart"/>
      <w:r w:rsidR="004C4CEC" w:rsidRPr="00783B4B">
        <w:rPr>
          <w:sz w:val="22"/>
          <w:szCs w:val="22"/>
          <w:lang w:val="sr-Latn-ME"/>
        </w:rPr>
        <w:t>usl</w:t>
      </w:r>
      <w:r w:rsidR="009E150D" w:rsidRPr="00783B4B">
        <w:rPr>
          <w:sz w:val="22"/>
          <w:szCs w:val="22"/>
          <w:lang w:val="sr-Latn-ME"/>
        </w:rPr>
        <w:t>j</w:t>
      </w:r>
      <w:r w:rsidR="004C4CEC" w:rsidRPr="00783B4B">
        <w:rPr>
          <w:sz w:val="22"/>
          <w:szCs w:val="22"/>
          <w:lang w:val="sr-Latn-ME"/>
        </w:rPr>
        <w:t>ed</w:t>
      </w:r>
      <w:proofErr w:type="spellEnd"/>
      <w:r w:rsidR="004C4CEC" w:rsidRPr="00783B4B">
        <w:rPr>
          <w:sz w:val="22"/>
          <w:szCs w:val="22"/>
          <w:lang w:val="sr-Latn-ME"/>
        </w:rPr>
        <w:t xml:space="preserve"> farmakološkog, </w:t>
      </w:r>
      <w:proofErr w:type="spellStart"/>
      <w:r w:rsidR="004C4CEC" w:rsidRPr="00783B4B">
        <w:rPr>
          <w:sz w:val="22"/>
          <w:szCs w:val="22"/>
          <w:lang w:val="sr-Latn-ME"/>
        </w:rPr>
        <w:t>antiestrogenog</w:t>
      </w:r>
      <w:proofErr w:type="spellEnd"/>
      <w:r w:rsidR="004C4CEC" w:rsidRPr="00783B4B">
        <w:rPr>
          <w:sz w:val="22"/>
          <w:szCs w:val="22"/>
          <w:lang w:val="sr-Latn-ME"/>
        </w:rPr>
        <w:t xml:space="preserve"> d</w:t>
      </w:r>
      <w:r w:rsidR="009E150D" w:rsidRPr="00783B4B">
        <w:rPr>
          <w:sz w:val="22"/>
          <w:szCs w:val="22"/>
          <w:lang w:val="sr-Latn-ME"/>
        </w:rPr>
        <w:t>j</w:t>
      </w:r>
      <w:r w:rsidR="004C4CEC" w:rsidRPr="00783B4B">
        <w:rPr>
          <w:sz w:val="22"/>
          <w:szCs w:val="22"/>
          <w:lang w:val="sr-Latn-ME"/>
        </w:rPr>
        <w:t>elovanja l</w:t>
      </w:r>
      <w:r w:rsidR="009E150D" w:rsidRPr="00783B4B">
        <w:rPr>
          <w:sz w:val="22"/>
          <w:szCs w:val="22"/>
          <w:lang w:val="sr-Latn-ME"/>
        </w:rPr>
        <w:t>ij</w:t>
      </w:r>
      <w:r w:rsidR="004C4CEC" w:rsidRPr="00783B4B">
        <w:rPr>
          <w:sz w:val="22"/>
          <w:szCs w:val="22"/>
          <w:lang w:val="sr-Latn-ME"/>
        </w:rPr>
        <w:t xml:space="preserve">eka. </w:t>
      </w:r>
      <w:r w:rsidR="004577E9" w:rsidRPr="00783B4B">
        <w:rPr>
          <w:sz w:val="22"/>
          <w:szCs w:val="22"/>
          <w:lang w:val="sr-Latn-ME"/>
        </w:rPr>
        <w:t xml:space="preserve">Drugi efekti, vezani za </w:t>
      </w:r>
      <w:r w:rsidRPr="00783B4B">
        <w:rPr>
          <w:sz w:val="22"/>
          <w:szCs w:val="22"/>
          <w:lang w:val="sr-Latn-ME"/>
        </w:rPr>
        <w:t xml:space="preserve">ponašanje ili reproduktivnu sposobnost </w:t>
      </w:r>
      <w:r w:rsidR="0094756D" w:rsidRPr="00783B4B">
        <w:rPr>
          <w:sz w:val="22"/>
          <w:szCs w:val="22"/>
          <w:lang w:val="sr-Latn-ME"/>
        </w:rPr>
        <w:t xml:space="preserve">mladunaca, nisu zapaženi u prvoj generaciji potomaka ženki koje su primale </w:t>
      </w:r>
      <w:proofErr w:type="spellStart"/>
      <w:r w:rsidR="0094756D" w:rsidRPr="00783B4B">
        <w:rPr>
          <w:sz w:val="22"/>
          <w:szCs w:val="22"/>
          <w:lang w:val="sr-Latn-ME"/>
        </w:rPr>
        <w:t>anastrozol</w:t>
      </w:r>
      <w:proofErr w:type="spellEnd"/>
      <w:r w:rsidR="0094756D" w:rsidRPr="00783B4B">
        <w:rPr>
          <w:sz w:val="22"/>
          <w:szCs w:val="22"/>
          <w:lang w:val="sr-Latn-ME"/>
        </w:rPr>
        <w:t>.</w:t>
      </w:r>
    </w:p>
    <w:p w14:paraId="6C0052A4" w14:textId="41B662E2" w:rsidR="002F3156" w:rsidRPr="00783B4B" w:rsidRDefault="002F3156" w:rsidP="00783B4B">
      <w:pPr>
        <w:autoSpaceDE w:val="0"/>
        <w:autoSpaceDN w:val="0"/>
        <w:adjustRightInd w:val="0"/>
        <w:rPr>
          <w:sz w:val="22"/>
          <w:szCs w:val="22"/>
          <w:lang w:val="sr-Latn-ME"/>
        </w:rPr>
      </w:pPr>
    </w:p>
    <w:p w14:paraId="41C6DAE7" w14:textId="6C2F3E72" w:rsidR="002F3156" w:rsidRPr="00783B4B" w:rsidRDefault="00D06C88" w:rsidP="00783B4B">
      <w:pPr>
        <w:jc w:val="both"/>
        <w:rPr>
          <w:b/>
          <w:bCs/>
          <w:iCs/>
          <w:sz w:val="22"/>
          <w:szCs w:val="22"/>
          <w:u w:val="single"/>
          <w:lang w:val="sr-Latn-ME"/>
        </w:rPr>
      </w:pPr>
      <w:proofErr w:type="spellStart"/>
      <w:r w:rsidRPr="00783B4B">
        <w:rPr>
          <w:b/>
          <w:bCs/>
          <w:iCs/>
          <w:sz w:val="22"/>
          <w:szCs w:val="22"/>
          <w:u w:val="single"/>
          <w:lang w:val="sr-Latn-ME"/>
        </w:rPr>
        <w:t>Karcinogenost</w:t>
      </w:r>
      <w:proofErr w:type="spellEnd"/>
    </w:p>
    <w:p w14:paraId="6B7B85F6" w14:textId="77777777" w:rsidR="00A5468E" w:rsidRPr="00783B4B" w:rsidRDefault="00A5468E" w:rsidP="00783B4B">
      <w:pPr>
        <w:jc w:val="both"/>
        <w:rPr>
          <w:b/>
          <w:bCs/>
          <w:iCs/>
          <w:sz w:val="22"/>
          <w:szCs w:val="22"/>
          <w:u w:val="single"/>
          <w:lang w:val="sr-Latn-ME"/>
        </w:rPr>
      </w:pPr>
    </w:p>
    <w:p w14:paraId="04C8B91F" w14:textId="2568F46C" w:rsidR="002F3156" w:rsidRPr="00783B4B" w:rsidRDefault="00896500" w:rsidP="00783B4B">
      <w:pPr>
        <w:jc w:val="both"/>
        <w:rPr>
          <w:sz w:val="22"/>
          <w:szCs w:val="22"/>
          <w:lang w:val="sr-Latn-ME"/>
        </w:rPr>
      </w:pPr>
      <w:r w:rsidRPr="00783B4B">
        <w:rPr>
          <w:sz w:val="22"/>
          <w:szCs w:val="22"/>
          <w:lang w:val="sr-Latn-ME"/>
        </w:rPr>
        <w:t xml:space="preserve">Kod životinja koje su tokom 2 godine dobijale najviše doze </w:t>
      </w:r>
      <w:proofErr w:type="spellStart"/>
      <w:r w:rsidRPr="00783B4B">
        <w:rPr>
          <w:sz w:val="22"/>
          <w:szCs w:val="22"/>
          <w:lang w:val="sr-Latn-ME"/>
        </w:rPr>
        <w:t>anastrozola</w:t>
      </w:r>
      <w:proofErr w:type="spellEnd"/>
      <w:r w:rsidRPr="00783B4B">
        <w:rPr>
          <w:sz w:val="22"/>
          <w:szCs w:val="22"/>
          <w:lang w:val="sr-Latn-ME"/>
        </w:rPr>
        <w:t xml:space="preserve"> </w:t>
      </w:r>
      <w:r w:rsidR="002F3156" w:rsidRPr="00783B4B">
        <w:rPr>
          <w:sz w:val="22"/>
          <w:szCs w:val="22"/>
          <w:lang w:val="sr-Latn-ME"/>
        </w:rPr>
        <w:t>(25 mg/kg/dan)</w:t>
      </w:r>
      <w:r w:rsidR="00A76D10" w:rsidRPr="00783B4B">
        <w:rPr>
          <w:sz w:val="22"/>
          <w:szCs w:val="22"/>
          <w:lang w:val="sr-Latn-ME"/>
        </w:rPr>
        <w:t xml:space="preserve"> zab</w:t>
      </w:r>
      <w:r w:rsidR="009E150D" w:rsidRPr="00783B4B">
        <w:rPr>
          <w:sz w:val="22"/>
          <w:szCs w:val="22"/>
          <w:lang w:val="sr-Latn-ME"/>
        </w:rPr>
        <w:t>i</w:t>
      </w:r>
      <w:r w:rsidR="00A76D10" w:rsidRPr="00783B4B">
        <w:rPr>
          <w:sz w:val="22"/>
          <w:szCs w:val="22"/>
          <w:lang w:val="sr-Latn-ME"/>
        </w:rPr>
        <w:t>l</w:t>
      </w:r>
      <w:r w:rsidR="009E150D" w:rsidRPr="00783B4B">
        <w:rPr>
          <w:sz w:val="22"/>
          <w:szCs w:val="22"/>
          <w:lang w:val="sr-Latn-ME"/>
        </w:rPr>
        <w:t>j</w:t>
      </w:r>
      <w:r w:rsidR="00A76D10" w:rsidRPr="00783B4B">
        <w:rPr>
          <w:sz w:val="22"/>
          <w:szCs w:val="22"/>
          <w:lang w:val="sr-Latn-ME"/>
        </w:rPr>
        <w:t xml:space="preserve">ežena je povećana učestalost </w:t>
      </w:r>
      <w:proofErr w:type="spellStart"/>
      <w:r w:rsidR="00A76D10" w:rsidRPr="00783B4B">
        <w:rPr>
          <w:sz w:val="22"/>
          <w:szCs w:val="22"/>
          <w:lang w:val="sr-Latn-ME"/>
        </w:rPr>
        <w:t>neoplazmi</w:t>
      </w:r>
      <w:proofErr w:type="spellEnd"/>
      <w:r w:rsidR="00A76D10" w:rsidRPr="00783B4B">
        <w:rPr>
          <w:sz w:val="22"/>
          <w:szCs w:val="22"/>
          <w:lang w:val="sr-Latn-ME"/>
        </w:rPr>
        <w:t xml:space="preserve"> jetre i polipa </w:t>
      </w:r>
      <w:proofErr w:type="spellStart"/>
      <w:r w:rsidR="00A76D10" w:rsidRPr="00783B4B">
        <w:rPr>
          <w:sz w:val="22"/>
          <w:szCs w:val="22"/>
          <w:lang w:val="sr-Latn-ME"/>
        </w:rPr>
        <w:t>uterusa</w:t>
      </w:r>
      <w:proofErr w:type="spellEnd"/>
      <w:r w:rsidR="00A76D10" w:rsidRPr="00783B4B">
        <w:rPr>
          <w:sz w:val="22"/>
          <w:szCs w:val="22"/>
          <w:lang w:val="sr-Latn-ME"/>
        </w:rPr>
        <w:t xml:space="preserve"> u ženki, odnosno </w:t>
      </w:r>
      <w:proofErr w:type="spellStart"/>
      <w:r w:rsidR="00A76D10" w:rsidRPr="00783B4B">
        <w:rPr>
          <w:sz w:val="22"/>
          <w:szCs w:val="22"/>
          <w:lang w:val="sr-Latn-ME"/>
        </w:rPr>
        <w:t>adenoma</w:t>
      </w:r>
      <w:proofErr w:type="spellEnd"/>
      <w:r w:rsidR="00A76D10" w:rsidRPr="00783B4B">
        <w:rPr>
          <w:sz w:val="22"/>
          <w:szCs w:val="22"/>
          <w:lang w:val="sr-Latn-ME"/>
        </w:rPr>
        <w:t xml:space="preserve"> </w:t>
      </w:r>
      <w:proofErr w:type="spellStart"/>
      <w:r w:rsidR="00A76D10" w:rsidRPr="00783B4B">
        <w:rPr>
          <w:sz w:val="22"/>
          <w:szCs w:val="22"/>
          <w:lang w:val="sr-Latn-ME"/>
        </w:rPr>
        <w:t>tireoidne</w:t>
      </w:r>
      <w:proofErr w:type="spellEnd"/>
      <w:r w:rsidR="00A76D10" w:rsidRPr="00783B4B">
        <w:rPr>
          <w:sz w:val="22"/>
          <w:szCs w:val="22"/>
          <w:lang w:val="sr-Latn-ME"/>
        </w:rPr>
        <w:t xml:space="preserve"> žl</w:t>
      </w:r>
      <w:r w:rsidR="009E150D" w:rsidRPr="00783B4B">
        <w:rPr>
          <w:sz w:val="22"/>
          <w:szCs w:val="22"/>
          <w:lang w:val="sr-Latn-ME"/>
        </w:rPr>
        <w:t>ij</w:t>
      </w:r>
      <w:r w:rsidR="00A76D10" w:rsidRPr="00783B4B">
        <w:rPr>
          <w:sz w:val="22"/>
          <w:szCs w:val="22"/>
          <w:lang w:val="sr-Latn-ME"/>
        </w:rPr>
        <w:t>ezde kod mužjaka</w:t>
      </w:r>
      <w:r w:rsidR="002F3156" w:rsidRPr="00783B4B">
        <w:rPr>
          <w:sz w:val="22"/>
          <w:szCs w:val="22"/>
          <w:lang w:val="sr-Latn-ME"/>
        </w:rPr>
        <w:t xml:space="preserve">. Ove promjene </w:t>
      </w:r>
      <w:r w:rsidR="00A76D10" w:rsidRPr="00783B4B">
        <w:rPr>
          <w:sz w:val="22"/>
          <w:szCs w:val="22"/>
          <w:lang w:val="sr-Latn-ME"/>
        </w:rPr>
        <w:t>po</w:t>
      </w:r>
      <w:r w:rsidR="002F3156" w:rsidRPr="00783B4B">
        <w:rPr>
          <w:sz w:val="22"/>
          <w:szCs w:val="22"/>
          <w:lang w:val="sr-Latn-ME"/>
        </w:rPr>
        <w:t xml:space="preserve">javile su se </w:t>
      </w:r>
      <w:r w:rsidR="00335DC1" w:rsidRPr="00783B4B">
        <w:rPr>
          <w:sz w:val="22"/>
          <w:szCs w:val="22"/>
          <w:lang w:val="sr-Latn-ME"/>
        </w:rPr>
        <w:t>kod prim</w:t>
      </w:r>
      <w:r w:rsidR="009E150D" w:rsidRPr="00783B4B">
        <w:rPr>
          <w:sz w:val="22"/>
          <w:szCs w:val="22"/>
          <w:lang w:val="sr-Latn-ME"/>
        </w:rPr>
        <w:t>j</w:t>
      </w:r>
      <w:r w:rsidR="00335DC1" w:rsidRPr="00783B4B">
        <w:rPr>
          <w:sz w:val="22"/>
          <w:szCs w:val="22"/>
          <w:lang w:val="sr-Latn-ME"/>
        </w:rPr>
        <w:t>ene</w:t>
      </w:r>
      <w:r w:rsidR="002F3156" w:rsidRPr="00783B4B">
        <w:rPr>
          <w:sz w:val="22"/>
          <w:szCs w:val="22"/>
          <w:lang w:val="sr-Latn-ME"/>
        </w:rPr>
        <w:t xml:space="preserve"> </w:t>
      </w:r>
      <w:r w:rsidR="00335DC1" w:rsidRPr="00783B4B">
        <w:rPr>
          <w:sz w:val="22"/>
          <w:szCs w:val="22"/>
          <w:lang w:val="sr-Latn-ME"/>
        </w:rPr>
        <w:t xml:space="preserve">doza </w:t>
      </w:r>
      <w:r w:rsidR="002F3156" w:rsidRPr="00783B4B">
        <w:rPr>
          <w:sz w:val="22"/>
          <w:szCs w:val="22"/>
          <w:lang w:val="sr-Latn-ME"/>
        </w:rPr>
        <w:t xml:space="preserve">koja </w:t>
      </w:r>
      <w:r w:rsidR="00335DC1" w:rsidRPr="00783B4B">
        <w:rPr>
          <w:sz w:val="22"/>
          <w:szCs w:val="22"/>
          <w:lang w:val="sr-Latn-ME"/>
        </w:rPr>
        <w:t xml:space="preserve">daju </w:t>
      </w:r>
      <w:r w:rsidR="002F3156" w:rsidRPr="00783B4B">
        <w:rPr>
          <w:sz w:val="22"/>
          <w:szCs w:val="22"/>
          <w:lang w:val="sr-Latn-ME"/>
        </w:rPr>
        <w:t>100</w:t>
      </w:r>
      <w:r w:rsidR="00335DC1" w:rsidRPr="00783B4B">
        <w:rPr>
          <w:sz w:val="22"/>
          <w:szCs w:val="22"/>
          <w:lang w:val="sr-Latn-ME"/>
        </w:rPr>
        <w:t xml:space="preserve"> </w:t>
      </w:r>
      <w:r w:rsidR="002F3156" w:rsidRPr="00783B4B">
        <w:rPr>
          <w:sz w:val="22"/>
          <w:szCs w:val="22"/>
          <w:lang w:val="sr-Latn-ME"/>
        </w:rPr>
        <w:t xml:space="preserve">puta veću </w:t>
      </w:r>
      <w:r w:rsidR="002F7523" w:rsidRPr="00783B4B">
        <w:rPr>
          <w:sz w:val="22"/>
          <w:szCs w:val="22"/>
          <w:lang w:val="sr-Latn-ME"/>
        </w:rPr>
        <w:t>izloženost</w:t>
      </w:r>
      <w:r w:rsidR="002F3156" w:rsidRPr="00783B4B">
        <w:rPr>
          <w:sz w:val="22"/>
          <w:szCs w:val="22"/>
          <w:lang w:val="sr-Latn-ME"/>
        </w:rPr>
        <w:t xml:space="preserve"> </w:t>
      </w:r>
      <w:r w:rsidR="002F7523" w:rsidRPr="00783B4B">
        <w:rPr>
          <w:sz w:val="22"/>
          <w:szCs w:val="22"/>
          <w:lang w:val="sr-Latn-ME"/>
        </w:rPr>
        <w:t>od terapijskih doza</w:t>
      </w:r>
      <w:r w:rsidR="0067257D" w:rsidRPr="00783B4B">
        <w:rPr>
          <w:sz w:val="22"/>
          <w:szCs w:val="22"/>
          <w:lang w:val="sr-Latn-ME"/>
        </w:rPr>
        <w:t xml:space="preserve"> koje se prim</w:t>
      </w:r>
      <w:r w:rsidR="009E150D" w:rsidRPr="00783B4B">
        <w:rPr>
          <w:sz w:val="22"/>
          <w:szCs w:val="22"/>
          <w:lang w:val="sr-Latn-ME"/>
        </w:rPr>
        <w:t>j</w:t>
      </w:r>
      <w:r w:rsidR="0067257D" w:rsidRPr="00783B4B">
        <w:rPr>
          <w:sz w:val="22"/>
          <w:szCs w:val="22"/>
          <w:lang w:val="sr-Latn-ME"/>
        </w:rPr>
        <w:t>enjuju</w:t>
      </w:r>
      <w:r w:rsidR="002F7523" w:rsidRPr="00783B4B">
        <w:rPr>
          <w:sz w:val="22"/>
          <w:szCs w:val="22"/>
          <w:lang w:val="sr-Latn-ME"/>
        </w:rPr>
        <w:t xml:space="preserve"> </w:t>
      </w:r>
      <w:r w:rsidR="002F3156" w:rsidRPr="00783B4B">
        <w:rPr>
          <w:sz w:val="22"/>
          <w:szCs w:val="22"/>
          <w:lang w:val="sr-Latn-ME"/>
        </w:rPr>
        <w:t xml:space="preserve">kod </w:t>
      </w:r>
      <w:proofErr w:type="spellStart"/>
      <w:r w:rsidR="002F3156" w:rsidRPr="00783B4B">
        <w:rPr>
          <w:sz w:val="22"/>
          <w:szCs w:val="22"/>
          <w:lang w:val="sr-Latn-ME"/>
        </w:rPr>
        <w:t>ljudi</w:t>
      </w:r>
      <w:proofErr w:type="spellEnd"/>
      <w:r w:rsidR="00CB7CA0" w:rsidRPr="00783B4B">
        <w:rPr>
          <w:sz w:val="22"/>
          <w:szCs w:val="22"/>
          <w:lang w:val="sr-Latn-ME"/>
        </w:rPr>
        <w:t xml:space="preserve"> i ne smatraju se</w:t>
      </w:r>
      <w:r w:rsidR="00CB7CA0" w:rsidRPr="00783B4B" w:rsidDel="00CB7CA0">
        <w:rPr>
          <w:sz w:val="22"/>
          <w:szCs w:val="22"/>
          <w:lang w:val="sr-Latn-ME"/>
        </w:rPr>
        <w:t xml:space="preserve"> </w:t>
      </w:r>
      <w:r w:rsidR="002F3156" w:rsidRPr="00783B4B">
        <w:rPr>
          <w:sz w:val="22"/>
          <w:szCs w:val="22"/>
          <w:lang w:val="sr-Latn-ME"/>
        </w:rPr>
        <w:t xml:space="preserve">klinički </w:t>
      </w:r>
      <w:r w:rsidR="00CB7CA0" w:rsidRPr="00783B4B">
        <w:rPr>
          <w:sz w:val="22"/>
          <w:szCs w:val="22"/>
          <w:lang w:val="sr-Latn-ME"/>
        </w:rPr>
        <w:t xml:space="preserve">značajnim </w:t>
      </w:r>
      <w:r w:rsidR="002F3156" w:rsidRPr="00783B4B">
        <w:rPr>
          <w:sz w:val="22"/>
          <w:szCs w:val="22"/>
          <w:lang w:val="sr-Latn-ME"/>
        </w:rPr>
        <w:t xml:space="preserve">u liječenju pacijenata </w:t>
      </w:r>
      <w:proofErr w:type="spellStart"/>
      <w:r w:rsidR="002F3156" w:rsidRPr="00783B4B">
        <w:rPr>
          <w:sz w:val="22"/>
          <w:szCs w:val="22"/>
          <w:lang w:val="sr-Latn-ME"/>
        </w:rPr>
        <w:t>anastrozolom</w:t>
      </w:r>
      <w:proofErr w:type="spellEnd"/>
      <w:r w:rsidR="002F3156" w:rsidRPr="00783B4B">
        <w:rPr>
          <w:sz w:val="22"/>
          <w:szCs w:val="22"/>
          <w:lang w:val="sr-Latn-ME"/>
        </w:rPr>
        <w:t>.</w:t>
      </w:r>
    </w:p>
    <w:p w14:paraId="23728EA3" w14:textId="77777777" w:rsidR="002F3156" w:rsidRPr="00783B4B" w:rsidRDefault="002F3156" w:rsidP="00783B4B">
      <w:pPr>
        <w:rPr>
          <w:sz w:val="22"/>
          <w:szCs w:val="22"/>
          <w:lang w:val="sr-Latn-ME"/>
        </w:rPr>
      </w:pPr>
    </w:p>
    <w:p w14:paraId="7CD6DBC7" w14:textId="6886B2C9" w:rsidR="002F3156" w:rsidRPr="00783B4B" w:rsidRDefault="002F3156" w:rsidP="00783B4B">
      <w:pPr>
        <w:jc w:val="both"/>
        <w:rPr>
          <w:sz w:val="22"/>
          <w:szCs w:val="22"/>
          <w:lang w:val="sr-Latn-ME"/>
        </w:rPr>
      </w:pPr>
      <w:r w:rsidRPr="00783B4B">
        <w:rPr>
          <w:sz w:val="22"/>
          <w:szCs w:val="22"/>
          <w:lang w:val="sr-Latn-ME"/>
        </w:rPr>
        <w:t xml:space="preserve">Dvogodišnja </w:t>
      </w:r>
      <w:r w:rsidR="00702BA2" w:rsidRPr="00783B4B">
        <w:rPr>
          <w:sz w:val="22"/>
          <w:szCs w:val="22"/>
          <w:lang w:val="sr-Latn-ME"/>
        </w:rPr>
        <w:t>prim</w:t>
      </w:r>
      <w:r w:rsidR="009E150D" w:rsidRPr="00783B4B">
        <w:rPr>
          <w:sz w:val="22"/>
          <w:szCs w:val="22"/>
          <w:lang w:val="sr-Latn-ME"/>
        </w:rPr>
        <w:t>j</w:t>
      </w:r>
      <w:r w:rsidR="00702BA2" w:rsidRPr="00783B4B">
        <w:rPr>
          <w:sz w:val="22"/>
          <w:szCs w:val="22"/>
          <w:lang w:val="sr-Latn-ME"/>
        </w:rPr>
        <w:t xml:space="preserve">ena </w:t>
      </w:r>
      <w:proofErr w:type="spellStart"/>
      <w:r w:rsidR="00702BA2" w:rsidRPr="00783B4B">
        <w:rPr>
          <w:sz w:val="22"/>
          <w:szCs w:val="22"/>
          <w:lang w:val="sr-Latn-ME"/>
        </w:rPr>
        <w:t>anastrozola</w:t>
      </w:r>
      <w:proofErr w:type="spellEnd"/>
      <w:r w:rsidR="00702BA2" w:rsidRPr="00783B4B">
        <w:rPr>
          <w:sz w:val="22"/>
          <w:szCs w:val="22"/>
          <w:lang w:val="sr-Latn-ME"/>
        </w:rPr>
        <w:t xml:space="preserve"> kod miševa ukazala je na intenzivniju</w:t>
      </w:r>
      <w:r w:rsidRPr="00783B4B">
        <w:rPr>
          <w:sz w:val="22"/>
          <w:szCs w:val="22"/>
          <w:lang w:val="sr-Latn-ME"/>
        </w:rPr>
        <w:t xml:space="preserve"> pojavu benignih tumora </w:t>
      </w:r>
      <w:proofErr w:type="spellStart"/>
      <w:r w:rsidRPr="00783B4B">
        <w:rPr>
          <w:sz w:val="22"/>
          <w:szCs w:val="22"/>
          <w:lang w:val="sr-Latn-ME"/>
        </w:rPr>
        <w:t>ovarijuma</w:t>
      </w:r>
      <w:proofErr w:type="spellEnd"/>
      <w:r w:rsidRPr="00783B4B">
        <w:rPr>
          <w:sz w:val="22"/>
          <w:szCs w:val="22"/>
          <w:lang w:val="sr-Latn-ME"/>
        </w:rPr>
        <w:t xml:space="preserve"> i </w:t>
      </w:r>
      <w:r w:rsidR="00040A4F" w:rsidRPr="00783B4B">
        <w:rPr>
          <w:sz w:val="22"/>
          <w:szCs w:val="22"/>
          <w:lang w:val="sr-Latn-ME"/>
        </w:rPr>
        <w:t>izm</w:t>
      </w:r>
      <w:r w:rsidR="009E150D" w:rsidRPr="00783B4B">
        <w:rPr>
          <w:sz w:val="22"/>
          <w:szCs w:val="22"/>
          <w:lang w:val="sr-Latn-ME"/>
        </w:rPr>
        <w:t>j</w:t>
      </w:r>
      <w:r w:rsidR="00040A4F" w:rsidRPr="00783B4B">
        <w:rPr>
          <w:sz w:val="22"/>
          <w:szCs w:val="22"/>
          <w:lang w:val="sr-Latn-ME"/>
        </w:rPr>
        <w:t>enu uobičajene učestalosti javljanja</w:t>
      </w:r>
      <w:r w:rsidR="00040A4F" w:rsidRPr="00783B4B" w:rsidDel="00040A4F">
        <w:rPr>
          <w:sz w:val="22"/>
          <w:szCs w:val="22"/>
          <w:lang w:val="sr-Latn-ME"/>
        </w:rPr>
        <w:t xml:space="preserve"> </w:t>
      </w:r>
      <w:proofErr w:type="spellStart"/>
      <w:r w:rsidRPr="00783B4B">
        <w:rPr>
          <w:sz w:val="22"/>
          <w:szCs w:val="22"/>
          <w:lang w:val="sr-Latn-ME"/>
        </w:rPr>
        <w:t>limforetikularnih</w:t>
      </w:r>
      <w:proofErr w:type="spellEnd"/>
      <w:r w:rsidRPr="00783B4B">
        <w:rPr>
          <w:sz w:val="22"/>
          <w:szCs w:val="22"/>
          <w:lang w:val="sr-Latn-ME"/>
        </w:rPr>
        <w:t xml:space="preserve"> </w:t>
      </w:r>
      <w:proofErr w:type="spellStart"/>
      <w:r w:rsidRPr="00783B4B">
        <w:rPr>
          <w:sz w:val="22"/>
          <w:szCs w:val="22"/>
          <w:lang w:val="sr-Latn-ME"/>
        </w:rPr>
        <w:t>neoplazmi</w:t>
      </w:r>
      <w:proofErr w:type="spellEnd"/>
      <w:r w:rsidRPr="00783B4B">
        <w:rPr>
          <w:sz w:val="22"/>
          <w:szCs w:val="22"/>
          <w:lang w:val="sr-Latn-ME"/>
        </w:rPr>
        <w:t xml:space="preserve"> (manjih </w:t>
      </w:r>
      <w:proofErr w:type="spellStart"/>
      <w:r w:rsidR="00040A4F" w:rsidRPr="00783B4B">
        <w:rPr>
          <w:sz w:val="22"/>
          <w:szCs w:val="22"/>
          <w:lang w:val="sr-Latn-ME"/>
        </w:rPr>
        <w:t>histiocitnih</w:t>
      </w:r>
      <w:proofErr w:type="spellEnd"/>
      <w:r w:rsidR="00040A4F" w:rsidRPr="00783B4B">
        <w:rPr>
          <w:sz w:val="22"/>
          <w:szCs w:val="22"/>
          <w:lang w:val="sr-Latn-ME"/>
        </w:rPr>
        <w:t xml:space="preserve"> </w:t>
      </w:r>
      <w:proofErr w:type="spellStart"/>
      <w:r w:rsidRPr="00783B4B">
        <w:rPr>
          <w:sz w:val="22"/>
          <w:szCs w:val="22"/>
          <w:lang w:val="sr-Latn-ME"/>
        </w:rPr>
        <w:t>sarkoma</w:t>
      </w:r>
      <w:proofErr w:type="spellEnd"/>
      <w:r w:rsidRPr="00783B4B">
        <w:rPr>
          <w:sz w:val="22"/>
          <w:szCs w:val="22"/>
          <w:lang w:val="sr-Latn-ME"/>
        </w:rPr>
        <w:t xml:space="preserve"> kod ženki i </w:t>
      </w:r>
      <w:r w:rsidR="00D15714" w:rsidRPr="00783B4B">
        <w:rPr>
          <w:sz w:val="22"/>
          <w:szCs w:val="22"/>
          <w:lang w:val="sr-Latn-ME"/>
        </w:rPr>
        <w:t>veća smrtnost</w:t>
      </w:r>
      <w:r w:rsidRPr="00783B4B">
        <w:rPr>
          <w:sz w:val="22"/>
          <w:szCs w:val="22"/>
          <w:lang w:val="sr-Latn-ME"/>
        </w:rPr>
        <w:t xml:space="preserve"> </w:t>
      </w:r>
      <w:proofErr w:type="spellStart"/>
      <w:r w:rsidRPr="00783B4B">
        <w:rPr>
          <w:sz w:val="22"/>
          <w:szCs w:val="22"/>
          <w:lang w:val="sr-Latn-ME"/>
        </w:rPr>
        <w:t>limfoma</w:t>
      </w:r>
      <w:proofErr w:type="spellEnd"/>
      <w:r w:rsidRPr="00783B4B">
        <w:rPr>
          <w:sz w:val="22"/>
          <w:szCs w:val="22"/>
          <w:lang w:val="sr-Latn-ME"/>
        </w:rPr>
        <w:t xml:space="preserve">). Ove </w:t>
      </w:r>
      <w:r w:rsidR="00590297" w:rsidRPr="00783B4B">
        <w:rPr>
          <w:sz w:val="22"/>
          <w:szCs w:val="22"/>
          <w:lang w:val="sr-Latn-ME"/>
        </w:rPr>
        <w:t xml:space="preserve">se </w:t>
      </w:r>
      <w:r w:rsidRPr="00783B4B">
        <w:rPr>
          <w:sz w:val="22"/>
          <w:szCs w:val="22"/>
          <w:lang w:val="sr-Latn-ME"/>
        </w:rPr>
        <w:t xml:space="preserve">promjene </w:t>
      </w:r>
      <w:r w:rsidR="00590297" w:rsidRPr="00783B4B">
        <w:rPr>
          <w:sz w:val="22"/>
          <w:szCs w:val="22"/>
          <w:lang w:val="sr-Latn-ME"/>
        </w:rPr>
        <w:t>pripisuju</w:t>
      </w:r>
      <w:r w:rsidRPr="00783B4B">
        <w:rPr>
          <w:sz w:val="22"/>
          <w:szCs w:val="22"/>
          <w:lang w:val="sr-Latn-ME"/>
        </w:rPr>
        <w:t xml:space="preserve"> </w:t>
      </w:r>
      <w:r w:rsidR="00590297" w:rsidRPr="00783B4B">
        <w:rPr>
          <w:sz w:val="22"/>
          <w:szCs w:val="22"/>
          <w:lang w:val="sr-Latn-ME"/>
        </w:rPr>
        <w:t xml:space="preserve">specifičnom </w:t>
      </w:r>
      <w:r w:rsidRPr="00783B4B">
        <w:rPr>
          <w:sz w:val="22"/>
          <w:szCs w:val="22"/>
          <w:lang w:val="sr-Latn-ME"/>
        </w:rPr>
        <w:t>efekt</w:t>
      </w:r>
      <w:r w:rsidR="00590297" w:rsidRPr="00783B4B">
        <w:rPr>
          <w:sz w:val="22"/>
          <w:szCs w:val="22"/>
          <w:lang w:val="sr-Latn-ME"/>
        </w:rPr>
        <w:t>u</w:t>
      </w:r>
      <w:r w:rsidRPr="00783B4B">
        <w:rPr>
          <w:sz w:val="22"/>
          <w:szCs w:val="22"/>
          <w:lang w:val="sr-Latn-ME"/>
        </w:rPr>
        <w:t xml:space="preserve"> inhibicije </w:t>
      </w:r>
      <w:proofErr w:type="spellStart"/>
      <w:r w:rsidRPr="00783B4B">
        <w:rPr>
          <w:sz w:val="22"/>
          <w:szCs w:val="22"/>
          <w:lang w:val="sr-Latn-ME"/>
        </w:rPr>
        <w:t>aromataze</w:t>
      </w:r>
      <w:proofErr w:type="spellEnd"/>
      <w:r w:rsidRPr="00783B4B">
        <w:rPr>
          <w:sz w:val="22"/>
          <w:szCs w:val="22"/>
          <w:lang w:val="sr-Latn-ME"/>
        </w:rPr>
        <w:t xml:space="preserve"> </w:t>
      </w:r>
      <w:r w:rsidR="000A2996" w:rsidRPr="00783B4B">
        <w:rPr>
          <w:sz w:val="22"/>
          <w:szCs w:val="22"/>
          <w:lang w:val="sr-Latn-ME"/>
        </w:rPr>
        <w:t xml:space="preserve">kod miševa </w:t>
      </w:r>
      <w:r w:rsidRPr="00783B4B">
        <w:rPr>
          <w:sz w:val="22"/>
          <w:szCs w:val="22"/>
          <w:lang w:val="sr-Latn-ME"/>
        </w:rPr>
        <w:t xml:space="preserve">i nijesu klinički značajne </w:t>
      </w:r>
      <w:r w:rsidR="000A2996" w:rsidRPr="00783B4B">
        <w:rPr>
          <w:sz w:val="22"/>
          <w:szCs w:val="22"/>
          <w:lang w:val="sr-Latn-ME"/>
        </w:rPr>
        <w:t xml:space="preserve">u liječenju pacijenata </w:t>
      </w:r>
      <w:proofErr w:type="spellStart"/>
      <w:r w:rsidRPr="00783B4B">
        <w:rPr>
          <w:sz w:val="22"/>
          <w:szCs w:val="22"/>
          <w:lang w:val="sr-Latn-ME"/>
        </w:rPr>
        <w:t>anastrozolom</w:t>
      </w:r>
      <w:proofErr w:type="spellEnd"/>
      <w:r w:rsidRPr="00783B4B">
        <w:rPr>
          <w:sz w:val="22"/>
          <w:szCs w:val="22"/>
          <w:lang w:val="sr-Latn-ME"/>
        </w:rPr>
        <w:t>.</w:t>
      </w:r>
    </w:p>
    <w:p w14:paraId="43F627F2" w14:textId="77777777" w:rsidR="002F3156" w:rsidRPr="00783B4B" w:rsidRDefault="002F3156" w:rsidP="00783B4B">
      <w:pPr>
        <w:tabs>
          <w:tab w:val="left" w:pos="540"/>
          <w:tab w:val="left" w:pos="569"/>
        </w:tabs>
        <w:rPr>
          <w:bCs/>
          <w:sz w:val="22"/>
          <w:szCs w:val="22"/>
          <w:lang w:val="sr-Latn-ME"/>
        </w:rPr>
      </w:pPr>
    </w:p>
    <w:p w14:paraId="68439F7A" w14:textId="77777777" w:rsidR="009D122F" w:rsidRDefault="009D122F" w:rsidP="00783B4B">
      <w:pPr>
        <w:tabs>
          <w:tab w:val="left" w:pos="540"/>
          <w:tab w:val="left" w:pos="569"/>
        </w:tabs>
        <w:rPr>
          <w:b/>
          <w:bCs/>
          <w:sz w:val="22"/>
          <w:szCs w:val="22"/>
          <w:lang w:val="sr-Latn-ME"/>
        </w:rPr>
      </w:pPr>
    </w:p>
    <w:p w14:paraId="67DC93B3" w14:textId="1D307D4C" w:rsidR="0072020E" w:rsidRPr="00783B4B" w:rsidRDefault="0072020E" w:rsidP="00783B4B">
      <w:pPr>
        <w:tabs>
          <w:tab w:val="left" w:pos="540"/>
          <w:tab w:val="left" w:pos="569"/>
        </w:tabs>
        <w:rPr>
          <w:b/>
          <w:bCs/>
          <w:sz w:val="22"/>
          <w:szCs w:val="22"/>
          <w:lang w:val="sr-Latn-ME"/>
        </w:rPr>
      </w:pPr>
      <w:r w:rsidRPr="00783B4B">
        <w:rPr>
          <w:b/>
          <w:bCs/>
          <w:sz w:val="22"/>
          <w:szCs w:val="22"/>
          <w:lang w:val="sr-Latn-ME"/>
        </w:rPr>
        <w:lastRenderedPageBreak/>
        <w:t xml:space="preserve">6. </w:t>
      </w:r>
      <w:r w:rsidR="00480FB1" w:rsidRPr="00783B4B">
        <w:rPr>
          <w:b/>
          <w:bCs/>
          <w:sz w:val="22"/>
          <w:szCs w:val="22"/>
          <w:lang w:val="sr-Latn-ME"/>
        </w:rPr>
        <w:tab/>
      </w:r>
      <w:r w:rsidRPr="00783B4B">
        <w:rPr>
          <w:b/>
          <w:bCs/>
          <w:sz w:val="22"/>
          <w:szCs w:val="22"/>
          <w:lang w:val="sr-Latn-ME"/>
        </w:rPr>
        <w:t>FARMACEUTSKI PODACI</w:t>
      </w:r>
    </w:p>
    <w:p w14:paraId="67DC93B4" w14:textId="77777777" w:rsidR="00836B35" w:rsidRPr="00783B4B" w:rsidRDefault="00836B35" w:rsidP="00783B4B">
      <w:pPr>
        <w:tabs>
          <w:tab w:val="left" w:pos="540"/>
          <w:tab w:val="left" w:pos="569"/>
        </w:tabs>
        <w:rPr>
          <w:bCs/>
          <w:sz w:val="22"/>
          <w:szCs w:val="22"/>
          <w:lang w:val="sr-Latn-ME"/>
        </w:rPr>
      </w:pPr>
    </w:p>
    <w:p w14:paraId="67DC93B5"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6.1. </w:t>
      </w:r>
      <w:r w:rsidR="00480FB1" w:rsidRPr="00783B4B">
        <w:rPr>
          <w:b/>
          <w:bCs/>
          <w:sz w:val="22"/>
          <w:szCs w:val="22"/>
          <w:lang w:val="sr-Latn-ME"/>
        </w:rPr>
        <w:tab/>
      </w:r>
      <w:r w:rsidRPr="00783B4B">
        <w:rPr>
          <w:b/>
          <w:bCs/>
          <w:sz w:val="22"/>
          <w:szCs w:val="22"/>
          <w:lang w:val="sr-Latn-ME"/>
        </w:rPr>
        <w:t>Lista pomoćnih supstanci</w:t>
      </w:r>
      <w:r w:rsidR="002E0135" w:rsidRPr="00783B4B">
        <w:rPr>
          <w:b/>
          <w:bCs/>
          <w:sz w:val="22"/>
          <w:szCs w:val="22"/>
          <w:lang w:val="sr-Latn-ME"/>
        </w:rPr>
        <w:t xml:space="preserve"> (</w:t>
      </w:r>
      <w:proofErr w:type="spellStart"/>
      <w:r w:rsidR="002E0135" w:rsidRPr="00783B4B">
        <w:rPr>
          <w:b/>
          <w:bCs/>
          <w:sz w:val="22"/>
          <w:szCs w:val="22"/>
          <w:lang w:val="sr-Latn-ME"/>
        </w:rPr>
        <w:t>ekscipijenasa</w:t>
      </w:r>
      <w:proofErr w:type="spellEnd"/>
      <w:r w:rsidR="002E0135" w:rsidRPr="00783B4B">
        <w:rPr>
          <w:b/>
          <w:bCs/>
          <w:sz w:val="22"/>
          <w:szCs w:val="22"/>
          <w:lang w:val="sr-Latn-ME"/>
        </w:rPr>
        <w:t>)</w:t>
      </w:r>
    </w:p>
    <w:p w14:paraId="67DC93B6" w14:textId="666BCA5F" w:rsidR="0072020E" w:rsidRPr="00783B4B" w:rsidRDefault="0072020E" w:rsidP="00783B4B">
      <w:pPr>
        <w:tabs>
          <w:tab w:val="left" w:pos="540"/>
          <w:tab w:val="left" w:pos="569"/>
        </w:tabs>
        <w:rPr>
          <w:bCs/>
          <w:sz w:val="22"/>
          <w:szCs w:val="22"/>
          <w:lang w:val="sr-Latn-ME"/>
        </w:rPr>
      </w:pPr>
    </w:p>
    <w:p w14:paraId="307CC966" w14:textId="592EEFEC" w:rsidR="00745497" w:rsidRPr="00783B4B" w:rsidRDefault="0072701D" w:rsidP="00783B4B">
      <w:pPr>
        <w:rPr>
          <w:i/>
          <w:sz w:val="22"/>
          <w:szCs w:val="22"/>
          <w:lang w:val="sr-Latn-ME"/>
        </w:rPr>
      </w:pPr>
      <w:r w:rsidRPr="00783B4B">
        <w:rPr>
          <w:i/>
          <w:sz w:val="22"/>
          <w:szCs w:val="22"/>
          <w:lang w:val="sr-Latn-ME"/>
        </w:rPr>
        <w:t>Jezgro tablete</w:t>
      </w:r>
      <w:r w:rsidR="00745497" w:rsidRPr="00783B4B">
        <w:rPr>
          <w:i/>
          <w:sz w:val="22"/>
          <w:szCs w:val="22"/>
          <w:lang w:val="sr-Latn-ME"/>
        </w:rPr>
        <w:t>:</w:t>
      </w:r>
    </w:p>
    <w:p w14:paraId="3E47250C" w14:textId="632B76D8" w:rsidR="00745497" w:rsidRPr="00783B4B" w:rsidRDefault="00735875" w:rsidP="00783B4B">
      <w:pPr>
        <w:rPr>
          <w:sz w:val="22"/>
          <w:szCs w:val="22"/>
          <w:lang w:val="sr-Latn-ME"/>
        </w:rPr>
      </w:pPr>
      <w:r w:rsidRPr="00783B4B">
        <w:rPr>
          <w:sz w:val="22"/>
          <w:szCs w:val="22"/>
          <w:lang w:val="sr-Latn-ME"/>
        </w:rPr>
        <w:t>laktoza</w:t>
      </w:r>
      <w:r w:rsidR="00745497" w:rsidRPr="00783B4B">
        <w:rPr>
          <w:sz w:val="22"/>
          <w:szCs w:val="22"/>
          <w:lang w:val="sr-Latn-ME"/>
        </w:rPr>
        <w:t xml:space="preserve">, </w:t>
      </w:r>
      <w:proofErr w:type="spellStart"/>
      <w:r w:rsidR="00745497" w:rsidRPr="00783B4B">
        <w:rPr>
          <w:sz w:val="22"/>
          <w:szCs w:val="22"/>
          <w:lang w:val="sr-Latn-ME"/>
        </w:rPr>
        <w:t>monohidrat</w:t>
      </w:r>
      <w:proofErr w:type="spellEnd"/>
      <w:r w:rsidR="00745497" w:rsidRPr="00783B4B">
        <w:rPr>
          <w:sz w:val="22"/>
          <w:szCs w:val="22"/>
          <w:lang w:val="sr-Latn-ME"/>
        </w:rPr>
        <w:t xml:space="preserve">; </w:t>
      </w:r>
    </w:p>
    <w:p w14:paraId="4A6512C7" w14:textId="4A0E0FB2" w:rsidR="00745497" w:rsidRPr="00783B4B" w:rsidRDefault="00735875" w:rsidP="00783B4B">
      <w:pPr>
        <w:rPr>
          <w:sz w:val="22"/>
          <w:szCs w:val="22"/>
          <w:lang w:val="sr-Latn-ME"/>
        </w:rPr>
      </w:pPr>
      <w:proofErr w:type="spellStart"/>
      <w:r w:rsidRPr="00783B4B">
        <w:rPr>
          <w:sz w:val="22"/>
          <w:szCs w:val="22"/>
          <w:lang w:val="sr-Latn-ME"/>
        </w:rPr>
        <w:t>povidon</w:t>
      </w:r>
      <w:proofErr w:type="spellEnd"/>
      <w:r w:rsidRPr="00783B4B">
        <w:rPr>
          <w:sz w:val="22"/>
          <w:szCs w:val="22"/>
          <w:lang w:val="sr-Latn-ME"/>
        </w:rPr>
        <w:t xml:space="preserve"> </w:t>
      </w:r>
      <w:r w:rsidR="00054039" w:rsidRPr="00783B4B">
        <w:rPr>
          <w:sz w:val="22"/>
          <w:szCs w:val="22"/>
          <w:lang w:val="sr-Latn-ME"/>
        </w:rPr>
        <w:t>K</w:t>
      </w:r>
      <w:r w:rsidRPr="00783B4B">
        <w:rPr>
          <w:sz w:val="22"/>
          <w:szCs w:val="22"/>
          <w:lang w:val="sr-Latn-ME"/>
        </w:rPr>
        <w:t xml:space="preserve"> </w:t>
      </w:r>
      <w:r w:rsidR="00054039" w:rsidRPr="00783B4B">
        <w:rPr>
          <w:sz w:val="22"/>
          <w:szCs w:val="22"/>
          <w:lang w:val="sr-Latn-ME"/>
        </w:rPr>
        <w:t>25</w:t>
      </w:r>
      <w:r w:rsidR="00745497" w:rsidRPr="00783B4B">
        <w:rPr>
          <w:sz w:val="22"/>
          <w:szCs w:val="22"/>
          <w:lang w:val="sr-Latn-ME"/>
        </w:rPr>
        <w:t xml:space="preserve">; </w:t>
      </w:r>
    </w:p>
    <w:p w14:paraId="228E38D5" w14:textId="187D0100" w:rsidR="00745497" w:rsidRPr="00783B4B" w:rsidRDefault="00745497" w:rsidP="00783B4B">
      <w:pPr>
        <w:rPr>
          <w:sz w:val="22"/>
          <w:szCs w:val="22"/>
          <w:lang w:val="sr-Latn-ME"/>
        </w:rPr>
      </w:pPr>
      <w:r w:rsidRPr="00783B4B">
        <w:rPr>
          <w:sz w:val="22"/>
          <w:szCs w:val="22"/>
          <w:lang w:val="sr-Latn-ME"/>
        </w:rPr>
        <w:t>natrijum</w:t>
      </w:r>
      <w:r w:rsidR="00735875" w:rsidRPr="00783B4B">
        <w:rPr>
          <w:sz w:val="22"/>
          <w:szCs w:val="22"/>
          <w:lang w:val="sr-Latn-ME"/>
        </w:rPr>
        <w:t xml:space="preserve"> </w:t>
      </w:r>
      <w:r w:rsidRPr="00783B4B">
        <w:rPr>
          <w:sz w:val="22"/>
          <w:szCs w:val="22"/>
          <w:lang w:val="sr-Latn-ME"/>
        </w:rPr>
        <w:t>skrob</w:t>
      </w:r>
      <w:r w:rsidR="00735875" w:rsidRPr="00783B4B">
        <w:rPr>
          <w:sz w:val="22"/>
          <w:szCs w:val="22"/>
          <w:lang w:val="sr-Latn-ME"/>
        </w:rPr>
        <w:t xml:space="preserve"> </w:t>
      </w:r>
      <w:proofErr w:type="spellStart"/>
      <w:r w:rsidRPr="00783B4B">
        <w:rPr>
          <w:sz w:val="22"/>
          <w:szCs w:val="22"/>
          <w:lang w:val="sr-Latn-ME"/>
        </w:rPr>
        <w:t>glikolat</w:t>
      </w:r>
      <w:proofErr w:type="spellEnd"/>
      <w:r w:rsidR="006E2C0F" w:rsidRPr="00783B4B">
        <w:rPr>
          <w:sz w:val="22"/>
          <w:szCs w:val="22"/>
          <w:lang w:val="sr-Latn-ME"/>
        </w:rPr>
        <w:t xml:space="preserve"> </w:t>
      </w:r>
      <w:r w:rsidR="006E2C0F" w:rsidRPr="00783B4B">
        <w:rPr>
          <w:bCs/>
          <w:sz w:val="22"/>
          <w:szCs w:val="22"/>
          <w:lang w:val="sr-Latn-ME"/>
        </w:rPr>
        <w:t>(tip A)</w:t>
      </w:r>
      <w:r w:rsidRPr="00783B4B">
        <w:rPr>
          <w:sz w:val="22"/>
          <w:szCs w:val="22"/>
          <w:lang w:val="sr-Latn-ME"/>
        </w:rPr>
        <w:t xml:space="preserve">; </w:t>
      </w:r>
    </w:p>
    <w:p w14:paraId="4527035E" w14:textId="0E9C0E9B" w:rsidR="00745497" w:rsidRPr="00783B4B" w:rsidRDefault="00745497" w:rsidP="00783B4B">
      <w:pPr>
        <w:rPr>
          <w:sz w:val="22"/>
          <w:szCs w:val="22"/>
          <w:lang w:val="sr-Latn-ME"/>
        </w:rPr>
      </w:pPr>
      <w:r w:rsidRPr="00783B4B">
        <w:rPr>
          <w:sz w:val="22"/>
          <w:szCs w:val="22"/>
          <w:lang w:val="sr-Latn-ME"/>
        </w:rPr>
        <w:t>magnezijum</w:t>
      </w:r>
      <w:r w:rsidR="00735875" w:rsidRPr="00783B4B">
        <w:rPr>
          <w:sz w:val="22"/>
          <w:szCs w:val="22"/>
          <w:lang w:val="sr-Latn-ME"/>
        </w:rPr>
        <w:t xml:space="preserve"> </w:t>
      </w:r>
      <w:proofErr w:type="spellStart"/>
      <w:r w:rsidRPr="00783B4B">
        <w:rPr>
          <w:sz w:val="22"/>
          <w:szCs w:val="22"/>
          <w:lang w:val="sr-Latn-ME"/>
        </w:rPr>
        <w:t>stearat</w:t>
      </w:r>
      <w:proofErr w:type="spellEnd"/>
      <w:r w:rsidRPr="00783B4B">
        <w:rPr>
          <w:sz w:val="22"/>
          <w:szCs w:val="22"/>
          <w:lang w:val="sr-Latn-ME"/>
        </w:rPr>
        <w:t xml:space="preserve">; </w:t>
      </w:r>
    </w:p>
    <w:p w14:paraId="04B90BA3" w14:textId="77777777" w:rsidR="00745497" w:rsidRPr="00783B4B" w:rsidRDefault="00745497" w:rsidP="00783B4B">
      <w:pPr>
        <w:rPr>
          <w:sz w:val="22"/>
          <w:szCs w:val="22"/>
          <w:lang w:val="sr-Latn-ME"/>
        </w:rPr>
      </w:pPr>
    </w:p>
    <w:p w14:paraId="4A002190" w14:textId="23F1DA7C" w:rsidR="00745497" w:rsidRPr="00783B4B" w:rsidRDefault="0072701D" w:rsidP="00783B4B">
      <w:pPr>
        <w:rPr>
          <w:i/>
          <w:sz w:val="22"/>
          <w:szCs w:val="22"/>
          <w:lang w:val="sr-Latn-ME"/>
        </w:rPr>
      </w:pPr>
      <w:r w:rsidRPr="00783B4B">
        <w:rPr>
          <w:i/>
          <w:sz w:val="22"/>
          <w:szCs w:val="22"/>
          <w:lang w:val="sr-Latn-ME"/>
        </w:rPr>
        <w:t>Film omotač tablete</w:t>
      </w:r>
      <w:r w:rsidR="00745497" w:rsidRPr="00783B4B">
        <w:rPr>
          <w:i/>
          <w:sz w:val="22"/>
          <w:szCs w:val="22"/>
          <w:lang w:val="sr-Latn-ME"/>
        </w:rPr>
        <w:t>:</w:t>
      </w:r>
    </w:p>
    <w:p w14:paraId="021477BE" w14:textId="77777777" w:rsidR="00745497" w:rsidRPr="00783B4B" w:rsidRDefault="00745497" w:rsidP="00783B4B">
      <w:pPr>
        <w:rPr>
          <w:sz w:val="22"/>
          <w:szCs w:val="22"/>
          <w:lang w:val="sr-Latn-ME"/>
        </w:rPr>
      </w:pPr>
      <w:proofErr w:type="spellStart"/>
      <w:r w:rsidRPr="00783B4B">
        <w:rPr>
          <w:sz w:val="22"/>
          <w:szCs w:val="22"/>
          <w:lang w:val="sr-Latn-ME"/>
        </w:rPr>
        <w:t>hipromeloza</w:t>
      </w:r>
      <w:proofErr w:type="spellEnd"/>
      <w:r w:rsidRPr="00783B4B">
        <w:rPr>
          <w:sz w:val="22"/>
          <w:szCs w:val="22"/>
          <w:lang w:val="sr-Latn-ME"/>
        </w:rPr>
        <w:t xml:space="preserve">; </w:t>
      </w:r>
    </w:p>
    <w:p w14:paraId="6642731C" w14:textId="77777777" w:rsidR="00745497" w:rsidRPr="00783B4B" w:rsidRDefault="00745497" w:rsidP="00783B4B">
      <w:pPr>
        <w:rPr>
          <w:sz w:val="22"/>
          <w:szCs w:val="22"/>
          <w:lang w:val="sr-Latn-ME"/>
        </w:rPr>
      </w:pPr>
      <w:proofErr w:type="spellStart"/>
      <w:r w:rsidRPr="00783B4B">
        <w:rPr>
          <w:sz w:val="22"/>
          <w:szCs w:val="22"/>
          <w:lang w:val="sr-Latn-ME"/>
        </w:rPr>
        <w:t>makrogol</w:t>
      </w:r>
      <w:proofErr w:type="spellEnd"/>
      <w:r w:rsidRPr="00783B4B">
        <w:rPr>
          <w:sz w:val="22"/>
          <w:szCs w:val="22"/>
          <w:lang w:val="sr-Latn-ME"/>
        </w:rPr>
        <w:t xml:space="preserve"> 6000; </w:t>
      </w:r>
    </w:p>
    <w:p w14:paraId="30BE3BC4" w14:textId="13E90D3A" w:rsidR="002F1580" w:rsidRPr="00783B4B" w:rsidRDefault="002F1580" w:rsidP="00783B4B">
      <w:pPr>
        <w:rPr>
          <w:sz w:val="22"/>
          <w:szCs w:val="22"/>
          <w:lang w:val="sr-Latn-ME"/>
        </w:rPr>
      </w:pPr>
      <w:r w:rsidRPr="00783B4B">
        <w:rPr>
          <w:sz w:val="22"/>
          <w:szCs w:val="22"/>
          <w:lang w:val="sr-Latn-ME"/>
        </w:rPr>
        <w:t>titan</w:t>
      </w:r>
      <w:r w:rsidR="00735875" w:rsidRPr="00783B4B">
        <w:rPr>
          <w:sz w:val="22"/>
          <w:szCs w:val="22"/>
          <w:lang w:val="sr-Latn-ME"/>
        </w:rPr>
        <w:t xml:space="preserve"> </w:t>
      </w:r>
      <w:r w:rsidRPr="00783B4B">
        <w:rPr>
          <w:sz w:val="22"/>
          <w:szCs w:val="22"/>
          <w:lang w:val="sr-Latn-ME"/>
        </w:rPr>
        <w:t>dioksid (E 171);</w:t>
      </w:r>
    </w:p>
    <w:p w14:paraId="1CDCB0B2" w14:textId="77777777" w:rsidR="009F6BCB" w:rsidRPr="00783B4B" w:rsidRDefault="009F6BCB" w:rsidP="00783B4B">
      <w:pPr>
        <w:rPr>
          <w:bCs/>
          <w:sz w:val="22"/>
          <w:szCs w:val="22"/>
          <w:lang w:val="sr-Latn-ME"/>
        </w:rPr>
      </w:pPr>
      <w:r w:rsidRPr="00783B4B">
        <w:rPr>
          <w:bCs/>
          <w:sz w:val="22"/>
          <w:szCs w:val="22"/>
          <w:lang w:val="sr-Latn-ME"/>
        </w:rPr>
        <w:t>skrob, modifikovani;</w:t>
      </w:r>
    </w:p>
    <w:p w14:paraId="7CB38B1C" w14:textId="52442A64" w:rsidR="009F6BCB" w:rsidRPr="00783B4B" w:rsidRDefault="00745497" w:rsidP="00783B4B">
      <w:pPr>
        <w:tabs>
          <w:tab w:val="left" w:pos="540"/>
          <w:tab w:val="left" w:pos="569"/>
        </w:tabs>
        <w:rPr>
          <w:b/>
          <w:bCs/>
          <w:sz w:val="22"/>
          <w:szCs w:val="22"/>
          <w:lang w:val="sr-Latn-ME"/>
        </w:rPr>
      </w:pPr>
      <w:r w:rsidRPr="00783B4B">
        <w:rPr>
          <w:sz w:val="22"/>
          <w:szCs w:val="22"/>
          <w:lang w:val="sr-Latn-ME"/>
        </w:rPr>
        <w:t>ulje s</w:t>
      </w:r>
      <w:r w:rsidR="009E150D" w:rsidRPr="00783B4B">
        <w:rPr>
          <w:sz w:val="22"/>
          <w:szCs w:val="22"/>
          <w:lang w:val="sr-Latn-ME"/>
        </w:rPr>
        <w:t>j</w:t>
      </w:r>
      <w:r w:rsidRPr="00783B4B">
        <w:rPr>
          <w:sz w:val="22"/>
          <w:szCs w:val="22"/>
          <w:lang w:val="sr-Latn-ME"/>
        </w:rPr>
        <w:t>emena pamuka</w:t>
      </w:r>
      <w:r w:rsidR="009F6BCB" w:rsidRPr="00783B4B">
        <w:rPr>
          <w:sz w:val="22"/>
          <w:szCs w:val="22"/>
          <w:lang w:val="sr-Latn-ME"/>
        </w:rPr>
        <w:t>.</w:t>
      </w:r>
    </w:p>
    <w:p w14:paraId="27FED167" w14:textId="77777777" w:rsidR="009F6BCB" w:rsidRPr="00783B4B" w:rsidRDefault="009F6BCB" w:rsidP="00783B4B">
      <w:pPr>
        <w:tabs>
          <w:tab w:val="left" w:pos="540"/>
          <w:tab w:val="left" w:pos="569"/>
        </w:tabs>
        <w:rPr>
          <w:b/>
          <w:bCs/>
          <w:sz w:val="22"/>
          <w:szCs w:val="22"/>
          <w:lang w:val="sr-Latn-ME"/>
        </w:rPr>
      </w:pPr>
    </w:p>
    <w:p w14:paraId="67DC93B7" w14:textId="26B77493" w:rsidR="0072020E" w:rsidRPr="00783B4B" w:rsidRDefault="009F6BCB" w:rsidP="00783B4B">
      <w:pPr>
        <w:tabs>
          <w:tab w:val="left" w:pos="540"/>
          <w:tab w:val="left" w:pos="569"/>
        </w:tabs>
        <w:rPr>
          <w:b/>
          <w:bCs/>
          <w:sz w:val="22"/>
          <w:szCs w:val="22"/>
          <w:lang w:val="sr-Latn-ME"/>
        </w:rPr>
      </w:pPr>
      <w:r w:rsidRPr="00783B4B">
        <w:rPr>
          <w:b/>
          <w:bCs/>
          <w:sz w:val="22"/>
          <w:szCs w:val="22"/>
          <w:lang w:val="sr-Latn-ME"/>
        </w:rPr>
        <w:t xml:space="preserve">6.2. </w:t>
      </w:r>
      <w:r w:rsidR="0072020E" w:rsidRPr="00783B4B">
        <w:rPr>
          <w:b/>
          <w:bCs/>
          <w:sz w:val="22"/>
          <w:szCs w:val="22"/>
          <w:lang w:val="sr-Latn-ME"/>
        </w:rPr>
        <w:t>Inkompatibilnost</w:t>
      </w:r>
      <w:r w:rsidR="002846DB" w:rsidRPr="00783B4B">
        <w:rPr>
          <w:b/>
          <w:bCs/>
          <w:sz w:val="22"/>
          <w:szCs w:val="22"/>
          <w:lang w:val="sr-Latn-ME"/>
        </w:rPr>
        <w:t>i</w:t>
      </w:r>
    </w:p>
    <w:p w14:paraId="67DC93B8" w14:textId="18914A50" w:rsidR="0072020E" w:rsidRPr="00783B4B" w:rsidRDefault="0072020E" w:rsidP="00783B4B">
      <w:pPr>
        <w:tabs>
          <w:tab w:val="left" w:pos="540"/>
          <w:tab w:val="left" w:pos="569"/>
        </w:tabs>
        <w:rPr>
          <w:bCs/>
          <w:sz w:val="22"/>
          <w:szCs w:val="22"/>
          <w:lang w:val="sr-Latn-ME"/>
        </w:rPr>
      </w:pPr>
    </w:p>
    <w:p w14:paraId="18E793FB" w14:textId="0BEDFC51" w:rsidR="001C1F58" w:rsidRPr="00783B4B" w:rsidRDefault="001C1F58" w:rsidP="00783B4B">
      <w:pPr>
        <w:tabs>
          <w:tab w:val="left" w:pos="540"/>
          <w:tab w:val="left" w:pos="569"/>
        </w:tabs>
        <w:rPr>
          <w:bCs/>
          <w:sz w:val="22"/>
          <w:szCs w:val="22"/>
          <w:lang w:val="sr-Latn-ME"/>
        </w:rPr>
      </w:pPr>
      <w:r w:rsidRPr="00783B4B">
        <w:rPr>
          <w:sz w:val="22"/>
          <w:szCs w:val="22"/>
          <w:lang w:val="sr-Latn-ME"/>
        </w:rPr>
        <w:t>Nije</w:t>
      </w:r>
      <w:r w:rsidR="009F6BCB" w:rsidRPr="00783B4B">
        <w:rPr>
          <w:bCs/>
          <w:sz w:val="22"/>
          <w:szCs w:val="22"/>
          <w:lang w:val="sr-Latn-ME"/>
        </w:rPr>
        <w:t xml:space="preserve"> prim</w:t>
      </w:r>
      <w:r w:rsidR="009E150D" w:rsidRPr="00783B4B">
        <w:rPr>
          <w:bCs/>
          <w:sz w:val="22"/>
          <w:szCs w:val="22"/>
          <w:lang w:val="sr-Latn-ME"/>
        </w:rPr>
        <w:t>j</w:t>
      </w:r>
      <w:r w:rsidR="009F6BCB" w:rsidRPr="00783B4B">
        <w:rPr>
          <w:bCs/>
          <w:sz w:val="22"/>
          <w:szCs w:val="22"/>
          <w:lang w:val="sr-Latn-ME"/>
        </w:rPr>
        <w:t>enljivo.</w:t>
      </w:r>
    </w:p>
    <w:p w14:paraId="17F82891" w14:textId="77777777" w:rsidR="009F6BCB" w:rsidRPr="00783B4B" w:rsidRDefault="009F6BCB" w:rsidP="00783B4B">
      <w:pPr>
        <w:tabs>
          <w:tab w:val="left" w:pos="540"/>
          <w:tab w:val="left" w:pos="569"/>
        </w:tabs>
        <w:rPr>
          <w:bCs/>
          <w:sz w:val="22"/>
          <w:szCs w:val="22"/>
          <w:lang w:val="sr-Latn-ME"/>
        </w:rPr>
      </w:pPr>
    </w:p>
    <w:p w14:paraId="67DC93B9"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6.3.</w:t>
      </w:r>
      <w:r w:rsidR="00C05DF8" w:rsidRPr="00783B4B">
        <w:rPr>
          <w:b/>
          <w:bCs/>
          <w:sz w:val="22"/>
          <w:szCs w:val="22"/>
          <w:lang w:val="sr-Latn-ME"/>
        </w:rPr>
        <w:t xml:space="preserve"> </w:t>
      </w:r>
      <w:r w:rsidR="00480FB1" w:rsidRPr="00783B4B">
        <w:rPr>
          <w:b/>
          <w:bCs/>
          <w:sz w:val="22"/>
          <w:szCs w:val="22"/>
          <w:lang w:val="sr-Latn-ME"/>
        </w:rPr>
        <w:tab/>
      </w:r>
      <w:r w:rsidRPr="00783B4B">
        <w:rPr>
          <w:b/>
          <w:bCs/>
          <w:sz w:val="22"/>
          <w:szCs w:val="22"/>
          <w:lang w:val="sr-Latn-ME"/>
        </w:rPr>
        <w:t>Rok upotrebe</w:t>
      </w:r>
    </w:p>
    <w:p w14:paraId="67DC93BA" w14:textId="6DF87152" w:rsidR="0072020E" w:rsidRPr="00783B4B" w:rsidRDefault="0072020E" w:rsidP="00783B4B">
      <w:pPr>
        <w:tabs>
          <w:tab w:val="left" w:pos="540"/>
          <w:tab w:val="left" w:pos="569"/>
        </w:tabs>
        <w:rPr>
          <w:bCs/>
          <w:sz w:val="22"/>
          <w:szCs w:val="22"/>
          <w:lang w:val="sr-Latn-ME"/>
        </w:rPr>
      </w:pPr>
    </w:p>
    <w:p w14:paraId="6F203C8A" w14:textId="14310589" w:rsidR="00EA1140" w:rsidRPr="00783B4B" w:rsidRDefault="00EA1140" w:rsidP="00783B4B">
      <w:pPr>
        <w:tabs>
          <w:tab w:val="left" w:pos="540"/>
          <w:tab w:val="left" w:pos="569"/>
        </w:tabs>
        <w:rPr>
          <w:sz w:val="22"/>
          <w:szCs w:val="22"/>
          <w:lang w:val="sr-Latn-ME"/>
        </w:rPr>
      </w:pPr>
      <w:r w:rsidRPr="00783B4B">
        <w:rPr>
          <w:sz w:val="22"/>
          <w:szCs w:val="22"/>
          <w:lang w:val="sr-Latn-ME"/>
        </w:rPr>
        <w:t>5 godina.</w:t>
      </w:r>
    </w:p>
    <w:p w14:paraId="37AE2366" w14:textId="77777777" w:rsidR="00EA1140" w:rsidRPr="00783B4B" w:rsidRDefault="00EA1140" w:rsidP="00783B4B">
      <w:pPr>
        <w:tabs>
          <w:tab w:val="left" w:pos="540"/>
          <w:tab w:val="left" w:pos="569"/>
        </w:tabs>
        <w:rPr>
          <w:bCs/>
          <w:sz w:val="22"/>
          <w:szCs w:val="22"/>
          <w:lang w:val="sr-Latn-ME"/>
        </w:rPr>
      </w:pPr>
    </w:p>
    <w:p w14:paraId="67DC93BB"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6.4. </w:t>
      </w:r>
      <w:r w:rsidR="00480FB1" w:rsidRPr="00783B4B">
        <w:rPr>
          <w:b/>
          <w:bCs/>
          <w:sz w:val="22"/>
          <w:szCs w:val="22"/>
          <w:lang w:val="sr-Latn-ME"/>
        </w:rPr>
        <w:tab/>
      </w:r>
      <w:r w:rsidRPr="00783B4B">
        <w:rPr>
          <w:b/>
          <w:bCs/>
          <w:sz w:val="22"/>
          <w:szCs w:val="22"/>
          <w:lang w:val="sr-Latn-ME"/>
        </w:rPr>
        <w:t>Posebne mjere upozorenja pri čuvanju</w:t>
      </w:r>
      <w:r w:rsidR="00F8570A" w:rsidRPr="00783B4B">
        <w:rPr>
          <w:b/>
          <w:bCs/>
          <w:sz w:val="22"/>
          <w:szCs w:val="22"/>
          <w:lang w:val="sr-Latn-ME"/>
        </w:rPr>
        <w:t xml:space="preserve"> lijeka</w:t>
      </w:r>
    </w:p>
    <w:p w14:paraId="67DC93BC" w14:textId="57C589B0" w:rsidR="00EC2532" w:rsidRPr="00783B4B" w:rsidRDefault="00EC2532" w:rsidP="00783B4B">
      <w:pPr>
        <w:tabs>
          <w:tab w:val="left" w:pos="540"/>
          <w:tab w:val="left" w:pos="569"/>
        </w:tabs>
        <w:rPr>
          <w:bCs/>
          <w:sz w:val="22"/>
          <w:szCs w:val="22"/>
          <w:lang w:val="sr-Latn-ME"/>
        </w:rPr>
      </w:pPr>
    </w:p>
    <w:p w14:paraId="504003A5" w14:textId="6EAD3765" w:rsidR="00A45BC8" w:rsidRPr="00783B4B" w:rsidRDefault="00A45BC8" w:rsidP="00783B4B">
      <w:pPr>
        <w:tabs>
          <w:tab w:val="left" w:pos="540"/>
          <w:tab w:val="left" w:pos="569"/>
        </w:tabs>
        <w:rPr>
          <w:sz w:val="22"/>
          <w:szCs w:val="22"/>
          <w:lang w:val="sr-Latn-ME"/>
        </w:rPr>
      </w:pPr>
      <w:r w:rsidRPr="00783B4B">
        <w:rPr>
          <w:sz w:val="22"/>
          <w:szCs w:val="22"/>
          <w:lang w:val="sr-Latn-ME"/>
        </w:rPr>
        <w:t xml:space="preserve">Čuvati na temperaturi do </w:t>
      </w:r>
      <w:proofErr w:type="spellStart"/>
      <w:r w:rsidRPr="00783B4B">
        <w:rPr>
          <w:sz w:val="22"/>
          <w:szCs w:val="22"/>
          <w:lang w:val="sr-Latn-ME"/>
        </w:rPr>
        <w:t>30°C</w:t>
      </w:r>
      <w:proofErr w:type="spellEnd"/>
      <w:r w:rsidRPr="00783B4B">
        <w:rPr>
          <w:sz w:val="22"/>
          <w:szCs w:val="22"/>
          <w:lang w:val="sr-Latn-ME"/>
        </w:rPr>
        <w:t>.</w:t>
      </w:r>
    </w:p>
    <w:p w14:paraId="518C1EF3" w14:textId="77777777" w:rsidR="00A45BC8" w:rsidRPr="00783B4B" w:rsidRDefault="00A45BC8" w:rsidP="00783B4B">
      <w:pPr>
        <w:tabs>
          <w:tab w:val="left" w:pos="540"/>
          <w:tab w:val="left" w:pos="569"/>
        </w:tabs>
        <w:rPr>
          <w:bCs/>
          <w:sz w:val="22"/>
          <w:szCs w:val="22"/>
          <w:lang w:val="sr-Latn-ME"/>
        </w:rPr>
      </w:pPr>
    </w:p>
    <w:p w14:paraId="67DC93BD"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6.5. </w:t>
      </w:r>
      <w:r w:rsidR="00480FB1" w:rsidRPr="00783B4B">
        <w:rPr>
          <w:b/>
          <w:bCs/>
          <w:sz w:val="22"/>
          <w:szCs w:val="22"/>
          <w:lang w:val="sr-Latn-ME"/>
        </w:rPr>
        <w:tab/>
      </w:r>
      <w:r w:rsidR="002846DB" w:rsidRPr="00783B4B">
        <w:rPr>
          <w:b/>
          <w:bCs/>
          <w:sz w:val="22"/>
          <w:szCs w:val="22"/>
          <w:lang w:val="sr-Latn-ME"/>
        </w:rPr>
        <w:t xml:space="preserve">Vrsta i sadržaj </w:t>
      </w:r>
      <w:r w:rsidR="00F8570A" w:rsidRPr="00783B4B">
        <w:rPr>
          <w:b/>
          <w:bCs/>
          <w:sz w:val="22"/>
          <w:szCs w:val="22"/>
          <w:lang w:val="sr-Latn-ME"/>
        </w:rPr>
        <w:t>pakovanja</w:t>
      </w:r>
      <w:r w:rsidR="00C06864" w:rsidRPr="00783B4B">
        <w:rPr>
          <w:b/>
          <w:bCs/>
          <w:sz w:val="22"/>
          <w:szCs w:val="22"/>
          <w:lang w:val="sr-Latn-ME"/>
        </w:rPr>
        <w:t xml:space="preserve"> </w:t>
      </w:r>
    </w:p>
    <w:p w14:paraId="67DC93BE" w14:textId="083E5BAC" w:rsidR="0072020E" w:rsidRPr="00783B4B" w:rsidRDefault="0072020E" w:rsidP="00783B4B">
      <w:pPr>
        <w:tabs>
          <w:tab w:val="left" w:pos="540"/>
          <w:tab w:val="left" w:pos="569"/>
        </w:tabs>
        <w:rPr>
          <w:bCs/>
          <w:sz w:val="22"/>
          <w:szCs w:val="22"/>
          <w:lang w:val="sr-Latn-ME"/>
        </w:rPr>
      </w:pPr>
    </w:p>
    <w:p w14:paraId="4DC8D083" w14:textId="77777777" w:rsidR="00804B8E" w:rsidRPr="00783B4B" w:rsidRDefault="00804B8E" w:rsidP="00783B4B">
      <w:pPr>
        <w:tabs>
          <w:tab w:val="left" w:pos="284"/>
        </w:tabs>
        <w:jc w:val="both"/>
        <w:rPr>
          <w:sz w:val="22"/>
          <w:szCs w:val="22"/>
          <w:lang w:val="sr-Latn-ME"/>
        </w:rPr>
      </w:pPr>
      <w:r w:rsidRPr="00783B4B">
        <w:rPr>
          <w:sz w:val="22"/>
          <w:szCs w:val="22"/>
          <w:lang w:val="sr-Latn-ME"/>
        </w:rPr>
        <w:t xml:space="preserve">Unutrašnje pakovanje je PVC/Alu </w:t>
      </w:r>
      <w:proofErr w:type="spellStart"/>
      <w:r w:rsidRPr="00783B4B">
        <w:rPr>
          <w:sz w:val="22"/>
          <w:szCs w:val="22"/>
          <w:lang w:val="sr-Latn-ME"/>
        </w:rPr>
        <w:t>blister</w:t>
      </w:r>
      <w:proofErr w:type="spellEnd"/>
      <w:r w:rsidRPr="00783B4B">
        <w:rPr>
          <w:sz w:val="22"/>
          <w:szCs w:val="22"/>
          <w:lang w:val="sr-Latn-ME"/>
        </w:rPr>
        <w:t xml:space="preserve"> sa po 14 film tableta.</w:t>
      </w:r>
    </w:p>
    <w:p w14:paraId="2BF41EB0" w14:textId="5FEA26DC" w:rsidR="00804B8E" w:rsidRPr="00783B4B" w:rsidRDefault="00804B8E" w:rsidP="00783B4B">
      <w:pPr>
        <w:tabs>
          <w:tab w:val="left" w:pos="284"/>
        </w:tabs>
        <w:jc w:val="both"/>
        <w:rPr>
          <w:strike/>
          <w:sz w:val="22"/>
          <w:szCs w:val="22"/>
          <w:lang w:val="sr-Latn-ME"/>
        </w:rPr>
      </w:pPr>
      <w:r w:rsidRPr="00783B4B">
        <w:rPr>
          <w:sz w:val="22"/>
          <w:szCs w:val="22"/>
          <w:lang w:val="sr-Latn-ME"/>
        </w:rPr>
        <w:t>Spoljašnje pakovanje l</w:t>
      </w:r>
      <w:r w:rsidR="009E150D" w:rsidRPr="00783B4B">
        <w:rPr>
          <w:sz w:val="22"/>
          <w:szCs w:val="22"/>
          <w:lang w:val="sr-Latn-ME"/>
        </w:rPr>
        <w:t>ij</w:t>
      </w:r>
      <w:r w:rsidRPr="00783B4B">
        <w:rPr>
          <w:sz w:val="22"/>
          <w:szCs w:val="22"/>
          <w:lang w:val="sr-Latn-ME"/>
        </w:rPr>
        <w:t xml:space="preserve">eka je </w:t>
      </w:r>
      <w:proofErr w:type="spellStart"/>
      <w:r w:rsidRPr="00783B4B">
        <w:rPr>
          <w:sz w:val="22"/>
          <w:szCs w:val="22"/>
          <w:lang w:val="sr-Latn-ME"/>
        </w:rPr>
        <w:t>složiva</w:t>
      </w:r>
      <w:proofErr w:type="spellEnd"/>
      <w:r w:rsidRPr="00783B4B">
        <w:rPr>
          <w:sz w:val="22"/>
          <w:szCs w:val="22"/>
          <w:lang w:val="sr-Latn-ME"/>
        </w:rPr>
        <w:t xml:space="preserve"> kartonska kutija u kojoj se nalazi 2 </w:t>
      </w:r>
      <w:proofErr w:type="spellStart"/>
      <w:r w:rsidRPr="00783B4B">
        <w:rPr>
          <w:sz w:val="22"/>
          <w:szCs w:val="22"/>
          <w:lang w:val="sr-Latn-ME"/>
        </w:rPr>
        <w:t>blistera</w:t>
      </w:r>
      <w:proofErr w:type="spellEnd"/>
      <w:r w:rsidRPr="00783B4B">
        <w:rPr>
          <w:sz w:val="22"/>
          <w:szCs w:val="22"/>
          <w:lang w:val="sr-Latn-ME"/>
        </w:rPr>
        <w:t xml:space="preserve"> (ukupno 28 film tableta) i Uputstvo za l</w:t>
      </w:r>
      <w:r w:rsidR="009E150D" w:rsidRPr="00783B4B">
        <w:rPr>
          <w:sz w:val="22"/>
          <w:szCs w:val="22"/>
          <w:lang w:val="sr-Latn-ME"/>
        </w:rPr>
        <w:t>ij</w:t>
      </w:r>
      <w:r w:rsidRPr="00783B4B">
        <w:rPr>
          <w:sz w:val="22"/>
          <w:szCs w:val="22"/>
          <w:lang w:val="sr-Latn-ME"/>
        </w:rPr>
        <w:t>ek.</w:t>
      </w:r>
    </w:p>
    <w:p w14:paraId="54376ABA" w14:textId="77777777" w:rsidR="00DF3D5E" w:rsidRPr="00783B4B" w:rsidRDefault="00DF3D5E" w:rsidP="00783B4B">
      <w:pPr>
        <w:tabs>
          <w:tab w:val="left" w:pos="540"/>
          <w:tab w:val="left" w:pos="569"/>
        </w:tabs>
        <w:rPr>
          <w:bCs/>
          <w:sz w:val="22"/>
          <w:szCs w:val="22"/>
          <w:lang w:val="sr-Latn-ME"/>
        </w:rPr>
      </w:pPr>
    </w:p>
    <w:p w14:paraId="67DC93BF" w14:textId="77777777" w:rsidR="002846DB"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6.6. </w:t>
      </w:r>
      <w:r w:rsidR="00480FB1" w:rsidRPr="00783B4B">
        <w:rPr>
          <w:b/>
          <w:bCs/>
          <w:sz w:val="22"/>
          <w:szCs w:val="22"/>
          <w:lang w:val="sr-Latn-ME"/>
        </w:rPr>
        <w:tab/>
      </w:r>
      <w:r w:rsidRPr="00783B4B">
        <w:rPr>
          <w:b/>
          <w:bCs/>
          <w:color w:val="000000"/>
          <w:sz w:val="22"/>
          <w:szCs w:val="22"/>
          <w:lang w:val="sr-Latn-ME"/>
        </w:rPr>
        <w:t>Posebne mjere opreza pri odlaganju materijala koji treba odbaciti nakon primjene lijeka</w:t>
      </w:r>
      <w:r w:rsidRPr="00783B4B">
        <w:rPr>
          <w:b/>
          <w:bCs/>
          <w:sz w:val="22"/>
          <w:szCs w:val="22"/>
          <w:lang w:val="sr-Latn-ME"/>
        </w:rPr>
        <w:t xml:space="preserve"> </w:t>
      </w:r>
      <w:r w:rsidR="00310F03" w:rsidRPr="00783B4B">
        <w:rPr>
          <w:b/>
          <w:bCs/>
          <w:sz w:val="22"/>
          <w:szCs w:val="22"/>
          <w:lang w:val="sr-Latn-ME"/>
        </w:rPr>
        <w:t>(i druga uputs</w:t>
      </w:r>
      <w:r w:rsidR="004109FA" w:rsidRPr="00783B4B">
        <w:rPr>
          <w:b/>
          <w:bCs/>
          <w:sz w:val="22"/>
          <w:szCs w:val="22"/>
          <w:lang w:val="sr-Latn-ME"/>
        </w:rPr>
        <w:t>t</w:t>
      </w:r>
      <w:r w:rsidR="00310F03" w:rsidRPr="00783B4B">
        <w:rPr>
          <w:b/>
          <w:bCs/>
          <w:sz w:val="22"/>
          <w:szCs w:val="22"/>
          <w:lang w:val="sr-Latn-ME"/>
        </w:rPr>
        <w:t xml:space="preserve">va za rukovanje lijekom) </w:t>
      </w:r>
    </w:p>
    <w:p w14:paraId="67DC93C0" w14:textId="15BC01FA" w:rsidR="00B66A70" w:rsidRPr="00783B4B" w:rsidRDefault="00B66A70" w:rsidP="00783B4B">
      <w:pPr>
        <w:tabs>
          <w:tab w:val="left" w:pos="540"/>
          <w:tab w:val="left" w:pos="569"/>
        </w:tabs>
        <w:rPr>
          <w:b/>
          <w:bCs/>
          <w:sz w:val="22"/>
          <w:szCs w:val="22"/>
          <w:lang w:val="sr-Latn-ME"/>
        </w:rPr>
      </w:pPr>
    </w:p>
    <w:p w14:paraId="68A480ED" w14:textId="09F2EB47" w:rsidR="00F13716" w:rsidRPr="00783B4B" w:rsidRDefault="00F13716" w:rsidP="00783B4B">
      <w:pPr>
        <w:tabs>
          <w:tab w:val="left" w:pos="540"/>
          <w:tab w:val="left" w:pos="569"/>
        </w:tabs>
        <w:rPr>
          <w:b/>
          <w:bCs/>
          <w:sz w:val="22"/>
          <w:szCs w:val="22"/>
          <w:lang w:val="sr-Latn-ME"/>
        </w:rPr>
      </w:pPr>
      <w:proofErr w:type="spellStart"/>
      <w:r w:rsidRPr="00783B4B">
        <w:rPr>
          <w:sz w:val="22"/>
          <w:szCs w:val="22"/>
          <w:lang w:val="sr-Latn-ME"/>
        </w:rPr>
        <w:t>Neupotrijebljeni</w:t>
      </w:r>
      <w:proofErr w:type="spellEnd"/>
      <w:r w:rsidRPr="00783B4B">
        <w:rPr>
          <w:sz w:val="22"/>
          <w:szCs w:val="22"/>
          <w:lang w:val="sr-Latn-ME"/>
        </w:rPr>
        <w:t xml:space="preserve"> lijek se odlaže i uništava u skladu sa važećim propisima.</w:t>
      </w:r>
    </w:p>
    <w:p w14:paraId="67DC93C1" w14:textId="363FAE68" w:rsidR="0072020E" w:rsidRPr="00783B4B" w:rsidRDefault="0072020E" w:rsidP="00783B4B">
      <w:pPr>
        <w:tabs>
          <w:tab w:val="left" w:pos="540"/>
          <w:tab w:val="left" w:pos="569"/>
        </w:tabs>
        <w:rPr>
          <w:bCs/>
          <w:sz w:val="22"/>
          <w:szCs w:val="22"/>
          <w:lang w:val="sr-Latn-ME"/>
        </w:rPr>
      </w:pPr>
    </w:p>
    <w:p w14:paraId="4412A060" w14:textId="77777777" w:rsidR="00F13716" w:rsidRPr="00783B4B" w:rsidRDefault="00F13716" w:rsidP="00783B4B">
      <w:pPr>
        <w:tabs>
          <w:tab w:val="left" w:pos="540"/>
          <w:tab w:val="left" w:pos="569"/>
        </w:tabs>
        <w:rPr>
          <w:bCs/>
          <w:sz w:val="22"/>
          <w:szCs w:val="22"/>
          <w:lang w:val="sr-Latn-ME"/>
        </w:rPr>
      </w:pPr>
    </w:p>
    <w:p w14:paraId="67DC93C2" w14:textId="77777777" w:rsidR="00F8570A"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7. </w:t>
      </w:r>
      <w:r w:rsidR="00480FB1" w:rsidRPr="00783B4B">
        <w:rPr>
          <w:b/>
          <w:bCs/>
          <w:sz w:val="22"/>
          <w:szCs w:val="22"/>
          <w:lang w:val="sr-Latn-ME"/>
        </w:rPr>
        <w:tab/>
      </w:r>
      <w:r w:rsidRPr="00783B4B">
        <w:rPr>
          <w:b/>
          <w:bCs/>
          <w:sz w:val="22"/>
          <w:szCs w:val="22"/>
          <w:lang w:val="sr-Latn-ME"/>
        </w:rPr>
        <w:t>NOSILAC DOZVOLE</w:t>
      </w:r>
      <w:r w:rsidR="00483928" w:rsidRPr="00783B4B">
        <w:rPr>
          <w:b/>
          <w:bCs/>
          <w:sz w:val="22"/>
          <w:szCs w:val="22"/>
          <w:lang w:val="sr-Latn-ME"/>
        </w:rPr>
        <w:t xml:space="preserve"> </w:t>
      </w:r>
    </w:p>
    <w:p w14:paraId="67DC93C3" w14:textId="4F9CBBAE" w:rsidR="00C61BE0" w:rsidRPr="00783B4B" w:rsidRDefault="00C61BE0" w:rsidP="00783B4B">
      <w:pPr>
        <w:tabs>
          <w:tab w:val="left" w:pos="540"/>
          <w:tab w:val="left" w:pos="569"/>
        </w:tabs>
        <w:rPr>
          <w:bCs/>
          <w:sz w:val="22"/>
          <w:szCs w:val="22"/>
          <w:lang w:val="sr-Latn-ME"/>
        </w:rPr>
      </w:pPr>
    </w:p>
    <w:p w14:paraId="12A1A382" w14:textId="1AE3252A" w:rsidR="00183F99" w:rsidRPr="00783B4B" w:rsidRDefault="008B672E" w:rsidP="00783B4B">
      <w:pPr>
        <w:tabs>
          <w:tab w:val="left" w:pos="540"/>
          <w:tab w:val="left" w:pos="569"/>
        </w:tabs>
        <w:rPr>
          <w:bCs/>
          <w:sz w:val="22"/>
          <w:szCs w:val="22"/>
          <w:lang w:val="sr-Latn-ME"/>
        </w:rPr>
      </w:pPr>
      <w:proofErr w:type="spellStart"/>
      <w:r w:rsidRPr="00783B4B">
        <w:rPr>
          <w:bCs/>
          <w:sz w:val="22"/>
          <w:szCs w:val="22"/>
          <w:lang w:val="sr-Latn-ME"/>
        </w:rPr>
        <w:t>PharmaSwiss</w:t>
      </w:r>
      <w:proofErr w:type="spellEnd"/>
      <w:r w:rsidRPr="00783B4B">
        <w:rPr>
          <w:bCs/>
          <w:sz w:val="22"/>
          <w:szCs w:val="22"/>
          <w:lang w:val="sr-Latn-ME"/>
        </w:rPr>
        <w:t xml:space="preserve"> - </w:t>
      </w:r>
      <w:proofErr w:type="spellStart"/>
      <w:r w:rsidRPr="00783B4B">
        <w:rPr>
          <w:bCs/>
          <w:sz w:val="22"/>
          <w:szCs w:val="22"/>
          <w:lang w:val="sr-Latn-ME"/>
        </w:rPr>
        <w:t>Montenegro</w:t>
      </w:r>
      <w:proofErr w:type="spellEnd"/>
      <w:r w:rsidRPr="00783B4B">
        <w:rPr>
          <w:bCs/>
          <w:sz w:val="22"/>
          <w:szCs w:val="22"/>
          <w:lang w:val="sr-Latn-ME"/>
        </w:rPr>
        <w:t xml:space="preserve">, </w:t>
      </w:r>
      <w:proofErr w:type="spellStart"/>
      <w:r w:rsidRPr="00783B4B">
        <w:rPr>
          <w:bCs/>
          <w:sz w:val="22"/>
          <w:szCs w:val="22"/>
          <w:lang w:val="sr-Latn-ME"/>
        </w:rPr>
        <w:t>PharmaSwiss</w:t>
      </w:r>
      <w:proofErr w:type="spellEnd"/>
      <w:r w:rsidRPr="00783B4B">
        <w:rPr>
          <w:bCs/>
          <w:sz w:val="22"/>
          <w:szCs w:val="22"/>
          <w:lang w:val="sr-Latn-ME"/>
        </w:rPr>
        <w:t xml:space="preserve"> </w:t>
      </w:r>
      <w:proofErr w:type="spellStart"/>
      <w:r w:rsidRPr="00783B4B">
        <w:rPr>
          <w:bCs/>
          <w:sz w:val="22"/>
          <w:szCs w:val="22"/>
          <w:lang w:val="sr-Latn-ME"/>
        </w:rPr>
        <w:t>doo</w:t>
      </w:r>
      <w:proofErr w:type="spellEnd"/>
      <w:r w:rsidRPr="00783B4B">
        <w:rPr>
          <w:bCs/>
          <w:sz w:val="22"/>
          <w:szCs w:val="22"/>
          <w:lang w:val="sr-Latn-ME"/>
        </w:rPr>
        <w:t xml:space="preserve"> Beograd, dio stranog društva u Podgorici</w:t>
      </w:r>
    </w:p>
    <w:p w14:paraId="4AD8EA49" w14:textId="17156A57" w:rsidR="008B672E" w:rsidRPr="00783B4B" w:rsidRDefault="008B672E" w:rsidP="00783B4B">
      <w:pPr>
        <w:tabs>
          <w:tab w:val="left" w:pos="540"/>
          <w:tab w:val="left" w:pos="569"/>
        </w:tabs>
        <w:rPr>
          <w:bCs/>
          <w:sz w:val="22"/>
          <w:szCs w:val="22"/>
          <w:lang w:val="sr-Latn-ME"/>
        </w:rPr>
      </w:pPr>
      <w:r w:rsidRPr="00783B4B">
        <w:rPr>
          <w:bCs/>
          <w:sz w:val="22"/>
          <w:szCs w:val="22"/>
          <w:lang w:val="sr-Latn-ME"/>
        </w:rPr>
        <w:t>Rimski trg</w:t>
      </w:r>
      <w:r w:rsidR="00183F99" w:rsidRPr="00783B4B">
        <w:rPr>
          <w:bCs/>
          <w:sz w:val="22"/>
          <w:szCs w:val="22"/>
          <w:lang w:val="sr-Latn-ME"/>
        </w:rPr>
        <w:t xml:space="preserve"> br.</w:t>
      </w:r>
      <w:r w:rsidRPr="00783B4B">
        <w:rPr>
          <w:bCs/>
          <w:sz w:val="22"/>
          <w:szCs w:val="22"/>
          <w:lang w:val="sr-Latn-ME"/>
        </w:rPr>
        <w:t xml:space="preserve"> 16, Podgorica</w:t>
      </w:r>
      <w:r w:rsidR="003A5F66" w:rsidRPr="00783B4B">
        <w:rPr>
          <w:bCs/>
          <w:sz w:val="22"/>
          <w:szCs w:val="22"/>
          <w:lang w:val="sr-Latn-ME"/>
        </w:rPr>
        <w:t>, Crna Gora</w:t>
      </w:r>
    </w:p>
    <w:p w14:paraId="3CBAAFB1" w14:textId="77777777" w:rsidR="008B672E" w:rsidRPr="00783B4B" w:rsidRDefault="008B672E" w:rsidP="00783B4B">
      <w:pPr>
        <w:tabs>
          <w:tab w:val="left" w:pos="540"/>
          <w:tab w:val="left" w:pos="569"/>
        </w:tabs>
        <w:rPr>
          <w:bCs/>
          <w:sz w:val="22"/>
          <w:szCs w:val="22"/>
          <w:lang w:val="sr-Latn-ME"/>
        </w:rPr>
      </w:pPr>
    </w:p>
    <w:p w14:paraId="67DC93C4" w14:textId="77777777" w:rsidR="00C37FD7" w:rsidRPr="00783B4B" w:rsidRDefault="00C37FD7" w:rsidP="00783B4B">
      <w:pPr>
        <w:tabs>
          <w:tab w:val="left" w:pos="540"/>
          <w:tab w:val="left" w:pos="569"/>
        </w:tabs>
        <w:rPr>
          <w:bCs/>
          <w:sz w:val="22"/>
          <w:szCs w:val="22"/>
          <w:lang w:val="sr-Latn-ME"/>
        </w:rPr>
      </w:pPr>
    </w:p>
    <w:p w14:paraId="67DC93C5"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8. </w:t>
      </w:r>
      <w:r w:rsidR="00480FB1" w:rsidRPr="00783B4B">
        <w:rPr>
          <w:b/>
          <w:bCs/>
          <w:sz w:val="22"/>
          <w:szCs w:val="22"/>
          <w:lang w:val="sr-Latn-ME"/>
        </w:rPr>
        <w:tab/>
      </w:r>
      <w:r w:rsidRPr="00783B4B">
        <w:rPr>
          <w:b/>
          <w:bCs/>
          <w:sz w:val="22"/>
          <w:szCs w:val="22"/>
          <w:lang w:val="sr-Latn-ME"/>
        </w:rPr>
        <w:t>BROJ DOZVOLE</w:t>
      </w:r>
      <w:r w:rsidR="008A6D43" w:rsidRPr="00783B4B">
        <w:rPr>
          <w:b/>
          <w:bCs/>
          <w:sz w:val="22"/>
          <w:szCs w:val="22"/>
          <w:lang w:val="sr-Latn-ME"/>
        </w:rPr>
        <w:t xml:space="preserve"> ZA STAVLJANJE LIJEKA U PROMET</w:t>
      </w:r>
    </w:p>
    <w:p w14:paraId="67DC93C6" w14:textId="0F172BF1" w:rsidR="0072020E" w:rsidRPr="00783B4B" w:rsidRDefault="0072020E" w:rsidP="00783B4B">
      <w:pPr>
        <w:tabs>
          <w:tab w:val="left" w:pos="540"/>
          <w:tab w:val="left" w:pos="569"/>
        </w:tabs>
        <w:rPr>
          <w:bCs/>
          <w:sz w:val="22"/>
          <w:szCs w:val="22"/>
          <w:lang w:val="sr-Latn-ME"/>
        </w:rPr>
      </w:pPr>
    </w:p>
    <w:p w14:paraId="59ECABD5" w14:textId="1EA1316D" w:rsidR="00CD55A6" w:rsidRDefault="009D122F" w:rsidP="00783B4B">
      <w:pPr>
        <w:tabs>
          <w:tab w:val="left" w:pos="540"/>
          <w:tab w:val="left" w:pos="569"/>
        </w:tabs>
        <w:rPr>
          <w:bCs/>
          <w:sz w:val="22"/>
          <w:szCs w:val="22"/>
          <w:lang w:val="sr-Latn-ME"/>
        </w:rPr>
      </w:pPr>
      <w:r w:rsidRPr="009D122F">
        <w:rPr>
          <w:bCs/>
          <w:sz w:val="22"/>
          <w:szCs w:val="22"/>
          <w:lang w:val="sr-Latn-ME"/>
        </w:rPr>
        <w:t>2030/23/145 - 5373</w:t>
      </w:r>
    </w:p>
    <w:p w14:paraId="28F1D447" w14:textId="77777777" w:rsidR="009D122F" w:rsidRPr="00783B4B" w:rsidRDefault="009D122F" w:rsidP="00783B4B">
      <w:pPr>
        <w:tabs>
          <w:tab w:val="left" w:pos="540"/>
          <w:tab w:val="left" w:pos="569"/>
        </w:tabs>
        <w:rPr>
          <w:bCs/>
          <w:sz w:val="22"/>
          <w:szCs w:val="22"/>
          <w:lang w:val="sr-Latn-ME"/>
        </w:rPr>
      </w:pPr>
    </w:p>
    <w:p w14:paraId="67DC93C7" w14:textId="77777777" w:rsidR="00F45F77" w:rsidRPr="00783B4B" w:rsidRDefault="00F45F77" w:rsidP="00783B4B">
      <w:pPr>
        <w:tabs>
          <w:tab w:val="left" w:pos="540"/>
          <w:tab w:val="left" w:pos="569"/>
        </w:tabs>
        <w:rPr>
          <w:bCs/>
          <w:sz w:val="22"/>
          <w:szCs w:val="22"/>
          <w:lang w:val="sr-Latn-ME"/>
        </w:rPr>
      </w:pPr>
    </w:p>
    <w:p w14:paraId="67DC93C8" w14:textId="77777777" w:rsidR="0072020E" w:rsidRPr="00783B4B" w:rsidRDefault="0072020E" w:rsidP="00783B4B">
      <w:pPr>
        <w:tabs>
          <w:tab w:val="left" w:pos="540"/>
          <w:tab w:val="left" w:pos="569"/>
        </w:tabs>
        <w:rPr>
          <w:b/>
          <w:bCs/>
          <w:sz w:val="22"/>
          <w:szCs w:val="22"/>
          <w:lang w:val="sr-Latn-ME"/>
        </w:rPr>
      </w:pPr>
      <w:r w:rsidRPr="00783B4B">
        <w:rPr>
          <w:b/>
          <w:bCs/>
          <w:sz w:val="22"/>
          <w:szCs w:val="22"/>
          <w:lang w:val="sr-Latn-ME"/>
        </w:rPr>
        <w:t xml:space="preserve">9. </w:t>
      </w:r>
      <w:r w:rsidR="00480FB1" w:rsidRPr="00783B4B">
        <w:rPr>
          <w:b/>
          <w:bCs/>
          <w:sz w:val="22"/>
          <w:szCs w:val="22"/>
          <w:lang w:val="sr-Latn-ME"/>
        </w:rPr>
        <w:tab/>
      </w:r>
      <w:r w:rsidRPr="00783B4B">
        <w:rPr>
          <w:b/>
          <w:bCs/>
          <w:sz w:val="22"/>
          <w:szCs w:val="22"/>
          <w:lang w:val="sr-Latn-ME"/>
        </w:rPr>
        <w:t xml:space="preserve">DATUM </w:t>
      </w:r>
      <w:r w:rsidR="00C05DF8" w:rsidRPr="00783B4B">
        <w:rPr>
          <w:b/>
          <w:bCs/>
          <w:sz w:val="22"/>
          <w:szCs w:val="22"/>
          <w:lang w:val="sr-Latn-ME"/>
        </w:rPr>
        <w:t xml:space="preserve">PRVE </w:t>
      </w:r>
      <w:r w:rsidR="008A6D43" w:rsidRPr="00783B4B">
        <w:rPr>
          <w:b/>
          <w:bCs/>
          <w:sz w:val="22"/>
          <w:szCs w:val="22"/>
          <w:lang w:val="sr-Latn-ME"/>
        </w:rPr>
        <w:t>DOZVOLE</w:t>
      </w:r>
      <w:r w:rsidR="00C05DF8" w:rsidRPr="00783B4B">
        <w:rPr>
          <w:b/>
          <w:bCs/>
          <w:sz w:val="22"/>
          <w:szCs w:val="22"/>
          <w:lang w:val="sr-Latn-ME"/>
        </w:rPr>
        <w:t>/OBNOVE DOZVOLE</w:t>
      </w:r>
      <w:r w:rsidR="008A6D43" w:rsidRPr="00783B4B">
        <w:rPr>
          <w:b/>
          <w:bCs/>
          <w:sz w:val="22"/>
          <w:szCs w:val="22"/>
          <w:lang w:val="sr-Latn-ME"/>
        </w:rPr>
        <w:t xml:space="preserve"> ZA STAVLJANJE LIJEKA U PROMET</w:t>
      </w:r>
    </w:p>
    <w:p w14:paraId="67DC93C9" w14:textId="4504A7D6" w:rsidR="0072020E" w:rsidRPr="00783B4B" w:rsidRDefault="0072020E" w:rsidP="00783B4B">
      <w:pPr>
        <w:tabs>
          <w:tab w:val="left" w:pos="540"/>
          <w:tab w:val="left" w:pos="569"/>
        </w:tabs>
        <w:rPr>
          <w:bCs/>
          <w:sz w:val="22"/>
          <w:szCs w:val="22"/>
          <w:lang w:val="sr-Latn-ME"/>
        </w:rPr>
      </w:pPr>
    </w:p>
    <w:p w14:paraId="5EA79F32" w14:textId="4B080837" w:rsidR="009215CE" w:rsidRPr="00783B4B" w:rsidRDefault="00183F99" w:rsidP="00783B4B">
      <w:pPr>
        <w:tabs>
          <w:tab w:val="left" w:pos="540"/>
          <w:tab w:val="left" w:pos="569"/>
        </w:tabs>
        <w:rPr>
          <w:sz w:val="22"/>
          <w:szCs w:val="22"/>
          <w:lang w:val="sr-Latn-ME" w:eastAsia="sr-Latn-ME"/>
        </w:rPr>
      </w:pPr>
      <w:r w:rsidRPr="00783B4B">
        <w:rPr>
          <w:sz w:val="22"/>
          <w:szCs w:val="22"/>
          <w:lang w:val="sr-Latn-ME"/>
        </w:rPr>
        <w:t>Datum prve dozvole</w:t>
      </w:r>
      <w:r w:rsidR="009215CE" w:rsidRPr="00783B4B">
        <w:rPr>
          <w:sz w:val="22"/>
          <w:szCs w:val="22"/>
          <w:lang w:val="sr-Latn-ME"/>
        </w:rPr>
        <w:t xml:space="preserve">: </w:t>
      </w:r>
      <w:r w:rsidR="009215CE" w:rsidRPr="00783B4B">
        <w:rPr>
          <w:sz w:val="22"/>
          <w:szCs w:val="22"/>
          <w:lang w:val="sr-Latn-ME" w:eastAsia="sr-Latn-ME"/>
        </w:rPr>
        <w:t>31.07.2013. godine</w:t>
      </w:r>
    </w:p>
    <w:p w14:paraId="26196B66" w14:textId="3967AE13" w:rsidR="00183F99" w:rsidRPr="00783B4B" w:rsidRDefault="00183F99" w:rsidP="00783B4B">
      <w:pPr>
        <w:tabs>
          <w:tab w:val="left" w:pos="540"/>
          <w:tab w:val="left" w:pos="569"/>
        </w:tabs>
        <w:rPr>
          <w:bCs/>
          <w:sz w:val="22"/>
          <w:szCs w:val="22"/>
          <w:lang w:val="sr-Latn-ME"/>
        </w:rPr>
      </w:pPr>
      <w:r w:rsidRPr="00783B4B">
        <w:rPr>
          <w:sz w:val="22"/>
          <w:szCs w:val="22"/>
          <w:lang w:val="sr-Latn-ME" w:eastAsia="sr-Latn-ME"/>
        </w:rPr>
        <w:t xml:space="preserve">Datum </w:t>
      </w:r>
      <w:proofErr w:type="spellStart"/>
      <w:r w:rsidRPr="00783B4B">
        <w:rPr>
          <w:sz w:val="22"/>
          <w:szCs w:val="22"/>
          <w:lang w:val="sr-Latn-ME" w:eastAsia="sr-Latn-ME"/>
        </w:rPr>
        <w:t>poslednje</w:t>
      </w:r>
      <w:proofErr w:type="spellEnd"/>
      <w:r w:rsidRPr="00783B4B">
        <w:rPr>
          <w:sz w:val="22"/>
          <w:szCs w:val="22"/>
          <w:lang w:val="sr-Latn-ME" w:eastAsia="sr-Latn-ME"/>
        </w:rPr>
        <w:t xml:space="preserve"> obnove dozvole: </w:t>
      </w:r>
      <w:r w:rsidR="009D122F">
        <w:rPr>
          <w:sz w:val="22"/>
          <w:szCs w:val="22"/>
          <w:lang w:val="sr-Latn-ME" w:eastAsia="sr-Latn-ME"/>
        </w:rPr>
        <w:t>17.01.2023. godine</w:t>
      </w:r>
    </w:p>
    <w:p w14:paraId="67DC93CB" w14:textId="77777777" w:rsidR="003F6A59" w:rsidRPr="00783B4B" w:rsidRDefault="0072020E" w:rsidP="00783B4B">
      <w:pPr>
        <w:tabs>
          <w:tab w:val="left" w:pos="540"/>
          <w:tab w:val="left" w:pos="569"/>
        </w:tabs>
        <w:ind w:left="540" w:hanging="540"/>
        <w:rPr>
          <w:bCs/>
          <w:sz w:val="22"/>
          <w:szCs w:val="22"/>
          <w:lang w:val="sr-Latn-ME"/>
        </w:rPr>
      </w:pPr>
      <w:r w:rsidRPr="00783B4B">
        <w:rPr>
          <w:b/>
          <w:bCs/>
          <w:sz w:val="22"/>
          <w:szCs w:val="22"/>
          <w:lang w:val="sr-Latn-ME"/>
        </w:rPr>
        <w:lastRenderedPageBreak/>
        <w:t xml:space="preserve">10. </w:t>
      </w:r>
      <w:r w:rsidR="00480FB1" w:rsidRPr="00783B4B">
        <w:rPr>
          <w:b/>
          <w:bCs/>
          <w:sz w:val="22"/>
          <w:szCs w:val="22"/>
          <w:lang w:val="sr-Latn-ME"/>
        </w:rPr>
        <w:tab/>
      </w:r>
      <w:r w:rsidR="002846DB" w:rsidRPr="00783B4B">
        <w:rPr>
          <w:b/>
          <w:bCs/>
          <w:sz w:val="22"/>
          <w:szCs w:val="22"/>
          <w:lang w:val="sr-Latn-ME"/>
        </w:rPr>
        <w:t>D</w:t>
      </w:r>
      <w:r w:rsidR="00EC2532" w:rsidRPr="00783B4B">
        <w:rPr>
          <w:b/>
          <w:bCs/>
          <w:sz w:val="22"/>
          <w:szCs w:val="22"/>
          <w:lang w:val="sr-Latn-ME"/>
        </w:rPr>
        <w:t xml:space="preserve">ATUM REVIZIJE TEKSTA </w:t>
      </w:r>
    </w:p>
    <w:p w14:paraId="67DC93CC" w14:textId="77777777" w:rsidR="003F6A59" w:rsidRPr="00783B4B" w:rsidRDefault="003F6A59" w:rsidP="00783B4B">
      <w:pPr>
        <w:tabs>
          <w:tab w:val="left" w:pos="540"/>
          <w:tab w:val="left" w:pos="569"/>
        </w:tabs>
        <w:rPr>
          <w:bCs/>
          <w:sz w:val="22"/>
          <w:szCs w:val="22"/>
          <w:lang w:val="sr-Latn-ME"/>
        </w:rPr>
      </w:pPr>
    </w:p>
    <w:p w14:paraId="67DC93D4" w14:textId="471DE002" w:rsidR="003F6A59" w:rsidRPr="00783B4B" w:rsidRDefault="009D122F" w:rsidP="00783B4B">
      <w:pPr>
        <w:tabs>
          <w:tab w:val="left" w:pos="540"/>
          <w:tab w:val="left" w:pos="569"/>
        </w:tabs>
        <w:rPr>
          <w:bCs/>
          <w:sz w:val="22"/>
          <w:szCs w:val="22"/>
          <w:lang w:val="sr-Latn-ME"/>
        </w:rPr>
      </w:pPr>
      <w:r>
        <w:rPr>
          <w:bCs/>
          <w:sz w:val="22"/>
          <w:szCs w:val="22"/>
          <w:lang w:val="sr-Latn-ME"/>
        </w:rPr>
        <w:t>Januar, 2023. godine</w:t>
      </w:r>
      <w:bookmarkStart w:id="0" w:name="_GoBack"/>
      <w:bookmarkEnd w:id="0"/>
    </w:p>
    <w:sectPr w:rsidR="003F6A59" w:rsidRPr="00783B4B" w:rsidSect="006B5404">
      <w:footerReference w:type="default" r:id="rId13"/>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A7688" w14:textId="77777777" w:rsidR="005C5067" w:rsidRDefault="005C5067">
      <w:r>
        <w:separator/>
      </w:r>
    </w:p>
  </w:endnote>
  <w:endnote w:type="continuationSeparator" w:id="0">
    <w:p w14:paraId="34F708D1" w14:textId="77777777" w:rsidR="005C5067" w:rsidRDefault="005C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imesNewRoman">
    <w:altName w:val="MS Gothic"/>
    <w:panose1 w:val="00000000000000000000"/>
    <w:charset w:val="00"/>
    <w:family w:val="roman"/>
    <w:notTrueType/>
    <w:pitch w:val="default"/>
    <w:sig w:usb0="00000007" w:usb1="08070000" w:usb2="00000010" w:usb3="00000000" w:csb0="00020003"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93DB" w14:textId="0BF3B955" w:rsidR="00783B4B" w:rsidRPr="00B23F69" w:rsidRDefault="00783B4B"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D122F">
      <w:rPr>
        <w:noProof/>
        <w:sz w:val="22"/>
        <w:szCs w:val="22"/>
      </w:rPr>
      <w:t>15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D122F">
      <w:rPr>
        <w:noProof/>
        <w:sz w:val="22"/>
        <w:szCs w:val="22"/>
      </w:rPr>
      <w:t>15</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E74AF" w14:textId="77777777" w:rsidR="005C5067" w:rsidRDefault="005C5067">
      <w:r>
        <w:separator/>
      </w:r>
    </w:p>
  </w:footnote>
  <w:footnote w:type="continuationSeparator" w:id="0">
    <w:p w14:paraId="32FDF5A6" w14:textId="77777777" w:rsidR="005C5067" w:rsidRDefault="005C5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5.55pt;height:13.8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420D"/>
    <w:multiLevelType w:val="hybridMultilevel"/>
    <w:tmpl w:val="5D5634B8"/>
    <w:lvl w:ilvl="0" w:tplc="7CE60D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2565480"/>
    <w:multiLevelType w:val="hybridMultilevel"/>
    <w:tmpl w:val="E15AB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6025FF"/>
    <w:multiLevelType w:val="hybridMultilevel"/>
    <w:tmpl w:val="A654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A513DC2"/>
    <w:multiLevelType w:val="hybridMultilevel"/>
    <w:tmpl w:val="F774C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5B2D63"/>
    <w:multiLevelType w:val="hybridMultilevel"/>
    <w:tmpl w:val="6574767C"/>
    <w:lvl w:ilvl="0" w:tplc="081A0017">
      <w:start w:val="1"/>
      <w:numFmt w:val="lowerLetter"/>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7CD1108"/>
    <w:multiLevelType w:val="hybridMultilevel"/>
    <w:tmpl w:val="0A3266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17CE6"/>
    <w:multiLevelType w:val="hybridMultilevel"/>
    <w:tmpl w:val="BEFC5000"/>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5"/>
  </w:num>
  <w:num w:numId="3">
    <w:abstractNumId w:val="0"/>
  </w:num>
  <w:num w:numId="4">
    <w:abstractNumId w:val="13"/>
  </w:num>
  <w:num w:numId="5">
    <w:abstractNumId w:val="4"/>
  </w:num>
  <w:num w:numId="6">
    <w:abstractNumId w:val="1"/>
  </w:num>
  <w:num w:numId="7">
    <w:abstractNumId w:val="10"/>
  </w:num>
  <w:num w:numId="8">
    <w:abstractNumId w:val="3"/>
  </w:num>
  <w:num w:numId="9">
    <w:abstractNumId w:val="7"/>
  </w:num>
  <w:num w:numId="10">
    <w:abstractNumId w:val="16"/>
  </w:num>
  <w:num w:numId="11">
    <w:abstractNumId w:val="5"/>
  </w:num>
  <w:num w:numId="12">
    <w:abstractNumId w:val="6"/>
  </w:num>
  <w:num w:numId="13">
    <w:abstractNumId w:val="12"/>
  </w:num>
  <w:num w:numId="14">
    <w:abstractNumId w:val="14"/>
  </w:num>
  <w:num w:numId="15">
    <w:abstractNumId w:val="9"/>
  </w:num>
  <w:num w:numId="16">
    <w:abstractNumId w:val="11"/>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FE6"/>
    <w:rsid w:val="0000373D"/>
    <w:rsid w:val="00006672"/>
    <w:rsid w:val="0000687B"/>
    <w:rsid w:val="00011A20"/>
    <w:rsid w:val="000174E1"/>
    <w:rsid w:val="000176CA"/>
    <w:rsid w:val="00020E8A"/>
    <w:rsid w:val="000249B0"/>
    <w:rsid w:val="0002637B"/>
    <w:rsid w:val="00026719"/>
    <w:rsid w:val="00026EB8"/>
    <w:rsid w:val="00030DD8"/>
    <w:rsid w:val="00036FA0"/>
    <w:rsid w:val="0003793F"/>
    <w:rsid w:val="00040A4F"/>
    <w:rsid w:val="00051BC7"/>
    <w:rsid w:val="00054039"/>
    <w:rsid w:val="00057E35"/>
    <w:rsid w:val="0006506B"/>
    <w:rsid w:val="00070715"/>
    <w:rsid w:val="000752D3"/>
    <w:rsid w:val="00075964"/>
    <w:rsid w:val="00076726"/>
    <w:rsid w:val="00077CE2"/>
    <w:rsid w:val="00080303"/>
    <w:rsid w:val="000912AA"/>
    <w:rsid w:val="0009138C"/>
    <w:rsid w:val="000926B9"/>
    <w:rsid w:val="00094179"/>
    <w:rsid w:val="000A2996"/>
    <w:rsid w:val="000A3F39"/>
    <w:rsid w:val="000A3F58"/>
    <w:rsid w:val="000B05E7"/>
    <w:rsid w:val="000B0C68"/>
    <w:rsid w:val="000B45E4"/>
    <w:rsid w:val="000B4F55"/>
    <w:rsid w:val="000B5740"/>
    <w:rsid w:val="000C33B4"/>
    <w:rsid w:val="000C7F01"/>
    <w:rsid w:val="000D2343"/>
    <w:rsid w:val="000D3449"/>
    <w:rsid w:val="000D3ABB"/>
    <w:rsid w:val="000D425A"/>
    <w:rsid w:val="000D60CC"/>
    <w:rsid w:val="000E2084"/>
    <w:rsid w:val="000E6482"/>
    <w:rsid w:val="000E6F55"/>
    <w:rsid w:val="000F2202"/>
    <w:rsid w:val="000F5D90"/>
    <w:rsid w:val="000F6635"/>
    <w:rsid w:val="000F77FA"/>
    <w:rsid w:val="000F7C17"/>
    <w:rsid w:val="001073F4"/>
    <w:rsid w:val="00107BF7"/>
    <w:rsid w:val="001126CB"/>
    <w:rsid w:val="00117BCB"/>
    <w:rsid w:val="0012399C"/>
    <w:rsid w:val="00126F53"/>
    <w:rsid w:val="00131A5A"/>
    <w:rsid w:val="00142AD5"/>
    <w:rsid w:val="00146EA5"/>
    <w:rsid w:val="0014766D"/>
    <w:rsid w:val="00150F20"/>
    <w:rsid w:val="001536CC"/>
    <w:rsid w:val="001567EB"/>
    <w:rsid w:val="00161B15"/>
    <w:rsid w:val="0016733F"/>
    <w:rsid w:val="00167B6E"/>
    <w:rsid w:val="0017357B"/>
    <w:rsid w:val="00173F20"/>
    <w:rsid w:val="00183D82"/>
    <w:rsid w:val="00183F99"/>
    <w:rsid w:val="00184F11"/>
    <w:rsid w:val="00187685"/>
    <w:rsid w:val="001922A4"/>
    <w:rsid w:val="001A165B"/>
    <w:rsid w:val="001A3838"/>
    <w:rsid w:val="001A3FBA"/>
    <w:rsid w:val="001A5518"/>
    <w:rsid w:val="001B1C6A"/>
    <w:rsid w:val="001B5060"/>
    <w:rsid w:val="001B6CAA"/>
    <w:rsid w:val="001C1263"/>
    <w:rsid w:val="001C1417"/>
    <w:rsid w:val="001C1F58"/>
    <w:rsid w:val="001C5DA5"/>
    <w:rsid w:val="001D1681"/>
    <w:rsid w:val="001D2D83"/>
    <w:rsid w:val="001D50A5"/>
    <w:rsid w:val="001E37C2"/>
    <w:rsid w:val="001E390B"/>
    <w:rsid w:val="001E76C2"/>
    <w:rsid w:val="001F42FB"/>
    <w:rsid w:val="001F719A"/>
    <w:rsid w:val="00201DCA"/>
    <w:rsid w:val="002031B3"/>
    <w:rsid w:val="00204CF0"/>
    <w:rsid w:val="00213F1C"/>
    <w:rsid w:val="00215931"/>
    <w:rsid w:val="00224C91"/>
    <w:rsid w:val="00227BDB"/>
    <w:rsid w:val="0023493B"/>
    <w:rsid w:val="00234CB1"/>
    <w:rsid w:val="002352F8"/>
    <w:rsid w:val="002433BB"/>
    <w:rsid w:val="00245100"/>
    <w:rsid w:val="00245EC6"/>
    <w:rsid w:val="002470DB"/>
    <w:rsid w:val="00247C90"/>
    <w:rsid w:val="002510A5"/>
    <w:rsid w:val="0025221C"/>
    <w:rsid w:val="00254A0A"/>
    <w:rsid w:val="00260866"/>
    <w:rsid w:val="00263B8C"/>
    <w:rsid w:val="002647F9"/>
    <w:rsid w:val="00266046"/>
    <w:rsid w:val="0027798E"/>
    <w:rsid w:val="00281218"/>
    <w:rsid w:val="002812DA"/>
    <w:rsid w:val="002846DB"/>
    <w:rsid w:val="00284A4C"/>
    <w:rsid w:val="00284CCD"/>
    <w:rsid w:val="0028788A"/>
    <w:rsid w:val="002879FE"/>
    <w:rsid w:val="00291AE3"/>
    <w:rsid w:val="002A022A"/>
    <w:rsid w:val="002A0553"/>
    <w:rsid w:val="002A0914"/>
    <w:rsid w:val="002B07A9"/>
    <w:rsid w:val="002B0E01"/>
    <w:rsid w:val="002B1268"/>
    <w:rsid w:val="002C6637"/>
    <w:rsid w:val="002D4D05"/>
    <w:rsid w:val="002E0135"/>
    <w:rsid w:val="002E37A5"/>
    <w:rsid w:val="002E5B64"/>
    <w:rsid w:val="002F1580"/>
    <w:rsid w:val="002F19DB"/>
    <w:rsid w:val="002F26B6"/>
    <w:rsid w:val="002F3156"/>
    <w:rsid w:val="002F7523"/>
    <w:rsid w:val="00304650"/>
    <w:rsid w:val="00304AC0"/>
    <w:rsid w:val="00306CC4"/>
    <w:rsid w:val="00310F03"/>
    <w:rsid w:val="003116FC"/>
    <w:rsid w:val="00322D6A"/>
    <w:rsid w:val="003247D2"/>
    <w:rsid w:val="0033579A"/>
    <w:rsid w:val="00335DC1"/>
    <w:rsid w:val="00336AE9"/>
    <w:rsid w:val="00341D42"/>
    <w:rsid w:val="00342480"/>
    <w:rsid w:val="0034305F"/>
    <w:rsid w:val="003445C1"/>
    <w:rsid w:val="00351AF0"/>
    <w:rsid w:val="0035241B"/>
    <w:rsid w:val="00355B61"/>
    <w:rsid w:val="00355ED1"/>
    <w:rsid w:val="0036253C"/>
    <w:rsid w:val="00362686"/>
    <w:rsid w:val="00371510"/>
    <w:rsid w:val="003724BE"/>
    <w:rsid w:val="00373CB7"/>
    <w:rsid w:val="00374E22"/>
    <w:rsid w:val="00375055"/>
    <w:rsid w:val="0039070A"/>
    <w:rsid w:val="003917A4"/>
    <w:rsid w:val="00396DFD"/>
    <w:rsid w:val="003A0687"/>
    <w:rsid w:val="003A30CA"/>
    <w:rsid w:val="003A5F66"/>
    <w:rsid w:val="003A7059"/>
    <w:rsid w:val="003A71A1"/>
    <w:rsid w:val="003B0C18"/>
    <w:rsid w:val="003B277A"/>
    <w:rsid w:val="003B7A36"/>
    <w:rsid w:val="003C0294"/>
    <w:rsid w:val="003C0754"/>
    <w:rsid w:val="003C17AB"/>
    <w:rsid w:val="003C3ABB"/>
    <w:rsid w:val="003C5F2C"/>
    <w:rsid w:val="003C62A5"/>
    <w:rsid w:val="003C7823"/>
    <w:rsid w:val="003E1DCC"/>
    <w:rsid w:val="003E3A41"/>
    <w:rsid w:val="003E51CF"/>
    <w:rsid w:val="003F11A1"/>
    <w:rsid w:val="003F169C"/>
    <w:rsid w:val="003F6124"/>
    <w:rsid w:val="003F6A59"/>
    <w:rsid w:val="00400143"/>
    <w:rsid w:val="00400DAC"/>
    <w:rsid w:val="004030DC"/>
    <w:rsid w:val="00405340"/>
    <w:rsid w:val="004065C8"/>
    <w:rsid w:val="0040693A"/>
    <w:rsid w:val="004109FA"/>
    <w:rsid w:val="00411B4B"/>
    <w:rsid w:val="004132A5"/>
    <w:rsid w:val="00415BEE"/>
    <w:rsid w:val="0041685C"/>
    <w:rsid w:val="0042251C"/>
    <w:rsid w:val="004242B3"/>
    <w:rsid w:val="00424FF7"/>
    <w:rsid w:val="004274AD"/>
    <w:rsid w:val="00427C51"/>
    <w:rsid w:val="00427F85"/>
    <w:rsid w:val="00432304"/>
    <w:rsid w:val="00436F42"/>
    <w:rsid w:val="004378B4"/>
    <w:rsid w:val="00440303"/>
    <w:rsid w:val="004434F0"/>
    <w:rsid w:val="00443BA3"/>
    <w:rsid w:val="00451314"/>
    <w:rsid w:val="00452E9D"/>
    <w:rsid w:val="004534C7"/>
    <w:rsid w:val="00454951"/>
    <w:rsid w:val="004577E9"/>
    <w:rsid w:val="00464ABC"/>
    <w:rsid w:val="00465285"/>
    <w:rsid w:val="004671AA"/>
    <w:rsid w:val="00472312"/>
    <w:rsid w:val="00472CFB"/>
    <w:rsid w:val="00475D4D"/>
    <w:rsid w:val="00476EFB"/>
    <w:rsid w:val="00480FB1"/>
    <w:rsid w:val="00483529"/>
    <w:rsid w:val="00483928"/>
    <w:rsid w:val="0048612C"/>
    <w:rsid w:val="004909BA"/>
    <w:rsid w:val="00494240"/>
    <w:rsid w:val="004A08B5"/>
    <w:rsid w:val="004A4A66"/>
    <w:rsid w:val="004B0B36"/>
    <w:rsid w:val="004B3555"/>
    <w:rsid w:val="004B4363"/>
    <w:rsid w:val="004B47C1"/>
    <w:rsid w:val="004C27F7"/>
    <w:rsid w:val="004C2D5A"/>
    <w:rsid w:val="004C331F"/>
    <w:rsid w:val="004C4626"/>
    <w:rsid w:val="004C4CEC"/>
    <w:rsid w:val="004D142C"/>
    <w:rsid w:val="004D144A"/>
    <w:rsid w:val="004D6103"/>
    <w:rsid w:val="004E3BCE"/>
    <w:rsid w:val="004E70AD"/>
    <w:rsid w:val="004E7200"/>
    <w:rsid w:val="004F0CA3"/>
    <w:rsid w:val="004F0E97"/>
    <w:rsid w:val="004F2DF8"/>
    <w:rsid w:val="004F5DB3"/>
    <w:rsid w:val="004F7EA1"/>
    <w:rsid w:val="00501DD1"/>
    <w:rsid w:val="005027E9"/>
    <w:rsid w:val="00502C98"/>
    <w:rsid w:val="005113D3"/>
    <w:rsid w:val="00515C21"/>
    <w:rsid w:val="005242C5"/>
    <w:rsid w:val="00527327"/>
    <w:rsid w:val="00527AFC"/>
    <w:rsid w:val="00530BD7"/>
    <w:rsid w:val="00534A8F"/>
    <w:rsid w:val="0053788A"/>
    <w:rsid w:val="005409D1"/>
    <w:rsid w:val="00545CD2"/>
    <w:rsid w:val="00546B57"/>
    <w:rsid w:val="005473DC"/>
    <w:rsid w:val="005476F3"/>
    <w:rsid w:val="005479D6"/>
    <w:rsid w:val="00551914"/>
    <w:rsid w:val="00555BBF"/>
    <w:rsid w:val="00556269"/>
    <w:rsid w:val="005644F9"/>
    <w:rsid w:val="00565275"/>
    <w:rsid w:val="00566AF3"/>
    <w:rsid w:val="0057052D"/>
    <w:rsid w:val="00572527"/>
    <w:rsid w:val="00573E40"/>
    <w:rsid w:val="0057556D"/>
    <w:rsid w:val="00575B3D"/>
    <w:rsid w:val="00576348"/>
    <w:rsid w:val="005855D3"/>
    <w:rsid w:val="0058648A"/>
    <w:rsid w:val="00586E3A"/>
    <w:rsid w:val="00587929"/>
    <w:rsid w:val="00590297"/>
    <w:rsid w:val="00591557"/>
    <w:rsid w:val="005951D4"/>
    <w:rsid w:val="005975A2"/>
    <w:rsid w:val="005A0B2E"/>
    <w:rsid w:val="005A23D2"/>
    <w:rsid w:val="005A36CB"/>
    <w:rsid w:val="005A41C6"/>
    <w:rsid w:val="005B49B8"/>
    <w:rsid w:val="005C0741"/>
    <w:rsid w:val="005C1751"/>
    <w:rsid w:val="005C365D"/>
    <w:rsid w:val="005C4940"/>
    <w:rsid w:val="005C5067"/>
    <w:rsid w:val="005C5EF4"/>
    <w:rsid w:val="005C6291"/>
    <w:rsid w:val="005C6BB6"/>
    <w:rsid w:val="005D491C"/>
    <w:rsid w:val="005E0769"/>
    <w:rsid w:val="005E2E0B"/>
    <w:rsid w:val="005E7A7D"/>
    <w:rsid w:val="005F26BA"/>
    <w:rsid w:val="005F47F6"/>
    <w:rsid w:val="005F4B91"/>
    <w:rsid w:val="00602457"/>
    <w:rsid w:val="00603DCA"/>
    <w:rsid w:val="00604970"/>
    <w:rsid w:val="00606786"/>
    <w:rsid w:val="0061033B"/>
    <w:rsid w:val="006133FE"/>
    <w:rsid w:val="00613D60"/>
    <w:rsid w:val="00617D40"/>
    <w:rsid w:val="00634F2F"/>
    <w:rsid w:val="00637B0A"/>
    <w:rsid w:val="00637B38"/>
    <w:rsid w:val="00642E0B"/>
    <w:rsid w:val="00644FC3"/>
    <w:rsid w:val="00646BD1"/>
    <w:rsid w:val="00647100"/>
    <w:rsid w:val="0065097A"/>
    <w:rsid w:val="006532A2"/>
    <w:rsid w:val="006561C2"/>
    <w:rsid w:val="00656240"/>
    <w:rsid w:val="006567B1"/>
    <w:rsid w:val="00661D24"/>
    <w:rsid w:val="00666C3A"/>
    <w:rsid w:val="00671CB3"/>
    <w:rsid w:val="0067257D"/>
    <w:rsid w:val="006730BF"/>
    <w:rsid w:val="00674BAF"/>
    <w:rsid w:val="006777AA"/>
    <w:rsid w:val="00682200"/>
    <w:rsid w:val="006830DD"/>
    <w:rsid w:val="00684EF2"/>
    <w:rsid w:val="00692BF6"/>
    <w:rsid w:val="006A0675"/>
    <w:rsid w:val="006A1497"/>
    <w:rsid w:val="006A6C59"/>
    <w:rsid w:val="006B0BD1"/>
    <w:rsid w:val="006B0D8A"/>
    <w:rsid w:val="006B2E80"/>
    <w:rsid w:val="006B4921"/>
    <w:rsid w:val="006B5404"/>
    <w:rsid w:val="006C58A2"/>
    <w:rsid w:val="006D1D00"/>
    <w:rsid w:val="006D20A5"/>
    <w:rsid w:val="006D37BF"/>
    <w:rsid w:val="006D6D3C"/>
    <w:rsid w:val="006D7955"/>
    <w:rsid w:val="006E1970"/>
    <w:rsid w:val="006E2C0F"/>
    <w:rsid w:val="006E4173"/>
    <w:rsid w:val="006E508D"/>
    <w:rsid w:val="006E6FB3"/>
    <w:rsid w:val="006F4E84"/>
    <w:rsid w:val="00702BA2"/>
    <w:rsid w:val="00702E22"/>
    <w:rsid w:val="007050FE"/>
    <w:rsid w:val="007136CD"/>
    <w:rsid w:val="0072020E"/>
    <w:rsid w:val="007208BB"/>
    <w:rsid w:val="00721E19"/>
    <w:rsid w:val="00725191"/>
    <w:rsid w:val="0072701D"/>
    <w:rsid w:val="00733257"/>
    <w:rsid w:val="007341E1"/>
    <w:rsid w:val="0073543F"/>
    <w:rsid w:val="00735875"/>
    <w:rsid w:val="0074036A"/>
    <w:rsid w:val="00742011"/>
    <w:rsid w:val="007429C2"/>
    <w:rsid w:val="00745497"/>
    <w:rsid w:val="0075057B"/>
    <w:rsid w:val="00753D32"/>
    <w:rsid w:val="007547FA"/>
    <w:rsid w:val="00755582"/>
    <w:rsid w:val="0075717D"/>
    <w:rsid w:val="00763263"/>
    <w:rsid w:val="00766E2A"/>
    <w:rsid w:val="007800EB"/>
    <w:rsid w:val="00780242"/>
    <w:rsid w:val="00781756"/>
    <w:rsid w:val="00783B4B"/>
    <w:rsid w:val="007846F6"/>
    <w:rsid w:val="0078595A"/>
    <w:rsid w:val="00786071"/>
    <w:rsid w:val="00786373"/>
    <w:rsid w:val="00793C11"/>
    <w:rsid w:val="00794B68"/>
    <w:rsid w:val="00796D79"/>
    <w:rsid w:val="007977DE"/>
    <w:rsid w:val="00797E0C"/>
    <w:rsid w:val="007A0579"/>
    <w:rsid w:val="007A267B"/>
    <w:rsid w:val="007A3ECB"/>
    <w:rsid w:val="007A5976"/>
    <w:rsid w:val="007B030D"/>
    <w:rsid w:val="007B47CF"/>
    <w:rsid w:val="007C109E"/>
    <w:rsid w:val="007C481D"/>
    <w:rsid w:val="007D2936"/>
    <w:rsid w:val="007D627F"/>
    <w:rsid w:val="007D7BB3"/>
    <w:rsid w:val="007E5C83"/>
    <w:rsid w:val="007E6817"/>
    <w:rsid w:val="007F12A7"/>
    <w:rsid w:val="007F6BBB"/>
    <w:rsid w:val="007F7C60"/>
    <w:rsid w:val="00804B8E"/>
    <w:rsid w:val="00807B8F"/>
    <w:rsid w:val="008108D8"/>
    <w:rsid w:val="00810FC3"/>
    <w:rsid w:val="00813FA2"/>
    <w:rsid w:val="0081567A"/>
    <w:rsid w:val="00820946"/>
    <w:rsid w:val="00824AB9"/>
    <w:rsid w:val="008314DD"/>
    <w:rsid w:val="00831BFF"/>
    <w:rsid w:val="00836B35"/>
    <w:rsid w:val="00843BDE"/>
    <w:rsid w:val="00844B87"/>
    <w:rsid w:val="008467F2"/>
    <w:rsid w:val="008509A6"/>
    <w:rsid w:val="00851A7F"/>
    <w:rsid w:val="00855B41"/>
    <w:rsid w:val="008609C0"/>
    <w:rsid w:val="0086119F"/>
    <w:rsid w:val="00872CBF"/>
    <w:rsid w:val="00874FE1"/>
    <w:rsid w:val="0087588C"/>
    <w:rsid w:val="00880ADA"/>
    <w:rsid w:val="00883F79"/>
    <w:rsid w:val="0088545A"/>
    <w:rsid w:val="008877E9"/>
    <w:rsid w:val="00891363"/>
    <w:rsid w:val="0089597E"/>
    <w:rsid w:val="00896500"/>
    <w:rsid w:val="0089705C"/>
    <w:rsid w:val="008A3BC1"/>
    <w:rsid w:val="008A6D43"/>
    <w:rsid w:val="008B39A4"/>
    <w:rsid w:val="008B491E"/>
    <w:rsid w:val="008B64EF"/>
    <w:rsid w:val="008B672E"/>
    <w:rsid w:val="008B7C92"/>
    <w:rsid w:val="008C0F55"/>
    <w:rsid w:val="008C1A28"/>
    <w:rsid w:val="008C2E98"/>
    <w:rsid w:val="008D247F"/>
    <w:rsid w:val="008E0A04"/>
    <w:rsid w:val="008E49BD"/>
    <w:rsid w:val="008E53E9"/>
    <w:rsid w:val="008E5771"/>
    <w:rsid w:val="008E7390"/>
    <w:rsid w:val="008F03BA"/>
    <w:rsid w:val="008F4ACF"/>
    <w:rsid w:val="008F7468"/>
    <w:rsid w:val="00906525"/>
    <w:rsid w:val="00906C3A"/>
    <w:rsid w:val="009215CE"/>
    <w:rsid w:val="0092272F"/>
    <w:rsid w:val="00922744"/>
    <w:rsid w:val="00924166"/>
    <w:rsid w:val="0092528A"/>
    <w:rsid w:val="00933EF8"/>
    <w:rsid w:val="009402DC"/>
    <w:rsid w:val="00940B9B"/>
    <w:rsid w:val="00946116"/>
    <w:rsid w:val="0094756D"/>
    <w:rsid w:val="009502C2"/>
    <w:rsid w:val="00950C1E"/>
    <w:rsid w:val="0095676E"/>
    <w:rsid w:val="00956983"/>
    <w:rsid w:val="00961837"/>
    <w:rsid w:val="00963927"/>
    <w:rsid w:val="00963CF0"/>
    <w:rsid w:val="00964BB1"/>
    <w:rsid w:val="00970A53"/>
    <w:rsid w:val="00971235"/>
    <w:rsid w:val="0097586B"/>
    <w:rsid w:val="00976742"/>
    <w:rsid w:val="009775D9"/>
    <w:rsid w:val="00980FCC"/>
    <w:rsid w:val="00987671"/>
    <w:rsid w:val="0099043D"/>
    <w:rsid w:val="00997175"/>
    <w:rsid w:val="00997232"/>
    <w:rsid w:val="009977E8"/>
    <w:rsid w:val="009A1847"/>
    <w:rsid w:val="009A3ABF"/>
    <w:rsid w:val="009A55A0"/>
    <w:rsid w:val="009B062A"/>
    <w:rsid w:val="009B1350"/>
    <w:rsid w:val="009B37D4"/>
    <w:rsid w:val="009B6D40"/>
    <w:rsid w:val="009C2792"/>
    <w:rsid w:val="009C6046"/>
    <w:rsid w:val="009C78E5"/>
    <w:rsid w:val="009D122F"/>
    <w:rsid w:val="009D574E"/>
    <w:rsid w:val="009D67D6"/>
    <w:rsid w:val="009D701C"/>
    <w:rsid w:val="009E1115"/>
    <w:rsid w:val="009E150D"/>
    <w:rsid w:val="009E652C"/>
    <w:rsid w:val="009E7C6F"/>
    <w:rsid w:val="009F1793"/>
    <w:rsid w:val="009F1C76"/>
    <w:rsid w:val="009F2D23"/>
    <w:rsid w:val="009F5B21"/>
    <w:rsid w:val="009F6BCB"/>
    <w:rsid w:val="00A00A5B"/>
    <w:rsid w:val="00A01D69"/>
    <w:rsid w:val="00A02335"/>
    <w:rsid w:val="00A05BAB"/>
    <w:rsid w:val="00A16683"/>
    <w:rsid w:val="00A334F5"/>
    <w:rsid w:val="00A33A68"/>
    <w:rsid w:val="00A37720"/>
    <w:rsid w:val="00A458D0"/>
    <w:rsid w:val="00A45BC8"/>
    <w:rsid w:val="00A45CA1"/>
    <w:rsid w:val="00A46C9A"/>
    <w:rsid w:val="00A5468E"/>
    <w:rsid w:val="00A552D7"/>
    <w:rsid w:val="00A611B7"/>
    <w:rsid w:val="00A619F3"/>
    <w:rsid w:val="00A62A73"/>
    <w:rsid w:val="00A70290"/>
    <w:rsid w:val="00A760CC"/>
    <w:rsid w:val="00A76D10"/>
    <w:rsid w:val="00A8584B"/>
    <w:rsid w:val="00A87FF6"/>
    <w:rsid w:val="00A937BA"/>
    <w:rsid w:val="00A962D8"/>
    <w:rsid w:val="00AA0A3B"/>
    <w:rsid w:val="00AA1CF8"/>
    <w:rsid w:val="00AA2763"/>
    <w:rsid w:val="00AA33B6"/>
    <w:rsid w:val="00AA3936"/>
    <w:rsid w:val="00AA608C"/>
    <w:rsid w:val="00AB103C"/>
    <w:rsid w:val="00AB2E94"/>
    <w:rsid w:val="00AB475C"/>
    <w:rsid w:val="00AB50CA"/>
    <w:rsid w:val="00AB50E2"/>
    <w:rsid w:val="00AB6D64"/>
    <w:rsid w:val="00AB7796"/>
    <w:rsid w:val="00AC03FE"/>
    <w:rsid w:val="00AC53CE"/>
    <w:rsid w:val="00AC680B"/>
    <w:rsid w:val="00AD2092"/>
    <w:rsid w:val="00AD2193"/>
    <w:rsid w:val="00AD3C64"/>
    <w:rsid w:val="00AD5124"/>
    <w:rsid w:val="00AE567C"/>
    <w:rsid w:val="00AF2AC7"/>
    <w:rsid w:val="00AF2F61"/>
    <w:rsid w:val="00AF74CE"/>
    <w:rsid w:val="00B007AF"/>
    <w:rsid w:val="00B05ED2"/>
    <w:rsid w:val="00B13222"/>
    <w:rsid w:val="00B14D22"/>
    <w:rsid w:val="00B156FF"/>
    <w:rsid w:val="00B208DB"/>
    <w:rsid w:val="00B23F69"/>
    <w:rsid w:val="00B26DF2"/>
    <w:rsid w:val="00B30A3D"/>
    <w:rsid w:val="00B36973"/>
    <w:rsid w:val="00B450DF"/>
    <w:rsid w:val="00B46B4A"/>
    <w:rsid w:val="00B50CA6"/>
    <w:rsid w:val="00B52084"/>
    <w:rsid w:val="00B534A3"/>
    <w:rsid w:val="00B53F8F"/>
    <w:rsid w:val="00B575D9"/>
    <w:rsid w:val="00B60619"/>
    <w:rsid w:val="00B66A70"/>
    <w:rsid w:val="00B67366"/>
    <w:rsid w:val="00B74B33"/>
    <w:rsid w:val="00B76DC1"/>
    <w:rsid w:val="00B802A9"/>
    <w:rsid w:val="00B80EE1"/>
    <w:rsid w:val="00B83BDB"/>
    <w:rsid w:val="00B84135"/>
    <w:rsid w:val="00B875A9"/>
    <w:rsid w:val="00B92703"/>
    <w:rsid w:val="00B94349"/>
    <w:rsid w:val="00BA03DE"/>
    <w:rsid w:val="00BA4A68"/>
    <w:rsid w:val="00BA651A"/>
    <w:rsid w:val="00BB03BC"/>
    <w:rsid w:val="00BC4893"/>
    <w:rsid w:val="00BC7638"/>
    <w:rsid w:val="00BC7AC4"/>
    <w:rsid w:val="00BD3492"/>
    <w:rsid w:val="00BD3823"/>
    <w:rsid w:val="00BD4304"/>
    <w:rsid w:val="00BE0ACC"/>
    <w:rsid w:val="00BE4C86"/>
    <w:rsid w:val="00BE5F62"/>
    <w:rsid w:val="00BF0926"/>
    <w:rsid w:val="00BF1B16"/>
    <w:rsid w:val="00BF2D78"/>
    <w:rsid w:val="00BF6FE7"/>
    <w:rsid w:val="00C04D34"/>
    <w:rsid w:val="00C05DF8"/>
    <w:rsid w:val="00C06864"/>
    <w:rsid w:val="00C10F54"/>
    <w:rsid w:val="00C12403"/>
    <w:rsid w:val="00C23D8D"/>
    <w:rsid w:val="00C24260"/>
    <w:rsid w:val="00C361EA"/>
    <w:rsid w:val="00C37685"/>
    <w:rsid w:val="00C37AA3"/>
    <w:rsid w:val="00C37FD7"/>
    <w:rsid w:val="00C422FD"/>
    <w:rsid w:val="00C43419"/>
    <w:rsid w:val="00C44CF3"/>
    <w:rsid w:val="00C46A67"/>
    <w:rsid w:val="00C510A7"/>
    <w:rsid w:val="00C52F05"/>
    <w:rsid w:val="00C53F02"/>
    <w:rsid w:val="00C61BE0"/>
    <w:rsid w:val="00C63173"/>
    <w:rsid w:val="00C64844"/>
    <w:rsid w:val="00C6707E"/>
    <w:rsid w:val="00C70B0E"/>
    <w:rsid w:val="00C71AC0"/>
    <w:rsid w:val="00C7496D"/>
    <w:rsid w:val="00C76CD5"/>
    <w:rsid w:val="00C773CA"/>
    <w:rsid w:val="00C77BFC"/>
    <w:rsid w:val="00C80E99"/>
    <w:rsid w:val="00C82D4E"/>
    <w:rsid w:val="00C83785"/>
    <w:rsid w:val="00C92A4F"/>
    <w:rsid w:val="00C94C0D"/>
    <w:rsid w:val="00CA0A52"/>
    <w:rsid w:val="00CA19B0"/>
    <w:rsid w:val="00CA1FEB"/>
    <w:rsid w:val="00CA20BB"/>
    <w:rsid w:val="00CA7924"/>
    <w:rsid w:val="00CB1BD0"/>
    <w:rsid w:val="00CB2CC0"/>
    <w:rsid w:val="00CB7CA0"/>
    <w:rsid w:val="00CC27A6"/>
    <w:rsid w:val="00CC4C1A"/>
    <w:rsid w:val="00CC52BB"/>
    <w:rsid w:val="00CC55BF"/>
    <w:rsid w:val="00CC7A10"/>
    <w:rsid w:val="00CD13AD"/>
    <w:rsid w:val="00CD2483"/>
    <w:rsid w:val="00CD4222"/>
    <w:rsid w:val="00CD4B86"/>
    <w:rsid w:val="00CD4F85"/>
    <w:rsid w:val="00CD55A6"/>
    <w:rsid w:val="00CD6F02"/>
    <w:rsid w:val="00CE246D"/>
    <w:rsid w:val="00CE5144"/>
    <w:rsid w:val="00CF07A0"/>
    <w:rsid w:val="00CF3B0E"/>
    <w:rsid w:val="00CF3E03"/>
    <w:rsid w:val="00D0082A"/>
    <w:rsid w:val="00D030A3"/>
    <w:rsid w:val="00D038C2"/>
    <w:rsid w:val="00D03A46"/>
    <w:rsid w:val="00D06C88"/>
    <w:rsid w:val="00D109C3"/>
    <w:rsid w:val="00D15714"/>
    <w:rsid w:val="00D21455"/>
    <w:rsid w:val="00D277F8"/>
    <w:rsid w:val="00D33A3B"/>
    <w:rsid w:val="00D3661C"/>
    <w:rsid w:val="00D374C9"/>
    <w:rsid w:val="00D37BA5"/>
    <w:rsid w:val="00D4039E"/>
    <w:rsid w:val="00D434CF"/>
    <w:rsid w:val="00D47634"/>
    <w:rsid w:val="00D62CAE"/>
    <w:rsid w:val="00D63EE1"/>
    <w:rsid w:val="00D644C2"/>
    <w:rsid w:val="00D65909"/>
    <w:rsid w:val="00D67522"/>
    <w:rsid w:val="00D709B3"/>
    <w:rsid w:val="00D7191F"/>
    <w:rsid w:val="00D74622"/>
    <w:rsid w:val="00D751A0"/>
    <w:rsid w:val="00D76AA3"/>
    <w:rsid w:val="00D7719D"/>
    <w:rsid w:val="00D83ADA"/>
    <w:rsid w:val="00D85829"/>
    <w:rsid w:val="00D9058C"/>
    <w:rsid w:val="00D95D00"/>
    <w:rsid w:val="00D9735A"/>
    <w:rsid w:val="00DA0B8B"/>
    <w:rsid w:val="00DA1087"/>
    <w:rsid w:val="00DA28DC"/>
    <w:rsid w:val="00DA2ED6"/>
    <w:rsid w:val="00DA3110"/>
    <w:rsid w:val="00DA3C0E"/>
    <w:rsid w:val="00DA60C1"/>
    <w:rsid w:val="00DA6F9B"/>
    <w:rsid w:val="00DB109C"/>
    <w:rsid w:val="00DB3B61"/>
    <w:rsid w:val="00DB5FE9"/>
    <w:rsid w:val="00DB76B8"/>
    <w:rsid w:val="00DC2EA1"/>
    <w:rsid w:val="00DC38C1"/>
    <w:rsid w:val="00DC6583"/>
    <w:rsid w:val="00DC7AF1"/>
    <w:rsid w:val="00DD4DFA"/>
    <w:rsid w:val="00DD6548"/>
    <w:rsid w:val="00DD6AAF"/>
    <w:rsid w:val="00DE3F5C"/>
    <w:rsid w:val="00DF0C34"/>
    <w:rsid w:val="00DF1D20"/>
    <w:rsid w:val="00DF25D3"/>
    <w:rsid w:val="00DF3006"/>
    <w:rsid w:val="00DF35D3"/>
    <w:rsid w:val="00DF3D5E"/>
    <w:rsid w:val="00E10024"/>
    <w:rsid w:val="00E21324"/>
    <w:rsid w:val="00E246B9"/>
    <w:rsid w:val="00E25022"/>
    <w:rsid w:val="00E310AD"/>
    <w:rsid w:val="00E31FEA"/>
    <w:rsid w:val="00E35CBF"/>
    <w:rsid w:val="00E379AD"/>
    <w:rsid w:val="00E37A47"/>
    <w:rsid w:val="00E4272E"/>
    <w:rsid w:val="00E45169"/>
    <w:rsid w:val="00E47787"/>
    <w:rsid w:val="00E51C30"/>
    <w:rsid w:val="00E54399"/>
    <w:rsid w:val="00E54449"/>
    <w:rsid w:val="00E56FBD"/>
    <w:rsid w:val="00E57AFD"/>
    <w:rsid w:val="00E6239A"/>
    <w:rsid w:val="00E62783"/>
    <w:rsid w:val="00E64180"/>
    <w:rsid w:val="00E644F8"/>
    <w:rsid w:val="00E74AEE"/>
    <w:rsid w:val="00E74ECF"/>
    <w:rsid w:val="00E76CE2"/>
    <w:rsid w:val="00E82A83"/>
    <w:rsid w:val="00E868E5"/>
    <w:rsid w:val="00E9237A"/>
    <w:rsid w:val="00E939FA"/>
    <w:rsid w:val="00EA04B6"/>
    <w:rsid w:val="00EA0548"/>
    <w:rsid w:val="00EA1140"/>
    <w:rsid w:val="00EA341C"/>
    <w:rsid w:val="00EA5765"/>
    <w:rsid w:val="00EA6628"/>
    <w:rsid w:val="00EB3037"/>
    <w:rsid w:val="00EB7B2A"/>
    <w:rsid w:val="00EC0451"/>
    <w:rsid w:val="00EC1AD2"/>
    <w:rsid w:val="00EC2532"/>
    <w:rsid w:val="00EC6B00"/>
    <w:rsid w:val="00EC78FF"/>
    <w:rsid w:val="00ED44DA"/>
    <w:rsid w:val="00ED7812"/>
    <w:rsid w:val="00EE5E89"/>
    <w:rsid w:val="00EE6D43"/>
    <w:rsid w:val="00EF3B86"/>
    <w:rsid w:val="00EF749B"/>
    <w:rsid w:val="00F0093A"/>
    <w:rsid w:val="00F03D76"/>
    <w:rsid w:val="00F04F1D"/>
    <w:rsid w:val="00F07BD2"/>
    <w:rsid w:val="00F07D26"/>
    <w:rsid w:val="00F10369"/>
    <w:rsid w:val="00F11B0F"/>
    <w:rsid w:val="00F13716"/>
    <w:rsid w:val="00F162AD"/>
    <w:rsid w:val="00F317E9"/>
    <w:rsid w:val="00F34554"/>
    <w:rsid w:val="00F37E97"/>
    <w:rsid w:val="00F406BB"/>
    <w:rsid w:val="00F45F77"/>
    <w:rsid w:val="00F46BB5"/>
    <w:rsid w:val="00F5167F"/>
    <w:rsid w:val="00F52258"/>
    <w:rsid w:val="00F55F6E"/>
    <w:rsid w:val="00F60C94"/>
    <w:rsid w:val="00F65408"/>
    <w:rsid w:val="00F80ADB"/>
    <w:rsid w:val="00F82BD1"/>
    <w:rsid w:val="00F83210"/>
    <w:rsid w:val="00F8570A"/>
    <w:rsid w:val="00F86F50"/>
    <w:rsid w:val="00F91C7B"/>
    <w:rsid w:val="00F93201"/>
    <w:rsid w:val="00F94FF1"/>
    <w:rsid w:val="00F951AF"/>
    <w:rsid w:val="00FA4437"/>
    <w:rsid w:val="00FA4EFC"/>
    <w:rsid w:val="00FB1BA4"/>
    <w:rsid w:val="00FB51C7"/>
    <w:rsid w:val="00FB54CB"/>
    <w:rsid w:val="00FB587E"/>
    <w:rsid w:val="00FD2B25"/>
    <w:rsid w:val="00FD2C34"/>
    <w:rsid w:val="00FD4F48"/>
    <w:rsid w:val="00FD6EB5"/>
    <w:rsid w:val="00FE0C64"/>
    <w:rsid w:val="00FE4CE0"/>
    <w:rsid w:val="00FE574F"/>
    <w:rsid w:val="00FF454E"/>
    <w:rsid w:val="00FF5A03"/>
    <w:rsid w:val="00FF5F82"/>
    <w:rsid w:val="00FF7A4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C936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0926B9"/>
    <w:rPr>
      <w:sz w:val="24"/>
      <w:szCs w:val="24"/>
      <w:lang w:val="en-US" w:eastAsia="en-US"/>
    </w:rPr>
  </w:style>
  <w:style w:type="paragraph" w:customStyle="1" w:styleId="Default">
    <w:name w:val="Default"/>
    <w:rsid w:val="00BC7638"/>
    <w:pPr>
      <w:autoSpaceDE w:val="0"/>
      <w:autoSpaceDN w:val="0"/>
      <w:adjustRightInd w:val="0"/>
    </w:pPr>
    <w:rPr>
      <w:color w:val="000000"/>
      <w:sz w:val="24"/>
      <w:szCs w:val="24"/>
      <w:lang w:val="de-DE" w:eastAsia="de-DE"/>
    </w:rPr>
  </w:style>
  <w:style w:type="paragraph" w:styleId="FootnoteText">
    <w:name w:val="footnote text"/>
    <w:basedOn w:val="Normal"/>
    <w:link w:val="FootnoteTextChar"/>
    <w:rsid w:val="00BC7638"/>
    <w:pPr>
      <w:tabs>
        <w:tab w:val="left" w:pos="425"/>
      </w:tabs>
      <w:spacing w:line="260" w:lineRule="exact"/>
      <w:ind w:left="425" w:hanging="425"/>
      <w:jc w:val="both"/>
    </w:pPr>
    <w:rPr>
      <w:sz w:val="20"/>
      <w:szCs w:val="20"/>
      <w:lang w:val="en-GB" w:eastAsia="en-GB"/>
    </w:rPr>
  </w:style>
  <w:style w:type="character" w:customStyle="1" w:styleId="FootnoteTextChar">
    <w:name w:val="Footnote Text Char"/>
    <w:basedOn w:val="DefaultParagraphFont"/>
    <w:link w:val="FootnoteText"/>
    <w:rsid w:val="00BC7638"/>
    <w:rPr>
      <w:lang w:val="en-GB" w:eastAsia="en-GB"/>
    </w:rPr>
  </w:style>
  <w:style w:type="paragraph" w:customStyle="1" w:styleId="Picture">
    <w:name w:val="Picture"/>
    <w:basedOn w:val="Normal"/>
    <w:next w:val="Normal"/>
    <w:rsid w:val="00BC7638"/>
    <w:pPr>
      <w:spacing w:before="120" w:after="120" w:line="260" w:lineRule="atLeast"/>
      <w:jc w:val="both"/>
    </w:pPr>
    <w:rPr>
      <w:lang w:val="en-GB" w:eastAsia="en-GB"/>
    </w:rPr>
  </w:style>
  <w:style w:type="paragraph" w:styleId="NormalWeb">
    <w:name w:val="Normal (Web)"/>
    <w:basedOn w:val="Normal"/>
    <w:rsid w:val="008E0A04"/>
    <w:pPr>
      <w:spacing w:before="100" w:beforeAutospacing="1" w:after="100" w:afterAutospacing="1"/>
    </w:pPr>
    <w:rPr>
      <w:lang w:val="sr-Latn-CS" w:eastAsia="sr-Latn-CS"/>
    </w:rPr>
  </w:style>
  <w:style w:type="paragraph" w:customStyle="1" w:styleId="NASLOV123">
    <w:name w:val="NASLOV 123"/>
    <w:basedOn w:val="Normal"/>
    <w:qFormat/>
    <w:rsid w:val="00F04F1D"/>
    <w:pPr>
      <w:tabs>
        <w:tab w:val="left" w:pos="284"/>
      </w:tabs>
      <w:spacing w:before="200" w:after="200"/>
    </w:pPr>
    <w:rPr>
      <w:b/>
      <w:sz w:val="22"/>
      <w:szCs w:val="22"/>
    </w:rPr>
  </w:style>
  <w:style w:type="character" w:customStyle="1" w:styleId="Bodytext2">
    <w:name w:val="Body text (2)_"/>
    <w:basedOn w:val="DefaultParagraphFont"/>
    <w:link w:val="Bodytext20"/>
    <w:rsid w:val="002D4D05"/>
    <w:rPr>
      <w:b/>
      <w:bCs/>
      <w:shd w:val="clear" w:color="auto" w:fill="FFFFFF"/>
    </w:rPr>
  </w:style>
  <w:style w:type="paragraph" w:customStyle="1" w:styleId="Bodytext20">
    <w:name w:val="Body text (2)"/>
    <w:basedOn w:val="Normal"/>
    <w:link w:val="Bodytext2"/>
    <w:rsid w:val="002D4D05"/>
    <w:pPr>
      <w:shd w:val="clear" w:color="auto" w:fill="FFFFFF"/>
      <w:spacing w:line="240" w:lineRule="atLeast"/>
    </w:pPr>
    <w:rPr>
      <w:b/>
      <w:bCs/>
      <w:sz w:val="20"/>
      <w:szCs w:val="20"/>
      <w:lang w:val="sr-Latn-ME" w:eastAsia="sr-Latn-ME"/>
    </w:rPr>
  </w:style>
  <w:style w:type="paragraph" w:styleId="ListParagraph">
    <w:name w:val="List Paragraph"/>
    <w:basedOn w:val="Normal"/>
    <w:uiPriority w:val="34"/>
    <w:qFormat/>
    <w:rsid w:val="00245100"/>
    <w:pPr>
      <w:ind w:left="720"/>
      <w:contextualSpacing/>
    </w:pPr>
  </w:style>
  <w:style w:type="paragraph" w:styleId="Revision">
    <w:name w:val="Revision"/>
    <w:hidden/>
    <w:uiPriority w:val="99"/>
    <w:semiHidden/>
    <w:rsid w:val="003A71A1"/>
    <w:rPr>
      <w:sz w:val="24"/>
      <w:szCs w:val="24"/>
      <w:lang w:val="en-US" w:eastAsia="en-US"/>
    </w:rPr>
  </w:style>
  <w:style w:type="character" w:customStyle="1" w:styleId="Bodytext">
    <w:name w:val="Body text_"/>
    <w:basedOn w:val="DefaultParagraphFont"/>
    <w:link w:val="Bodytext1"/>
    <w:rsid w:val="00B92703"/>
    <w:rPr>
      <w:rFonts w:ascii="Angsana New" w:hAnsi="Angsana New"/>
      <w:b/>
      <w:bCs/>
      <w:sz w:val="31"/>
      <w:szCs w:val="31"/>
      <w:shd w:val="clear" w:color="auto" w:fill="FFFFFF"/>
    </w:rPr>
  </w:style>
  <w:style w:type="paragraph" w:customStyle="1" w:styleId="Bodytext1">
    <w:name w:val="Body text1"/>
    <w:basedOn w:val="Normal"/>
    <w:link w:val="Bodytext"/>
    <w:rsid w:val="00B92703"/>
    <w:pPr>
      <w:shd w:val="clear" w:color="auto" w:fill="FFFFFF"/>
      <w:spacing w:before="1200" w:after="1380" w:line="293" w:lineRule="exact"/>
      <w:jc w:val="center"/>
    </w:pPr>
    <w:rPr>
      <w:rFonts w:ascii="Angsana New" w:hAnsi="Angsana New"/>
      <w:b/>
      <w:bCs/>
      <w:sz w:val="31"/>
      <w:szCs w:val="31"/>
      <w:lang w:val="sr-Latn-ME" w:eastAsia="sr-Latn-ME"/>
    </w:rPr>
  </w:style>
  <w:style w:type="character" w:customStyle="1" w:styleId="Bodytext4135pt">
    <w:name w:val="Body text (4) + 13.5 pt"/>
    <w:aliases w:val="Italic,Body text + 10.5 pt,Body text + 15.5 pt,Body text + 16 pt"/>
    <w:basedOn w:val="DefaultParagraphFont"/>
    <w:rsid w:val="00AB7796"/>
    <w:rPr>
      <w:rFonts w:ascii="Times New Roman" w:hAnsi="Times New Roman" w:cs="Times New Roman"/>
      <w:i/>
      <w:iCs/>
      <w:sz w:val="27"/>
      <w:szCs w:val="27"/>
      <w:lang w:bidi="ar-SA"/>
    </w:rPr>
  </w:style>
  <w:style w:type="character" w:customStyle="1" w:styleId="Bodytext4">
    <w:name w:val="Body text (4)_"/>
    <w:basedOn w:val="DefaultParagraphFont"/>
    <w:link w:val="Bodytext40"/>
    <w:rsid w:val="003B277A"/>
    <w:rPr>
      <w:rFonts w:ascii="Angsana New" w:hAnsi="Angsana New"/>
      <w:sz w:val="31"/>
      <w:szCs w:val="31"/>
      <w:shd w:val="clear" w:color="auto" w:fill="FFFFFF"/>
    </w:rPr>
  </w:style>
  <w:style w:type="paragraph" w:customStyle="1" w:styleId="Bodytext40">
    <w:name w:val="Body text (4)"/>
    <w:basedOn w:val="Normal"/>
    <w:link w:val="Bodytext4"/>
    <w:rsid w:val="003B277A"/>
    <w:pPr>
      <w:shd w:val="clear" w:color="auto" w:fill="FFFFFF"/>
      <w:spacing w:line="446" w:lineRule="exact"/>
    </w:pPr>
    <w:rPr>
      <w:rFonts w:ascii="Angsana New" w:hAnsi="Angsana New"/>
      <w:sz w:val="31"/>
      <w:szCs w:val="31"/>
      <w:lang w:val="sr-Latn-ME" w:eastAsia="sr-Latn-ME"/>
    </w:rPr>
  </w:style>
  <w:style w:type="character" w:customStyle="1" w:styleId="Bodytext10pt">
    <w:name w:val="Body text + 10 pt"/>
    <w:aliases w:val="Bold"/>
    <w:basedOn w:val="DefaultParagraphFont"/>
    <w:rsid w:val="00CC27A6"/>
    <w:rPr>
      <w:rFonts w:ascii="Times New Roman" w:hAnsi="Times New Roman" w:cs="Times New Roman"/>
      <w:b/>
      <w:bCs/>
      <w:spacing w:val="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B68198A2948740BCE5DE4A5D445B15" ma:contentTypeVersion="16" ma:contentTypeDescription="Create a new document." ma:contentTypeScope="" ma:versionID="618f3bf31d656340631cd8ef15664c2d">
  <xsd:schema xmlns:xsd="http://www.w3.org/2001/XMLSchema" xmlns:xs="http://www.w3.org/2001/XMLSchema" xmlns:p="http://schemas.microsoft.com/office/2006/metadata/properties" xmlns:ns1="http://schemas.microsoft.com/sharepoint/v3" xmlns:ns3="46616296-1982-46b4-b752-480b623433c2" xmlns:ns4="64d2c756-1159-40ef-8351-490160385755" targetNamespace="http://schemas.microsoft.com/office/2006/metadata/properties" ma:root="true" ma:fieldsID="1cc080726336cfcc8f4af5e8066b7190" ns1:_="" ns3:_="" ns4:_="">
    <xsd:import namespace="http://schemas.microsoft.com/sharepoint/v3"/>
    <xsd:import namespace="46616296-1982-46b4-b752-480b623433c2"/>
    <xsd:import namespace="64d2c756-1159-40ef-8351-4901603857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616296-1982-46b4-b752-480b623433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2c756-1159-40ef-8351-49016038575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6C8B-5539-411B-9FE7-17A9CCC00C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69E5F9-CA43-44CE-8DEB-ACA2BDA425FF}">
  <ds:schemaRefs>
    <ds:schemaRef ds:uri="http://schemas.microsoft.com/sharepoint/v3/contenttype/forms"/>
  </ds:schemaRefs>
</ds:datastoreItem>
</file>

<file path=customXml/itemProps3.xml><?xml version="1.0" encoding="utf-8"?>
<ds:datastoreItem xmlns:ds="http://schemas.openxmlformats.org/officeDocument/2006/customXml" ds:itemID="{84F9CCE8-1FF3-446F-9A3F-B45B9A48E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616296-1982-46b4-b752-480b623433c2"/>
    <ds:schemaRef ds:uri="64d2c756-1159-40ef-8351-490160385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D1458-3DB1-4577-9693-AF86B389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Pages>
  <Words>5617</Words>
  <Characters>32018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37560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6</cp:revision>
  <dcterms:created xsi:type="dcterms:W3CDTF">2023-01-17T06:45:00Z</dcterms:created>
  <dcterms:modified xsi:type="dcterms:W3CDTF">2023-01-17T11:52:00Z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0x01010041B68198A2948740BCE5DE4A5D445B15</vt:lpwstr>
  </property>
</Properties>
</file>