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04E95" w14:textId="77777777" w:rsidR="00A47E55" w:rsidRPr="009057DB" w:rsidRDefault="00A47E55" w:rsidP="00E37005">
      <w:pPr>
        <w:tabs>
          <w:tab w:val="left" w:pos="284"/>
        </w:tabs>
        <w:jc w:val="both"/>
        <w:rPr>
          <w:sz w:val="22"/>
          <w:lang w:val="sr-Latn-RS"/>
        </w:rPr>
      </w:pPr>
      <w:bookmarkStart w:id="0" w:name="_Hlk113002376"/>
    </w:p>
    <w:bookmarkEnd w:id="0"/>
    <w:p w14:paraId="327B383E" w14:textId="77777777" w:rsidR="00E37005" w:rsidRPr="009057DB" w:rsidRDefault="00E37005" w:rsidP="00376088">
      <w:pPr>
        <w:jc w:val="center"/>
        <w:rPr>
          <w:iCs/>
          <w:sz w:val="22"/>
          <w:szCs w:val="22"/>
          <w:u w:val="single"/>
          <w:lang w:val="sr-Latn-ME"/>
        </w:rPr>
      </w:pPr>
    </w:p>
    <w:p w14:paraId="572625EA" w14:textId="54F68770" w:rsidR="002510A5" w:rsidRPr="009057DB" w:rsidRDefault="002510A5" w:rsidP="00376088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9057DB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6D896968" w14:textId="77777777" w:rsidR="002510A5" w:rsidRPr="009057DB" w:rsidRDefault="002510A5" w:rsidP="0037608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4B9DAE18" w14:textId="77777777" w:rsidR="003C17AB" w:rsidRPr="009057DB" w:rsidRDefault="003C17AB" w:rsidP="00376088">
      <w:pPr>
        <w:rPr>
          <w:sz w:val="22"/>
          <w:szCs w:val="22"/>
          <w:lang w:val="sr-Latn-ME"/>
        </w:rPr>
      </w:pPr>
    </w:p>
    <w:p w14:paraId="7B2CBD89" w14:textId="5BF37AC4" w:rsidR="00C37FD7" w:rsidRPr="009057DB" w:rsidRDefault="005C5EF4" w:rsidP="00376088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9057DB">
        <w:rPr>
          <w:noProof/>
          <w:sz w:val="22"/>
          <w:szCs w:val="22"/>
        </w:rPr>
        <w:drawing>
          <wp:inline distT="0" distB="0" distL="0" distR="0" wp14:anchorId="05C2E1E6" wp14:editId="2060F6F2">
            <wp:extent cx="172085" cy="144780"/>
            <wp:effectExtent l="0" t="0" r="0" b="7620"/>
            <wp:docPr id="1" name="Picture 3" descr="C:\Users\horemansk\AppData\Local\Microsoft\Windows\Temporary Internet Files\Content.Word\BT_1000x85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remansk\AppData\Local\Microsoft\Windows\Temporary Internet Files\Content.Word\BT_1000x858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17AB" w:rsidRPr="009057DB">
        <w:rPr>
          <w:noProof/>
          <w:sz w:val="22"/>
          <w:szCs w:val="22"/>
          <w:lang w:val="sr-Latn-ME"/>
        </w:rPr>
        <w:t xml:space="preserve"> Ovaj lijek je pod dodatnim praćenjem.</w:t>
      </w:r>
      <w:r w:rsidR="003C17AB" w:rsidRPr="009057DB">
        <w:rPr>
          <w:sz w:val="22"/>
          <w:szCs w:val="22"/>
          <w:lang w:val="sr-Latn-ME"/>
        </w:rPr>
        <w:t xml:space="preserve"> </w:t>
      </w:r>
      <w:r w:rsidR="003C17AB" w:rsidRPr="009057DB">
        <w:rPr>
          <w:noProof/>
          <w:sz w:val="22"/>
          <w:szCs w:val="22"/>
          <w:lang w:val="sr-Latn-ME"/>
        </w:rPr>
        <w:t>Time se omogućava brzo otkrivanje novih bezbjednosnih informacija. Zdravstveni radnici treba da prijave svaku sumnju na neželjeno dejstvo ovog lijeka.</w:t>
      </w:r>
      <w:r w:rsidR="003C17AB" w:rsidRPr="009057DB">
        <w:rPr>
          <w:sz w:val="22"/>
          <w:szCs w:val="22"/>
          <w:lang w:val="sr-Latn-ME"/>
        </w:rPr>
        <w:t xml:space="preserve"> Za način prijavljivanja neželjenih dejstava vidjeti </w:t>
      </w:r>
      <w:r w:rsidR="007A3ECB" w:rsidRPr="009057DB">
        <w:rPr>
          <w:sz w:val="22"/>
          <w:szCs w:val="22"/>
          <w:lang w:val="sr-Latn-ME"/>
        </w:rPr>
        <w:t xml:space="preserve">dio </w:t>
      </w:r>
      <w:r w:rsidR="003C17AB" w:rsidRPr="009057DB">
        <w:rPr>
          <w:sz w:val="22"/>
          <w:szCs w:val="22"/>
          <w:lang w:val="sr-Latn-ME"/>
        </w:rPr>
        <w:t>4.8</w:t>
      </w:r>
      <w:r w:rsidR="003C17AB" w:rsidRPr="009057DB">
        <w:rPr>
          <w:noProof/>
          <w:sz w:val="22"/>
          <w:szCs w:val="22"/>
          <w:lang w:val="sr-Latn-ME"/>
        </w:rPr>
        <w:t>.</w:t>
      </w:r>
      <w:r w:rsidR="00107BF7" w:rsidRPr="009057DB">
        <w:rPr>
          <w:noProof/>
          <w:sz w:val="22"/>
          <w:szCs w:val="22"/>
          <w:lang w:val="sr-Latn-ME"/>
        </w:rPr>
        <w:t xml:space="preserve"> </w:t>
      </w:r>
    </w:p>
    <w:p w14:paraId="7E702368" w14:textId="77777777" w:rsidR="003C17AB" w:rsidRPr="009057DB" w:rsidRDefault="003C17AB" w:rsidP="00376088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</w:p>
    <w:p w14:paraId="2F0B49B0" w14:textId="77777777" w:rsidR="00C37FD7" w:rsidRPr="009057DB" w:rsidRDefault="00C37FD7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F16B6FB" w14:textId="77777777" w:rsidR="00411B4B" w:rsidRPr="009057DB" w:rsidRDefault="00411B4B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057DB">
        <w:rPr>
          <w:b/>
          <w:bCs/>
          <w:sz w:val="22"/>
          <w:szCs w:val="22"/>
          <w:lang w:val="sr-Latn-ME"/>
        </w:rPr>
        <w:t>1.</w:t>
      </w:r>
      <w:r w:rsidR="00F5167F" w:rsidRPr="009057DB">
        <w:rPr>
          <w:b/>
          <w:bCs/>
          <w:sz w:val="22"/>
          <w:szCs w:val="22"/>
          <w:lang w:val="sr-Latn-ME"/>
        </w:rPr>
        <w:tab/>
      </w:r>
      <w:r w:rsidR="002846DB" w:rsidRPr="009057DB">
        <w:rPr>
          <w:b/>
          <w:bCs/>
          <w:sz w:val="22"/>
          <w:szCs w:val="22"/>
          <w:lang w:val="sr-Latn-ME"/>
        </w:rPr>
        <w:t xml:space="preserve">NAZIV </w:t>
      </w:r>
      <w:r w:rsidRPr="009057DB">
        <w:rPr>
          <w:b/>
          <w:bCs/>
          <w:sz w:val="22"/>
          <w:szCs w:val="22"/>
          <w:lang w:val="sr-Latn-ME"/>
        </w:rPr>
        <w:t>LIJEKA</w:t>
      </w:r>
    </w:p>
    <w:p w14:paraId="0576B76B" w14:textId="77777777" w:rsidR="00EC2532" w:rsidRPr="009057DB" w:rsidRDefault="00EC2532" w:rsidP="00376088">
      <w:pPr>
        <w:jc w:val="both"/>
        <w:rPr>
          <w:sz w:val="22"/>
          <w:szCs w:val="22"/>
          <w:lang w:val="sr-Latn-ME"/>
        </w:rPr>
      </w:pPr>
    </w:p>
    <w:p w14:paraId="36673D7E" w14:textId="0A5A15DC" w:rsidR="00107BF7" w:rsidRPr="009057DB" w:rsidRDefault="00EA5129" w:rsidP="00376088">
      <w:pPr>
        <w:jc w:val="both"/>
        <w:rPr>
          <w:bCs/>
          <w:iCs/>
          <w:sz w:val="22"/>
          <w:szCs w:val="22"/>
          <w:lang w:val="sr-Latn-ME"/>
        </w:rPr>
      </w:pPr>
      <w:r w:rsidRPr="009057DB">
        <w:rPr>
          <w:color w:val="000000"/>
          <w:sz w:val="22"/>
          <w:szCs w:val="22"/>
          <w:shd w:val="clear" w:color="auto" w:fill="FFFFFF"/>
          <w:lang w:val="sr-Latn-ME"/>
        </w:rPr>
        <w:t>Vaxzevria</w:t>
      </w:r>
      <w:r w:rsidR="007C6E1A" w:rsidRPr="009057DB">
        <w:rPr>
          <w:iCs/>
          <w:sz w:val="22"/>
          <w:szCs w:val="22"/>
          <w:lang w:val="sr-Latn-ME"/>
        </w:rPr>
        <w:t xml:space="preserve">, </w:t>
      </w:r>
      <w:r w:rsidR="005A442A" w:rsidRPr="009057DB">
        <w:rPr>
          <w:iCs/>
          <w:sz w:val="22"/>
          <w:szCs w:val="22"/>
          <w:lang w:val="sr-Latn-ME"/>
        </w:rPr>
        <w:t>suspenzija za injekciju</w:t>
      </w:r>
    </w:p>
    <w:p w14:paraId="31AED866" w14:textId="77777777" w:rsidR="000D425A" w:rsidRPr="009057DB" w:rsidRDefault="000D425A" w:rsidP="00376088">
      <w:pPr>
        <w:jc w:val="both"/>
        <w:rPr>
          <w:bCs/>
          <w:sz w:val="22"/>
          <w:szCs w:val="22"/>
          <w:lang w:val="sr-Latn-ME"/>
        </w:rPr>
      </w:pPr>
    </w:p>
    <w:p w14:paraId="1BB0A1CA" w14:textId="47CD6856" w:rsidR="006D20A5" w:rsidRPr="009057DB" w:rsidRDefault="006D20A5" w:rsidP="00376088">
      <w:pPr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INN:</w:t>
      </w:r>
      <w:r w:rsidR="007C6E1A" w:rsidRPr="009057DB">
        <w:rPr>
          <w:color w:val="000000"/>
          <w:sz w:val="22"/>
          <w:szCs w:val="22"/>
          <w:shd w:val="clear" w:color="auto" w:fill="FFFFFF"/>
          <w:lang w:val="sr-Latn-ME"/>
        </w:rPr>
        <w:t xml:space="preserve"> </w:t>
      </w:r>
      <w:r w:rsidR="00A6525B" w:rsidRPr="009057DB">
        <w:rPr>
          <w:color w:val="000000"/>
          <w:sz w:val="22"/>
          <w:szCs w:val="22"/>
          <w:shd w:val="clear" w:color="auto" w:fill="FFFFFF"/>
          <w:lang w:val="sr-Latn-ME"/>
        </w:rPr>
        <w:t xml:space="preserve">vakcina protiv </w:t>
      </w:r>
      <w:r w:rsidR="007C6E1A" w:rsidRPr="009057DB">
        <w:rPr>
          <w:sz w:val="22"/>
          <w:szCs w:val="22"/>
          <w:lang w:val="sr-Latn-ME"/>
        </w:rPr>
        <w:t>COVID</w:t>
      </w:r>
      <w:r w:rsidR="007C6E1A" w:rsidRPr="009057DB">
        <w:rPr>
          <w:sz w:val="22"/>
          <w:szCs w:val="22"/>
          <w:lang w:val="sr-Latn-ME"/>
        </w:rPr>
        <w:noBreakHyphen/>
        <w:t>19 (ChAdOx1</w:t>
      </w:r>
      <w:r w:rsidR="007C6E1A" w:rsidRPr="009057DB">
        <w:rPr>
          <w:sz w:val="22"/>
          <w:szCs w:val="22"/>
          <w:lang w:val="sr-Latn-ME"/>
        </w:rPr>
        <w:noBreakHyphen/>
        <w:t>S</w:t>
      </w:r>
      <w:r w:rsidR="00EC092F" w:rsidRPr="009057DB">
        <w:rPr>
          <w:sz w:val="22"/>
          <w:szCs w:val="22"/>
          <w:lang w:val="sr-Latn-ME"/>
        </w:rPr>
        <w:t xml:space="preserve">, </w:t>
      </w:r>
      <w:r w:rsidR="007C6E1A" w:rsidRPr="009057DB">
        <w:rPr>
          <w:sz w:val="22"/>
          <w:szCs w:val="22"/>
          <w:lang w:val="sr-Latn-ME"/>
        </w:rPr>
        <w:t>rekombina</w:t>
      </w:r>
      <w:r w:rsidR="00C75471" w:rsidRPr="009057DB">
        <w:rPr>
          <w:sz w:val="22"/>
          <w:szCs w:val="22"/>
          <w:lang w:val="sr-Latn-ME"/>
        </w:rPr>
        <w:t>n</w:t>
      </w:r>
      <w:r w:rsidR="007C6E1A" w:rsidRPr="009057DB">
        <w:rPr>
          <w:sz w:val="22"/>
          <w:szCs w:val="22"/>
          <w:lang w:val="sr-Latn-ME"/>
        </w:rPr>
        <w:t>tn</w:t>
      </w:r>
      <w:r w:rsidR="00EC092F" w:rsidRPr="009057DB">
        <w:rPr>
          <w:sz w:val="22"/>
          <w:szCs w:val="22"/>
          <w:lang w:val="sr-Latn-ME"/>
        </w:rPr>
        <w:t>a</w:t>
      </w:r>
      <w:r w:rsidR="007C6E1A" w:rsidRPr="009057DB">
        <w:rPr>
          <w:sz w:val="22"/>
          <w:szCs w:val="22"/>
          <w:lang w:val="sr-Latn-ME"/>
        </w:rPr>
        <w:t>)</w:t>
      </w:r>
    </w:p>
    <w:p w14:paraId="623B88F7" w14:textId="77777777" w:rsidR="006D20A5" w:rsidRPr="009057DB" w:rsidRDefault="006D20A5" w:rsidP="00376088">
      <w:pPr>
        <w:jc w:val="both"/>
        <w:rPr>
          <w:bCs/>
          <w:sz w:val="22"/>
          <w:szCs w:val="22"/>
          <w:lang w:val="sr-Latn-ME"/>
        </w:rPr>
      </w:pPr>
    </w:p>
    <w:p w14:paraId="2102499E" w14:textId="77777777" w:rsidR="00530BD7" w:rsidRPr="009057DB" w:rsidRDefault="00530BD7" w:rsidP="00376088">
      <w:pPr>
        <w:jc w:val="both"/>
        <w:rPr>
          <w:bCs/>
          <w:sz w:val="22"/>
          <w:szCs w:val="22"/>
          <w:lang w:val="sr-Latn-ME"/>
        </w:rPr>
      </w:pPr>
    </w:p>
    <w:p w14:paraId="6FCEFCBA" w14:textId="77777777" w:rsidR="00411B4B" w:rsidRPr="009057DB" w:rsidRDefault="00411B4B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057DB">
        <w:rPr>
          <w:b/>
          <w:bCs/>
          <w:sz w:val="22"/>
          <w:szCs w:val="22"/>
          <w:lang w:val="sr-Latn-ME"/>
        </w:rPr>
        <w:t xml:space="preserve">2. </w:t>
      </w:r>
      <w:r w:rsidR="00F5167F" w:rsidRPr="009057DB">
        <w:rPr>
          <w:b/>
          <w:bCs/>
          <w:sz w:val="22"/>
          <w:szCs w:val="22"/>
          <w:lang w:val="sr-Latn-ME"/>
        </w:rPr>
        <w:tab/>
      </w:r>
      <w:r w:rsidRPr="009057DB">
        <w:rPr>
          <w:b/>
          <w:bCs/>
          <w:sz w:val="22"/>
          <w:szCs w:val="22"/>
          <w:lang w:val="sr-Latn-ME"/>
        </w:rPr>
        <w:t>KVALITATIVNI I KVANTITATIVNI SASTAV</w:t>
      </w:r>
    </w:p>
    <w:p w14:paraId="72C24C9A" w14:textId="77777777" w:rsidR="005A0B2E" w:rsidRPr="009057DB" w:rsidRDefault="005A0B2E" w:rsidP="00376088">
      <w:pPr>
        <w:jc w:val="both"/>
        <w:rPr>
          <w:sz w:val="22"/>
          <w:szCs w:val="22"/>
          <w:lang w:val="sr-Latn-ME"/>
        </w:rPr>
      </w:pPr>
    </w:p>
    <w:p w14:paraId="31ACD7A6" w14:textId="3C28D811" w:rsidR="00D651E6" w:rsidRPr="009057DB" w:rsidRDefault="00331637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V</w:t>
      </w:r>
      <w:r w:rsidR="00A53C39" w:rsidRPr="009057DB">
        <w:rPr>
          <w:sz w:val="22"/>
          <w:szCs w:val="22"/>
          <w:lang w:val="sr-Latn-ME"/>
        </w:rPr>
        <w:t>iše</w:t>
      </w:r>
      <w:r w:rsidR="00D651E6" w:rsidRPr="009057DB">
        <w:rPr>
          <w:sz w:val="22"/>
          <w:szCs w:val="22"/>
          <w:lang w:val="sr-Latn-ME"/>
        </w:rPr>
        <w:t>dozne bočice koje sadrže 8 doza ili 10 doza od 0,5 ml po bočici (vid</w:t>
      </w:r>
      <w:r w:rsidR="00014438" w:rsidRPr="009057DB">
        <w:rPr>
          <w:sz w:val="22"/>
          <w:szCs w:val="22"/>
          <w:lang w:val="sr-Latn-ME"/>
        </w:rPr>
        <w:t>j</w:t>
      </w:r>
      <w:r w:rsidR="00D651E6" w:rsidRPr="009057DB">
        <w:rPr>
          <w:sz w:val="22"/>
          <w:szCs w:val="22"/>
          <w:lang w:val="sr-Latn-ME"/>
        </w:rPr>
        <w:t xml:space="preserve">eti </w:t>
      </w:r>
      <w:r w:rsidR="005D23DD" w:rsidRPr="009057DB">
        <w:rPr>
          <w:sz w:val="22"/>
          <w:szCs w:val="22"/>
          <w:lang w:val="sr-Latn-ME"/>
        </w:rPr>
        <w:t>dio</w:t>
      </w:r>
      <w:r w:rsidR="00D651E6" w:rsidRPr="009057DB">
        <w:rPr>
          <w:sz w:val="22"/>
          <w:szCs w:val="22"/>
          <w:lang w:val="sr-Latn-ME"/>
        </w:rPr>
        <w:t xml:space="preserve"> 6.5).</w:t>
      </w:r>
    </w:p>
    <w:p w14:paraId="4ED9C45C" w14:textId="77777777" w:rsidR="00D651E6" w:rsidRPr="009057DB" w:rsidRDefault="00D651E6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34EDB16" w14:textId="65D38DC9" w:rsidR="00D651E6" w:rsidRPr="009057DB" w:rsidRDefault="00D651E6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 xml:space="preserve">Jedna doza (0,5 </w:t>
      </w:r>
      <w:r w:rsidR="00F40D59" w:rsidRPr="009057DB">
        <w:rPr>
          <w:sz w:val="22"/>
          <w:szCs w:val="22"/>
          <w:lang w:val="sr-Latn-ME"/>
        </w:rPr>
        <w:t>ml</w:t>
      </w:r>
      <w:r w:rsidRPr="009057DB">
        <w:rPr>
          <w:sz w:val="22"/>
          <w:szCs w:val="22"/>
          <w:lang w:val="sr-Latn-ME"/>
        </w:rPr>
        <w:t>) sadrži:</w:t>
      </w:r>
    </w:p>
    <w:p w14:paraId="5337906A" w14:textId="7FF356F2" w:rsidR="00D651E6" w:rsidRPr="009057DB" w:rsidRDefault="00D651E6" w:rsidP="00376088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9057DB">
        <w:rPr>
          <w:color w:val="000000"/>
          <w:sz w:val="22"/>
          <w:szCs w:val="22"/>
          <w:shd w:val="clear" w:color="auto" w:fill="FFFFFF"/>
          <w:lang w:val="sr-Latn-ME"/>
        </w:rPr>
        <w:t xml:space="preserve">Adenovirus šimpanze koji kodira </w:t>
      </w:r>
      <w:r w:rsidRPr="009057DB">
        <w:rPr>
          <w:noProof/>
          <w:sz w:val="22"/>
          <w:szCs w:val="22"/>
          <w:lang w:val="sr-Latn-ME"/>
        </w:rPr>
        <w:t>SARS</w:t>
      </w:r>
      <w:r w:rsidRPr="009057DB">
        <w:rPr>
          <w:noProof/>
          <w:sz w:val="22"/>
          <w:szCs w:val="22"/>
          <w:lang w:val="sr-Latn-ME"/>
        </w:rPr>
        <w:noBreakHyphen/>
        <w:t>CoV</w:t>
      </w:r>
      <w:r w:rsidRPr="009057DB">
        <w:rPr>
          <w:noProof/>
          <w:sz w:val="22"/>
          <w:szCs w:val="22"/>
          <w:lang w:val="sr-Latn-ME"/>
        </w:rPr>
        <w:noBreakHyphen/>
        <w:t>2 Spike glikoprotein (ChAdOx1-S)</w:t>
      </w:r>
      <w:r w:rsidRPr="009057DB">
        <w:rPr>
          <w:noProof/>
          <w:sz w:val="22"/>
          <w:szCs w:val="22"/>
          <w:vertAlign w:val="superscript"/>
          <w:lang w:val="sr-Latn-ME"/>
        </w:rPr>
        <w:t>*</w:t>
      </w:r>
      <w:r w:rsidRPr="009057DB">
        <w:rPr>
          <w:noProof/>
          <w:sz w:val="22"/>
          <w:szCs w:val="22"/>
          <w:lang w:val="sr-Latn-ME"/>
        </w:rPr>
        <w:t>, n</w:t>
      </w:r>
      <w:r w:rsidR="005C5F5C" w:rsidRPr="009057DB">
        <w:rPr>
          <w:noProof/>
          <w:sz w:val="22"/>
          <w:szCs w:val="22"/>
          <w:lang w:val="sr-Latn-ME"/>
        </w:rPr>
        <w:t>ajmanje</w:t>
      </w:r>
      <w:r w:rsidRPr="009057DB">
        <w:rPr>
          <w:noProof/>
          <w:sz w:val="22"/>
          <w:szCs w:val="22"/>
          <w:lang w:val="sr-Latn-ME"/>
        </w:rPr>
        <w:t xml:space="preserve"> 2,5 × 10</w:t>
      </w:r>
      <w:r w:rsidRPr="009057DB">
        <w:rPr>
          <w:noProof/>
          <w:sz w:val="22"/>
          <w:szCs w:val="22"/>
          <w:vertAlign w:val="superscript"/>
          <w:lang w:val="sr-Latn-ME"/>
        </w:rPr>
        <w:t>8</w:t>
      </w:r>
      <w:r w:rsidRPr="009057DB">
        <w:rPr>
          <w:noProof/>
          <w:sz w:val="22"/>
          <w:szCs w:val="22"/>
          <w:lang w:val="sr-Latn-ME"/>
        </w:rPr>
        <w:t> infektivnih jedinica (</w:t>
      </w:r>
      <w:r w:rsidR="00431452" w:rsidRPr="009057DB">
        <w:rPr>
          <w:noProof/>
          <w:sz w:val="22"/>
          <w:szCs w:val="22"/>
          <w:lang w:val="sr-Latn-ME"/>
        </w:rPr>
        <w:t xml:space="preserve">engl. </w:t>
      </w:r>
      <w:r w:rsidR="00431452" w:rsidRPr="009057DB">
        <w:rPr>
          <w:i/>
          <w:iCs/>
          <w:noProof/>
          <w:sz w:val="22"/>
          <w:szCs w:val="22"/>
          <w:lang w:val="sr-Latn-ME"/>
        </w:rPr>
        <w:t>infectious units</w:t>
      </w:r>
      <w:r w:rsidR="00303B64" w:rsidRPr="009057DB">
        <w:rPr>
          <w:noProof/>
          <w:sz w:val="22"/>
          <w:szCs w:val="22"/>
          <w:lang w:val="sr-Latn-ME"/>
        </w:rPr>
        <w:t xml:space="preserve">, </w:t>
      </w:r>
      <w:r w:rsidRPr="009057DB">
        <w:rPr>
          <w:noProof/>
          <w:sz w:val="22"/>
          <w:szCs w:val="22"/>
          <w:lang w:val="sr-Latn-ME"/>
        </w:rPr>
        <w:t>Inf.U).</w:t>
      </w:r>
    </w:p>
    <w:p w14:paraId="15AC1FE8" w14:textId="355B7694" w:rsidR="00D651E6" w:rsidRPr="009057DB" w:rsidRDefault="00D651E6" w:rsidP="00376088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9057DB">
        <w:rPr>
          <w:noProof/>
          <w:sz w:val="22"/>
          <w:szCs w:val="22"/>
          <w:lang w:val="sr-Latn-ME"/>
        </w:rPr>
        <w:t>*Proizveden u genetski modifikovanim ljudskim embrionalnim</w:t>
      </w:r>
      <w:r w:rsidR="00154E34" w:rsidRPr="009057DB">
        <w:rPr>
          <w:noProof/>
          <w:sz w:val="22"/>
          <w:szCs w:val="22"/>
          <w:lang w:val="sr-Latn-ME"/>
        </w:rPr>
        <w:t xml:space="preserve"> </w:t>
      </w:r>
      <w:r w:rsidRPr="009057DB">
        <w:rPr>
          <w:noProof/>
          <w:sz w:val="22"/>
          <w:szCs w:val="22"/>
          <w:lang w:val="sr-Latn-ME"/>
        </w:rPr>
        <w:t>ćelijama bubrega HEK</w:t>
      </w:r>
      <w:r w:rsidR="00154E34" w:rsidRPr="009057DB">
        <w:rPr>
          <w:noProof/>
          <w:sz w:val="22"/>
          <w:szCs w:val="22"/>
          <w:lang w:val="sr-Latn-ME"/>
        </w:rPr>
        <w:t>-293</w:t>
      </w:r>
      <w:r w:rsidRPr="009057DB">
        <w:rPr>
          <w:noProof/>
          <w:sz w:val="22"/>
          <w:szCs w:val="22"/>
          <w:lang w:val="sr-Latn-ME"/>
        </w:rPr>
        <w:t xml:space="preserve"> tehnologijom rekombina</w:t>
      </w:r>
      <w:r w:rsidR="00F40D59" w:rsidRPr="009057DB">
        <w:rPr>
          <w:noProof/>
          <w:sz w:val="22"/>
          <w:szCs w:val="22"/>
          <w:lang w:val="sr-Latn-ME"/>
        </w:rPr>
        <w:t>n</w:t>
      </w:r>
      <w:r w:rsidRPr="009057DB">
        <w:rPr>
          <w:noProof/>
          <w:sz w:val="22"/>
          <w:szCs w:val="22"/>
          <w:lang w:val="sr-Latn-ME"/>
        </w:rPr>
        <w:t>tne DNK.</w:t>
      </w:r>
    </w:p>
    <w:p w14:paraId="0750C241" w14:textId="77777777" w:rsidR="00D651E6" w:rsidRPr="009057DB" w:rsidRDefault="00D651E6" w:rsidP="00376088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4038E937" w14:textId="76840FB5" w:rsidR="00D651E6" w:rsidRPr="009057DB" w:rsidRDefault="00D651E6" w:rsidP="00376088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9057DB">
        <w:rPr>
          <w:noProof/>
          <w:sz w:val="22"/>
          <w:szCs w:val="22"/>
          <w:lang w:val="sr-Latn-ME"/>
        </w:rPr>
        <w:t>Ovaj l</w:t>
      </w:r>
      <w:r w:rsidR="00A224D1" w:rsidRPr="009057DB">
        <w:rPr>
          <w:noProof/>
          <w:sz w:val="22"/>
          <w:szCs w:val="22"/>
          <w:lang w:val="sr-Latn-ME"/>
        </w:rPr>
        <w:t>ij</w:t>
      </w:r>
      <w:r w:rsidRPr="009057DB">
        <w:rPr>
          <w:noProof/>
          <w:sz w:val="22"/>
          <w:szCs w:val="22"/>
          <w:lang w:val="sr-Latn-ME"/>
        </w:rPr>
        <w:t>ek sadrži genetski modifikovane organizme (GMO).</w:t>
      </w:r>
    </w:p>
    <w:p w14:paraId="6257C642" w14:textId="77777777" w:rsidR="00D651E6" w:rsidRPr="009057DB" w:rsidRDefault="00D651E6" w:rsidP="00376088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5C5DC5AA" w14:textId="77777777" w:rsidR="00D651E6" w:rsidRPr="009057DB" w:rsidRDefault="00D651E6" w:rsidP="00376088">
      <w:pPr>
        <w:tabs>
          <w:tab w:val="left" w:pos="284"/>
        </w:tabs>
        <w:jc w:val="both"/>
        <w:rPr>
          <w:noProof/>
          <w:sz w:val="22"/>
          <w:szCs w:val="22"/>
          <w:u w:val="single"/>
          <w:lang w:val="sr-Latn-ME"/>
        </w:rPr>
      </w:pPr>
      <w:r w:rsidRPr="009057DB">
        <w:rPr>
          <w:noProof/>
          <w:sz w:val="22"/>
          <w:szCs w:val="22"/>
          <w:u w:val="single"/>
          <w:lang w:val="sr-Latn-ME"/>
        </w:rPr>
        <w:t>Pomoćne supstance sa potvrđenim dejtsvom:</w:t>
      </w:r>
    </w:p>
    <w:p w14:paraId="1474F5FC" w14:textId="10E0DE91" w:rsidR="00D651E6" w:rsidRPr="009057DB" w:rsidRDefault="00CC4268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J</w:t>
      </w:r>
      <w:r w:rsidR="00C63A09" w:rsidRPr="009057DB">
        <w:rPr>
          <w:sz w:val="22"/>
          <w:szCs w:val="22"/>
          <w:lang w:val="sr-Latn-ME"/>
        </w:rPr>
        <w:t>edna</w:t>
      </w:r>
      <w:r w:rsidR="00F40D59" w:rsidRPr="009057DB">
        <w:rPr>
          <w:sz w:val="22"/>
          <w:szCs w:val="22"/>
          <w:lang w:val="sr-Latn-ME"/>
        </w:rPr>
        <w:t xml:space="preserve"> </w:t>
      </w:r>
      <w:r w:rsidR="00D651E6" w:rsidRPr="009057DB">
        <w:rPr>
          <w:sz w:val="22"/>
          <w:szCs w:val="22"/>
          <w:lang w:val="sr-Latn-ME"/>
        </w:rPr>
        <w:t xml:space="preserve">doza (0,5 </w:t>
      </w:r>
      <w:r w:rsidR="00F40D59" w:rsidRPr="009057DB">
        <w:rPr>
          <w:sz w:val="22"/>
          <w:szCs w:val="22"/>
          <w:lang w:val="sr-Latn-ME"/>
        </w:rPr>
        <w:t>ml</w:t>
      </w:r>
      <w:r w:rsidR="00D651E6" w:rsidRPr="009057DB">
        <w:rPr>
          <w:sz w:val="22"/>
          <w:szCs w:val="22"/>
          <w:lang w:val="sr-Latn-ME"/>
        </w:rPr>
        <w:t>) sadrži približno 2 mg etanola.</w:t>
      </w:r>
    </w:p>
    <w:p w14:paraId="5A5EF10E" w14:textId="77777777" w:rsidR="00EC5098" w:rsidRPr="009057DB" w:rsidRDefault="00EC5098" w:rsidP="00376088">
      <w:pPr>
        <w:jc w:val="both"/>
        <w:rPr>
          <w:sz w:val="22"/>
          <w:szCs w:val="22"/>
          <w:lang w:val="sr-Latn-ME"/>
        </w:rPr>
      </w:pPr>
    </w:p>
    <w:p w14:paraId="2301927A" w14:textId="1B9FBE94" w:rsidR="0003793F" w:rsidRPr="009057DB" w:rsidRDefault="0003793F" w:rsidP="00376088">
      <w:pPr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Za spisak svih ekscipijenasa, pogledati dio 6.1.</w:t>
      </w:r>
    </w:p>
    <w:p w14:paraId="0E5D26C5" w14:textId="77777777" w:rsidR="0003793F" w:rsidRPr="009057DB" w:rsidRDefault="0003793F" w:rsidP="00376088">
      <w:pPr>
        <w:jc w:val="both"/>
        <w:rPr>
          <w:sz w:val="22"/>
          <w:szCs w:val="22"/>
          <w:lang w:val="sr-Latn-ME"/>
        </w:rPr>
      </w:pPr>
    </w:p>
    <w:p w14:paraId="26A4FBE1" w14:textId="77777777" w:rsidR="00C37FD7" w:rsidRPr="009057DB" w:rsidRDefault="00C37FD7" w:rsidP="00376088">
      <w:pPr>
        <w:jc w:val="both"/>
        <w:rPr>
          <w:sz w:val="22"/>
          <w:szCs w:val="22"/>
          <w:lang w:val="sr-Latn-ME"/>
        </w:rPr>
      </w:pPr>
    </w:p>
    <w:p w14:paraId="225FB5F1" w14:textId="77777777" w:rsidR="00411B4B" w:rsidRPr="009057DB" w:rsidRDefault="00411B4B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057DB">
        <w:rPr>
          <w:b/>
          <w:bCs/>
          <w:sz w:val="22"/>
          <w:szCs w:val="22"/>
          <w:lang w:val="sr-Latn-ME"/>
        </w:rPr>
        <w:t xml:space="preserve">3. </w:t>
      </w:r>
      <w:r w:rsidR="00F5167F" w:rsidRPr="009057DB">
        <w:rPr>
          <w:b/>
          <w:bCs/>
          <w:sz w:val="22"/>
          <w:szCs w:val="22"/>
          <w:lang w:val="sr-Latn-ME"/>
        </w:rPr>
        <w:tab/>
      </w:r>
      <w:r w:rsidRPr="009057DB">
        <w:rPr>
          <w:b/>
          <w:bCs/>
          <w:sz w:val="22"/>
          <w:szCs w:val="22"/>
          <w:lang w:val="sr-Latn-ME"/>
        </w:rPr>
        <w:t>FARMACEUTSKI OBLIK</w:t>
      </w:r>
      <w:r w:rsidR="009F2D23" w:rsidRPr="009057DB">
        <w:rPr>
          <w:b/>
          <w:bCs/>
          <w:sz w:val="22"/>
          <w:szCs w:val="22"/>
          <w:lang w:val="sr-Latn-ME"/>
        </w:rPr>
        <w:t xml:space="preserve"> </w:t>
      </w:r>
    </w:p>
    <w:p w14:paraId="4CD391CD" w14:textId="77777777" w:rsidR="00411B4B" w:rsidRPr="009057DB" w:rsidRDefault="00411B4B" w:rsidP="00376088">
      <w:pPr>
        <w:jc w:val="both"/>
        <w:rPr>
          <w:bCs/>
          <w:sz w:val="22"/>
          <w:szCs w:val="22"/>
          <w:lang w:val="sr-Latn-ME"/>
        </w:rPr>
      </w:pPr>
    </w:p>
    <w:p w14:paraId="42E50494" w14:textId="1DC70924" w:rsidR="00807224" w:rsidRPr="009057DB" w:rsidRDefault="00807224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Suspenzija za injekciju.</w:t>
      </w:r>
    </w:p>
    <w:p w14:paraId="66ED693F" w14:textId="77777777" w:rsidR="00807224" w:rsidRPr="009057DB" w:rsidRDefault="00807224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CEB7AAA" w14:textId="2AAE5C92" w:rsidR="00807224" w:rsidRPr="009057DB" w:rsidRDefault="00807224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Bezbojna do blago smeđ</w:t>
      </w:r>
      <w:r w:rsidR="00127A1F" w:rsidRPr="009057DB">
        <w:rPr>
          <w:sz w:val="22"/>
          <w:szCs w:val="22"/>
          <w:lang w:val="sr-Latn-ME"/>
        </w:rPr>
        <w:t>a</w:t>
      </w:r>
      <w:r w:rsidRPr="009057DB">
        <w:rPr>
          <w:sz w:val="22"/>
          <w:szCs w:val="22"/>
          <w:lang w:val="sr-Latn-ME"/>
        </w:rPr>
        <w:t>, bistra do blago opalesce</w:t>
      </w:r>
      <w:r w:rsidR="00F40D59" w:rsidRPr="009057DB">
        <w:rPr>
          <w:sz w:val="22"/>
          <w:szCs w:val="22"/>
          <w:lang w:val="sr-Latn-ME"/>
        </w:rPr>
        <w:t>n</w:t>
      </w:r>
      <w:r w:rsidRPr="009057DB">
        <w:rPr>
          <w:sz w:val="22"/>
          <w:szCs w:val="22"/>
          <w:lang w:val="sr-Latn-ME"/>
        </w:rPr>
        <w:t xml:space="preserve">tna suspenzija </w:t>
      </w:r>
      <w:r w:rsidR="00F40D59" w:rsidRPr="009057DB">
        <w:rPr>
          <w:sz w:val="22"/>
          <w:szCs w:val="22"/>
          <w:lang w:val="sr-Latn-ME"/>
        </w:rPr>
        <w:t>i</w:t>
      </w:r>
      <w:r w:rsidR="007A496C" w:rsidRPr="009057DB">
        <w:rPr>
          <w:sz w:val="22"/>
          <w:szCs w:val="22"/>
          <w:lang w:val="sr-Latn-ME"/>
        </w:rPr>
        <w:t xml:space="preserve"> ima</w:t>
      </w:r>
      <w:r w:rsidRPr="009057DB">
        <w:rPr>
          <w:sz w:val="22"/>
          <w:szCs w:val="22"/>
          <w:lang w:val="sr-Latn-ME"/>
        </w:rPr>
        <w:t xml:space="preserve"> pH vr</w:t>
      </w:r>
      <w:r w:rsidR="004933C2" w:rsidRPr="009057DB">
        <w:rPr>
          <w:sz w:val="22"/>
          <w:szCs w:val="22"/>
          <w:lang w:val="sr-Latn-ME"/>
        </w:rPr>
        <w:t>ij</w:t>
      </w:r>
      <w:r w:rsidRPr="009057DB">
        <w:rPr>
          <w:sz w:val="22"/>
          <w:szCs w:val="22"/>
          <w:lang w:val="sr-Latn-ME"/>
        </w:rPr>
        <w:t>edno</w:t>
      </w:r>
      <w:r w:rsidR="007A496C" w:rsidRPr="009057DB">
        <w:rPr>
          <w:sz w:val="22"/>
          <w:szCs w:val="22"/>
          <w:lang w:val="sr-Latn-ME"/>
        </w:rPr>
        <w:t>st</w:t>
      </w:r>
      <w:r w:rsidRPr="009057DB">
        <w:rPr>
          <w:sz w:val="22"/>
          <w:szCs w:val="22"/>
          <w:lang w:val="sr-Latn-ME"/>
        </w:rPr>
        <w:t xml:space="preserve"> 6.6. </w:t>
      </w:r>
    </w:p>
    <w:p w14:paraId="6B8D489A" w14:textId="77777777" w:rsidR="00EC2532" w:rsidRPr="009057DB" w:rsidRDefault="00EC2532" w:rsidP="00376088">
      <w:pPr>
        <w:jc w:val="both"/>
        <w:rPr>
          <w:bCs/>
          <w:sz w:val="22"/>
          <w:szCs w:val="22"/>
          <w:lang w:val="sr-Latn-ME"/>
        </w:rPr>
      </w:pPr>
    </w:p>
    <w:p w14:paraId="25F917A8" w14:textId="77777777" w:rsidR="00A60699" w:rsidRPr="009057DB" w:rsidRDefault="00A60699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62721B3" w14:textId="044A0045" w:rsidR="00411B4B" w:rsidRPr="009057DB" w:rsidRDefault="00411B4B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057DB">
        <w:rPr>
          <w:b/>
          <w:bCs/>
          <w:sz w:val="22"/>
          <w:szCs w:val="22"/>
          <w:lang w:val="sr-Latn-ME"/>
        </w:rPr>
        <w:t xml:space="preserve">4. </w:t>
      </w:r>
      <w:r w:rsidR="00480FB1" w:rsidRPr="009057DB">
        <w:rPr>
          <w:b/>
          <w:bCs/>
          <w:sz w:val="22"/>
          <w:szCs w:val="22"/>
          <w:lang w:val="sr-Latn-ME"/>
        </w:rPr>
        <w:tab/>
      </w:r>
      <w:r w:rsidRPr="009057DB">
        <w:rPr>
          <w:b/>
          <w:bCs/>
          <w:sz w:val="22"/>
          <w:szCs w:val="22"/>
          <w:lang w:val="sr-Latn-ME"/>
        </w:rPr>
        <w:t>KLINIČKI PODACI</w:t>
      </w:r>
    </w:p>
    <w:p w14:paraId="46449D47" w14:textId="77777777" w:rsidR="00CD6F02" w:rsidRPr="009057DB" w:rsidRDefault="00CD6F02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152910C" w14:textId="77777777" w:rsidR="00411B4B" w:rsidRPr="009057DB" w:rsidRDefault="00411B4B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057DB">
        <w:rPr>
          <w:b/>
          <w:bCs/>
          <w:sz w:val="22"/>
          <w:szCs w:val="22"/>
          <w:lang w:val="sr-Latn-ME"/>
        </w:rPr>
        <w:t xml:space="preserve">4.1. </w:t>
      </w:r>
      <w:r w:rsidR="00480FB1" w:rsidRPr="009057DB">
        <w:rPr>
          <w:b/>
          <w:bCs/>
          <w:sz w:val="22"/>
          <w:szCs w:val="22"/>
          <w:lang w:val="sr-Latn-ME"/>
        </w:rPr>
        <w:tab/>
      </w:r>
      <w:r w:rsidRPr="009057DB">
        <w:rPr>
          <w:b/>
          <w:bCs/>
          <w:sz w:val="22"/>
          <w:szCs w:val="22"/>
          <w:lang w:val="sr-Latn-ME"/>
        </w:rPr>
        <w:t>Terapijske indikacije</w:t>
      </w:r>
    </w:p>
    <w:p w14:paraId="6793548C" w14:textId="6584B434" w:rsidR="00411B4B" w:rsidRPr="009057DB" w:rsidRDefault="00411B4B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80A06CD" w14:textId="3BD9C191" w:rsidR="005F6EC2" w:rsidRPr="009057DB" w:rsidRDefault="00EC479A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Vakcina</w:t>
      </w:r>
      <w:r w:rsidR="00E7118D" w:rsidRPr="009057DB">
        <w:rPr>
          <w:sz w:val="22"/>
          <w:szCs w:val="22"/>
          <w:lang w:val="sr-Latn-ME"/>
        </w:rPr>
        <w:t xml:space="preserve"> </w:t>
      </w:r>
      <w:r w:rsidR="00EA5129" w:rsidRPr="009057DB">
        <w:rPr>
          <w:color w:val="000000"/>
          <w:sz w:val="22"/>
          <w:szCs w:val="22"/>
          <w:shd w:val="clear" w:color="auto" w:fill="FFFFFF"/>
          <w:lang w:val="sr-Latn-ME"/>
        </w:rPr>
        <w:t>Vaxzevria</w:t>
      </w:r>
      <w:r w:rsidR="008448EC" w:rsidRPr="009057DB">
        <w:rPr>
          <w:color w:val="000000"/>
          <w:sz w:val="22"/>
          <w:szCs w:val="22"/>
          <w:shd w:val="clear" w:color="auto" w:fill="FFFFFF"/>
          <w:lang w:val="sr-Latn-ME"/>
        </w:rPr>
        <w:t xml:space="preserve"> </w:t>
      </w:r>
      <w:r w:rsidR="005F6EC2" w:rsidRPr="009057DB">
        <w:rPr>
          <w:sz w:val="22"/>
          <w:szCs w:val="22"/>
          <w:lang w:val="sr-Latn-ME"/>
        </w:rPr>
        <w:t xml:space="preserve">indikovana je za aktivnu imunizaciju </w:t>
      </w:r>
      <w:r w:rsidR="001C7269" w:rsidRPr="009057DB">
        <w:rPr>
          <w:sz w:val="22"/>
          <w:szCs w:val="22"/>
          <w:lang w:val="sr-Latn-ME"/>
        </w:rPr>
        <w:t xml:space="preserve">zbog </w:t>
      </w:r>
      <w:r w:rsidR="005F6EC2" w:rsidRPr="009057DB">
        <w:rPr>
          <w:sz w:val="22"/>
          <w:szCs w:val="22"/>
          <w:lang w:val="sr-Latn-ME"/>
        </w:rPr>
        <w:t>spr</w:t>
      </w:r>
      <w:r w:rsidR="00C41EC2" w:rsidRPr="009057DB">
        <w:rPr>
          <w:sz w:val="22"/>
          <w:szCs w:val="22"/>
          <w:lang w:val="sr-Latn-ME"/>
        </w:rPr>
        <w:t>ij</w:t>
      </w:r>
      <w:r w:rsidR="005F6EC2" w:rsidRPr="009057DB">
        <w:rPr>
          <w:sz w:val="22"/>
          <w:szCs w:val="22"/>
          <w:lang w:val="sr-Latn-ME"/>
        </w:rPr>
        <w:t>eč</w:t>
      </w:r>
      <w:r w:rsidR="001C7269" w:rsidRPr="009057DB">
        <w:rPr>
          <w:sz w:val="22"/>
          <w:szCs w:val="22"/>
          <w:lang w:val="sr-Latn-ME"/>
        </w:rPr>
        <w:t>avanja</w:t>
      </w:r>
      <w:r w:rsidR="005F6EC2" w:rsidRPr="009057DB">
        <w:rPr>
          <w:sz w:val="22"/>
          <w:szCs w:val="22"/>
          <w:lang w:val="sr-Latn-ME"/>
        </w:rPr>
        <w:t xml:space="preserve"> </w:t>
      </w:r>
      <w:r w:rsidR="00DB76D7" w:rsidRPr="009057DB">
        <w:rPr>
          <w:sz w:val="22"/>
          <w:szCs w:val="22"/>
          <w:lang w:val="sr-Latn-ME"/>
        </w:rPr>
        <w:t xml:space="preserve">bolesti </w:t>
      </w:r>
      <w:r w:rsidR="005F6EC2" w:rsidRPr="009057DB">
        <w:rPr>
          <w:sz w:val="22"/>
          <w:szCs w:val="22"/>
          <w:lang w:val="sr-Latn-ME"/>
        </w:rPr>
        <w:t>COVID-19 uzrokovan</w:t>
      </w:r>
      <w:r w:rsidR="00DB76D7" w:rsidRPr="009057DB">
        <w:rPr>
          <w:sz w:val="22"/>
          <w:szCs w:val="22"/>
          <w:lang w:val="sr-Latn-ME"/>
        </w:rPr>
        <w:t>e</w:t>
      </w:r>
      <w:r w:rsidR="005F6EC2" w:rsidRPr="009057DB">
        <w:rPr>
          <w:sz w:val="22"/>
          <w:szCs w:val="22"/>
          <w:lang w:val="sr-Latn-ME"/>
        </w:rPr>
        <w:t xml:space="preserve"> </w:t>
      </w:r>
      <w:r w:rsidR="00DB76D7" w:rsidRPr="009057DB">
        <w:rPr>
          <w:sz w:val="22"/>
          <w:szCs w:val="22"/>
          <w:lang w:val="sr-Latn-ME"/>
        </w:rPr>
        <w:t xml:space="preserve">virusom </w:t>
      </w:r>
      <w:r w:rsidR="005F6EC2" w:rsidRPr="009057DB">
        <w:rPr>
          <w:sz w:val="22"/>
          <w:szCs w:val="22"/>
          <w:lang w:val="sr-Latn-ME"/>
        </w:rPr>
        <w:t xml:space="preserve">SARS-CoV-2 kod osoba starosti 18 </w:t>
      </w:r>
      <w:r w:rsidR="00197C69" w:rsidRPr="009057DB">
        <w:rPr>
          <w:sz w:val="22"/>
          <w:szCs w:val="22"/>
          <w:lang w:val="sr-Latn-ME"/>
        </w:rPr>
        <w:t>i</w:t>
      </w:r>
      <w:r w:rsidR="005F6EC2" w:rsidRPr="009057DB">
        <w:rPr>
          <w:sz w:val="22"/>
          <w:szCs w:val="22"/>
          <w:lang w:val="sr-Latn-ME"/>
        </w:rPr>
        <w:t xml:space="preserve"> više godina.</w:t>
      </w:r>
    </w:p>
    <w:p w14:paraId="03B39468" w14:textId="77777777" w:rsidR="005F6EC2" w:rsidRPr="009057DB" w:rsidRDefault="005F6EC2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B511A86" w14:textId="1085E89E" w:rsidR="005F6EC2" w:rsidRPr="009057DB" w:rsidRDefault="005F6EC2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Prim</w:t>
      </w:r>
      <w:r w:rsidR="0026077B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>ena ove vakcine treba da bude u skladu sa zvaničnim preporukama.</w:t>
      </w:r>
    </w:p>
    <w:p w14:paraId="471D7FE7" w14:textId="77777777" w:rsidR="005F6EC2" w:rsidRPr="009057DB" w:rsidRDefault="005F6EC2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A1F5AE0" w14:textId="77777777" w:rsidR="00411B4B" w:rsidRPr="009057DB" w:rsidRDefault="00411B4B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057DB">
        <w:rPr>
          <w:b/>
          <w:bCs/>
          <w:sz w:val="22"/>
          <w:szCs w:val="22"/>
          <w:lang w:val="sr-Latn-ME"/>
        </w:rPr>
        <w:t xml:space="preserve">4.2. </w:t>
      </w:r>
      <w:r w:rsidR="00480FB1" w:rsidRPr="009057DB">
        <w:rPr>
          <w:b/>
          <w:bCs/>
          <w:sz w:val="22"/>
          <w:szCs w:val="22"/>
          <w:lang w:val="sr-Latn-ME"/>
        </w:rPr>
        <w:tab/>
      </w:r>
      <w:r w:rsidRPr="009057DB">
        <w:rPr>
          <w:b/>
          <w:bCs/>
          <w:sz w:val="22"/>
          <w:szCs w:val="22"/>
          <w:lang w:val="sr-Latn-ME"/>
        </w:rPr>
        <w:t>Doziranje i način primjene</w:t>
      </w:r>
    </w:p>
    <w:p w14:paraId="3FEDF8F3" w14:textId="77777777" w:rsidR="0072020E" w:rsidRPr="009057DB" w:rsidRDefault="0072020E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74573F" w14:textId="77777777" w:rsidR="00452E9D" w:rsidRPr="009057DB" w:rsidRDefault="00452E9D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057DB">
        <w:rPr>
          <w:bCs/>
          <w:sz w:val="22"/>
          <w:szCs w:val="22"/>
          <w:u w:val="single"/>
          <w:lang w:val="sr-Latn-ME"/>
        </w:rPr>
        <w:t>Doziranje</w:t>
      </w:r>
    </w:p>
    <w:p w14:paraId="3543E4FA" w14:textId="744749C8" w:rsidR="00452E9D" w:rsidRPr="009057DB" w:rsidRDefault="00452E9D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7B516B39" w14:textId="04CCA9CC" w:rsidR="00601D8D" w:rsidRPr="009057DB" w:rsidRDefault="00601D8D" w:rsidP="00376088">
      <w:pPr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  <w:r w:rsidRPr="009057DB">
        <w:rPr>
          <w:i/>
          <w:iCs/>
          <w:sz w:val="22"/>
          <w:szCs w:val="22"/>
          <w:lang w:val="sr-Latn-ME"/>
        </w:rPr>
        <w:t>Odrasle osobe starosti 18 i više godina</w:t>
      </w:r>
    </w:p>
    <w:p w14:paraId="7D8B6B1B" w14:textId="2C0000CD" w:rsidR="00601D8D" w:rsidRPr="009057DB" w:rsidRDefault="00E37005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lastRenderedPageBreak/>
        <w:t>Proces primarne v</w:t>
      </w:r>
      <w:r w:rsidR="00601D8D" w:rsidRPr="009057DB">
        <w:rPr>
          <w:sz w:val="22"/>
          <w:szCs w:val="22"/>
          <w:lang w:val="sr-Latn-ME"/>
        </w:rPr>
        <w:t>akcinaci</w:t>
      </w:r>
      <w:r w:rsidRPr="009057DB">
        <w:rPr>
          <w:sz w:val="22"/>
          <w:szCs w:val="22"/>
          <w:lang w:val="sr-Latn-ME"/>
        </w:rPr>
        <w:t>ije</w:t>
      </w:r>
      <w:r w:rsidR="00626359">
        <w:rPr>
          <w:sz w:val="22"/>
          <w:szCs w:val="22"/>
          <w:lang w:val="sr-Latn-ME"/>
        </w:rPr>
        <w:t xml:space="preserve"> </w:t>
      </w:r>
      <w:r w:rsidR="007A1DDF" w:rsidRPr="009057DB">
        <w:rPr>
          <w:sz w:val="22"/>
          <w:szCs w:val="22"/>
          <w:lang w:val="sr-Latn-ME"/>
        </w:rPr>
        <w:t xml:space="preserve">vakcinom </w:t>
      </w:r>
      <w:r w:rsidR="00EA5129" w:rsidRPr="009057DB">
        <w:rPr>
          <w:sz w:val="22"/>
          <w:szCs w:val="22"/>
          <w:lang w:val="sr-Latn-ME"/>
        </w:rPr>
        <w:t>Vaxzevria</w:t>
      </w:r>
      <w:r w:rsidR="008448EC" w:rsidRPr="009057DB">
        <w:rPr>
          <w:sz w:val="22"/>
          <w:szCs w:val="22"/>
          <w:lang w:val="sr-Latn-ME"/>
        </w:rPr>
        <w:t xml:space="preserve"> </w:t>
      </w:r>
      <w:r w:rsidR="00601D8D" w:rsidRPr="009057DB">
        <w:rPr>
          <w:sz w:val="22"/>
          <w:szCs w:val="22"/>
          <w:lang w:val="sr-Latn-ME"/>
        </w:rPr>
        <w:t>sastoji se od</w:t>
      </w:r>
      <w:r w:rsidR="00C63E82" w:rsidRPr="009057DB">
        <w:rPr>
          <w:sz w:val="22"/>
          <w:szCs w:val="22"/>
          <w:lang w:val="sr-Latn-ME"/>
        </w:rPr>
        <w:t xml:space="preserve"> primjene</w:t>
      </w:r>
      <w:r w:rsidR="00601D8D" w:rsidRPr="009057DB">
        <w:rPr>
          <w:sz w:val="22"/>
          <w:szCs w:val="22"/>
          <w:lang w:val="sr-Latn-ME"/>
        </w:rPr>
        <w:t xml:space="preserve"> dv</w:t>
      </w:r>
      <w:r w:rsidR="00F63EE4" w:rsidRPr="009057DB">
        <w:rPr>
          <w:sz w:val="22"/>
          <w:szCs w:val="22"/>
          <w:lang w:val="sr-Latn-ME"/>
        </w:rPr>
        <w:t>ij</w:t>
      </w:r>
      <w:r w:rsidR="00601D8D" w:rsidRPr="009057DB">
        <w:rPr>
          <w:sz w:val="22"/>
          <w:szCs w:val="22"/>
          <w:lang w:val="sr-Latn-ME"/>
        </w:rPr>
        <w:t xml:space="preserve">e odvojene doze od po 0,5 </w:t>
      </w:r>
      <w:r w:rsidR="00AB4AC1" w:rsidRPr="009057DB">
        <w:rPr>
          <w:sz w:val="22"/>
          <w:szCs w:val="22"/>
          <w:lang w:val="sr-Latn-ME"/>
        </w:rPr>
        <w:t>ml</w:t>
      </w:r>
      <w:r w:rsidR="00601D8D" w:rsidRPr="009057DB">
        <w:rPr>
          <w:sz w:val="22"/>
          <w:szCs w:val="22"/>
          <w:lang w:val="sr-Latn-ME"/>
        </w:rPr>
        <w:t>. Druga doza treba da se prim</w:t>
      </w:r>
      <w:r w:rsidR="00197C69" w:rsidRPr="009057DB">
        <w:rPr>
          <w:sz w:val="22"/>
          <w:szCs w:val="22"/>
          <w:lang w:val="sr-Latn-ME"/>
        </w:rPr>
        <w:t>i</w:t>
      </w:r>
      <w:r w:rsidR="00F63EE4" w:rsidRPr="009057DB">
        <w:rPr>
          <w:sz w:val="22"/>
          <w:szCs w:val="22"/>
          <w:lang w:val="sr-Latn-ME"/>
        </w:rPr>
        <w:t>j</w:t>
      </w:r>
      <w:r w:rsidR="00601D8D" w:rsidRPr="009057DB">
        <w:rPr>
          <w:sz w:val="22"/>
          <w:szCs w:val="22"/>
          <w:lang w:val="sr-Latn-ME"/>
        </w:rPr>
        <w:t>eni između 4. i 12. ned</w:t>
      </w:r>
      <w:r w:rsidR="00F63EE4" w:rsidRPr="009057DB">
        <w:rPr>
          <w:sz w:val="22"/>
          <w:szCs w:val="22"/>
          <w:lang w:val="sr-Latn-ME"/>
        </w:rPr>
        <w:t>j</w:t>
      </w:r>
      <w:r w:rsidR="00601D8D" w:rsidRPr="009057DB">
        <w:rPr>
          <w:sz w:val="22"/>
          <w:szCs w:val="22"/>
          <w:lang w:val="sr-Latn-ME"/>
        </w:rPr>
        <w:t>elje (28 i 84 dana) nakon prve doze (vid</w:t>
      </w:r>
      <w:r w:rsidR="004C548B" w:rsidRPr="009057DB">
        <w:rPr>
          <w:sz w:val="22"/>
          <w:szCs w:val="22"/>
          <w:lang w:val="sr-Latn-ME"/>
        </w:rPr>
        <w:t>j</w:t>
      </w:r>
      <w:r w:rsidR="00601D8D" w:rsidRPr="009057DB">
        <w:rPr>
          <w:sz w:val="22"/>
          <w:szCs w:val="22"/>
          <w:lang w:val="sr-Latn-ME"/>
        </w:rPr>
        <w:t>et</w:t>
      </w:r>
      <w:r w:rsidR="004C548B" w:rsidRPr="009057DB">
        <w:rPr>
          <w:sz w:val="22"/>
          <w:szCs w:val="22"/>
          <w:lang w:val="sr-Latn-ME"/>
        </w:rPr>
        <w:t>i</w:t>
      </w:r>
      <w:r w:rsidR="00601D8D" w:rsidRPr="009057DB">
        <w:rPr>
          <w:sz w:val="22"/>
          <w:szCs w:val="22"/>
          <w:lang w:val="sr-Latn-ME"/>
        </w:rPr>
        <w:t xml:space="preserve"> </w:t>
      </w:r>
      <w:r w:rsidR="004E6AB3" w:rsidRPr="009057DB">
        <w:rPr>
          <w:sz w:val="22"/>
          <w:szCs w:val="22"/>
          <w:lang w:val="sr-Latn-ME"/>
        </w:rPr>
        <w:t xml:space="preserve">dio </w:t>
      </w:r>
      <w:r w:rsidR="00601D8D" w:rsidRPr="009057DB">
        <w:rPr>
          <w:sz w:val="22"/>
          <w:szCs w:val="22"/>
          <w:lang w:val="sr-Latn-ME"/>
        </w:rPr>
        <w:t>5.1).</w:t>
      </w:r>
    </w:p>
    <w:p w14:paraId="08DA1B41" w14:textId="1EB79D45" w:rsidR="00E37005" w:rsidRPr="009057DB" w:rsidRDefault="00E37005" w:rsidP="00E37005">
      <w:pPr>
        <w:tabs>
          <w:tab w:val="left" w:pos="284"/>
        </w:tabs>
        <w:jc w:val="both"/>
        <w:rPr>
          <w:sz w:val="22"/>
          <w:szCs w:val="22"/>
        </w:rPr>
      </w:pPr>
      <w:r w:rsidRPr="009057DB">
        <w:rPr>
          <w:sz w:val="22"/>
          <w:szCs w:val="22"/>
        </w:rPr>
        <w:t>Dopunska doza (treća doza) od 0,5 m</w:t>
      </w:r>
      <w:r w:rsidR="00626359">
        <w:rPr>
          <w:sz w:val="22"/>
          <w:szCs w:val="22"/>
        </w:rPr>
        <w:t>l</w:t>
      </w:r>
      <w:r w:rsidRPr="009057DB">
        <w:rPr>
          <w:sz w:val="22"/>
          <w:szCs w:val="22"/>
        </w:rPr>
        <w:t xml:space="preserve"> može se dati osobama koji su završil</w:t>
      </w:r>
      <w:r w:rsidR="00002053">
        <w:rPr>
          <w:sz w:val="22"/>
          <w:szCs w:val="22"/>
        </w:rPr>
        <w:t>e</w:t>
      </w:r>
      <w:r w:rsidRPr="009057DB">
        <w:rPr>
          <w:sz w:val="22"/>
          <w:szCs w:val="22"/>
        </w:rPr>
        <w:t xml:space="preserve"> primarni proces vakcinacije vakcinom Vaxzevria ili odobrenom mRNA </w:t>
      </w:r>
      <w:r w:rsidR="00BC3BA8" w:rsidRPr="009057DB">
        <w:rPr>
          <w:sz w:val="22"/>
          <w:szCs w:val="22"/>
        </w:rPr>
        <w:t xml:space="preserve">vakcinom </w:t>
      </w:r>
      <w:r w:rsidR="00BC3BA8">
        <w:rPr>
          <w:sz w:val="22"/>
          <w:szCs w:val="22"/>
        </w:rPr>
        <w:t xml:space="preserve">protiv </w:t>
      </w:r>
      <w:r w:rsidRPr="009057DB">
        <w:rPr>
          <w:sz w:val="22"/>
          <w:szCs w:val="22"/>
        </w:rPr>
        <w:t>COVID</w:t>
      </w:r>
      <w:r w:rsidR="009104E8">
        <w:rPr>
          <w:sz w:val="22"/>
          <w:szCs w:val="22"/>
        </w:rPr>
        <w:t>-</w:t>
      </w:r>
      <w:r w:rsidRPr="009057DB">
        <w:rPr>
          <w:sz w:val="22"/>
          <w:szCs w:val="22"/>
        </w:rPr>
        <w:t xml:space="preserve">19 (vidjeti </w:t>
      </w:r>
      <w:r w:rsidR="00626359">
        <w:rPr>
          <w:sz w:val="22"/>
          <w:szCs w:val="22"/>
        </w:rPr>
        <w:t>djelove</w:t>
      </w:r>
      <w:r w:rsidRPr="009057DB">
        <w:rPr>
          <w:sz w:val="22"/>
          <w:szCs w:val="22"/>
        </w:rPr>
        <w:t xml:space="preserve"> 4.8 i 5.1). Treću dozu treba primijeniti najmanje 3 mjeseca nakon završetka primarnog procesa vakcinacije.</w:t>
      </w:r>
    </w:p>
    <w:p w14:paraId="10C3ABF8" w14:textId="77777777" w:rsidR="00E37005" w:rsidRPr="009057DB" w:rsidRDefault="00E37005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EBDA229" w14:textId="77777777" w:rsidR="00601D8D" w:rsidRPr="009057DB" w:rsidRDefault="00601D8D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6049659" w14:textId="3CF280DF" w:rsidR="00601D8D" w:rsidRPr="009057DB" w:rsidRDefault="00601D8D" w:rsidP="00376088">
      <w:pPr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  <w:r w:rsidRPr="009057DB">
        <w:rPr>
          <w:i/>
          <w:iCs/>
          <w:sz w:val="22"/>
          <w:szCs w:val="22"/>
          <w:lang w:val="sr-Latn-ME"/>
        </w:rPr>
        <w:t>Stari</w:t>
      </w:r>
      <w:r w:rsidR="003A28F0" w:rsidRPr="009057DB">
        <w:rPr>
          <w:i/>
          <w:iCs/>
          <w:sz w:val="22"/>
          <w:szCs w:val="22"/>
          <w:lang w:val="sr-Latn-ME"/>
        </w:rPr>
        <w:t>j</w:t>
      </w:r>
      <w:r w:rsidR="00570358" w:rsidRPr="009057DB">
        <w:rPr>
          <w:i/>
          <w:iCs/>
          <w:sz w:val="22"/>
          <w:szCs w:val="22"/>
          <w:lang w:val="sr-Latn-ME"/>
        </w:rPr>
        <w:t>e</w:t>
      </w:r>
      <w:r w:rsidRPr="009057DB">
        <w:rPr>
          <w:i/>
          <w:iCs/>
          <w:sz w:val="22"/>
          <w:szCs w:val="22"/>
          <w:lang w:val="sr-Latn-ME"/>
        </w:rPr>
        <w:t xml:space="preserve"> </w:t>
      </w:r>
      <w:r w:rsidR="00570358" w:rsidRPr="009057DB">
        <w:rPr>
          <w:i/>
          <w:iCs/>
          <w:sz w:val="22"/>
          <w:szCs w:val="22"/>
          <w:lang w:val="sr-Latn-ME"/>
        </w:rPr>
        <w:t>osobe</w:t>
      </w:r>
    </w:p>
    <w:p w14:paraId="5908C1CD" w14:textId="422B29F5" w:rsidR="00601D8D" w:rsidRPr="009057DB" w:rsidRDefault="00601D8D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Nije potrebno prilagođavanje doze. Vid</w:t>
      </w:r>
      <w:r w:rsidR="007A1694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 xml:space="preserve">eti </w:t>
      </w:r>
      <w:r w:rsidR="004E6AB3" w:rsidRPr="009057DB">
        <w:rPr>
          <w:sz w:val="22"/>
          <w:szCs w:val="22"/>
          <w:lang w:val="sr-Latn-ME"/>
        </w:rPr>
        <w:t>dio</w:t>
      </w:r>
      <w:r w:rsidRPr="009057DB">
        <w:rPr>
          <w:sz w:val="22"/>
          <w:szCs w:val="22"/>
          <w:lang w:val="sr-Latn-ME"/>
        </w:rPr>
        <w:t xml:space="preserve"> 5.1.</w:t>
      </w:r>
    </w:p>
    <w:p w14:paraId="3FFFBDC6" w14:textId="72C14316" w:rsidR="00601D8D" w:rsidRPr="009057DB" w:rsidRDefault="00601D8D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71A1BBE" w14:textId="77777777" w:rsidR="00362970" w:rsidRPr="009057DB" w:rsidRDefault="00362970" w:rsidP="00376088">
      <w:pPr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  <w:r w:rsidRPr="009057DB">
        <w:rPr>
          <w:i/>
          <w:iCs/>
          <w:sz w:val="22"/>
          <w:szCs w:val="22"/>
          <w:lang w:val="sr-Latn-ME"/>
        </w:rPr>
        <w:t xml:space="preserve">Pedijatrijska populacija </w:t>
      </w:r>
    </w:p>
    <w:p w14:paraId="4FA71161" w14:textId="77777777" w:rsidR="00362970" w:rsidRPr="009057DB" w:rsidRDefault="00362970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 xml:space="preserve">Bezbjednost i efikasnost vakcine </w:t>
      </w:r>
      <w:r w:rsidRPr="009057DB">
        <w:rPr>
          <w:color w:val="000000"/>
          <w:sz w:val="22"/>
          <w:szCs w:val="22"/>
          <w:shd w:val="clear" w:color="auto" w:fill="FFFFFF"/>
          <w:lang w:val="sr-Latn-ME"/>
        </w:rPr>
        <w:t xml:space="preserve">Vaxzevria </w:t>
      </w:r>
      <w:r w:rsidRPr="009057DB">
        <w:rPr>
          <w:sz w:val="22"/>
          <w:szCs w:val="22"/>
          <w:lang w:val="sr-Latn-ME"/>
        </w:rPr>
        <w:t>kod djece i adolescenata (mlađih od 18 godina) nije ispitana. Nema dostupnih podataka.</w:t>
      </w:r>
    </w:p>
    <w:p w14:paraId="7B379495" w14:textId="77777777" w:rsidR="00362970" w:rsidRPr="009057DB" w:rsidRDefault="00362970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12028C6" w14:textId="74A3D562" w:rsidR="00601D8D" w:rsidRPr="009057DB" w:rsidRDefault="00601D8D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9057DB">
        <w:rPr>
          <w:sz w:val="22"/>
          <w:szCs w:val="22"/>
          <w:u w:val="single"/>
          <w:lang w:val="sr-Latn-ME"/>
        </w:rPr>
        <w:t>Način prim</w:t>
      </w:r>
      <w:r w:rsidR="00E618A4" w:rsidRPr="009057DB">
        <w:rPr>
          <w:sz w:val="22"/>
          <w:szCs w:val="22"/>
          <w:u w:val="single"/>
          <w:lang w:val="sr-Latn-ME"/>
        </w:rPr>
        <w:t>j</w:t>
      </w:r>
      <w:r w:rsidRPr="009057DB">
        <w:rPr>
          <w:sz w:val="22"/>
          <w:szCs w:val="22"/>
          <w:u w:val="single"/>
          <w:lang w:val="sr-Latn-ME"/>
        </w:rPr>
        <w:t>ene</w:t>
      </w:r>
    </w:p>
    <w:p w14:paraId="59C91795" w14:textId="77777777" w:rsidR="00601D8D" w:rsidRPr="009057DB" w:rsidRDefault="00601D8D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29A9F4D" w14:textId="066EF1DC" w:rsidR="00601D8D" w:rsidRPr="009057DB" w:rsidRDefault="003D1127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Vakcina</w:t>
      </w:r>
      <w:r w:rsidR="00440E42" w:rsidRPr="009057DB">
        <w:rPr>
          <w:sz w:val="22"/>
          <w:szCs w:val="22"/>
          <w:lang w:val="sr-Latn-ME"/>
        </w:rPr>
        <w:t xml:space="preserve"> </w:t>
      </w:r>
      <w:r w:rsidR="00EA5129" w:rsidRPr="009057DB">
        <w:rPr>
          <w:color w:val="000000"/>
          <w:sz w:val="22"/>
          <w:szCs w:val="22"/>
          <w:shd w:val="clear" w:color="auto" w:fill="FFFFFF"/>
          <w:lang w:val="sr-Latn-ME"/>
        </w:rPr>
        <w:t>Vaxzevria</w:t>
      </w:r>
      <w:r w:rsidR="008448EC" w:rsidRPr="009057DB">
        <w:rPr>
          <w:color w:val="000000"/>
          <w:sz w:val="22"/>
          <w:szCs w:val="22"/>
          <w:shd w:val="clear" w:color="auto" w:fill="FFFFFF"/>
          <w:lang w:val="sr-Latn-ME"/>
        </w:rPr>
        <w:t xml:space="preserve"> </w:t>
      </w:r>
      <w:r w:rsidR="005D36D3" w:rsidRPr="009057DB">
        <w:rPr>
          <w:sz w:val="22"/>
          <w:szCs w:val="22"/>
          <w:lang w:val="sr-Latn-ME"/>
        </w:rPr>
        <w:t xml:space="preserve">primjenjuje se isključivo </w:t>
      </w:r>
      <w:r w:rsidR="00601D8D" w:rsidRPr="009057DB">
        <w:rPr>
          <w:sz w:val="22"/>
          <w:szCs w:val="22"/>
          <w:lang w:val="sr-Latn-ME"/>
        </w:rPr>
        <w:t>intramuskularno</w:t>
      </w:r>
      <w:r w:rsidR="005D36D3" w:rsidRPr="009057DB">
        <w:rPr>
          <w:sz w:val="22"/>
          <w:szCs w:val="22"/>
          <w:lang w:val="sr-Latn-ME"/>
        </w:rPr>
        <w:t>m</w:t>
      </w:r>
      <w:r w:rsidR="00197C69" w:rsidRPr="009057DB">
        <w:rPr>
          <w:sz w:val="22"/>
          <w:szCs w:val="22"/>
          <w:lang w:val="sr-Latn-ME"/>
        </w:rPr>
        <w:t xml:space="preserve"> </w:t>
      </w:r>
      <w:r w:rsidR="005D36D3" w:rsidRPr="009057DB">
        <w:rPr>
          <w:sz w:val="22"/>
          <w:szCs w:val="22"/>
          <w:lang w:val="sr-Latn-ME"/>
        </w:rPr>
        <w:t>injekcijom</w:t>
      </w:r>
      <w:r w:rsidR="00601D8D" w:rsidRPr="009057DB">
        <w:rPr>
          <w:sz w:val="22"/>
          <w:szCs w:val="22"/>
          <w:lang w:val="sr-Latn-ME"/>
        </w:rPr>
        <w:t>, po mogućnosti u deltoidni mišić nadlaktice.</w:t>
      </w:r>
    </w:p>
    <w:p w14:paraId="50DDFD3A" w14:textId="77777777" w:rsidR="00601D8D" w:rsidRPr="009057DB" w:rsidRDefault="00601D8D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F487302" w14:textId="2F94E020" w:rsidR="00601D8D" w:rsidRPr="009057DB" w:rsidRDefault="00C72D88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Vakcina se n</w:t>
      </w:r>
      <w:r w:rsidR="00601D8D" w:rsidRPr="009057DB">
        <w:rPr>
          <w:sz w:val="22"/>
          <w:szCs w:val="22"/>
          <w:lang w:val="sr-Latn-ME"/>
        </w:rPr>
        <w:t>e</w:t>
      </w:r>
      <w:r w:rsidRPr="009057DB">
        <w:rPr>
          <w:sz w:val="22"/>
          <w:szCs w:val="22"/>
          <w:lang w:val="sr-Latn-ME"/>
        </w:rPr>
        <w:t xml:space="preserve"> smije</w:t>
      </w:r>
      <w:r w:rsidR="00601D8D" w:rsidRPr="009057DB">
        <w:rPr>
          <w:sz w:val="22"/>
          <w:szCs w:val="22"/>
          <w:lang w:val="sr-Latn-ME"/>
        </w:rPr>
        <w:t xml:space="preserve"> prim</w:t>
      </w:r>
      <w:r w:rsidR="00B92799" w:rsidRPr="009057DB">
        <w:rPr>
          <w:sz w:val="22"/>
          <w:szCs w:val="22"/>
          <w:lang w:val="sr-Latn-ME"/>
        </w:rPr>
        <w:t>j</w:t>
      </w:r>
      <w:r w:rsidR="00601D8D" w:rsidRPr="009057DB">
        <w:rPr>
          <w:sz w:val="22"/>
          <w:szCs w:val="22"/>
          <w:lang w:val="sr-Latn-ME"/>
        </w:rPr>
        <w:t xml:space="preserve">enjivati intravaskularno, </w:t>
      </w:r>
      <w:r w:rsidR="004E3351" w:rsidRPr="009057DB">
        <w:rPr>
          <w:sz w:val="22"/>
          <w:szCs w:val="22"/>
          <w:lang w:val="sr-Latn-ME"/>
        </w:rPr>
        <w:t>subkutano</w:t>
      </w:r>
      <w:r w:rsidR="00197C69" w:rsidRPr="009057DB">
        <w:rPr>
          <w:sz w:val="22"/>
          <w:szCs w:val="22"/>
          <w:lang w:val="sr-Latn-ME"/>
        </w:rPr>
        <w:t xml:space="preserve"> </w:t>
      </w:r>
      <w:r w:rsidR="005C0EE6" w:rsidRPr="009057DB">
        <w:rPr>
          <w:sz w:val="22"/>
          <w:szCs w:val="22"/>
          <w:lang w:val="sr-Latn-ME"/>
        </w:rPr>
        <w:t>n</w:t>
      </w:r>
      <w:r w:rsidR="00601D8D" w:rsidRPr="009057DB">
        <w:rPr>
          <w:sz w:val="22"/>
          <w:szCs w:val="22"/>
          <w:lang w:val="sr-Latn-ME"/>
        </w:rPr>
        <w:t>i intradermalno.</w:t>
      </w:r>
    </w:p>
    <w:p w14:paraId="497104DE" w14:textId="77777777" w:rsidR="00601D8D" w:rsidRPr="009057DB" w:rsidRDefault="00601D8D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FD49D48" w14:textId="45D05415" w:rsidR="00601D8D" w:rsidRPr="009057DB" w:rsidRDefault="00601D8D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Vakcin</w:t>
      </w:r>
      <w:r w:rsidR="00B01A04" w:rsidRPr="009057DB">
        <w:rPr>
          <w:sz w:val="22"/>
          <w:szCs w:val="22"/>
          <w:lang w:val="sr-Latn-ME"/>
        </w:rPr>
        <w:t>a</w:t>
      </w:r>
      <w:r w:rsidRPr="009057DB">
        <w:rPr>
          <w:sz w:val="22"/>
          <w:szCs w:val="22"/>
          <w:lang w:val="sr-Latn-ME"/>
        </w:rPr>
        <w:t xml:space="preserve"> </w:t>
      </w:r>
      <w:r w:rsidR="00840B77" w:rsidRPr="009057DB">
        <w:rPr>
          <w:sz w:val="22"/>
          <w:szCs w:val="22"/>
          <w:lang w:val="sr-Latn-ME"/>
        </w:rPr>
        <w:t xml:space="preserve">se </w:t>
      </w:r>
      <w:r w:rsidRPr="009057DB">
        <w:rPr>
          <w:sz w:val="22"/>
          <w:szCs w:val="22"/>
          <w:lang w:val="sr-Latn-ME"/>
        </w:rPr>
        <w:t>ne</w:t>
      </w:r>
      <w:r w:rsidR="00840B77" w:rsidRPr="009057DB">
        <w:rPr>
          <w:sz w:val="22"/>
          <w:szCs w:val="22"/>
          <w:lang w:val="sr-Latn-ME"/>
        </w:rPr>
        <w:t xml:space="preserve"> smije</w:t>
      </w:r>
      <w:r w:rsidRPr="009057DB">
        <w:rPr>
          <w:sz w:val="22"/>
          <w:szCs w:val="22"/>
          <w:lang w:val="sr-Latn-ME"/>
        </w:rPr>
        <w:t xml:space="preserve"> m</w:t>
      </w:r>
      <w:r w:rsidR="00A347A8" w:rsidRPr="009057DB">
        <w:rPr>
          <w:sz w:val="22"/>
          <w:szCs w:val="22"/>
          <w:lang w:val="sr-Latn-ME"/>
        </w:rPr>
        <w:t>ij</w:t>
      </w:r>
      <w:r w:rsidRPr="009057DB">
        <w:rPr>
          <w:sz w:val="22"/>
          <w:szCs w:val="22"/>
          <w:lang w:val="sr-Latn-ME"/>
        </w:rPr>
        <w:t xml:space="preserve">ešati u istom špricu </w:t>
      </w:r>
      <w:r w:rsidR="008E1860" w:rsidRPr="009057DB">
        <w:rPr>
          <w:sz w:val="22"/>
          <w:szCs w:val="22"/>
          <w:lang w:val="sr-Latn-ME"/>
        </w:rPr>
        <w:t xml:space="preserve">ni sa jednom </w:t>
      </w:r>
      <w:r w:rsidRPr="009057DB">
        <w:rPr>
          <w:sz w:val="22"/>
          <w:szCs w:val="22"/>
          <w:lang w:val="sr-Latn-ME"/>
        </w:rPr>
        <w:t>drugom vakcinom ili l</w:t>
      </w:r>
      <w:r w:rsidR="00A347A8" w:rsidRPr="009057DB">
        <w:rPr>
          <w:sz w:val="22"/>
          <w:szCs w:val="22"/>
          <w:lang w:val="sr-Latn-ME"/>
        </w:rPr>
        <w:t>ij</w:t>
      </w:r>
      <w:r w:rsidRPr="009057DB">
        <w:rPr>
          <w:sz w:val="22"/>
          <w:szCs w:val="22"/>
          <w:lang w:val="sr-Latn-ME"/>
        </w:rPr>
        <w:t xml:space="preserve">ekom. </w:t>
      </w:r>
    </w:p>
    <w:p w14:paraId="6AA28475" w14:textId="77777777" w:rsidR="00601D8D" w:rsidRPr="009057DB" w:rsidRDefault="00601D8D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7C06A45" w14:textId="3C4E9219" w:rsidR="00601D8D" w:rsidRPr="009057DB" w:rsidRDefault="00601D8D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Za m</w:t>
      </w:r>
      <w:r w:rsidR="00632B9A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>ere predostrožnosti koje treba preduzeti pr</w:t>
      </w:r>
      <w:r w:rsidR="00A347A8" w:rsidRPr="009057DB">
        <w:rPr>
          <w:sz w:val="22"/>
          <w:szCs w:val="22"/>
          <w:lang w:val="sr-Latn-ME"/>
        </w:rPr>
        <w:t>ij</w:t>
      </w:r>
      <w:r w:rsidRPr="009057DB">
        <w:rPr>
          <w:sz w:val="22"/>
          <w:szCs w:val="22"/>
          <w:lang w:val="sr-Latn-ME"/>
        </w:rPr>
        <w:t>e prim</w:t>
      </w:r>
      <w:r w:rsidR="00632B9A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>ene vakcine, vid</w:t>
      </w:r>
      <w:r w:rsidR="00A347A8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 xml:space="preserve">eti </w:t>
      </w:r>
      <w:r w:rsidR="004E6AB3" w:rsidRPr="009057DB">
        <w:rPr>
          <w:sz w:val="22"/>
          <w:szCs w:val="22"/>
          <w:lang w:val="sr-Latn-ME"/>
        </w:rPr>
        <w:t xml:space="preserve">dio </w:t>
      </w:r>
      <w:r w:rsidRPr="009057DB">
        <w:rPr>
          <w:sz w:val="22"/>
          <w:szCs w:val="22"/>
          <w:lang w:val="sr-Latn-ME"/>
        </w:rPr>
        <w:t>4.4.</w:t>
      </w:r>
    </w:p>
    <w:p w14:paraId="2BB9DD3E" w14:textId="77777777" w:rsidR="00601D8D" w:rsidRPr="009057DB" w:rsidRDefault="00601D8D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1BB7F13" w14:textId="39B9651A" w:rsidR="00601D8D" w:rsidRPr="009057DB" w:rsidRDefault="00601D8D" w:rsidP="00376088">
      <w:pPr>
        <w:tabs>
          <w:tab w:val="left" w:pos="284"/>
        </w:tabs>
        <w:jc w:val="both"/>
        <w:rPr>
          <w:bCs/>
          <w:sz w:val="22"/>
          <w:szCs w:val="22"/>
          <w:u w:val="single"/>
          <w:lang w:val="sr-Latn-ME"/>
        </w:rPr>
      </w:pPr>
      <w:r w:rsidRPr="009057DB">
        <w:rPr>
          <w:sz w:val="22"/>
          <w:szCs w:val="22"/>
          <w:lang w:val="sr-Latn-ME"/>
        </w:rPr>
        <w:t>Za upu</w:t>
      </w:r>
      <w:r w:rsidR="0018268F" w:rsidRPr="009057DB">
        <w:rPr>
          <w:sz w:val="22"/>
          <w:szCs w:val="22"/>
          <w:lang w:val="sr-Latn-ME"/>
        </w:rPr>
        <w:t>t</w:t>
      </w:r>
      <w:r w:rsidRPr="009057DB">
        <w:rPr>
          <w:sz w:val="22"/>
          <w:szCs w:val="22"/>
          <w:lang w:val="sr-Latn-ME"/>
        </w:rPr>
        <w:t>stvo o prim</w:t>
      </w:r>
      <w:r w:rsidR="00632B9A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>eni i odlaganju, vid</w:t>
      </w:r>
      <w:r w:rsidR="00632B9A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>et</w:t>
      </w:r>
      <w:r w:rsidR="00632B9A" w:rsidRPr="009057DB">
        <w:rPr>
          <w:sz w:val="22"/>
          <w:szCs w:val="22"/>
          <w:lang w:val="sr-Latn-ME"/>
        </w:rPr>
        <w:t>i</w:t>
      </w:r>
      <w:r w:rsidRPr="009057DB">
        <w:rPr>
          <w:sz w:val="22"/>
          <w:szCs w:val="22"/>
          <w:lang w:val="sr-Latn-ME"/>
        </w:rPr>
        <w:t xml:space="preserve"> </w:t>
      </w:r>
      <w:r w:rsidR="004E6AB3" w:rsidRPr="009057DB">
        <w:rPr>
          <w:sz w:val="22"/>
          <w:szCs w:val="22"/>
          <w:lang w:val="sr-Latn-ME"/>
        </w:rPr>
        <w:t xml:space="preserve">dio </w:t>
      </w:r>
      <w:r w:rsidRPr="009057DB">
        <w:rPr>
          <w:sz w:val="22"/>
          <w:szCs w:val="22"/>
          <w:lang w:val="sr-Latn-ME"/>
        </w:rPr>
        <w:t xml:space="preserve">6.6. </w:t>
      </w:r>
    </w:p>
    <w:p w14:paraId="01C41B03" w14:textId="77777777" w:rsidR="00452E9D" w:rsidRPr="009057DB" w:rsidRDefault="00452E9D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B4CE634" w14:textId="77777777" w:rsidR="00411B4B" w:rsidRPr="009057DB" w:rsidRDefault="00411B4B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057DB">
        <w:rPr>
          <w:b/>
          <w:bCs/>
          <w:sz w:val="22"/>
          <w:szCs w:val="22"/>
          <w:lang w:val="sr-Latn-ME"/>
        </w:rPr>
        <w:t xml:space="preserve">4.3. </w:t>
      </w:r>
      <w:r w:rsidR="00480FB1" w:rsidRPr="009057DB">
        <w:rPr>
          <w:b/>
          <w:bCs/>
          <w:sz w:val="22"/>
          <w:szCs w:val="22"/>
          <w:lang w:val="sr-Latn-ME"/>
        </w:rPr>
        <w:tab/>
      </w:r>
      <w:r w:rsidRPr="009057DB">
        <w:rPr>
          <w:b/>
          <w:bCs/>
          <w:sz w:val="22"/>
          <w:szCs w:val="22"/>
          <w:lang w:val="sr-Latn-ME"/>
        </w:rPr>
        <w:t>Kontraindikacije</w:t>
      </w:r>
    </w:p>
    <w:p w14:paraId="302847DD" w14:textId="12B6726D" w:rsidR="0072020E" w:rsidRPr="009057DB" w:rsidRDefault="0072020E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C50874D" w14:textId="0CF56703" w:rsidR="00E06713" w:rsidRPr="009057DB" w:rsidRDefault="00E06713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057DB">
        <w:rPr>
          <w:bCs/>
          <w:sz w:val="22"/>
          <w:szCs w:val="22"/>
          <w:lang w:val="sr-Latn-ME"/>
        </w:rPr>
        <w:t xml:space="preserve">Preosjetljivost na aktivnu supstancu ili na </w:t>
      </w:r>
      <w:r w:rsidR="00B4175B" w:rsidRPr="009057DB">
        <w:rPr>
          <w:bCs/>
          <w:sz w:val="22"/>
          <w:szCs w:val="22"/>
          <w:lang w:val="sr-Latn-ME"/>
        </w:rPr>
        <w:t xml:space="preserve">neku </w:t>
      </w:r>
      <w:r w:rsidRPr="009057DB">
        <w:rPr>
          <w:bCs/>
          <w:sz w:val="22"/>
          <w:szCs w:val="22"/>
          <w:lang w:val="sr-Latn-ME"/>
        </w:rPr>
        <w:t xml:space="preserve">od pomoćnih supstanci navedenih u </w:t>
      </w:r>
      <w:r w:rsidR="00C41EC2" w:rsidRPr="009057DB">
        <w:rPr>
          <w:bCs/>
          <w:sz w:val="22"/>
          <w:szCs w:val="22"/>
          <w:lang w:val="sr-Latn-ME"/>
        </w:rPr>
        <w:t>dijelu</w:t>
      </w:r>
      <w:r w:rsidRPr="009057DB">
        <w:rPr>
          <w:bCs/>
          <w:sz w:val="22"/>
          <w:szCs w:val="22"/>
          <w:lang w:val="sr-Latn-ME"/>
        </w:rPr>
        <w:t xml:space="preserve"> 6.1.</w:t>
      </w:r>
    </w:p>
    <w:p w14:paraId="099CD82D" w14:textId="77777777" w:rsidR="001C05DB" w:rsidRPr="009057DB" w:rsidRDefault="001C05DB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D3705CE" w14:textId="3D7D8ABF" w:rsidR="001C05DB" w:rsidRPr="009057DB" w:rsidRDefault="001C05DB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057DB">
        <w:rPr>
          <w:bCs/>
          <w:sz w:val="22"/>
          <w:szCs w:val="22"/>
          <w:lang w:val="sr-Latn-ME"/>
        </w:rPr>
        <w:t>Pacijenti koji su imali trombozu sa trombocitopenijskim sindromom (TTS) nakon vakcinacije sa</w:t>
      </w:r>
      <w:r w:rsidR="00EA5129" w:rsidRPr="009057DB">
        <w:rPr>
          <w:bCs/>
          <w:sz w:val="22"/>
          <w:szCs w:val="22"/>
          <w:lang w:val="sr-Latn-ME"/>
        </w:rPr>
        <w:t xml:space="preserve"> </w:t>
      </w:r>
      <w:r w:rsidRPr="009057DB">
        <w:rPr>
          <w:bCs/>
          <w:sz w:val="22"/>
          <w:szCs w:val="22"/>
          <w:lang w:val="sr-Latn-ME"/>
        </w:rPr>
        <w:t xml:space="preserve"> </w:t>
      </w:r>
      <w:r w:rsidR="00EA5129" w:rsidRPr="009057DB">
        <w:rPr>
          <w:color w:val="000000"/>
          <w:sz w:val="22"/>
          <w:szCs w:val="22"/>
          <w:shd w:val="clear" w:color="auto" w:fill="FFFFFF"/>
          <w:lang w:val="sr-Latn-ME"/>
        </w:rPr>
        <w:t>Vaxzevria</w:t>
      </w:r>
      <w:r w:rsidR="008448EC" w:rsidRPr="009057DB">
        <w:rPr>
          <w:color w:val="000000"/>
          <w:sz w:val="22"/>
          <w:szCs w:val="22"/>
          <w:shd w:val="clear" w:color="auto" w:fill="FFFFFF"/>
          <w:lang w:val="sr-Latn-ME"/>
        </w:rPr>
        <w:t xml:space="preserve"> </w:t>
      </w:r>
      <w:r w:rsidRPr="009057DB">
        <w:rPr>
          <w:bCs/>
          <w:sz w:val="22"/>
          <w:szCs w:val="22"/>
          <w:lang w:val="sr-Latn-ME"/>
        </w:rPr>
        <w:t xml:space="preserve">(vidjeti </w:t>
      </w:r>
      <w:r w:rsidR="00C41EC2" w:rsidRPr="009057DB">
        <w:rPr>
          <w:bCs/>
          <w:sz w:val="22"/>
          <w:szCs w:val="22"/>
          <w:lang w:val="sr-Latn-ME"/>
        </w:rPr>
        <w:t>dio</w:t>
      </w:r>
      <w:r w:rsidRPr="009057DB">
        <w:rPr>
          <w:bCs/>
          <w:sz w:val="22"/>
          <w:szCs w:val="22"/>
          <w:lang w:val="sr-Latn-ME"/>
        </w:rPr>
        <w:t xml:space="preserve"> 4.2).</w:t>
      </w:r>
    </w:p>
    <w:p w14:paraId="11FF152C" w14:textId="42B577F1" w:rsidR="0060028A" w:rsidRPr="009057DB" w:rsidRDefault="0060028A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6C72B1F" w14:textId="1440A51F" w:rsidR="0060028A" w:rsidRPr="009057DB" w:rsidRDefault="0060028A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057DB">
        <w:rPr>
          <w:bCs/>
          <w:sz w:val="22"/>
          <w:szCs w:val="22"/>
          <w:lang w:val="sr-Latn-ME"/>
        </w:rPr>
        <w:t xml:space="preserve">Pacijenti koji su prethodno imali epizode sindroma kapilarnog curenja (vidjeti </w:t>
      </w:r>
      <w:r w:rsidR="00C41EC2" w:rsidRPr="009057DB">
        <w:rPr>
          <w:bCs/>
          <w:sz w:val="22"/>
          <w:szCs w:val="22"/>
          <w:lang w:val="sr-Latn-ME"/>
        </w:rPr>
        <w:t xml:space="preserve">dio </w:t>
      </w:r>
      <w:r w:rsidRPr="009057DB">
        <w:rPr>
          <w:bCs/>
          <w:sz w:val="22"/>
          <w:szCs w:val="22"/>
          <w:lang w:val="sr-Latn-ME"/>
        </w:rPr>
        <w:t>4.4).</w:t>
      </w:r>
    </w:p>
    <w:p w14:paraId="5E649C45" w14:textId="77777777" w:rsidR="00E06713" w:rsidRPr="009057DB" w:rsidRDefault="00E06713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459B424" w14:textId="77777777" w:rsidR="00411B4B" w:rsidRPr="009057DB" w:rsidRDefault="00411B4B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057DB">
        <w:rPr>
          <w:b/>
          <w:bCs/>
          <w:sz w:val="22"/>
          <w:szCs w:val="22"/>
          <w:lang w:val="sr-Latn-ME"/>
        </w:rPr>
        <w:t xml:space="preserve">4.4. </w:t>
      </w:r>
      <w:r w:rsidR="00480FB1" w:rsidRPr="009057DB">
        <w:rPr>
          <w:b/>
          <w:bCs/>
          <w:sz w:val="22"/>
          <w:szCs w:val="22"/>
          <w:lang w:val="sr-Latn-ME"/>
        </w:rPr>
        <w:tab/>
      </w:r>
      <w:r w:rsidRPr="009057DB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50608E29" w14:textId="60AE1BAC" w:rsidR="0072020E" w:rsidRPr="009057DB" w:rsidRDefault="0072020E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5215089" w14:textId="7FDCCB09" w:rsidR="00752219" w:rsidRPr="009057DB" w:rsidRDefault="00752219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u w:val="single"/>
          <w:lang w:val="sr-Latn-ME"/>
        </w:rPr>
        <w:t>Sl</w:t>
      </w:r>
      <w:r w:rsidR="00197C69" w:rsidRPr="009057DB">
        <w:rPr>
          <w:sz w:val="22"/>
          <w:szCs w:val="22"/>
          <w:u w:val="single"/>
          <w:lang w:val="sr-Latn-ME"/>
        </w:rPr>
        <w:t>j</w:t>
      </w:r>
      <w:r w:rsidRPr="009057DB">
        <w:rPr>
          <w:sz w:val="22"/>
          <w:szCs w:val="22"/>
          <w:u w:val="single"/>
          <w:lang w:val="sr-Latn-ME"/>
        </w:rPr>
        <w:t>edljivost</w:t>
      </w:r>
    </w:p>
    <w:p w14:paraId="1A1B8CF6" w14:textId="77777777" w:rsidR="00752219" w:rsidRPr="009057DB" w:rsidRDefault="00752219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DFB7024" w14:textId="72A10AF0" w:rsidR="00752219" w:rsidRPr="009057DB" w:rsidRDefault="00752219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Kako bi se poboljšanja sl</w:t>
      </w:r>
      <w:r w:rsidR="00197C69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>edljivost biološk</w:t>
      </w:r>
      <w:r w:rsidR="0058505A" w:rsidRPr="009057DB">
        <w:rPr>
          <w:sz w:val="22"/>
          <w:szCs w:val="22"/>
          <w:lang w:val="sr-Latn-ME"/>
        </w:rPr>
        <w:t>ih</w:t>
      </w:r>
      <w:r w:rsidRPr="009057DB">
        <w:rPr>
          <w:sz w:val="22"/>
          <w:szCs w:val="22"/>
          <w:lang w:val="sr-Latn-ME"/>
        </w:rPr>
        <w:t xml:space="preserve"> l</w:t>
      </w:r>
      <w:r w:rsidR="00B75C46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>ek</w:t>
      </w:r>
      <w:r w:rsidR="0058505A" w:rsidRPr="009057DB">
        <w:rPr>
          <w:sz w:val="22"/>
          <w:szCs w:val="22"/>
          <w:lang w:val="sr-Latn-ME"/>
        </w:rPr>
        <w:t>ova</w:t>
      </w:r>
      <w:r w:rsidRPr="009057DB">
        <w:rPr>
          <w:sz w:val="22"/>
          <w:szCs w:val="22"/>
          <w:lang w:val="sr-Latn-ME"/>
        </w:rPr>
        <w:t>, naziv i broj serije prim</w:t>
      </w:r>
      <w:r w:rsidR="00B75C46" w:rsidRPr="009057DB">
        <w:rPr>
          <w:sz w:val="22"/>
          <w:szCs w:val="22"/>
          <w:lang w:val="sr-Latn-ME"/>
        </w:rPr>
        <w:t>ij</w:t>
      </w:r>
      <w:r w:rsidRPr="009057DB">
        <w:rPr>
          <w:sz w:val="22"/>
          <w:szCs w:val="22"/>
          <w:lang w:val="sr-Latn-ME"/>
        </w:rPr>
        <w:t>enjenog l</w:t>
      </w:r>
      <w:r w:rsidR="00B75C46" w:rsidRPr="009057DB">
        <w:rPr>
          <w:sz w:val="22"/>
          <w:szCs w:val="22"/>
          <w:lang w:val="sr-Latn-ME"/>
        </w:rPr>
        <w:t>ij</w:t>
      </w:r>
      <w:r w:rsidRPr="009057DB">
        <w:rPr>
          <w:sz w:val="22"/>
          <w:szCs w:val="22"/>
          <w:lang w:val="sr-Latn-ME"/>
        </w:rPr>
        <w:t xml:space="preserve">eka </w:t>
      </w:r>
      <w:r w:rsidR="00343168" w:rsidRPr="009057DB">
        <w:rPr>
          <w:sz w:val="22"/>
          <w:szCs w:val="22"/>
          <w:lang w:val="sr-Latn-ME"/>
        </w:rPr>
        <w:t>potrebno je</w:t>
      </w:r>
      <w:r w:rsidRPr="009057DB">
        <w:rPr>
          <w:sz w:val="22"/>
          <w:szCs w:val="22"/>
          <w:lang w:val="sr-Latn-ME"/>
        </w:rPr>
        <w:t xml:space="preserve"> jasno zab</w:t>
      </w:r>
      <w:r w:rsidR="00B75C46" w:rsidRPr="009057DB">
        <w:rPr>
          <w:sz w:val="22"/>
          <w:szCs w:val="22"/>
          <w:lang w:val="sr-Latn-ME"/>
        </w:rPr>
        <w:t>i</w:t>
      </w:r>
      <w:r w:rsidRPr="009057DB">
        <w:rPr>
          <w:sz w:val="22"/>
          <w:szCs w:val="22"/>
          <w:lang w:val="sr-Latn-ME"/>
        </w:rPr>
        <w:t>l</w:t>
      </w:r>
      <w:r w:rsidR="00B75C46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 xml:space="preserve">ežiti. </w:t>
      </w:r>
    </w:p>
    <w:p w14:paraId="2209E674" w14:textId="77777777" w:rsidR="00752219" w:rsidRPr="009057DB" w:rsidRDefault="00752219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0DAADA7" w14:textId="5536AA85" w:rsidR="00752219" w:rsidRPr="009057DB" w:rsidRDefault="00752219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9057DB">
        <w:rPr>
          <w:sz w:val="22"/>
          <w:szCs w:val="22"/>
          <w:u w:val="single"/>
          <w:lang w:val="sr-Latn-ME"/>
        </w:rPr>
        <w:t>Preos</w:t>
      </w:r>
      <w:r w:rsidR="001054EA" w:rsidRPr="009057DB">
        <w:rPr>
          <w:sz w:val="22"/>
          <w:szCs w:val="22"/>
          <w:u w:val="single"/>
          <w:lang w:val="sr-Latn-ME"/>
        </w:rPr>
        <w:t>j</w:t>
      </w:r>
      <w:r w:rsidRPr="009057DB">
        <w:rPr>
          <w:sz w:val="22"/>
          <w:szCs w:val="22"/>
          <w:u w:val="single"/>
          <w:lang w:val="sr-Latn-ME"/>
        </w:rPr>
        <w:t>etljivost i anafilaktička reakcija</w:t>
      </w:r>
    </w:p>
    <w:p w14:paraId="1044E4BE" w14:textId="77777777" w:rsidR="00752219" w:rsidRPr="009057DB" w:rsidRDefault="00752219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3E081747" w14:textId="051929A6" w:rsidR="00752219" w:rsidRPr="009057DB" w:rsidRDefault="00FE5A4F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Zab</w:t>
      </w:r>
      <w:r w:rsidR="008D3671" w:rsidRPr="009057DB">
        <w:rPr>
          <w:sz w:val="22"/>
          <w:szCs w:val="22"/>
          <w:lang w:val="sr-Latn-ME"/>
        </w:rPr>
        <w:t>i</w:t>
      </w:r>
      <w:r w:rsidRPr="009057DB">
        <w:rPr>
          <w:sz w:val="22"/>
          <w:szCs w:val="22"/>
          <w:lang w:val="sr-Latn-ME"/>
        </w:rPr>
        <w:t>l</w:t>
      </w:r>
      <w:r w:rsidR="008D3671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>eženi su događaji anafilaks</w:t>
      </w:r>
      <w:r w:rsidR="008D3671" w:rsidRPr="009057DB">
        <w:rPr>
          <w:sz w:val="22"/>
          <w:szCs w:val="22"/>
          <w:lang w:val="sr-Latn-ME"/>
        </w:rPr>
        <w:t>ij</w:t>
      </w:r>
      <w:r w:rsidRPr="009057DB">
        <w:rPr>
          <w:sz w:val="22"/>
          <w:szCs w:val="22"/>
          <w:lang w:val="sr-Latn-ME"/>
        </w:rPr>
        <w:t xml:space="preserve">e. </w:t>
      </w:r>
      <w:r w:rsidR="00752219" w:rsidRPr="009057DB">
        <w:rPr>
          <w:sz w:val="22"/>
          <w:szCs w:val="22"/>
          <w:lang w:val="sr-Latn-ME"/>
        </w:rPr>
        <w:t>Odgovarajući medicinski tretman i nadzor uv</w:t>
      </w:r>
      <w:r w:rsidR="003120A3" w:rsidRPr="009057DB">
        <w:rPr>
          <w:sz w:val="22"/>
          <w:szCs w:val="22"/>
          <w:lang w:val="sr-Latn-ME"/>
        </w:rPr>
        <w:t>ij</w:t>
      </w:r>
      <w:r w:rsidR="00752219" w:rsidRPr="009057DB">
        <w:rPr>
          <w:sz w:val="22"/>
          <w:szCs w:val="22"/>
          <w:lang w:val="sr-Latn-ME"/>
        </w:rPr>
        <w:t>ek treba da budu na raspolaganju u sluča</w:t>
      </w:r>
      <w:r w:rsidR="003120A3" w:rsidRPr="009057DB">
        <w:rPr>
          <w:sz w:val="22"/>
          <w:szCs w:val="22"/>
          <w:lang w:val="sr-Latn-ME"/>
        </w:rPr>
        <w:t>j</w:t>
      </w:r>
      <w:r w:rsidR="00752219" w:rsidRPr="009057DB">
        <w:rPr>
          <w:sz w:val="22"/>
          <w:szCs w:val="22"/>
          <w:lang w:val="sr-Latn-ME"/>
        </w:rPr>
        <w:t>u pojave anafilaktičke reakcije nakon prim</w:t>
      </w:r>
      <w:r w:rsidR="00BB5A49" w:rsidRPr="009057DB">
        <w:rPr>
          <w:sz w:val="22"/>
          <w:szCs w:val="22"/>
          <w:lang w:val="sr-Latn-ME"/>
        </w:rPr>
        <w:t>j</w:t>
      </w:r>
      <w:r w:rsidR="00752219" w:rsidRPr="009057DB">
        <w:rPr>
          <w:sz w:val="22"/>
          <w:szCs w:val="22"/>
          <w:lang w:val="sr-Latn-ME"/>
        </w:rPr>
        <w:t>ene vakcine. Nakon vakcinacije preporučuje se pažljivo posmatranje osobe najmanje 15 minuta. D</w:t>
      </w:r>
      <w:r w:rsidR="00E37005" w:rsidRPr="009057DB">
        <w:rPr>
          <w:sz w:val="22"/>
          <w:szCs w:val="22"/>
          <w:lang w:val="sr-Latn-ME"/>
        </w:rPr>
        <w:t>odatna</w:t>
      </w:r>
      <w:r w:rsidR="00752219" w:rsidRPr="009057DB">
        <w:rPr>
          <w:sz w:val="22"/>
          <w:szCs w:val="22"/>
          <w:lang w:val="sr-Latn-ME"/>
        </w:rPr>
        <w:t xml:space="preserve"> doza ne treba se dati osoba</w:t>
      </w:r>
      <w:r w:rsidR="00197C69" w:rsidRPr="009057DB">
        <w:rPr>
          <w:sz w:val="22"/>
          <w:szCs w:val="22"/>
          <w:lang w:val="sr-Latn-ME"/>
        </w:rPr>
        <w:t>ma</w:t>
      </w:r>
      <w:r w:rsidR="00752219" w:rsidRPr="009057DB">
        <w:rPr>
          <w:sz w:val="22"/>
          <w:szCs w:val="22"/>
          <w:lang w:val="sr-Latn-ME"/>
        </w:rPr>
        <w:t xml:space="preserve"> koje su imale anafilaktičku reakciju nakon prim</w:t>
      </w:r>
      <w:r w:rsidR="00BB5A49" w:rsidRPr="009057DB">
        <w:rPr>
          <w:sz w:val="22"/>
          <w:szCs w:val="22"/>
          <w:lang w:val="sr-Latn-ME"/>
        </w:rPr>
        <w:t>j</w:t>
      </w:r>
      <w:r w:rsidR="00752219" w:rsidRPr="009057DB">
        <w:rPr>
          <w:sz w:val="22"/>
          <w:szCs w:val="22"/>
          <w:lang w:val="sr-Latn-ME"/>
        </w:rPr>
        <w:t>ene</w:t>
      </w:r>
      <w:r w:rsidR="00626359">
        <w:rPr>
          <w:sz w:val="22"/>
          <w:szCs w:val="22"/>
          <w:lang w:val="sr-Latn-ME"/>
        </w:rPr>
        <w:t xml:space="preserve"> prethodne doze</w:t>
      </w:r>
      <w:r w:rsidR="00752219" w:rsidRPr="009057DB">
        <w:rPr>
          <w:sz w:val="22"/>
          <w:szCs w:val="22"/>
          <w:lang w:val="sr-Latn-ME"/>
        </w:rPr>
        <w:t xml:space="preserve"> vakcin</w:t>
      </w:r>
      <w:r w:rsidR="00626359">
        <w:rPr>
          <w:sz w:val="22"/>
          <w:szCs w:val="22"/>
          <w:lang w:val="sr-Latn-ME"/>
        </w:rPr>
        <w:t>e</w:t>
      </w:r>
      <w:r w:rsidR="008448EC" w:rsidRPr="009057DB">
        <w:rPr>
          <w:sz w:val="22"/>
          <w:szCs w:val="22"/>
          <w:lang w:val="sr-Latn-ME"/>
        </w:rPr>
        <w:t xml:space="preserve"> </w:t>
      </w:r>
      <w:r w:rsidR="00EA5129" w:rsidRPr="009057DB">
        <w:rPr>
          <w:color w:val="000000"/>
          <w:sz w:val="22"/>
          <w:szCs w:val="22"/>
          <w:shd w:val="clear" w:color="auto" w:fill="FFFFFF"/>
          <w:lang w:val="sr-Latn-ME"/>
        </w:rPr>
        <w:t>Vaxzevria</w:t>
      </w:r>
      <w:r w:rsidR="00752219" w:rsidRPr="009057DB">
        <w:rPr>
          <w:sz w:val="22"/>
          <w:szCs w:val="22"/>
          <w:lang w:val="sr-Latn-ME"/>
        </w:rPr>
        <w:t>.</w:t>
      </w:r>
    </w:p>
    <w:p w14:paraId="5771D8DB" w14:textId="77777777" w:rsidR="00752219" w:rsidRPr="009057DB" w:rsidRDefault="00752219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5993023" w14:textId="77777777" w:rsidR="00752219" w:rsidRPr="009057DB" w:rsidRDefault="00752219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9057DB">
        <w:rPr>
          <w:sz w:val="22"/>
          <w:szCs w:val="22"/>
          <w:u w:val="single"/>
          <w:lang w:val="sr-Latn-ME"/>
        </w:rPr>
        <w:t>Reakcije povezane sa anksioznošću</w:t>
      </w:r>
    </w:p>
    <w:p w14:paraId="20D87BBE" w14:textId="77777777" w:rsidR="00752219" w:rsidRPr="009057DB" w:rsidRDefault="00752219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2C0FF760" w14:textId="3DBCD8FB" w:rsidR="00752219" w:rsidRPr="009057DB" w:rsidRDefault="00752219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 xml:space="preserve">Reakcije povezane sa anksioznošću, uključujući vazovagalne reakcije (sinkopa), hiperventilaciju i reakcije povezane sa stresom mogu se javiti </w:t>
      </w:r>
      <w:r w:rsidR="00F97CAF" w:rsidRPr="009057DB">
        <w:rPr>
          <w:sz w:val="22"/>
          <w:szCs w:val="22"/>
          <w:lang w:val="sr-Latn-ME"/>
        </w:rPr>
        <w:t>poslije</w:t>
      </w:r>
      <w:r w:rsidRPr="009057DB">
        <w:rPr>
          <w:sz w:val="22"/>
          <w:szCs w:val="22"/>
          <w:lang w:val="sr-Latn-ME"/>
        </w:rPr>
        <w:t xml:space="preserve"> vakcinacij</w:t>
      </w:r>
      <w:r w:rsidR="00276261" w:rsidRPr="009057DB">
        <w:rPr>
          <w:sz w:val="22"/>
          <w:szCs w:val="22"/>
          <w:lang w:val="sr-Latn-ME"/>
        </w:rPr>
        <w:t>e</w:t>
      </w:r>
      <w:r w:rsidRPr="009057DB">
        <w:rPr>
          <w:sz w:val="22"/>
          <w:szCs w:val="22"/>
          <w:lang w:val="sr-Latn-ME"/>
        </w:rPr>
        <w:t xml:space="preserve"> kao p</w:t>
      </w:r>
      <w:r w:rsidR="00B26B3D" w:rsidRPr="009057DB">
        <w:rPr>
          <w:sz w:val="22"/>
          <w:szCs w:val="22"/>
          <w:lang w:val="sr-Latn-ME"/>
        </w:rPr>
        <w:t>sih</w:t>
      </w:r>
      <w:r w:rsidRPr="009057DB">
        <w:rPr>
          <w:sz w:val="22"/>
          <w:szCs w:val="22"/>
          <w:lang w:val="sr-Latn-ME"/>
        </w:rPr>
        <w:t>ogeni odgovor na injekciju igl</w:t>
      </w:r>
      <w:r w:rsidR="00DD0B18" w:rsidRPr="009057DB">
        <w:rPr>
          <w:sz w:val="22"/>
          <w:szCs w:val="22"/>
          <w:lang w:val="sr-Latn-ME"/>
        </w:rPr>
        <w:t>om</w:t>
      </w:r>
      <w:r w:rsidRPr="009057DB">
        <w:rPr>
          <w:sz w:val="22"/>
          <w:szCs w:val="22"/>
          <w:lang w:val="sr-Latn-ME"/>
        </w:rPr>
        <w:t>. Važno je da postoje m</w:t>
      </w:r>
      <w:r w:rsidR="004A09CC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>ere predostrožnosti kako bi se izb</w:t>
      </w:r>
      <w:r w:rsidR="004A09CC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>egl</w:t>
      </w:r>
      <w:r w:rsidR="00B00C52" w:rsidRPr="009057DB">
        <w:rPr>
          <w:sz w:val="22"/>
          <w:szCs w:val="22"/>
          <w:lang w:val="sr-Latn-ME"/>
        </w:rPr>
        <w:t>a</w:t>
      </w:r>
      <w:r w:rsidRPr="009057DB">
        <w:rPr>
          <w:sz w:val="22"/>
          <w:szCs w:val="22"/>
          <w:lang w:val="sr-Latn-ME"/>
        </w:rPr>
        <w:t xml:space="preserve"> povred</w:t>
      </w:r>
      <w:r w:rsidR="00B00C52" w:rsidRPr="009057DB">
        <w:rPr>
          <w:sz w:val="22"/>
          <w:szCs w:val="22"/>
          <w:lang w:val="sr-Latn-ME"/>
        </w:rPr>
        <w:t>a</w:t>
      </w:r>
      <w:r w:rsidRPr="009057DB">
        <w:rPr>
          <w:sz w:val="22"/>
          <w:szCs w:val="22"/>
          <w:lang w:val="sr-Latn-ME"/>
        </w:rPr>
        <w:t xml:space="preserve"> u</w:t>
      </w:r>
      <w:r w:rsidR="00B00C52" w:rsidRPr="009057DB">
        <w:rPr>
          <w:sz w:val="22"/>
          <w:szCs w:val="22"/>
          <w:lang w:val="sr-Latn-ME"/>
        </w:rPr>
        <w:t xml:space="preserve"> slučaju</w:t>
      </w:r>
      <w:r w:rsidRPr="009057DB">
        <w:rPr>
          <w:sz w:val="22"/>
          <w:szCs w:val="22"/>
          <w:lang w:val="sr-Latn-ME"/>
        </w:rPr>
        <w:t xml:space="preserve"> nesv</w:t>
      </w:r>
      <w:r w:rsidR="00B639E1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>estic</w:t>
      </w:r>
      <w:r w:rsidR="00B00C52" w:rsidRPr="009057DB">
        <w:rPr>
          <w:sz w:val="22"/>
          <w:szCs w:val="22"/>
          <w:lang w:val="sr-Latn-ME"/>
        </w:rPr>
        <w:t>e</w:t>
      </w:r>
      <w:r w:rsidRPr="009057DB">
        <w:rPr>
          <w:sz w:val="22"/>
          <w:szCs w:val="22"/>
          <w:lang w:val="sr-Latn-ME"/>
        </w:rPr>
        <w:t xml:space="preserve">. </w:t>
      </w:r>
    </w:p>
    <w:p w14:paraId="7B91DF0F" w14:textId="1DEDDADA" w:rsidR="00752219" w:rsidRPr="009057DB" w:rsidRDefault="00752219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8F1A534" w14:textId="15DA78B9" w:rsidR="007642DD" w:rsidRPr="009057DB" w:rsidRDefault="007642DD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956177D" w14:textId="5F6ABBBD" w:rsidR="007642DD" w:rsidRPr="009057DB" w:rsidRDefault="007642DD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CB127DD" w14:textId="7EDFFF74" w:rsidR="007642DD" w:rsidRPr="009057DB" w:rsidRDefault="007642DD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2580BA2" w14:textId="77777777" w:rsidR="007642DD" w:rsidRPr="009057DB" w:rsidRDefault="007642DD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62743B4" w14:textId="30FCC540" w:rsidR="00752219" w:rsidRPr="009057DB" w:rsidRDefault="00752219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9057DB">
        <w:rPr>
          <w:sz w:val="22"/>
          <w:szCs w:val="22"/>
          <w:u w:val="single"/>
          <w:lang w:val="sr-Latn-ME"/>
        </w:rPr>
        <w:t>Istovremen</w:t>
      </w:r>
      <w:r w:rsidR="00792D8F" w:rsidRPr="009057DB">
        <w:rPr>
          <w:sz w:val="22"/>
          <w:szCs w:val="22"/>
          <w:u w:val="single"/>
          <w:lang w:val="sr-Latn-ME"/>
        </w:rPr>
        <w:t>a</w:t>
      </w:r>
      <w:r w:rsidRPr="009057DB">
        <w:rPr>
          <w:sz w:val="22"/>
          <w:szCs w:val="22"/>
          <w:u w:val="single"/>
          <w:lang w:val="sr-Latn-ME"/>
        </w:rPr>
        <w:t xml:space="preserve"> bolest</w:t>
      </w:r>
    </w:p>
    <w:p w14:paraId="4B5D109B" w14:textId="77777777" w:rsidR="00752219" w:rsidRPr="009057DB" w:rsidRDefault="00752219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C52D756" w14:textId="53DE388E" w:rsidR="00752219" w:rsidRPr="009057DB" w:rsidRDefault="00752219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 xml:space="preserve">Vakcinaciju treba odložiti kod osoba koje pate od akutne teške febrilne bolesti ili akutne infekcije. Međutim, prisustvo manje infekcije i/ili niske temperature ne bi trebalo da </w:t>
      </w:r>
      <w:r w:rsidR="007B50EE" w:rsidRPr="009057DB">
        <w:rPr>
          <w:sz w:val="22"/>
          <w:szCs w:val="22"/>
          <w:lang w:val="sr-Latn-ME"/>
        </w:rPr>
        <w:t xml:space="preserve">bude razlog za odlaganje </w:t>
      </w:r>
      <w:r w:rsidRPr="009057DB">
        <w:rPr>
          <w:sz w:val="22"/>
          <w:szCs w:val="22"/>
          <w:lang w:val="sr-Latn-ME"/>
        </w:rPr>
        <w:t>vakcinacij</w:t>
      </w:r>
      <w:r w:rsidR="007B50EE" w:rsidRPr="009057DB">
        <w:rPr>
          <w:sz w:val="22"/>
          <w:szCs w:val="22"/>
          <w:lang w:val="sr-Latn-ME"/>
        </w:rPr>
        <w:t>e</w:t>
      </w:r>
      <w:r w:rsidRPr="009057DB">
        <w:rPr>
          <w:sz w:val="22"/>
          <w:szCs w:val="22"/>
          <w:lang w:val="sr-Latn-ME"/>
        </w:rPr>
        <w:t>.</w:t>
      </w:r>
    </w:p>
    <w:p w14:paraId="5DF8B4A8" w14:textId="2CA01D4B" w:rsidR="00A0386A" w:rsidRPr="009057DB" w:rsidRDefault="00A0386A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1590930D" w14:textId="63324D60" w:rsidR="00D356CC" w:rsidRPr="009057DB" w:rsidRDefault="00D356CC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9057DB">
        <w:rPr>
          <w:sz w:val="22"/>
          <w:szCs w:val="22"/>
          <w:u w:val="single"/>
          <w:lang w:val="sr-Latn-ME"/>
        </w:rPr>
        <w:t>Poremećaji koagulacije</w:t>
      </w:r>
    </w:p>
    <w:p w14:paraId="1DAA08A7" w14:textId="77777777" w:rsidR="00B40D03" w:rsidRPr="009057DB" w:rsidRDefault="00B40D03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42AB0168" w14:textId="291820AB" w:rsidR="00752219" w:rsidRPr="009057DB" w:rsidRDefault="00D356CC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9057DB">
        <w:rPr>
          <w:sz w:val="22"/>
          <w:szCs w:val="22"/>
          <w:u w:val="single"/>
          <w:lang w:val="sr-Latn-ME"/>
        </w:rPr>
        <w:t>Sindrom t</w:t>
      </w:r>
      <w:r w:rsidR="001C05DB" w:rsidRPr="009057DB">
        <w:rPr>
          <w:sz w:val="22"/>
          <w:szCs w:val="22"/>
          <w:u w:val="single"/>
          <w:lang w:val="sr-Latn-ME"/>
        </w:rPr>
        <w:t>romboz</w:t>
      </w:r>
      <w:r w:rsidRPr="009057DB">
        <w:rPr>
          <w:sz w:val="22"/>
          <w:szCs w:val="22"/>
          <w:u w:val="single"/>
          <w:lang w:val="sr-Latn-ME"/>
        </w:rPr>
        <w:t>e</w:t>
      </w:r>
      <w:r w:rsidR="001C05DB" w:rsidRPr="009057DB">
        <w:rPr>
          <w:sz w:val="22"/>
          <w:szCs w:val="22"/>
          <w:u w:val="single"/>
          <w:lang w:val="sr-Latn-ME"/>
        </w:rPr>
        <w:t xml:space="preserve"> </w:t>
      </w:r>
      <w:r w:rsidRPr="009057DB">
        <w:rPr>
          <w:sz w:val="22"/>
          <w:szCs w:val="22"/>
          <w:u w:val="single"/>
          <w:lang w:val="sr-Latn-ME"/>
        </w:rPr>
        <w:t>praćene</w:t>
      </w:r>
      <w:r w:rsidR="00E0597A" w:rsidRPr="009057DB">
        <w:rPr>
          <w:sz w:val="22"/>
          <w:szCs w:val="22"/>
          <w:u w:val="single"/>
          <w:lang w:val="sr-Latn-ME"/>
        </w:rPr>
        <w:t xml:space="preserve"> </w:t>
      </w:r>
      <w:r w:rsidR="001C05DB" w:rsidRPr="009057DB">
        <w:rPr>
          <w:sz w:val="22"/>
          <w:szCs w:val="22"/>
          <w:u w:val="single"/>
          <w:lang w:val="sr-Latn-ME"/>
        </w:rPr>
        <w:t>t</w:t>
      </w:r>
      <w:r w:rsidR="00752219" w:rsidRPr="009057DB">
        <w:rPr>
          <w:sz w:val="22"/>
          <w:szCs w:val="22"/>
          <w:u w:val="single"/>
          <w:lang w:val="sr-Latn-ME"/>
        </w:rPr>
        <w:t>rombocitopenij</w:t>
      </w:r>
      <w:r w:rsidR="00C9370F" w:rsidRPr="009057DB">
        <w:rPr>
          <w:sz w:val="22"/>
          <w:szCs w:val="22"/>
          <w:u w:val="single"/>
          <w:lang w:val="sr-Latn-ME"/>
        </w:rPr>
        <w:t>om</w:t>
      </w:r>
      <w:r w:rsidR="00752219" w:rsidRPr="009057DB">
        <w:rPr>
          <w:sz w:val="22"/>
          <w:szCs w:val="22"/>
          <w:u w:val="single"/>
          <w:lang w:val="sr-Latn-ME"/>
        </w:rPr>
        <w:t xml:space="preserve"> </w:t>
      </w:r>
    </w:p>
    <w:p w14:paraId="52D3A113" w14:textId="10DCEE80" w:rsidR="00E902BA" w:rsidRPr="009057DB" w:rsidRDefault="00E902BA" w:rsidP="00376088">
      <w:pPr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Veoma r</w:t>
      </w:r>
      <w:r w:rsidR="00AF7F2A" w:rsidRPr="009057DB">
        <w:rPr>
          <w:sz w:val="22"/>
          <w:szCs w:val="22"/>
          <w:lang w:val="sr-Latn-ME"/>
        </w:rPr>
        <w:t>ij</w:t>
      </w:r>
      <w:r w:rsidRPr="009057DB">
        <w:rPr>
          <w:sz w:val="22"/>
          <w:szCs w:val="22"/>
          <w:lang w:val="sr-Latn-ME"/>
        </w:rPr>
        <w:t>etko</w:t>
      </w:r>
      <w:r w:rsidR="00027364" w:rsidRPr="009057DB">
        <w:rPr>
          <w:sz w:val="22"/>
          <w:szCs w:val="22"/>
          <w:lang w:val="sr-Latn-ME"/>
        </w:rPr>
        <w:t>,</w:t>
      </w:r>
      <w:r w:rsidRPr="009057DB">
        <w:rPr>
          <w:sz w:val="22"/>
          <w:szCs w:val="22"/>
          <w:lang w:val="sr-Latn-ME"/>
        </w:rPr>
        <w:t xml:space="preserve"> nakon vakcinacije vakcinom </w:t>
      </w:r>
      <w:r w:rsidR="00EA5129" w:rsidRPr="009057DB">
        <w:rPr>
          <w:color w:val="000000"/>
          <w:sz w:val="22"/>
          <w:szCs w:val="22"/>
          <w:shd w:val="clear" w:color="auto" w:fill="FFFFFF"/>
          <w:lang w:val="sr-Latn-ME"/>
        </w:rPr>
        <w:t>Vaxzevria</w:t>
      </w:r>
      <w:r w:rsidR="008448EC" w:rsidRPr="009057DB">
        <w:rPr>
          <w:color w:val="000000"/>
          <w:sz w:val="22"/>
          <w:szCs w:val="22"/>
          <w:shd w:val="clear" w:color="auto" w:fill="FFFFFF"/>
          <w:lang w:val="sr-Latn-ME"/>
        </w:rPr>
        <w:t xml:space="preserve"> </w:t>
      </w:r>
      <w:r w:rsidRPr="009057DB">
        <w:rPr>
          <w:sz w:val="22"/>
          <w:szCs w:val="22"/>
          <w:lang w:val="sr-Latn-ME"/>
        </w:rPr>
        <w:t>zab</w:t>
      </w:r>
      <w:r w:rsidR="00AF7F2A" w:rsidRPr="009057DB">
        <w:rPr>
          <w:sz w:val="22"/>
          <w:szCs w:val="22"/>
          <w:lang w:val="sr-Latn-ME"/>
        </w:rPr>
        <w:t>i</w:t>
      </w:r>
      <w:r w:rsidRPr="009057DB">
        <w:rPr>
          <w:sz w:val="22"/>
          <w:szCs w:val="22"/>
          <w:lang w:val="sr-Latn-ME"/>
        </w:rPr>
        <w:t>l</w:t>
      </w:r>
      <w:r w:rsidR="00AF7F2A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 xml:space="preserve">ežena je pojava tromboze </w:t>
      </w:r>
      <w:r w:rsidR="00C9370F" w:rsidRPr="009057DB">
        <w:rPr>
          <w:sz w:val="22"/>
          <w:szCs w:val="22"/>
          <w:lang w:val="sr-Latn-ME"/>
        </w:rPr>
        <w:t>sa</w:t>
      </w:r>
      <w:r w:rsidRPr="009057DB">
        <w:rPr>
          <w:sz w:val="22"/>
          <w:szCs w:val="22"/>
          <w:lang w:val="sr-Latn-ME"/>
        </w:rPr>
        <w:t xml:space="preserve"> trombocitopenij</w:t>
      </w:r>
      <w:r w:rsidR="00C9370F" w:rsidRPr="009057DB">
        <w:rPr>
          <w:sz w:val="22"/>
          <w:szCs w:val="22"/>
          <w:lang w:val="sr-Latn-ME"/>
        </w:rPr>
        <w:t>om</w:t>
      </w:r>
      <w:r w:rsidR="00E0597A" w:rsidRPr="009057DB">
        <w:rPr>
          <w:sz w:val="22"/>
          <w:szCs w:val="22"/>
          <w:lang w:val="sr-Latn-ME"/>
        </w:rPr>
        <w:t xml:space="preserve"> (engl. </w:t>
      </w:r>
      <w:r w:rsidR="00E0597A" w:rsidRPr="009057DB">
        <w:rPr>
          <w:i/>
          <w:sz w:val="22"/>
          <w:szCs w:val="22"/>
          <w:lang w:val="sr-Latn-ME"/>
        </w:rPr>
        <w:t>thrombosis with thrombocytopenia syndrome</w:t>
      </w:r>
      <w:r w:rsidR="00E0597A" w:rsidRPr="009057DB">
        <w:rPr>
          <w:sz w:val="22"/>
          <w:szCs w:val="22"/>
          <w:lang w:val="sr-Latn-ME"/>
        </w:rPr>
        <w:t>, TTS)</w:t>
      </w:r>
      <w:r w:rsidR="000307FF" w:rsidRPr="009057DB">
        <w:rPr>
          <w:sz w:val="22"/>
          <w:szCs w:val="22"/>
          <w:lang w:val="sr-Latn-ME"/>
        </w:rPr>
        <w:t>,</w:t>
      </w:r>
      <w:r w:rsidRPr="009057DB">
        <w:rPr>
          <w:sz w:val="22"/>
          <w:szCs w:val="22"/>
          <w:lang w:val="sr-Latn-ME"/>
        </w:rPr>
        <w:t xml:space="preserve"> </w:t>
      </w:r>
      <w:r w:rsidR="00027364" w:rsidRPr="009057DB">
        <w:rPr>
          <w:sz w:val="22"/>
          <w:szCs w:val="22"/>
          <w:lang w:val="sr-Latn-ME"/>
        </w:rPr>
        <w:t xml:space="preserve">u nekim slučajevima </w:t>
      </w:r>
      <w:r w:rsidRPr="009057DB">
        <w:rPr>
          <w:sz w:val="22"/>
          <w:szCs w:val="22"/>
          <w:lang w:val="sr-Latn-ME"/>
        </w:rPr>
        <w:t xml:space="preserve">praćena krvarenjem. To uključuje teške slučajeve koji se </w:t>
      </w:r>
      <w:r w:rsidR="00027364" w:rsidRPr="009057DB">
        <w:rPr>
          <w:sz w:val="22"/>
          <w:szCs w:val="22"/>
          <w:lang w:val="sr-Latn-ME"/>
        </w:rPr>
        <w:t xml:space="preserve">manifestuju </w:t>
      </w:r>
      <w:r w:rsidRPr="009057DB">
        <w:rPr>
          <w:sz w:val="22"/>
          <w:szCs w:val="22"/>
          <w:lang w:val="sr-Latn-ME"/>
        </w:rPr>
        <w:t>kao venska tromboza, uključujući neobična m</w:t>
      </w:r>
      <w:r w:rsidR="00AF7F2A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>esta</w:t>
      </w:r>
      <w:r w:rsidR="00B40D03" w:rsidRPr="009057DB">
        <w:rPr>
          <w:sz w:val="22"/>
          <w:szCs w:val="22"/>
          <w:lang w:val="sr-Latn-ME"/>
        </w:rPr>
        <w:t>,</w:t>
      </w:r>
      <w:r w:rsidRPr="009057DB">
        <w:rPr>
          <w:sz w:val="22"/>
          <w:szCs w:val="22"/>
          <w:lang w:val="sr-Latn-ME"/>
        </w:rPr>
        <w:t xml:space="preserve"> kao što su </w:t>
      </w:r>
      <w:r w:rsidR="009A4D0F" w:rsidRPr="009057DB">
        <w:rPr>
          <w:sz w:val="22"/>
          <w:szCs w:val="22"/>
          <w:lang w:val="sr-Latn-ME"/>
        </w:rPr>
        <w:t xml:space="preserve">tromboza </w:t>
      </w:r>
      <w:r w:rsidRPr="009057DB">
        <w:rPr>
          <w:sz w:val="22"/>
          <w:szCs w:val="22"/>
          <w:lang w:val="sr-Latn-ME"/>
        </w:rPr>
        <w:t>cerebraln</w:t>
      </w:r>
      <w:r w:rsidR="009A4D0F" w:rsidRPr="009057DB">
        <w:rPr>
          <w:sz w:val="22"/>
          <w:szCs w:val="22"/>
          <w:lang w:val="sr-Latn-ME"/>
        </w:rPr>
        <w:t>og</w:t>
      </w:r>
      <w:r w:rsidRPr="009057DB">
        <w:rPr>
          <w:sz w:val="22"/>
          <w:szCs w:val="22"/>
          <w:lang w:val="sr-Latn-ME"/>
        </w:rPr>
        <w:t xml:space="preserve"> vensk</w:t>
      </w:r>
      <w:r w:rsidR="009A4D0F" w:rsidRPr="009057DB">
        <w:rPr>
          <w:sz w:val="22"/>
          <w:szCs w:val="22"/>
          <w:lang w:val="sr-Latn-ME"/>
        </w:rPr>
        <w:t>og</w:t>
      </w:r>
      <w:r w:rsidRPr="009057DB">
        <w:rPr>
          <w:sz w:val="22"/>
          <w:szCs w:val="22"/>
          <w:lang w:val="sr-Latn-ME"/>
        </w:rPr>
        <w:t xml:space="preserve"> sinus</w:t>
      </w:r>
      <w:r w:rsidR="009A4D0F" w:rsidRPr="009057DB">
        <w:rPr>
          <w:sz w:val="22"/>
          <w:szCs w:val="22"/>
          <w:lang w:val="sr-Latn-ME"/>
        </w:rPr>
        <w:t>a</w:t>
      </w:r>
      <w:r w:rsidR="00027364" w:rsidRPr="009057DB">
        <w:rPr>
          <w:sz w:val="22"/>
          <w:szCs w:val="22"/>
          <w:lang w:val="sr-Latn-ME"/>
        </w:rPr>
        <w:t xml:space="preserve">, </w:t>
      </w:r>
      <w:r w:rsidR="009B6325" w:rsidRPr="009057DB">
        <w:rPr>
          <w:sz w:val="22"/>
          <w:szCs w:val="22"/>
          <w:lang w:val="sr-Latn-ME"/>
        </w:rPr>
        <w:t>tromboz</w:t>
      </w:r>
      <w:r w:rsidR="00027364" w:rsidRPr="009057DB">
        <w:rPr>
          <w:sz w:val="22"/>
          <w:szCs w:val="22"/>
          <w:lang w:val="sr-Latn-ME"/>
        </w:rPr>
        <w:t>a</w:t>
      </w:r>
      <w:r w:rsidR="008915FD" w:rsidRPr="009057DB">
        <w:rPr>
          <w:sz w:val="22"/>
          <w:szCs w:val="22"/>
          <w:lang w:val="sr-Latn-ME"/>
        </w:rPr>
        <w:t xml:space="preserve"> splanhnične vene</w:t>
      </w:r>
      <w:r w:rsidR="00027364" w:rsidRPr="009057DB">
        <w:rPr>
          <w:sz w:val="22"/>
          <w:szCs w:val="22"/>
          <w:lang w:val="sr-Latn-ME"/>
        </w:rPr>
        <w:t>,</w:t>
      </w:r>
      <w:r w:rsidR="008915FD" w:rsidRPr="009057DB">
        <w:rPr>
          <w:sz w:val="22"/>
          <w:szCs w:val="22"/>
          <w:lang w:val="sr-Latn-ME"/>
        </w:rPr>
        <w:t xml:space="preserve"> </w:t>
      </w:r>
      <w:r w:rsidRPr="009057DB">
        <w:rPr>
          <w:sz w:val="22"/>
          <w:szCs w:val="22"/>
          <w:lang w:val="sr-Latn-ME"/>
        </w:rPr>
        <w:t>kao i arterijska tromboza</w:t>
      </w:r>
      <w:r w:rsidR="003A35C2" w:rsidRPr="009057DB">
        <w:rPr>
          <w:sz w:val="22"/>
          <w:szCs w:val="22"/>
          <w:lang w:val="sr-Latn-ME"/>
        </w:rPr>
        <w:t>, praćena trombocitopenijom</w:t>
      </w:r>
      <w:r w:rsidR="006B4D7D" w:rsidRPr="009057DB">
        <w:rPr>
          <w:sz w:val="22"/>
          <w:szCs w:val="22"/>
          <w:lang w:val="sr-Latn-ME"/>
        </w:rPr>
        <w:t xml:space="preserve">. Neki slučajevi su imali </w:t>
      </w:r>
      <w:r w:rsidR="00415EC5" w:rsidRPr="009057DB">
        <w:rPr>
          <w:sz w:val="22"/>
          <w:szCs w:val="22"/>
          <w:lang w:val="sr-Latn-ME"/>
        </w:rPr>
        <w:t xml:space="preserve">smrtni ishod. </w:t>
      </w:r>
      <w:r w:rsidRPr="009057DB">
        <w:rPr>
          <w:sz w:val="22"/>
          <w:szCs w:val="22"/>
          <w:lang w:val="sr-Latn-ME"/>
        </w:rPr>
        <w:t xml:space="preserve">Većina ovih slučajeva </w:t>
      </w:r>
      <w:r w:rsidR="00E0503C" w:rsidRPr="009057DB">
        <w:rPr>
          <w:sz w:val="22"/>
          <w:szCs w:val="22"/>
          <w:lang w:val="sr-Latn-ME"/>
        </w:rPr>
        <w:t xml:space="preserve">javljala se tokom </w:t>
      </w:r>
      <w:r w:rsidR="00E0597A" w:rsidRPr="009057DB">
        <w:rPr>
          <w:sz w:val="22"/>
          <w:szCs w:val="22"/>
          <w:lang w:val="sr-Latn-ME"/>
        </w:rPr>
        <w:t xml:space="preserve">prve </w:t>
      </w:r>
      <w:r w:rsidR="00C9370F" w:rsidRPr="009057DB">
        <w:rPr>
          <w:sz w:val="22"/>
          <w:szCs w:val="22"/>
          <w:lang w:val="sr-Latn-ME"/>
        </w:rPr>
        <w:t xml:space="preserve">tri </w:t>
      </w:r>
      <w:r w:rsidR="00E0597A" w:rsidRPr="009057DB">
        <w:rPr>
          <w:sz w:val="22"/>
          <w:szCs w:val="22"/>
          <w:lang w:val="sr-Latn-ME"/>
        </w:rPr>
        <w:t xml:space="preserve">nedjelje </w:t>
      </w:r>
      <w:r w:rsidRPr="009057DB">
        <w:rPr>
          <w:sz w:val="22"/>
          <w:szCs w:val="22"/>
          <w:lang w:val="sr-Latn-ME"/>
        </w:rPr>
        <w:t>nakon vakcinacije</w:t>
      </w:r>
      <w:r w:rsidR="00FE0577" w:rsidRPr="009057DB">
        <w:rPr>
          <w:sz w:val="22"/>
          <w:szCs w:val="22"/>
          <w:lang w:val="sr-Latn-ME"/>
        </w:rPr>
        <w:t>.</w:t>
      </w:r>
      <w:r w:rsidR="00B64865" w:rsidRPr="009057DB">
        <w:rPr>
          <w:sz w:val="22"/>
          <w:szCs w:val="22"/>
          <w:lang w:val="sr-Latn-ME"/>
        </w:rPr>
        <w:t xml:space="preserve"> Stopa prijavljivanja nakon druge doze bila je niža u odnosu na prijavljivanje nakon prve doze</w:t>
      </w:r>
      <w:r w:rsidR="00D3147A" w:rsidRPr="009057DB">
        <w:rPr>
          <w:sz w:val="22"/>
          <w:szCs w:val="22"/>
          <w:lang w:val="sr-Latn-ME"/>
        </w:rPr>
        <w:t xml:space="preserve"> (</w:t>
      </w:r>
      <w:r w:rsidR="00B40D03" w:rsidRPr="009057DB">
        <w:rPr>
          <w:sz w:val="22"/>
          <w:szCs w:val="22"/>
          <w:lang w:val="sr-Latn-ME"/>
        </w:rPr>
        <w:t xml:space="preserve">vidjeti dio </w:t>
      </w:r>
      <w:r w:rsidR="00B64865" w:rsidRPr="009057DB">
        <w:rPr>
          <w:sz w:val="22"/>
          <w:szCs w:val="22"/>
          <w:lang w:val="sr-Latn-ME"/>
        </w:rPr>
        <w:t>4.3</w:t>
      </w:r>
      <w:r w:rsidR="00D3147A" w:rsidRPr="009057DB">
        <w:rPr>
          <w:sz w:val="22"/>
          <w:szCs w:val="22"/>
          <w:lang w:val="sr-Latn-ME"/>
        </w:rPr>
        <w:t>)</w:t>
      </w:r>
      <w:r w:rsidR="00B64865" w:rsidRPr="009057DB">
        <w:rPr>
          <w:sz w:val="22"/>
          <w:szCs w:val="22"/>
          <w:lang w:val="sr-Latn-ME"/>
        </w:rPr>
        <w:t>.</w:t>
      </w:r>
    </w:p>
    <w:p w14:paraId="1BD72ED8" w14:textId="1BA888C7" w:rsidR="00E902BA" w:rsidRPr="009057DB" w:rsidRDefault="00E902BA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EECE9C9" w14:textId="245E9283" w:rsidR="00A710E9" w:rsidRPr="009057DB" w:rsidRDefault="00A710E9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TTS zahtijeva specijalističko kliničko liječenje. Za dijagnostikovanje i liječenje tog stanja</w:t>
      </w:r>
      <w:r w:rsidR="001E7BA0" w:rsidRPr="009057DB">
        <w:rPr>
          <w:sz w:val="22"/>
          <w:szCs w:val="22"/>
          <w:lang w:val="sr-Latn-ME"/>
        </w:rPr>
        <w:t>,</w:t>
      </w:r>
      <w:r w:rsidRPr="009057DB">
        <w:rPr>
          <w:sz w:val="22"/>
          <w:szCs w:val="22"/>
          <w:lang w:val="sr-Latn-ME"/>
        </w:rPr>
        <w:t xml:space="preserve"> zdravstveni radnici treba da prov</w:t>
      </w:r>
      <w:r w:rsidR="001E7BA0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>ere primjenjive smjernice i/ili da se konsultuju sa specijalistima (npr. hematolozima, specijalistima za poremećaje koagulacije).</w:t>
      </w:r>
    </w:p>
    <w:p w14:paraId="11D1C19A" w14:textId="77777777" w:rsidR="00A710E9" w:rsidRPr="009057DB" w:rsidRDefault="00A710E9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B94072C" w14:textId="06B66BC3" w:rsidR="00A710E9" w:rsidRPr="009057DB" w:rsidRDefault="00A710E9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Cerebrovaskularna venska i sinusna tromboza: Događaji cerebrovaskularne venske i sinusne tromboze bez trombocitopenije su primijećeni veoma rijetko nakon vakcinacije vakcinom Vaxzevria. Neki slučajevi su imali fatalni ishod. Većina ovih slučajeva dogodila se u prve četiri ned</w:t>
      </w:r>
      <w:r w:rsidR="001E7BA0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>elje nakon vakcinacije. Ovu informaciju treba uzeti u obzir za osobe sa povećanim rizikom od cerebrovaskularne venske i sinusne tromboze. Ovi događaji mogu zaht</w:t>
      </w:r>
      <w:r w:rsidR="001E7BA0" w:rsidRPr="009057DB">
        <w:rPr>
          <w:sz w:val="22"/>
          <w:szCs w:val="22"/>
          <w:lang w:val="sr-Latn-ME"/>
        </w:rPr>
        <w:t>ij</w:t>
      </w:r>
      <w:r w:rsidRPr="009057DB">
        <w:rPr>
          <w:sz w:val="22"/>
          <w:szCs w:val="22"/>
          <w:lang w:val="sr-Latn-ME"/>
        </w:rPr>
        <w:t>evati različite pristupe liječenju od TTS-a i zdravstveni radnici treba da konsultuju odgovarajuće smjernice.</w:t>
      </w:r>
    </w:p>
    <w:p w14:paraId="09BDE67D" w14:textId="77777777" w:rsidR="00A710E9" w:rsidRPr="009057DB" w:rsidRDefault="00A710E9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9B9F17E" w14:textId="77777777" w:rsidR="00D356CC" w:rsidRPr="009057DB" w:rsidRDefault="00D356CC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Trombocitopenija</w:t>
      </w:r>
    </w:p>
    <w:p w14:paraId="7D723F65" w14:textId="1F50C15A" w:rsidR="00D356CC" w:rsidRPr="009057DB" w:rsidRDefault="00D356CC" w:rsidP="00376088">
      <w:pPr>
        <w:jc w:val="both"/>
        <w:rPr>
          <w:sz w:val="22"/>
          <w:szCs w:val="22"/>
          <w:lang w:val="sr-Latn-ME"/>
        </w:rPr>
      </w:pPr>
      <w:r w:rsidRPr="009057DB">
        <w:rPr>
          <w:iCs/>
          <w:noProof/>
          <w:sz w:val="22"/>
          <w:szCs w:val="22"/>
          <w:lang w:val="sr-Latn-ME"/>
        </w:rPr>
        <w:t xml:space="preserve">Slučajevi trombocitopenije, uključujući </w:t>
      </w:r>
      <w:r w:rsidR="001E7BA0" w:rsidRPr="009057DB">
        <w:rPr>
          <w:iCs/>
          <w:noProof/>
          <w:sz w:val="22"/>
          <w:szCs w:val="22"/>
          <w:lang w:val="sr-Latn-ME"/>
        </w:rPr>
        <w:t>imunu</w:t>
      </w:r>
      <w:r w:rsidRPr="009057DB">
        <w:rPr>
          <w:iCs/>
          <w:noProof/>
          <w:sz w:val="22"/>
          <w:szCs w:val="22"/>
          <w:lang w:val="sr-Latn-ME"/>
        </w:rPr>
        <w:t xml:space="preserve"> </w:t>
      </w:r>
      <w:r w:rsidR="001E7BA0" w:rsidRPr="009057DB">
        <w:rPr>
          <w:iCs/>
          <w:noProof/>
          <w:sz w:val="22"/>
          <w:szCs w:val="22"/>
          <w:lang w:val="sr-Latn-ME"/>
        </w:rPr>
        <w:t xml:space="preserve">trombocitopeniju </w:t>
      </w:r>
      <w:r w:rsidRPr="009057DB">
        <w:rPr>
          <w:iCs/>
          <w:noProof/>
          <w:sz w:val="22"/>
          <w:szCs w:val="22"/>
          <w:lang w:val="sr-Latn-ME"/>
        </w:rPr>
        <w:t>(engl. i</w:t>
      </w:r>
      <w:r w:rsidRPr="009057DB">
        <w:rPr>
          <w:i/>
          <w:noProof/>
          <w:sz w:val="22"/>
          <w:szCs w:val="22"/>
          <w:lang w:val="sr-Latn-ME"/>
        </w:rPr>
        <w:t>mmune thrombocytopenia</w:t>
      </w:r>
      <w:r w:rsidRPr="009057DB">
        <w:rPr>
          <w:iCs/>
          <w:noProof/>
          <w:sz w:val="22"/>
          <w:szCs w:val="22"/>
          <w:lang w:val="sr-Latn-ME"/>
        </w:rPr>
        <w:t>, ITP) prijavljeni su nakon primjene vakcine Vaxzevria, obično u periodu do četiri ned</w:t>
      </w:r>
      <w:r w:rsidR="001E7BA0" w:rsidRPr="009057DB">
        <w:rPr>
          <w:iCs/>
          <w:noProof/>
          <w:sz w:val="22"/>
          <w:szCs w:val="22"/>
          <w:lang w:val="sr-Latn-ME"/>
        </w:rPr>
        <w:t>j</w:t>
      </w:r>
      <w:r w:rsidRPr="009057DB">
        <w:rPr>
          <w:iCs/>
          <w:noProof/>
          <w:sz w:val="22"/>
          <w:szCs w:val="22"/>
          <w:lang w:val="sr-Latn-ME"/>
        </w:rPr>
        <w:t>elje nakon primjene vakcine. Navedeni slučajevi trombocitopenije su veoma rijetko bili praćeni veoma niskim vrijednostima trombocita (&lt; 20 x 10</w:t>
      </w:r>
      <w:r w:rsidRPr="009057DB">
        <w:rPr>
          <w:iCs/>
          <w:noProof/>
          <w:sz w:val="22"/>
          <w:szCs w:val="22"/>
          <w:vertAlign w:val="superscript"/>
          <w:lang w:val="sr-Latn-ME"/>
        </w:rPr>
        <w:t>9</w:t>
      </w:r>
      <w:r w:rsidRPr="009057DB">
        <w:rPr>
          <w:iCs/>
          <w:noProof/>
          <w:sz w:val="22"/>
          <w:szCs w:val="22"/>
          <w:lang w:val="sr-Latn-ME"/>
        </w:rPr>
        <w:t>/</w:t>
      </w:r>
      <w:r w:rsidR="004C7206" w:rsidRPr="009057DB">
        <w:rPr>
          <w:iCs/>
          <w:noProof/>
          <w:sz w:val="22"/>
          <w:szCs w:val="22"/>
          <w:lang w:val="sr-Latn-ME"/>
        </w:rPr>
        <w:t>l</w:t>
      </w:r>
      <w:r w:rsidRPr="009057DB">
        <w:rPr>
          <w:iCs/>
          <w:noProof/>
          <w:sz w:val="22"/>
          <w:szCs w:val="22"/>
          <w:lang w:val="sr-Latn-ME"/>
        </w:rPr>
        <w:t xml:space="preserve"> ) i/ili su bili povezani sa krvarenjem. Neki od navedenih slučajeva </w:t>
      </w:r>
      <w:r w:rsidR="001E7BA0" w:rsidRPr="009057DB">
        <w:rPr>
          <w:iCs/>
          <w:noProof/>
          <w:sz w:val="22"/>
          <w:szCs w:val="22"/>
          <w:lang w:val="sr-Latn-ME"/>
        </w:rPr>
        <w:t xml:space="preserve">su se </w:t>
      </w:r>
      <w:r w:rsidRPr="009057DB">
        <w:rPr>
          <w:iCs/>
          <w:noProof/>
          <w:sz w:val="22"/>
          <w:szCs w:val="22"/>
          <w:lang w:val="sr-Latn-ME"/>
        </w:rPr>
        <w:t xml:space="preserve">javili kod osoba sa </w:t>
      </w:r>
      <w:r w:rsidR="001E7BA0" w:rsidRPr="009057DB">
        <w:rPr>
          <w:iCs/>
          <w:noProof/>
          <w:sz w:val="22"/>
          <w:szCs w:val="22"/>
          <w:lang w:val="sr-Latn-ME"/>
        </w:rPr>
        <w:t>imunom</w:t>
      </w:r>
      <w:r w:rsidRPr="009057DB">
        <w:rPr>
          <w:iCs/>
          <w:noProof/>
          <w:sz w:val="22"/>
          <w:szCs w:val="22"/>
          <w:lang w:val="sr-Latn-ME"/>
        </w:rPr>
        <w:t xml:space="preserve"> trombocitopenijom u istoriji bolesti. Neki prijavljeni slučajevi su imali smrtni ishod. Ukoliko osoba u istoriji bolesti ima trombocitopenijski poremećaj, poput </w:t>
      </w:r>
      <w:r w:rsidR="001E7BA0" w:rsidRPr="009057DB">
        <w:rPr>
          <w:iCs/>
          <w:noProof/>
          <w:sz w:val="22"/>
          <w:szCs w:val="22"/>
          <w:lang w:val="sr-Latn-ME"/>
        </w:rPr>
        <w:t>imune</w:t>
      </w:r>
      <w:r w:rsidRPr="009057DB">
        <w:rPr>
          <w:iCs/>
          <w:noProof/>
          <w:sz w:val="22"/>
          <w:szCs w:val="22"/>
          <w:lang w:val="sr-Latn-ME"/>
        </w:rPr>
        <w:t xml:space="preserve"> trombocitopenije, prije primjene vakcine </w:t>
      </w:r>
      <w:r w:rsidR="001E7BA0" w:rsidRPr="009057DB">
        <w:rPr>
          <w:iCs/>
          <w:noProof/>
          <w:sz w:val="22"/>
          <w:szCs w:val="22"/>
          <w:lang w:val="sr-Latn-ME"/>
        </w:rPr>
        <w:t xml:space="preserve">je </w:t>
      </w:r>
      <w:r w:rsidRPr="009057DB">
        <w:rPr>
          <w:iCs/>
          <w:noProof/>
          <w:sz w:val="22"/>
          <w:szCs w:val="22"/>
          <w:lang w:val="sr-Latn-ME"/>
        </w:rPr>
        <w:t xml:space="preserve">potrebno razmotriti rizik od razvoja niskih vrijednosti trombocita, a nakon vakcinacije </w:t>
      </w:r>
      <w:r w:rsidR="001E7BA0" w:rsidRPr="009057DB">
        <w:rPr>
          <w:iCs/>
          <w:noProof/>
          <w:sz w:val="22"/>
          <w:szCs w:val="22"/>
          <w:lang w:val="sr-Latn-ME"/>
        </w:rPr>
        <w:t xml:space="preserve">se </w:t>
      </w:r>
      <w:r w:rsidRPr="009057DB">
        <w:rPr>
          <w:iCs/>
          <w:noProof/>
          <w:sz w:val="22"/>
          <w:szCs w:val="22"/>
          <w:lang w:val="sr-Latn-ME"/>
        </w:rPr>
        <w:t>preporučuje praćenje vrijednosti trombocita.</w:t>
      </w:r>
    </w:p>
    <w:p w14:paraId="021832B3" w14:textId="77777777" w:rsidR="00D356CC" w:rsidRPr="009057DB" w:rsidRDefault="00D356CC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92CDF40" w14:textId="062155DA" w:rsidR="00E902BA" w:rsidRPr="009057DB" w:rsidRDefault="00E902BA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Zdravst</w:t>
      </w:r>
      <w:r w:rsidR="00027364" w:rsidRPr="009057DB">
        <w:rPr>
          <w:sz w:val="22"/>
          <w:szCs w:val="22"/>
          <w:lang w:val="sr-Latn-ME"/>
        </w:rPr>
        <w:t>v</w:t>
      </w:r>
      <w:r w:rsidRPr="009057DB">
        <w:rPr>
          <w:sz w:val="22"/>
          <w:szCs w:val="22"/>
          <w:lang w:val="sr-Latn-ME"/>
        </w:rPr>
        <w:t xml:space="preserve">eni radnici treba da budu na oprezu ukoliko se jave znaci i simptomi tromboembolije i/ili trombocitopenije. Vakcinisane </w:t>
      </w:r>
      <w:r w:rsidR="00027364" w:rsidRPr="009057DB">
        <w:rPr>
          <w:sz w:val="22"/>
          <w:szCs w:val="22"/>
          <w:lang w:val="sr-Latn-ME"/>
        </w:rPr>
        <w:t xml:space="preserve">osobe </w:t>
      </w:r>
      <w:r w:rsidRPr="009057DB">
        <w:rPr>
          <w:sz w:val="22"/>
          <w:szCs w:val="22"/>
          <w:lang w:val="sr-Latn-ME"/>
        </w:rPr>
        <w:t xml:space="preserve">treba uputiti da hitno potraže medicinsku pomoć ako se nakon vakcinacije razviju simptomi kao što su </w:t>
      </w:r>
      <w:r w:rsidR="00027364" w:rsidRPr="009057DB">
        <w:rPr>
          <w:sz w:val="22"/>
          <w:szCs w:val="22"/>
          <w:lang w:val="sr-Latn-ME"/>
        </w:rPr>
        <w:t>kratkoća daha</w:t>
      </w:r>
      <w:r w:rsidRPr="009057DB">
        <w:rPr>
          <w:sz w:val="22"/>
          <w:szCs w:val="22"/>
          <w:lang w:val="sr-Latn-ME"/>
        </w:rPr>
        <w:t>, bol u grudima, otok nogu,</w:t>
      </w:r>
      <w:r w:rsidR="00C9370F" w:rsidRPr="009057DB">
        <w:rPr>
          <w:sz w:val="22"/>
          <w:szCs w:val="22"/>
          <w:lang w:val="sr-Latn-ME"/>
        </w:rPr>
        <w:t xml:space="preserve"> bolovi u nogama,</w:t>
      </w:r>
      <w:r w:rsidRPr="009057DB">
        <w:rPr>
          <w:sz w:val="22"/>
          <w:szCs w:val="22"/>
          <w:lang w:val="sr-Latn-ME"/>
        </w:rPr>
        <w:t xml:space="preserve"> konstatn</w:t>
      </w:r>
      <w:r w:rsidR="00027364" w:rsidRPr="009057DB">
        <w:rPr>
          <w:sz w:val="22"/>
          <w:szCs w:val="22"/>
          <w:lang w:val="sr-Latn-ME"/>
        </w:rPr>
        <w:t>i</w:t>
      </w:r>
      <w:r w:rsidRPr="009057DB">
        <w:rPr>
          <w:sz w:val="22"/>
          <w:szCs w:val="22"/>
          <w:lang w:val="sr-Latn-ME"/>
        </w:rPr>
        <w:t xml:space="preserve"> bolov</w:t>
      </w:r>
      <w:r w:rsidR="00027364" w:rsidRPr="009057DB">
        <w:rPr>
          <w:sz w:val="22"/>
          <w:szCs w:val="22"/>
          <w:lang w:val="sr-Latn-ME"/>
        </w:rPr>
        <w:t>i</w:t>
      </w:r>
      <w:r w:rsidRPr="009057DB">
        <w:rPr>
          <w:sz w:val="22"/>
          <w:szCs w:val="22"/>
          <w:lang w:val="sr-Latn-ME"/>
        </w:rPr>
        <w:t xml:space="preserve"> u </w:t>
      </w:r>
      <w:r w:rsidR="00027364" w:rsidRPr="009057DB">
        <w:rPr>
          <w:sz w:val="22"/>
          <w:szCs w:val="22"/>
          <w:lang w:val="sr-Latn-ME"/>
        </w:rPr>
        <w:t>abdomenu</w:t>
      </w:r>
      <w:r w:rsidRPr="009057DB">
        <w:rPr>
          <w:sz w:val="22"/>
          <w:szCs w:val="22"/>
          <w:lang w:val="sr-Latn-ME"/>
        </w:rPr>
        <w:t xml:space="preserve">. Pored toga, </w:t>
      </w:r>
      <w:r w:rsidR="00027364" w:rsidRPr="009057DB">
        <w:rPr>
          <w:sz w:val="22"/>
          <w:szCs w:val="22"/>
          <w:lang w:val="sr-Latn-ME"/>
        </w:rPr>
        <w:t xml:space="preserve">sve osobe </w:t>
      </w:r>
      <w:r w:rsidRPr="009057DB">
        <w:rPr>
          <w:sz w:val="22"/>
          <w:szCs w:val="22"/>
          <w:lang w:val="sr-Latn-ME"/>
        </w:rPr>
        <w:t>sa neurološkim simptomima, uključujući jake ili uporne glavobolje</w:t>
      </w:r>
      <w:r w:rsidR="00C9370F" w:rsidRPr="009057DB">
        <w:rPr>
          <w:sz w:val="22"/>
          <w:szCs w:val="22"/>
          <w:lang w:val="sr-Latn-ME"/>
        </w:rPr>
        <w:t>,</w:t>
      </w:r>
      <w:r w:rsidRPr="009057DB">
        <w:rPr>
          <w:sz w:val="22"/>
          <w:szCs w:val="22"/>
          <w:lang w:val="sr-Latn-ME"/>
        </w:rPr>
        <w:t xml:space="preserve"> zamućen vid nakon vakcinacije, </w:t>
      </w:r>
      <w:r w:rsidR="00C9370F" w:rsidRPr="009057DB">
        <w:rPr>
          <w:sz w:val="22"/>
          <w:szCs w:val="22"/>
          <w:lang w:val="sr-Latn-ME"/>
        </w:rPr>
        <w:t>zbunjenost ili napad</w:t>
      </w:r>
      <w:r w:rsidR="00330FD7" w:rsidRPr="009057DB">
        <w:rPr>
          <w:sz w:val="22"/>
          <w:szCs w:val="22"/>
          <w:lang w:val="sr-Latn-ME"/>
        </w:rPr>
        <w:t>e</w:t>
      </w:r>
      <w:r w:rsidR="00C9370F" w:rsidRPr="009057DB">
        <w:rPr>
          <w:sz w:val="22"/>
          <w:szCs w:val="22"/>
          <w:lang w:val="sr-Latn-ME"/>
        </w:rPr>
        <w:t xml:space="preserve"> nakon vakcinacije, </w:t>
      </w:r>
      <w:r w:rsidR="00027364" w:rsidRPr="009057DB">
        <w:rPr>
          <w:sz w:val="22"/>
          <w:szCs w:val="22"/>
          <w:lang w:val="sr-Latn-ME"/>
        </w:rPr>
        <w:t>kao i one osobe kod kojih se</w:t>
      </w:r>
      <w:r w:rsidRPr="009057DB">
        <w:rPr>
          <w:sz w:val="22"/>
          <w:szCs w:val="22"/>
          <w:lang w:val="sr-Latn-ME"/>
        </w:rPr>
        <w:t xml:space="preserve"> nakon nekoliko dana pojav</w:t>
      </w:r>
      <w:r w:rsidR="00D356CC" w:rsidRPr="009057DB">
        <w:rPr>
          <w:sz w:val="22"/>
          <w:szCs w:val="22"/>
          <w:lang w:val="sr-Latn-ME"/>
        </w:rPr>
        <w:t>i</w:t>
      </w:r>
      <w:r w:rsidRPr="009057DB">
        <w:rPr>
          <w:sz w:val="22"/>
          <w:szCs w:val="22"/>
          <w:lang w:val="sr-Latn-ME"/>
        </w:rPr>
        <w:t xml:space="preserve"> </w:t>
      </w:r>
      <w:r w:rsidR="00D356CC" w:rsidRPr="009057DB">
        <w:rPr>
          <w:sz w:val="22"/>
          <w:szCs w:val="22"/>
          <w:lang w:val="sr-Latn-ME"/>
        </w:rPr>
        <w:t xml:space="preserve">spontano krvarenje </w:t>
      </w:r>
      <w:r w:rsidR="003A15E8" w:rsidRPr="009057DB">
        <w:rPr>
          <w:sz w:val="22"/>
          <w:szCs w:val="22"/>
          <w:lang w:val="sr-Latn-ME"/>
        </w:rPr>
        <w:t xml:space="preserve"> na koži, </w:t>
      </w:r>
      <w:r w:rsidRPr="009057DB">
        <w:rPr>
          <w:sz w:val="22"/>
          <w:szCs w:val="22"/>
          <w:lang w:val="sr-Latn-ME"/>
        </w:rPr>
        <w:t>modrice (petehije) izvan m</w:t>
      </w:r>
      <w:r w:rsidR="001B4F0A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>esta vakcinacije, treba da zatraž</w:t>
      </w:r>
      <w:r w:rsidR="00027364" w:rsidRPr="009057DB">
        <w:rPr>
          <w:sz w:val="22"/>
          <w:szCs w:val="22"/>
          <w:lang w:val="sr-Latn-ME"/>
        </w:rPr>
        <w:t>e</w:t>
      </w:r>
      <w:r w:rsidRPr="009057DB">
        <w:rPr>
          <w:sz w:val="22"/>
          <w:szCs w:val="22"/>
          <w:lang w:val="sr-Latn-ME"/>
        </w:rPr>
        <w:t xml:space="preserve"> hitnu medicinsku pomoć. </w:t>
      </w:r>
    </w:p>
    <w:p w14:paraId="29A9740A" w14:textId="64D57288" w:rsidR="00C9370F" w:rsidRPr="009057DB" w:rsidRDefault="00C9370F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B97AF82" w14:textId="57C445B5" w:rsidR="00C9370F" w:rsidRPr="009057DB" w:rsidRDefault="00C9370F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Pacijent</w:t>
      </w:r>
      <w:r w:rsidR="00330FD7" w:rsidRPr="009057DB">
        <w:rPr>
          <w:sz w:val="22"/>
          <w:szCs w:val="22"/>
          <w:lang w:val="sr-Latn-ME"/>
        </w:rPr>
        <w:t>e</w:t>
      </w:r>
      <w:r w:rsidRPr="009057DB">
        <w:rPr>
          <w:sz w:val="22"/>
          <w:szCs w:val="22"/>
          <w:lang w:val="sr-Latn-ME"/>
        </w:rPr>
        <w:t xml:space="preserve"> kojima je dijagnostikovana </w:t>
      </w:r>
      <w:r w:rsidR="00C1123D" w:rsidRPr="009057DB">
        <w:rPr>
          <w:sz w:val="22"/>
          <w:szCs w:val="22"/>
          <w:lang w:val="sr-Latn-ME"/>
        </w:rPr>
        <w:t>t</w:t>
      </w:r>
      <w:r w:rsidRPr="009057DB">
        <w:rPr>
          <w:sz w:val="22"/>
          <w:szCs w:val="22"/>
          <w:lang w:val="sr-Latn-ME"/>
        </w:rPr>
        <w:t xml:space="preserve">rombocitopenija u roku od tri sedmice </w:t>
      </w:r>
      <w:r w:rsidR="00BC7A42" w:rsidRPr="009057DB">
        <w:rPr>
          <w:sz w:val="22"/>
          <w:szCs w:val="22"/>
          <w:lang w:val="sr-Latn-ME"/>
        </w:rPr>
        <w:t>nakon</w:t>
      </w:r>
      <w:r w:rsidRPr="009057DB">
        <w:rPr>
          <w:sz w:val="22"/>
          <w:szCs w:val="22"/>
          <w:lang w:val="sr-Latn-ME"/>
        </w:rPr>
        <w:t xml:space="preserve"> vakcinacije sa </w:t>
      </w:r>
      <w:r w:rsidR="00EA5129" w:rsidRPr="009057DB">
        <w:rPr>
          <w:color w:val="000000"/>
          <w:sz w:val="22"/>
          <w:szCs w:val="22"/>
          <w:shd w:val="clear" w:color="auto" w:fill="FFFFFF"/>
          <w:lang w:val="sr-Latn-ME"/>
        </w:rPr>
        <w:t>Vaxzevria</w:t>
      </w:r>
      <w:r w:rsidR="008448EC" w:rsidRPr="009057DB">
        <w:rPr>
          <w:color w:val="000000"/>
          <w:sz w:val="22"/>
          <w:szCs w:val="22"/>
          <w:shd w:val="clear" w:color="auto" w:fill="FFFFFF"/>
          <w:lang w:val="sr-Latn-ME"/>
        </w:rPr>
        <w:t xml:space="preserve"> </w:t>
      </w:r>
      <w:r w:rsidRPr="009057DB">
        <w:rPr>
          <w:sz w:val="22"/>
          <w:szCs w:val="22"/>
          <w:lang w:val="sr-Latn-ME"/>
        </w:rPr>
        <w:t>treba aktivno ispitati na znak</w:t>
      </w:r>
      <w:r w:rsidR="00330FD7" w:rsidRPr="009057DB">
        <w:rPr>
          <w:sz w:val="22"/>
          <w:szCs w:val="22"/>
          <w:lang w:val="sr-Latn-ME"/>
        </w:rPr>
        <w:t>ove</w:t>
      </w:r>
      <w:r w:rsidRPr="009057DB">
        <w:rPr>
          <w:sz w:val="22"/>
          <w:szCs w:val="22"/>
          <w:lang w:val="sr-Latn-ME"/>
        </w:rPr>
        <w:t xml:space="preserve"> tromboze. Slično ovome, pacijent</w:t>
      </w:r>
      <w:r w:rsidR="00330FD7" w:rsidRPr="009057DB">
        <w:rPr>
          <w:sz w:val="22"/>
          <w:szCs w:val="22"/>
          <w:lang w:val="sr-Latn-ME"/>
        </w:rPr>
        <w:t>e</w:t>
      </w:r>
      <w:r w:rsidRPr="009057DB">
        <w:rPr>
          <w:sz w:val="22"/>
          <w:szCs w:val="22"/>
          <w:lang w:val="sr-Latn-ME"/>
        </w:rPr>
        <w:t xml:space="preserve"> koji su imali trombozu u periodu od tri sedmice nakon vakcinacije treba ispita</w:t>
      </w:r>
      <w:r w:rsidR="00330FD7" w:rsidRPr="009057DB">
        <w:rPr>
          <w:sz w:val="22"/>
          <w:szCs w:val="22"/>
          <w:lang w:val="sr-Latn-ME"/>
        </w:rPr>
        <w:t>t</w:t>
      </w:r>
      <w:r w:rsidRPr="009057DB">
        <w:rPr>
          <w:sz w:val="22"/>
          <w:szCs w:val="22"/>
          <w:lang w:val="sr-Latn-ME"/>
        </w:rPr>
        <w:t>i na postojanje</w:t>
      </w:r>
      <w:r w:rsidR="00C1123D" w:rsidRPr="009057DB">
        <w:rPr>
          <w:sz w:val="22"/>
          <w:szCs w:val="22"/>
          <w:lang w:val="sr-Latn-ME"/>
        </w:rPr>
        <w:t xml:space="preserve"> trombocitopenije.</w:t>
      </w:r>
    </w:p>
    <w:p w14:paraId="397D585E" w14:textId="77B9849E" w:rsidR="00E902BA" w:rsidRPr="009057DB" w:rsidRDefault="00E902BA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8B3D7E1" w14:textId="5C702EA1" w:rsidR="00E902BA" w:rsidRPr="009057DB" w:rsidRDefault="00E902BA" w:rsidP="00376088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9057DB">
        <w:rPr>
          <w:i/>
          <w:sz w:val="22"/>
          <w:szCs w:val="22"/>
          <w:lang w:val="sr-Latn-ME"/>
        </w:rPr>
        <w:t>Rizik od krvar</w:t>
      </w:r>
      <w:r w:rsidR="00027364" w:rsidRPr="009057DB">
        <w:rPr>
          <w:i/>
          <w:sz w:val="22"/>
          <w:szCs w:val="22"/>
          <w:lang w:val="sr-Latn-ME"/>
        </w:rPr>
        <w:t>e</w:t>
      </w:r>
      <w:r w:rsidRPr="009057DB">
        <w:rPr>
          <w:i/>
          <w:sz w:val="22"/>
          <w:szCs w:val="22"/>
          <w:lang w:val="sr-Latn-ME"/>
        </w:rPr>
        <w:t>nj</w:t>
      </w:r>
      <w:r w:rsidR="00027364" w:rsidRPr="009057DB">
        <w:rPr>
          <w:i/>
          <w:sz w:val="22"/>
          <w:szCs w:val="22"/>
          <w:lang w:val="sr-Latn-ME"/>
        </w:rPr>
        <w:t>a</w:t>
      </w:r>
      <w:r w:rsidRPr="009057DB">
        <w:rPr>
          <w:i/>
          <w:sz w:val="22"/>
          <w:szCs w:val="22"/>
          <w:lang w:val="sr-Latn-ME"/>
        </w:rPr>
        <w:t xml:space="preserve"> kod intramuskularne prim</w:t>
      </w:r>
      <w:r w:rsidR="00AF7F2A" w:rsidRPr="009057DB">
        <w:rPr>
          <w:i/>
          <w:sz w:val="22"/>
          <w:szCs w:val="22"/>
          <w:lang w:val="sr-Latn-ME"/>
        </w:rPr>
        <w:t>j</w:t>
      </w:r>
      <w:r w:rsidRPr="009057DB">
        <w:rPr>
          <w:i/>
          <w:sz w:val="22"/>
          <w:szCs w:val="22"/>
          <w:lang w:val="sr-Latn-ME"/>
        </w:rPr>
        <w:t>ene</w:t>
      </w:r>
    </w:p>
    <w:p w14:paraId="7D015B85" w14:textId="77777777" w:rsidR="00E902BA" w:rsidRPr="009057DB" w:rsidRDefault="00E902BA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41BFFA1" w14:textId="7F8DC667" w:rsidR="00752219" w:rsidRPr="009057DB" w:rsidRDefault="00752219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lastRenderedPageBreak/>
        <w:t xml:space="preserve">Kao i kod drugih </w:t>
      </w:r>
      <w:r w:rsidR="0069044E" w:rsidRPr="009057DB">
        <w:rPr>
          <w:sz w:val="22"/>
          <w:szCs w:val="22"/>
          <w:lang w:val="sr-Latn-ME"/>
        </w:rPr>
        <w:t xml:space="preserve">vakcina za </w:t>
      </w:r>
      <w:r w:rsidRPr="009057DB">
        <w:rPr>
          <w:sz w:val="22"/>
          <w:szCs w:val="22"/>
          <w:lang w:val="sr-Latn-ME"/>
        </w:rPr>
        <w:t>intramuskularn</w:t>
      </w:r>
      <w:r w:rsidR="0069044E" w:rsidRPr="009057DB">
        <w:rPr>
          <w:sz w:val="22"/>
          <w:szCs w:val="22"/>
          <w:lang w:val="sr-Latn-ME"/>
        </w:rPr>
        <w:t>u</w:t>
      </w:r>
      <w:r w:rsidR="00197C69" w:rsidRPr="009057DB">
        <w:rPr>
          <w:sz w:val="22"/>
          <w:szCs w:val="22"/>
          <w:lang w:val="sr-Latn-ME"/>
        </w:rPr>
        <w:t xml:space="preserve"> </w:t>
      </w:r>
      <w:r w:rsidR="0069044E" w:rsidRPr="009057DB">
        <w:rPr>
          <w:sz w:val="22"/>
          <w:szCs w:val="22"/>
          <w:lang w:val="sr-Latn-ME"/>
        </w:rPr>
        <w:t>primjenu</w:t>
      </w:r>
      <w:r w:rsidRPr="009057DB">
        <w:rPr>
          <w:sz w:val="22"/>
          <w:szCs w:val="22"/>
          <w:lang w:val="sr-Latn-ME"/>
        </w:rPr>
        <w:t xml:space="preserve">, </w:t>
      </w:r>
      <w:r w:rsidR="002203D8" w:rsidRPr="009057DB">
        <w:rPr>
          <w:sz w:val="22"/>
          <w:szCs w:val="22"/>
          <w:lang w:val="sr-Latn-ME"/>
        </w:rPr>
        <w:t xml:space="preserve">ovu </w:t>
      </w:r>
      <w:r w:rsidRPr="009057DB">
        <w:rPr>
          <w:sz w:val="22"/>
          <w:szCs w:val="22"/>
          <w:lang w:val="sr-Latn-ME"/>
        </w:rPr>
        <w:t>vakcinu treba davati sa oprezom kod osoba koje primaju antikoagula</w:t>
      </w:r>
      <w:r w:rsidR="00197C69" w:rsidRPr="009057DB">
        <w:rPr>
          <w:sz w:val="22"/>
          <w:szCs w:val="22"/>
          <w:lang w:val="sr-Latn-ME"/>
        </w:rPr>
        <w:t>n</w:t>
      </w:r>
      <w:r w:rsidRPr="009057DB">
        <w:rPr>
          <w:sz w:val="22"/>
          <w:szCs w:val="22"/>
          <w:lang w:val="sr-Latn-ME"/>
        </w:rPr>
        <w:t xml:space="preserve">tnu terapiju ili kod onih sa trombocitopenijom ili bilo kojim poremećajem koagulacije (kao što je hemofilija), jer kod </w:t>
      </w:r>
      <w:r w:rsidR="00823E0C" w:rsidRPr="009057DB">
        <w:rPr>
          <w:sz w:val="22"/>
          <w:szCs w:val="22"/>
          <w:lang w:val="sr-Latn-ME"/>
        </w:rPr>
        <w:t>t</w:t>
      </w:r>
      <w:r w:rsidRPr="009057DB">
        <w:rPr>
          <w:sz w:val="22"/>
          <w:szCs w:val="22"/>
          <w:lang w:val="sr-Latn-ME"/>
        </w:rPr>
        <w:t xml:space="preserve">ih osoba može </w:t>
      </w:r>
      <w:r w:rsidR="00823E0C" w:rsidRPr="009057DB">
        <w:rPr>
          <w:sz w:val="22"/>
          <w:szCs w:val="22"/>
          <w:lang w:val="sr-Latn-ME"/>
        </w:rPr>
        <w:t xml:space="preserve">doći do </w:t>
      </w:r>
      <w:r w:rsidRPr="009057DB">
        <w:rPr>
          <w:sz w:val="22"/>
          <w:szCs w:val="22"/>
          <w:lang w:val="sr-Latn-ME"/>
        </w:rPr>
        <w:t>krvarenj</w:t>
      </w:r>
      <w:r w:rsidR="00823E0C" w:rsidRPr="009057DB">
        <w:rPr>
          <w:sz w:val="22"/>
          <w:szCs w:val="22"/>
          <w:lang w:val="sr-Latn-ME"/>
        </w:rPr>
        <w:t>a</w:t>
      </w:r>
      <w:r w:rsidRPr="009057DB">
        <w:rPr>
          <w:sz w:val="22"/>
          <w:szCs w:val="22"/>
          <w:lang w:val="sr-Latn-ME"/>
        </w:rPr>
        <w:t xml:space="preserve"> ili </w:t>
      </w:r>
      <w:r w:rsidR="00823E0C" w:rsidRPr="009057DB">
        <w:rPr>
          <w:sz w:val="22"/>
          <w:szCs w:val="22"/>
          <w:lang w:val="sr-Latn-ME"/>
        </w:rPr>
        <w:t xml:space="preserve">pojave </w:t>
      </w:r>
      <w:r w:rsidRPr="009057DB">
        <w:rPr>
          <w:sz w:val="22"/>
          <w:szCs w:val="22"/>
          <w:lang w:val="sr-Latn-ME"/>
        </w:rPr>
        <w:t>modrica</w:t>
      </w:r>
      <w:r w:rsidR="00823E0C" w:rsidRPr="009057DB">
        <w:rPr>
          <w:sz w:val="22"/>
          <w:szCs w:val="22"/>
          <w:lang w:val="sr-Latn-ME"/>
        </w:rPr>
        <w:t xml:space="preserve"> nakon intramuskularne primjene</w:t>
      </w:r>
      <w:r w:rsidRPr="009057DB">
        <w:rPr>
          <w:sz w:val="22"/>
          <w:szCs w:val="22"/>
          <w:lang w:val="sr-Latn-ME"/>
        </w:rPr>
        <w:t xml:space="preserve">. </w:t>
      </w:r>
    </w:p>
    <w:p w14:paraId="412A632F" w14:textId="77777777" w:rsidR="00752219" w:rsidRPr="009057DB" w:rsidRDefault="00752219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67709AE" w14:textId="77777777" w:rsidR="0060028A" w:rsidRPr="009057DB" w:rsidRDefault="0060028A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9057DB">
        <w:rPr>
          <w:sz w:val="22"/>
          <w:szCs w:val="22"/>
          <w:u w:val="single"/>
          <w:lang w:val="sr-Latn-ME"/>
        </w:rPr>
        <w:t>Sindrom kapilarnog curenja</w:t>
      </w:r>
    </w:p>
    <w:p w14:paraId="2FBB3B1E" w14:textId="77777777" w:rsidR="0060028A" w:rsidRPr="009057DB" w:rsidRDefault="0060028A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9057DB">
        <w:rPr>
          <w:sz w:val="22"/>
          <w:szCs w:val="22"/>
          <w:u w:val="single"/>
          <w:lang w:val="sr-Latn-ME"/>
        </w:rPr>
        <w:t xml:space="preserve"> </w:t>
      </w:r>
    </w:p>
    <w:p w14:paraId="30D845CC" w14:textId="3AB5D137" w:rsidR="0060028A" w:rsidRPr="009057DB" w:rsidRDefault="0060028A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 xml:space="preserve">Prijavljeni su vrlo rijetki slučajevi sindroma kapilarnog curenja (engl. </w:t>
      </w:r>
      <w:r w:rsidRPr="009057DB">
        <w:rPr>
          <w:i/>
          <w:iCs/>
          <w:sz w:val="22"/>
          <w:szCs w:val="22"/>
          <w:lang w:val="sr-Latn-ME"/>
        </w:rPr>
        <w:t>capillary leak syndrome</w:t>
      </w:r>
      <w:r w:rsidRPr="009057DB">
        <w:rPr>
          <w:sz w:val="22"/>
          <w:szCs w:val="22"/>
          <w:lang w:val="sr-Latn-ME"/>
        </w:rPr>
        <w:t>, CLS) tokom prvih nekoliko dana nakon vakcinacije vakcinom</w:t>
      </w:r>
      <w:r w:rsidR="008448EC" w:rsidRPr="009057DB">
        <w:rPr>
          <w:sz w:val="22"/>
          <w:szCs w:val="22"/>
          <w:lang w:val="sr-Latn-ME"/>
        </w:rPr>
        <w:t xml:space="preserve"> </w:t>
      </w:r>
      <w:r w:rsidR="005F2E5E" w:rsidRPr="009057DB">
        <w:rPr>
          <w:color w:val="000000"/>
          <w:sz w:val="22"/>
          <w:szCs w:val="22"/>
          <w:shd w:val="clear" w:color="auto" w:fill="FFFFFF"/>
          <w:lang w:val="sr-Latn-ME"/>
        </w:rPr>
        <w:t>Vaxzevria</w:t>
      </w:r>
      <w:r w:rsidR="005F2E5E" w:rsidRPr="009057DB">
        <w:rPr>
          <w:sz w:val="22"/>
          <w:szCs w:val="22"/>
          <w:lang w:val="sr-Latn-ME"/>
        </w:rPr>
        <w:t>.</w:t>
      </w:r>
      <w:r w:rsidRPr="009057DB">
        <w:rPr>
          <w:sz w:val="22"/>
          <w:szCs w:val="22"/>
          <w:lang w:val="sr-Latn-ME"/>
        </w:rPr>
        <w:t xml:space="preserve"> Kod nekih vakcinisanih osoba postojala je anamneza CLS-a. Prijavljen je i smrtni ishod. CLS je rijedak poremećaj koji karakterišu akutne epizode edema koji uglavnom zahvata udove, hipotenzija, hemokoncentracija i hipoalbuminemija. Osobe s akutnom epizodom CLS-a nakon vakcinacije potrebno je odmah prepoznati i liječiti. Obično je potrebna intenzivna suportivna terapija. Osobe sa poznatom anamnezom CLS-a ne smiju se vakcinisati ovom vakcinom</w:t>
      </w:r>
      <w:r w:rsidR="00B8415C" w:rsidRPr="009057DB">
        <w:rPr>
          <w:sz w:val="22"/>
          <w:szCs w:val="22"/>
          <w:lang w:val="sr-Latn-ME"/>
        </w:rPr>
        <w:t xml:space="preserve"> (v</w:t>
      </w:r>
      <w:r w:rsidRPr="009057DB">
        <w:rPr>
          <w:sz w:val="22"/>
          <w:szCs w:val="22"/>
          <w:lang w:val="sr-Latn-ME"/>
        </w:rPr>
        <w:t xml:space="preserve">idjeti </w:t>
      </w:r>
      <w:r w:rsidR="00B8415C" w:rsidRPr="009057DB">
        <w:rPr>
          <w:sz w:val="22"/>
          <w:szCs w:val="22"/>
          <w:lang w:val="sr-Latn-ME"/>
        </w:rPr>
        <w:t xml:space="preserve">dio </w:t>
      </w:r>
      <w:r w:rsidRPr="009057DB">
        <w:rPr>
          <w:sz w:val="22"/>
          <w:szCs w:val="22"/>
          <w:lang w:val="sr-Latn-ME"/>
        </w:rPr>
        <w:t>4.3</w:t>
      </w:r>
      <w:r w:rsidR="00B8415C" w:rsidRPr="009057DB">
        <w:rPr>
          <w:sz w:val="22"/>
          <w:szCs w:val="22"/>
          <w:lang w:val="sr-Latn-ME"/>
        </w:rPr>
        <w:t>)</w:t>
      </w:r>
      <w:r w:rsidRPr="009057DB">
        <w:rPr>
          <w:sz w:val="22"/>
          <w:szCs w:val="22"/>
          <w:lang w:val="sr-Latn-ME"/>
        </w:rPr>
        <w:t>.</w:t>
      </w:r>
    </w:p>
    <w:p w14:paraId="4DF381BB" w14:textId="11C4D0DB" w:rsidR="0026638C" w:rsidRPr="009057DB" w:rsidRDefault="0026638C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A0371C8" w14:textId="7AD5F56A" w:rsidR="0060028A" w:rsidRPr="009057DB" w:rsidRDefault="0073320C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9057DB">
        <w:rPr>
          <w:sz w:val="22"/>
          <w:szCs w:val="22"/>
          <w:u w:val="single"/>
          <w:lang w:val="sr-Latn-ME"/>
        </w:rPr>
        <w:t>Neurološki događaji</w:t>
      </w:r>
    </w:p>
    <w:p w14:paraId="5651092E" w14:textId="6C27FEBF" w:rsidR="0026638C" w:rsidRPr="009057DB" w:rsidRDefault="0026638C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Prijavljeni su veoma r</w:t>
      </w:r>
      <w:r w:rsidR="00A6230B" w:rsidRPr="009057DB">
        <w:rPr>
          <w:sz w:val="22"/>
          <w:szCs w:val="22"/>
          <w:lang w:val="sr-Latn-ME"/>
        </w:rPr>
        <w:t>ij</w:t>
      </w:r>
      <w:r w:rsidRPr="009057DB">
        <w:rPr>
          <w:sz w:val="22"/>
          <w:szCs w:val="22"/>
          <w:lang w:val="sr-Latn-ME"/>
        </w:rPr>
        <w:t xml:space="preserve">etki slučajevi </w:t>
      </w:r>
      <w:r w:rsidRPr="009057DB">
        <w:rPr>
          <w:i/>
          <w:sz w:val="22"/>
          <w:szCs w:val="22"/>
          <w:lang w:val="sr-Latn-ME"/>
        </w:rPr>
        <w:t>Guillain-Barré</w:t>
      </w:r>
      <w:r w:rsidR="00A6230B" w:rsidRPr="009057DB">
        <w:rPr>
          <w:sz w:val="22"/>
          <w:szCs w:val="22"/>
          <w:lang w:val="sr-Latn-ME"/>
        </w:rPr>
        <w:t>-</w:t>
      </w:r>
      <w:r w:rsidRPr="009057DB">
        <w:rPr>
          <w:sz w:val="22"/>
          <w:szCs w:val="22"/>
          <w:lang w:val="sr-Latn-ME"/>
        </w:rPr>
        <w:t xml:space="preserve">ovog sindroma (engl. </w:t>
      </w:r>
      <w:r w:rsidRPr="009057DB">
        <w:rPr>
          <w:i/>
          <w:iCs/>
          <w:sz w:val="22"/>
          <w:szCs w:val="22"/>
          <w:lang w:val="sr-Latn-ME"/>
        </w:rPr>
        <w:t>Guillain-Barré syndrome</w:t>
      </w:r>
      <w:r w:rsidRPr="009057DB">
        <w:rPr>
          <w:sz w:val="22"/>
          <w:szCs w:val="22"/>
          <w:lang w:val="sr-Latn-ME"/>
        </w:rPr>
        <w:t>,</w:t>
      </w:r>
      <w:r w:rsidR="00A6230B" w:rsidRPr="009057DB">
        <w:rPr>
          <w:sz w:val="22"/>
          <w:szCs w:val="22"/>
          <w:lang w:val="sr-Latn-ME"/>
        </w:rPr>
        <w:t xml:space="preserve"> </w:t>
      </w:r>
      <w:r w:rsidRPr="009057DB">
        <w:rPr>
          <w:sz w:val="22"/>
          <w:szCs w:val="22"/>
          <w:lang w:val="sr-Latn-ME"/>
        </w:rPr>
        <w:t xml:space="preserve">GBS) </w:t>
      </w:r>
      <w:r w:rsidR="00C9378A" w:rsidRPr="009057DB">
        <w:rPr>
          <w:rFonts w:eastAsia="Calibri"/>
          <w:sz w:val="22"/>
          <w:szCs w:val="22"/>
          <w:lang w:val="sr-Latn-ME"/>
        </w:rPr>
        <w:t xml:space="preserve">i </w:t>
      </w:r>
      <w:r w:rsidR="00B40D03" w:rsidRPr="009057DB">
        <w:rPr>
          <w:noProof/>
          <w:sz w:val="22"/>
          <w:szCs w:val="22"/>
          <w:lang w:val="sr-Latn-ME"/>
        </w:rPr>
        <w:t xml:space="preserve">transverzalnog </w:t>
      </w:r>
      <w:r w:rsidR="00C9378A" w:rsidRPr="009057DB">
        <w:rPr>
          <w:noProof/>
          <w:sz w:val="22"/>
          <w:szCs w:val="22"/>
          <w:lang w:val="sr-Latn-ME"/>
        </w:rPr>
        <w:t>mijelitis</w:t>
      </w:r>
      <w:r w:rsidR="00B40D03" w:rsidRPr="009057DB">
        <w:rPr>
          <w:noProof/>
          <w:sz w:val="22"/>
          <w:szCs w:val="22"/>
          <w:lang w:val="sr-Latn-ME"/>
        </w:rPr>
        <w:t>a</w:t>
      </w:r>
      <w:r w:rsidR="00C9378A" w:rsidRPr="009057DB">
        <w:rPr>
          <w:rFonts w:eastAsia="Calibri"/>
          <w:sz w:val="22"/>
          <w:szCs w:val="22"/>
          <w:lang w:val="sr-Latn-ME"/>
        </w:rPr>
        <w:t xml:space="preserve"> (</w:t>
      </w:r>
      <w:r w:rsidR="00B40D03" w:rsidRPr="009057DB">
        <w:rPr>
          <w:rFonts w:eastAsia="Calibri"/>
          <w:sz w:val="22"/>
          <w:szCs w:val="22"/>
          <w:lang w:val="sr-Latn-ME"/>
        </w:rPr>
        <w:t xml:space="preserve">engl. </w:t>
      </w:r>
      <w:r w:rsidR="00C9378A" w:rsidRPr="009057DB">
        <w:rPr>
          <w:i/>
          <w:sz w:val="22"/>
          <w:szCs w:val="22"/>
          <w:lang w:val="sr-Latn-ME"/>
        </w:rPr>
        <w:t>transverse myelitis</w:t>
      </w:r>
      <w:r w:rsidR="00C9378A" w:rsidRPr="009057DB">
        <w:rPr>
          <w:sz w:val="22"/>
          <w:szCs w:val="22"/>
          <w:lang w:val="sr-Latn-ME"/>
        </w:rPr>
        <w:t xml:space="preserve"> (TM))</w:t>
      </w:r>
      <w:r w:rsidR="00C9378A" w:rsidRPr="009057DB">
        <w:rPr>
          <w:rFonts w:eastAsia="Calibri"/>
          <w:sz w:val="22"/>
          <w:szCs w:val="22"/>
          <w:lang w:val="sr-Latn-ME"/>
        </w:rPr>
        <w:t xml:space="preserve"> </w:t>
      </w:r>
      <w:r w:rsidRPr="009057DB">
        <w:rPr>
          <w:sz w:val="22"/>
          <w:szCs w:val="22"/>
          <w:lang w:val="sr-Latn-ME"/>
        </w:rPr>
        <w:t>nakon vakcinacije vakcinom</w:t>
      </w:r>
      <w:r w:rsidR="005F2E5E" w:rsidRPr="009057DB">
        <w:rPr>
          <w:sz w:val="22"/>
          <w:szCs w:val="22"/>
          <w:lang w:val="sr-Latn-ME"/>
        </w:rPr>
        <w:t xml:space="preserve"> </w:t>
      </w:r>
      <w:r w:rsidR="005F2E5E" w:rsidRPr="009057DB">
        <w:rPr>
          <w:color w:val="000000"/>
          <w:sz w:val="22"/>
          <w:szCs w:val="22"/>
          <w:shd w:val="clear" w:color="auto" w:fill="FFFFFF"/>
          <w:lang w:val="sr-Latn-ME"/>
        </w:rPr>
        <w:t>Vaxzevria</w:t>
      </w:r>
      <w:r w:rsidRPr="009057DB">
        <w:rPr>
          <w:sz w:val="22"/>
          <w:szCs w:val="22"/>
          <w:lang w:val="sr-Latn-ME"/>
        </w:rPr>
        <w:t xml:space="preserve">. Zdravstveni radnici treba </w:t>
      </w:r>
      <w:r w:rsidR="00A6230B" w:rsidRPr="009057DB">
        <w:rPr>
          <w:sz w:val="22"/>
          <w:szCs w:val="22"/>
          <w:lang w:val="sr-Latn-ME"/>
        </w:rPr>
        <w:t>da budu</w:t>
      </w:r>
      <w:r w:rsidRPr="009057DB">
        <w:rPr>
          <w:sz w:val="22"/>
          <w:szCs w:val="22"/>
          <w:lang w:val="sr-Latn-ME"/>
        </w:rPr>
        <w:t xml:space="preserve"> svjesni znakova i simptoma GBS-a </w:t>
      </w:r>
      <w:r w:rsidR="00C9378A" w:rsidRPr="009057DB">
        <w:rPr>
          <w:sz w:val="22"/>
          <w:szCs w:val="22"/>
          <w:lang w:val="sr-Latn-ME"/>
        </w:rPr>
        <w:t xml:space="preserve">i TM-a </w:t>
      </w:r>
      <w:r w:rsidRPr="009057DB">
        <w:rPr>
          <w:sz w:val="22"/>
          <w:szCs w:val="22"/>
          <w:lang w:val="sr-Latn-ME"/>
        </w:rPr>
        <w:t>kako bi osigurali ispravnu dijagnozu i započeli odgovarajuću suportivnu medicinsku brigu i liječenje i isključili druge uzroke.</w:t>
      </w:r>
    </w:p>
    <w:p w14:paraId="5E52ECCD" w14:textId="47C9897C" w:rsidR="0026638C" w:rsidRPr="009057DB" w:rsidRDefault="0026638C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7885C2C1" w14:textId="65A7327A" w:rsidR="00626359" w:rsidRPr="00E2485A" w:rsidRDefault="00E37005" w:rsidP="00E37005">
      <w:pPr>
        <w:tabs>
          <w:tab w:val="left" w:pos="284"/>
        </w:tabs>
        <w:spacing w:line="276" w:lineRule="auto"/>
        <w:jc w:val="both"/>
        <w:rPr>
          <w:rFonts w:eastAsia="Calibri"/>
          <w:sz w:val="22"/>
          <w:szCs w:val="22"/>
          <w:u w:val="single"/>
          <w:lang w:val="sr-Latn-RS"/>
        </w:rPr>
      </w:pPr>
      <w:r w:rsidRPr="00E2485A">
        <w:rPr>
          <w:rFonts w:eastAsia="Calibri"/>
          <w:sz w:val="22"/>
          <w:szCs w:val="22"/>
          <w:u w:val="single"/>
          <w:lang w:val="sr-Latn-RS"/>
        </w:rPr>
        <w:t>Rizik od veoma rijetkih događaja nakon dopunske doze (booster doze)</w:t>
      </w:r>
    </w:p>
    <w:p w14:paraId="19AC2A4C" w14:textId="315F8705" w:rsidR="00E37005" w:rsidRDefault="00E37005" w:rsidP="00E37005">
      <w:pPr>
        <w:tabs>
          <w:tab w:val="left" w:pos="284"/>
        </w:tabs>
        <w:jc w:val="both"/>
        <w:rPr>
          <w:rFonts w:eastAsia="Calibri"/>
          <w:sz w:val="22"/>
          <w:szCs w:val="22"/>
          <w:lang w:val="sr-Latn-RS"/>
        </w:rPr>
      </w:pPr>
      <w:r w:rsidRPr="009057DB">
        <w:rPr>
          <w:rFonts w:eastAsia="Calibri"/>
          <w:sz w:val="22"/>
          <w:szCs w:val="22"/>
          <w:lang w:val="sr-Latn-RS"/>
        </w:rPr>
        <w:t xml:space="preserve">Rizik od veoma rijetkih događaja (kao što su poremećaji koagulacije uključujući trombozu sa sindromom trombocitopenije, CLS, GBS i TM) nakon </w:t>
      </w:r>
      <w:r w:rsidR="00E0734F">
        <w:rPr>
          <w:rFonts w:eastAsia="Calibri"/>
          <w:sz w:val="22"/>
          <w:szCs w:val="22"/>
          <w:lang w:val="sr-Latn-RS"/>
        </w:rPr>
        <w:t xml:space="preserve">primjene </w:t>
      </w:r>
      <w:r w:rsidRPr="009057DB">
        <w:rPr>
          <w:rFonts w:eastAsia="Calibri"/>
          <w:sz w:val="22"/>
          <w:szCs w:val="22"/>
          <w:lang w:val="sr-Latn-RS"/>
        </w:rPr>
        <w:t xml:space="preserve">dopunske doze vakcinom Vaxzevria još uvijek nije </w:t>
      </w:r>
      <w:r w:rsidR="00626359">
        <w:rPr>
          <w:rFonts w:eastAsia="Calibri"/>
          <w:sz w:val="22"/>
          <w:szCs w:val="22"/>
          <w:lang w:val="sr-Latn-RS"/>
        </w:rPr>
        <w:t>okarakterisana.</w:t>
      </w:r>
    </w:p>
    <w:p w14:paraId="3DD80DAE" w14:textId="77777777" w:rsidR="00626359" w:rsidRPr="009057DB" w:rsidRDefault="00626359" w:rsidP="00E37005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122BD58C" w14:textId="5A1F1D45" w:rsidR="00752219" w:rsidRPr="009057DB" w:rsidRDefault="00752219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9057DB">
        <w:rPr>
          <w:sz w:val="22"/>
          <w:szCs w:val="22"/>
          <w:u w:val="single"/>
          <w:lang w:val="sr-Latn-ME"/>
        </w:rPr>
        <w:t>Imunokompromitovane osobe</w:t>
      </w:r>
    </w:p>
    <w:p w14:paraId="36AC1CAC" w14:textId="77777777" w:rsidR="00752219" w:rsidRPr="009057DB" w:rsidRDefault="00752219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3D4D0E6" w14:textId="3789AD0D" w:rsidR="00752219" w:rsidRPr="009057DB" w:rsidRDefault="00752219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Efikasnost, bezb</w:t>
      </w:r>
      <w:r w:rsidR="00B174D2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>ednost i imunogenost vakcine ni</w:t>
      </w:r>
      <w:r w:rsidR="00B174D2" w:rsidRPr="009057DB">
        <w:rPr>
          <w:sz w:val="22"/>
          <w:szCs w:val="22"/>
          <w:lang w:val="sr-Latn-ME"/>
        </w:rPr>
        <w:t>je</w:t>
      </w:r>
      <w:r w:rsidRPr="009057DB">
        <w:rPr>
          <w:sz w:val="22"/>
          <w:szCs w:val="22"/>
          <w:lang w:val="sr-Latn-ME"/>
        </w:rPr>
        <w:t xml:space="preserve">su ispitani kod imunokompromitovanih osoba, uključujući one koje primaju imunosupresivnu terapiju. Efikasnost vakcine </w:t>
      </w:r>
      <w:r w:rsidR="005F2E5E" w:rsidRPr="009057DB">
        <w:rPr>
          <w:color w:val="000000"/>
          <w:sz w:val="22"/>
          <w:szCs w:val="22"/>
          <w:shd w:val="clear" w:color="auto" w:fill="FFFFFF"/>
          <w:lang w:val="sr-Latn-ME"/>
        </w:rPr>
        <w:t>Vaxzevria</w:t>
      </w:r>
      <w:r w:rsidR="008448EC" w:rsidRPr="009057DB">
        <w:rPr>
          <w:color w:val="000000"/>
          <w:sz w:val="22"/>
          <w:szCs w:val="22"/>
          <w:shd w:val="clear" w:color="auto" w:fill="FFFFFF"/>
          <w:lang w:val="sr-Latn-ME"/>
        </w:rPr>
        <w:t xml:space="preserve"> </w:t>
      </w:r>
      <w:r w:rsidRPr="009057DB">
        <w:rPr>
          <w:sz w:val="22"/>
          <w:szCs w:val="22"/>
          <w:lang w:val="sr-Latn-ME"/>
        </w:rPr>
        <w:t>mo</w:t>
      </w:r>
      <w:r w:rsidR="00944399" w:rsidRPr="009057DB">
        <w:rPr>
          <w:sz w:val="22"/>
          <w:szCs w:val="22"/>
          <w:lang w:val="sr-Latn-ME"/>
        </w:rPr>
        <w:t>gla bi</w:t>
      </w:r>
      <w:r w:rsidRPr="009057DB">
        <w:rPr>
          <w:sz w:val="22"/>
          <w:szCs w:val="22"/>
          <w:lang w:val="sr-Latn-ME"/>
        </w:rPr>
        <w:t xml:space="preserve"> biti </w:t>
      </w:r>
      <w:r w:rsidR="00566A6F" w:rsidRPr="009057DB">
        <w:rPr>
          <w:sz w:val="22"/>
          <w:szCs w:val="22"/>
          <w:lang w:val="sr-Latn-ME"/>
        </w:rPr>
        <w:t xml:space="preserve">manja </w:t>
      </w:r>
      <w:r w:rsidRPr="009057DB">
        <w:rPr>
          <w:sz w:val="22"/>
          <w:szCs w:val="22"/>
          <w:lang w:val="sr-Latn-ME"/>
        </w:rPr>
        <w:t xml:space="preserve">kod </w:t>
      </w:r>
      <w:r w:rsidR="00197C69" w:rsidRPr="009057DB">
        <w:rPr>
          <w:sz w:val="22"/>
          <w:szCs w:val="22"/>
          <w:lang w:val="sr-Latn-ME"/>
        </w:rPr>
        <w:t xml:space="preserve">imunosuprimiranih </w:t>
      </w:r>
      <w:r w:rsidRPr="009057DB">
        <w:rPr>
          <w:sz w:val="22"/>
          <w:szCs w:val="22"/>
          <w:lang w:val="sr-Latn-ME"/>
        </w:rPr>
        <w:t>osoba.</w:t>
      </w:r>
    </w:p>
    <w:p w14:paraId="165EB5F0" w14:textId="77777777" w:rsidR="00752219" w:rsidRPr="009057DB" w:rsidRDefault="00752219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A767C5F" w14:textId="77777777" w:rsidR="00752219" w:rsidRPr="009057DB" w:rsidRDefault="00752219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9057DB">
        <w:rPr>
          <w:sz w:val="22"/>
          <w:szCs w:val="22"/>
          <w:u w:val="single"/>
          <w:lang w:val="sr-Latn-ME"/>
        </w:rPr>
        <w:t>Trajanje zaštite</w:t>
      </w:r>
    </w:p>
    <w:p w14:paraId="3E8E2D97" w14:textId="77777777" w:rsidR="00752219" w:rsidRPr="009057DB" w:rsidRDefault="00752219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F77D4F7" w14:textId="526ED41C" w:rsidR="00752219" w:rsidRPr="009057DB" w:rsidRDefault="00752219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 xml:space="preserve">Trajanje zaštite </w:t>
      </w:r>
      <w:r w:rsidR="008107B3" w:rsidRPr="009057DB">
        <w:rPr>
          <w:sz w:val="22"/>
          <w:szCs w:val="22"/>
          <w:lang w:val="sr-Latn-ME"/>
        </w:rPr>
        <w:t xml:space="preserve">koju pruža </w:t>
      </w:r>
      <w:r w:rsidRPr="009057DB">
        <w:rPr>
          <w:sz w:val="22"/>
          <w:szCs w:val="22"/>
          <w:lang w:val="sr-Latn-ME"/>
        </w:rPr>
        <w:t xml:space="preserve">vakcina </w:t>
      </w:r>
      <w:r w:rsidR="00BC4EC9" w:rsidRPr="009057DB">
        <w:rPr>
          <w:sz w:val="22"/>
          <w:szCs w:val="22"/>
          <w:lang w:val="sr-Latn-ME"/>
        </w:rPr>
        <w:t>ni</w:t>
      </w:r>
      <w:r w:rsidRPr="009057DB">
        <w:rPr>
          <w:sz w:val="22"/>
          <w:szCs w:val="22"/>
          <w:lang w:val="sr-Latn-ME"/>
        </w:rPr>
        <w:t>je poznat</w:t>
      </w:r>
      <w:r w:rsidR="00197C69" w:rsidRPr="009057DB">
        <w:rPr>
          <w:sz w:val="22"/>
          <w:szCs w:val="22"/>
          <w:lang w:val="sr-Latn-ME"/>
        </w:rPr>
        <w:t>o,</w:t>
      </w:r>
      <w:r w:rsidRPr="009057DB">
        <w:rPr>
          <w:sz w:val="22"/>
          <w:szCs w:val="22"/>
          <w:lang w:val="sr-Latn-ME"/>
        </w:rPr>
        <w:t xml:space="preserve"> </w:t>
      </w:r>
      <w:r w:rsidR="00D17F15" w:rsidRPr="009057DB">
        <w:rPr>
          <w:sz w:val="22"/>
          <w:szCs w:val="22"/>
          <w:lang w:val="sr-Latn-ME"/>
        </w:rPr>
        <w:t xml:space="preserve">jer </w:t>
      </w:r>
      <w:r w:rsidRPr="009057DB">
        <w:rPr>
          <w:sz w:val="22"/>
          <w:szCs w:val="22"/>
          <w:lang w:val="sr-Latn-ME"/>
        </w:rPr>
        <w:t xml:space="preserve">se </w:t>
      </w:r>
      <w:r w:rsidR="00D17F15" w:rsidRPr="009057DB">
        <w:rPr>
          <w:sz w:val="22"/>
          <w:szCs w:val="22"/>
          <w:lang w:val="sr-Latn-ME"/>
        </w:rPr>
        <w:t>još</w:t>
      </w:r>
      <w:r w:rsidRPr="009057DB">
        <w:rPr>
          <w:sz w:val="22"/>
          <w:szCs w:val="22"/>
          <w:lang w:val="sr-Latn-ME"/>
        </w:rPr>
        <w:t xml:space="preserve"> utvrđuje </w:t>
      </w:r>
      <w:r w:rsidR="00197C69" w:rsidRPr="009057DB">
        <w:rPr>
          <w:sz w:val="22"/>
          <w:szCs w:val="22"/>
          <w:lang w:val="sr-Latn-ME"/>
        </w:rPr>
        <w:t xml:space="preserve">u </w:t>
      </w:r>
      <w:r w:rsidRPr="009057DB">
        <w:rPr>
          <w:sz w:val="22"/>
          <w:szCs w:val="22"/>
          <w:lang w:val="sr-Latn-ME"/>
        </w:rPr>
        <w:t xml:space="preserve">kliničkim </w:t>
      </w:r>
      <w:r w:rsidR="00E37005" w:rsidRPr="009057DB">
        <w:rPr>
          <w:sz w:val="22"/>
          <w:szCs w:val="22"/>
          <w:lang w:val="sr-Latn-ME"/>
        </w:rPr>
        <w:t>ispitivanjima</w:t>
      </w:r>
      <w:r w:rsidRPr="009057DB">
        <w:rPr>
          <w:sz w:val="22"/>
          <w:szCs w:val="22"/>
          <w:lang w:val="sr-Latn-ME"/>
        </w:rPr>
        <w:t xml:space="preserve"> koje su u toku. </w:t>
      </w:r>
    </w:p>
    <w:p w14:paraId="63320323" w14:textId="77777777" w:rsidR="00752219" w:rsidRPr="009057DB" w:rsidRDefault="00752219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0AF35DA" w14:textId="3068EE74" w:rsidR="00752219" w:rsidRPr="009057DB" w:rsidRDefault="00752219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9057DB">
        <w:rPr>
          <w:sz w:val="22"/>
          <w:szCs w:val="22"/>
          <w:u w:val="single"/>
          <w:lang w:val="sr-Latn-ME"/>
        </w:rPr>
        <w:t xml:space="preserve">Ograničenja </w:t>
      </w:r>
      <w:r w:rsidR="00F933AF" w:rsidRPr="009057DB">
        <w:rPr>
          <w:sz w:val="22"/>
          <w:szCs w:val="22"/>
          <w:u w:val="single"/>
          <w:lang w:val="sr-Latn-ME"/>
        </w:rPr>
        <w:t xml:space="preserve">efikasnosti </w:t>
      </w:r>
      <w:r w:rsidRPr="009057DB">
        <w:rPr>
          <w:sz w:val="22"/>
          <w:szCs w:val="22"/>
          <w:u w:val="single"/>
          <w:lang w:val="sr-Latn-ME"/>
        </w:rPr>
        <w:t>vakcinacije</w:t>
      </w:r>
    </w:p>
    <w:p w14:paraId="2CB1A165" w14:textId="77777777" w:rsidR="00752219" w:rsidRPr="009057DB" w:rsidRDefault="00752219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3589782F" w14:textId="11A782D3" w:rsidR="00752219" w:rsidRPr="009057DB" w:rsidRDefault="00752219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Nakon prim</w:t>
      </w:r>
      <w:r w:rsidR="00204E44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>ene prve doze vakcin</w:t>
      </w:r>
      <w:r w:rsidR="005F2E5E" w:rsidRPr="009057DB">
        <w:rPr>
          <w:sz w:val="22"/>
          <w:szCs w:val="22"/>
          <w:lang w:val="sr-Latn-ME"/>
        </w:rPr>
        <w:t xml:space="preserve">e </w:t>
      </w:r>
      <w:r w:rsidR="005F2E5E" w:rsidRPr="009057DB">
        <w:rPr>
          <w:color w:val="000000"/>
          <w:sz w:val="22"/>
          <w:szCs w:val="22"/>
          <w:shd w:val="clear" w:color="auto" w:fill="FFFFFF"/>
          <w:lang w:val="sr-Latn-ME"/>
        </w:rPr>
        <w:t>Vaxzevria</w:t>
      </w:r>
      <w:r w:rsidRPr="009057DB">
        <w:rPr>
          <w:sz w:val="22"/>
          <w:szCs w:val="22"/>
          <w:lang w:val="sr-Latn-ME"/>
        </w:rPr>
        <w:t>, zaštita se stvara nakon približno 3 ned</w:t>
      </w:r>
      <w:r w:rsidR="00204E44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 xml:space="preserve">elje. Osobe </w:t>
      </w:r>
      <w:r w:rsidR="00F95062" w:rsidRPr="009057DB">
        <w:rPr>
          <w:sz w:val="22"/>
          <w:szCs w:val="22"/>
          <w:lang w:val="sr-Latn-ME"/>
        </w:rPr>
        <w:t xml:space="preserve">možda neće biti </w:t>
      </w:r>
      <w:r w:rsidRPr="009057DB">
        <w:rPr>
          <w:sz w:val="22"/>
          <w:szCs w:val="22"/>
          <w:lang w:val="sr-Latn-ME"/>
        </w:rPr>
        <w:t xml:space="preserve">potpuno zaštićene </w:t>
      </w:r>
      <w:r w:rsidR="00F95062" w:rsidRPr="009057DB">
        <w:rPr>
          <w:sz w:val="22"/>
          <w:szCs w:val="22"/>
          <w:lang w:val="sr-Latn-ME"/>
        </w:rPr>
        <w:t xml:space="preserve">dok ne prođe </w:t>
      </w:r>
      <w:r w:rsidRPr="009057DB">
        <w:rPr>
          <w:sz w:val="22"/>
          <w:szCs w:val="22"/>
          <w:lang w:val="sr-Latn-ME"/>
        </w:rPr>
        <w:t>15 dana od prim</w:t>
      </w:r>
      <w:r w:rsidR="0050560E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 xml:space="preserve">ene druge doze. Kao i kod </w:t>
      </w:r>
      <w:r w:rsidR="002D5DB7" w:rsidRPr="009057DB">
        <w:rPr>
          <w:sz w:val="22"/>
          <w:szCs w:val="22"/>
          <w:lang w:val="sr-Latn-ME"/>
        </w:rPr>
        <w:t>drugih</w:t>
      </w:r>
      <w:r w:rsidR="00F95062" w:rsidRPr="009057DB">
        <w:rPr>
          <w:sz w:val="22"/>
          <w:szCs w:val="22"/>
          <w:lang w:val="sr-Latn-ME"/>
        </w:rPr>
        <w:t xml:space="preserve"> </w:t>
      </w:r>
      <w:r w:rsidRPr="009057DB">
        <w:rPr>
          <w:sz w:val="22"/>
          <w:szCs w:val="22"/>
          <w:lang w:val="sr-Latn-ME"/>
        </w:rPr>
        <w:t xml:space="preserve">vakcina, vakcinisanje vakcinom </w:t>
      </w:r>
      <w:r w:rsidR="005F2E5E" w:rsidRPr="009057DB">
        <w:rPr>
          <w:color w:val="000000"/>
          <w:sz w:val="22"/>
          <w:szCs w:val="22"/>
          <w:shd w:val="clear" w:color="auto" w:fill="FFFFFF"/>
          <w:lang w:val="sr-Latn-ME"/>
        </w:rPr>
        <w:t>Vaxzevria</w:t>
      </w:r>
      <w:r w:rsidR="008448EC" w:rsidRPr="009057DB">
        <w:rPr>
          <w:color w:val="000000"/>
          <w:sz w:val="22"/>
          <w:szCs w:val="22"/>
          <w:shd w:val="clear" w:color="auto" w:fill="FFFFFF"/>
          <w:lang w:val="sr-Latn-ME"/>
        </w:rPr>
        <w:t xml:space="preserve"> </w:t>
      </w:r>
      <w:r w:rsidR="00F95062" w:rsidRPr="009057DB">
        <w:rPr>
          <w:sz w:val="22"/>
          <w:szCs w:val="22"/>
          <w:lang w:val="sr-Latn-ME"/>
        </w:rPr>
        <w:t xml:space="preserve">možda </w:t>
      </w:r>
      <w:r w:rsidRPr="009057DB">
        <w:rPr>
          <w:sz w:val="22"/>
          <w:szCs w:val="22"/>
          <w:lang w:val="sr-Latn-ME"/>
        </w:rPr>
        <w:t xml:space="preserve">neće zaštititi sve </w:t>
      </w:r>
      <w:r w:rsidR="008C21CA" w:rsidRPr="009057DB">
        <w:rPr>
          <w:sz w:val="22"/>
          <w:szCs w:val="22"/>
          <w:lang w:val="sr-Latn-ME"/>
        </w:rPr>
        <w:t xml:space="preserve">vakcinisane </w:t>
      </w:r>
      <w:r w:rsidRPr="009057DB">
        <w:rPr>
          <w:sz w:val="22"/>
          <w:szCs w:val="22"/>
          <w:lang w:val="sr-Latn-ME"/>
        </w:rPr>
        <w:t>osobe (vid</w:t>
      </w:r>
      <w:r w:rsidR="00204E44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>et</w:t>
      </w:r>
      <w:r w:rsidR="00204E44" w:rsidRPr="009057DB">
        <w:rPr>
          <w:sz w:val="22"/>
          <w:szCs w:val="22"/>
          <w:lang w:val="sr-Latn-ME"/>
        </w:rPr>
        <w:t>i</w:t>
      </w:r>
      <w:r w:rsidRPr="009057DB">
        <w:rPr>
          <w:sz w:val="22"/>
          <w:szCs w:val="22"/>
          <w:lang w:val="sr-Latn-ME"/>
        </w:rPr>
        <w:t xml:space="preserve"> </w:t>
      </w:r>
      <w:r w:rsidR="00B47398" w:rsidRPr="009057DB">
        <w:rPr>
          <w:sz w:val="22"/>
          <w:szCs w:val="22"/>
          <w:lang w:val="sr-Latn-ME"/>
        </w:rPr>
        <w:t xml:space="preserve">dio </w:t>
      </w:r>
      <w:r w:rsidRPr="009057DB">
        <w:rPr>
          <w:sz w:val="22"/>
          <w:szCs w:val="22"/>
          <w:lang w:val="sr-Latn-ME"/>
        </w:rPr>
        <w:t>5.1).</w:t>
      </w:r>
    </w:p>
    <w:p w14:paraId="75D46A67" w14:textId="77777777" w:rsidR="00752219" w:rsidRPr="009057DB" w:rsidRDefault="00752219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329FA08" w14:textId="77777777" w:rsidR="00752219" w:rsidRPr="009057DB" w:rsidRDefault="00752219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9057DB">
        <w:rPr>
          <w:sz w:val="22"/>
          <w:szCs w:val="22"/>
          <w:u w:val="single"/>
          <w:lang w:val="sr-Latn-ME"/>
        </w:rPr>
        <w:t>Pomoćne supstance</w:t>
      </w:r>
    </w:p>
    <w:p w14:paraId="5C69ED5B" w14:textId="77777777" w:rsidR="00752219" w:rsidRPr="009057DB" w:rsidRDefault="00752219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66C39DD7" w14:textId="77777777" w:rsidR="00752219" w:rsidRPr="009057DB" w:rsidRDefault="00752219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i/>
          <w:iCs/>
          <w:sz w:val="22"/>
          <w:szCs w:val="22"/>
          <w:lang w:val="sr-Latn-ME"/>
        </w:rPr>
        <w:t>Natrijum</w:t>
      </w:r>
    </w:p>
    <w:p w14:paraId="798B1C84" w14:textId="042D9ACA" w:rsidR="00752219" w:rsidRPr="009057DB" w:rsidRDefault="00752219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 xml:space="preserve">Ova </w:t>
      </w:r>
      <w:r w:rsidR="007A49D4" w:rsidRPr="009057DB">
        <w:rPr>
          <w:sz w:val="22"/>
          <w:szCs w:val="22"/>
          <w:lang w:val="sr-Latn-ME"/>
        </w:rPr>
        <w:t>vakcina</w:t>
      </w:r>
      <w:r w:rsidR="00F95062" w:rsidRPr="009057DB">
        <w:rPr>
          <w:sz w:val="22"/>
          <w:szCs w:val="22"/>
          <w:lang w:val="sr-Latn-ME"/>
        </w:rPr>
        <w:t xml:space="preserve"> </w:t>
      </w:r>
      <w:r w:rsidRPr="009057DB">
        <w:rPr>
          <w:sz w:val="22"/>
          <w:szCs w:val="22"/>
          <w:lang w:val="sr-Latn-ME"/>
        </w:rPr>
        <w:t xml:space="preserve">sadrži manje od 1 mmol natrijuma (23 mg) po dozi od 0,5 </w:t>
      </w:r>
      <w:r w:rsidR="00BA3253" w:rsidRPr="009057DB">
        <w:rPr>
          <w:sz w:val="22"/>
          <w:szCs w:val="22"/>
          <w:lang w:val="sr-Latn-ME"/>
        </w:rPr>
        <w:t>ml</w:t>
      </w:r>
      <w:r w:rsidRPr="009057DB">
        <w:rPr>
          <w:sz w:val="22"/>
          <w:szCs w:val="22"/>
          <w:lang w:val="sr-Latn-ME"/>
        </w:rPr>
        <w:t xml:space="preserve">, </w:t>
      </w:r>
      <w:r w:rsidR="00B873EC" w:rsidRPr="009057DB">
        <w:rPr>
          <w:sz w:val="22"/>
          <w:szCs w:val="22"/>
          <w:lang w:val="sr-Latn-ME"/>
        </w:rPr>
        <w:t xml:space="preserve">tj. </w:t>
      </w:r>
      <w:r w:rsidRPr="009057DB">
        <w:rPr>
          <w:sz w:val="22"/>
          <w:szCs w:val="22"/>
          <w:lang w:val="sr-Latn-ME"/>
        </w:rPr>
        <w:t xml:space="preserve">može </w:t>
      </w:r>
      <w:r w:rsidR="00F95062" w:rsidRPr="009057DB">
        <w:rPr>
          <w:sz w:val="22"/>
          <w:szCs w:val="22"/>
          <w:lang w:val="sr-Latn-ME"/>
        </w:rPr>
        <w:t xml:space="preserve">se </w:t>
      </w:r>
      <w:r w:rsidRPr="009057DB">
        <w:rPr>
          <w:sz w:val="22"/>
          <w:szCs w:val="22"/>
          <w:lang w:val="sr-Latn-ME"/>
        </w:rPr>
        <w:t>reći da je bez natrijuma.</w:t>
      </w:r>
    </w:p>
    <w:p w14:paraId="68D1E4DE" w14:textId="77777777" w:rsidR="00752219" w:rsidRPr="009057DB" w:rsidRDefault="00752219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0989E72" w14:textId="77777777" w:rsidR="00F95062" w:rsidRPr="009057DB" w:rsidRDefault="00F4079D" w:rsidP="00376088">
      <w:pPr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  <w:r w:rsidRPr="009057DB">
        <w:rPr>
          <w:i/>
          <w:iCs/>
          <w:sz w:val="22"/>
          <w:szCs w:val="22"/>
          <w:lang w:val="sr-Latn-ME"/>
        </w:rPr>
        <w:t>Etanol</w:t>
      </w:r>
    </w:p>
    <w:p w14:paraId="35AD4675" w14:textId="4193E743" w:rsidR="00752219" w:rsidRPr="009057DB" w:rsidRDefault="00752219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 xml:space="preserve">Ova </w:t>
      </w:r>
      <w:r w:rsidR="00C20277" w:rsidRPr="009057DB">
        <w:rPr>
          <w:sz w:val="22"/>
          <w:szCs w:val="22"/>
          <w:lang w:val="sr-Latn-ME"/>
        </w:rPr>
        <w:t>vakcina</w:t>
      </w:r>
      <w:r w:rsidR="00F95062" w:rsidRPr="009057DB">
        <w:rPr>
          <w:sz w:val="22"/>
          <w:szCs w:val="22"/>
          <w:lang w:val="sr-Latn-ME"/>
        </w:rPr>
        <w:t xml:space="preserve"> </w:t>
      </w:r>
      <w:r w:rsidRPr="009057DB">
        <w:rPr>
          <w:sz w:val="22"/>
          <w:szCs w:val="22"/>
          <w:lang w:val="sr-Latn-ME"/>
        </w:rPr>
        <w:t>sadrži 2 mg alkohola (etanol</w:t>
      </w:r>
      <w:r w:rsidR="00B8415C" w:rsidRPr="009057DB">
        <w:rPr>
          <w:sz w:val="22"/>
          <w:szCs w:val="22"/>
          <w:lang w:val="sr-Latn-ME"/>
        </w:rPr>
        <w:t>a</w:t>
      </w:r>
      <w:r w:rsidRPr="009057DB">
        <w:rPr>
          <w:sz w:val="22"/>
          <w:szCs w:val="22"/>
          <w:lang w:val="sr-Latn-ME"/>
        </w:rPr>
        <w:t xml:space="preserve">) po dozi od 0,5 </w:t>
      </w:r>
      <w:r w:rsidR="00BA3253" w:rsidRPr="009057DB">
        <w:rPr>
          <w:sz w:val="22"/>
          <w:szCs w:val="22"/>
          <w:lang w:val="sr-Latn-ME"/>
        </w:rPr>
        <w:t>ml</w:t>
      </w:r>
      <w:r w:rsidRPr="009057DB">
        <w:rPr>
          <w:sz w:val="22"/>
          <w:szCs w:val="22"/>
          <w:lang w:val="sr-Latn-ME"/>
        </w:rPr>
        <w:t xml:space="preserve">. </w:t>
      </w:r>
      <w:r w:rsidR="00665EC8" w:rsidRPr="009057DB">
        <w:rPr>
          <w:sz w:val="22"/>
          <w:szCs w:val="22"/>
          <w:lang w:val="sr-Latn-ME"/>
        </w:rPr>
        <w:t>M</w:t>
      </w:r>
      <w:r w:rsidRPr="009057DB">
        <w:rPr>
          <w:sz w:val="22"/>
          <w:szCs w:val="22"/>
          <w:lang w:val="sr-Latn-ME"/>
        </w:rPr>
        <w:t>ala količina alkohola u ovo</w:t>
      </w:r>
      <w:r w:rsidR="0000023F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 xml:space="preserve"> </w:t>
      </w:r>
      <w:r w:rsidR="0000023F" w:rsidRPr="009057DB">
        <w:rPr>
          <w:sz w:val="22"/>
          <w:szCs w:val="22"/>
          <w:lang w:val="sr-Latn-ME"/>
        </w:rPr>
        <w:t>vakcini</w:t>
      </w:r>
      <w:r w:rsidR="00F95062" w:rsidRPr="009057DB">
        <w:rPr>
          <w:sz w:val="22"/>
          <w:szCs w:val="22"/>
          <w:lang w:val="sr-Latn-ME"/>
        </w:rPr>
        <w:t xml:space="preserve"> </w:t>
      </w:r>
      <w:r w:rsidRPr="009057DB">
        <w:rPr>
          <w:sz w:val="22"/>
          <w:szCs w:val="22"/>
          <w:lang w:val="sr-Latn-ME"/>
        </w:rPr>
        <w:t>neće imati bilo kakvih prim</w:t>
      </w:r>
      <w:r w:rsidR="00DA49E9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>etnih efekata.</w:t>
      </w:r>
    </w:p>
    <w:p w14:paraId="1C2062AD" w14:textId="77777777" w:rsidR="00057E35" w:rsidRPr="009057DB" w:rsidRDefault="00057E35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1763A07" w14:textId="77777777" w:rsidR="00411B4B" w:rsidRPr="009057DB" w:rsidRDefault="00411B4B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057DB">
        <w:rPr>
          <w:b/>
          <w:bCs/>
          <w:sz w:val="22"/>
          <w:szCs w:val="22"/>
          <w:lang w:val="sr-Latn-ME"/>
        </w:rPr>
        <w:t>4.5.</w:t>
      </w:r>
      <w:r w:rsidR="000D60CC" w:rsidRPr="009057DB">
        <w:rPr>
          <w:b/>
          <w:bCs/>
          <w:sz w:val="22"/>
          <w:szCs w:val="22"/>
          <w:lang w:val="sr-Latn-ME"/>
        </w:rPr>
        <w:tab/>
      </w:r>
      <w:r w:rsidRPr="009057DB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4F9CD457" w14:textId="63E9D7BC" w:rsidR="0072020E" w:rsidRPr="009057DB" w:rsidRDefault="0072020E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4481766" w14:textId="4E4CE04C" w:rsidR="00147CEA" w:rsidRPr="009057DB" w:rsidRDefault="00147CEA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Nijesu sproveden</w:t>
      </w:r>
      <w:r w:rsidR="00B44B15" w:rsidRPr="009057DB">
        <w:rPr>
          <w:sz w:val="22"/>
          <w:szCs w:val="22"/>
          <w:lang w:val="sr-Latn-ME"/>
        </w:rPr>
        <w:t>a</w:t>
      </w:r>
      <w:r w:rsidRPr="009057DB">
        <w:rPr>
          <w:sz w:val="22"/>
          <w:szCs w:val="22"/>
          <w:lang w:val="sr-Latn-ME"/>
        </w:rPr>
        <w:t xml:space="preserve"> </w:t>
      </w:r>
      <w:r w:rsidR="00AF1875" w:rsidRPr="009057DB">
        <w:rPr>
          <w:sz w:val="22"/>
          <w:szCs w:val="22"/>
          <w:lang w:val="sr-Latn-ME"/>
        </w:rPr>
        <w:t>ispitivanja</w:t>
      </w:r>
      <w:r w:rsidR="00B44B15" w:rsidRPr="009057DB">
        <w:rPr>
          <w:sz w:val="22"/>
          <w:szCs w:val="22"/>
          <w:lang w:val="sr-Latn-ME"/>
        </w:rPr>
        <w:t xml:space="preserve"> </w:t>
      </w:r>
      <w:r w:rsidRPr="009057DB">
        <w:rPr>
          <w:sz w:val="22"/>
          <w:szCs w:val="22"/>
          <w:lang w:val="sr-Latn-ME"/>
        </w:rPr>
        <w:t>interakcija.</w:t>
      </w:r>
    </w:p>
    <w:p w14:paraId="5CB64446" w14:textId="77777777" w:rsidR="00147CEA" w:rsidRPr="009057DB" w:rsidRDefault="00147CEA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7660F50" w14:textId="2B247035" w:rsidR="00147CEA" w:rsidRPr="009057DB" w:rsidRDefault="00147CEA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 xml:space="preserve">Istovremena primjena vakcine </w:t>
      </w:r>
      <w:r w:rsidR="005F2E5E" w:rsidRPr="009057DB">
        <w:rPr>
          <w:color w:val="000000"/>
          <w:sz w:val="22"/>
          <w:szCs w:val="22"/>
          <w:shd w:val="clear" w:color="auto" w:fill="FFFFFF"/>
          <w:lang w:val="sr-Latn-ME"/>
        </w:rPr>
        <w:t>Vaxzevria</w:t>
      </w:r>
      <w:r w:rsidR="008448EC" w:rsidRPr="009057DB">
        <w:rPr>
          <w:color w:val="000000"/>
          <w:sz w:val="22"/>
          <w:szCs w:val="22"/>
          <w:shd w:val="clear" w:color="auto" w:fill="FFFFFF"/>
          <w:lang w:val="sr-Latn-ME"/>
        </w:rPr>
        <w:t xml:space="preserve"> </w:t>
      </w:r>
      <w:r w:rsidRPr="009057DB">
        <w:rPr>
          <w:sz w:val="22"/>
          <w:szCs w:val="22"/>
          <w:lang w:val="sr-Latn-ME"/>
        </w:rPr>
        <w:t>sa drugim vakcinama nije ispitana.</w:t>
      </w:r>
    </w:p>
    <w:p w14:paraId="1D0622A3" w14:textId="77777777" w:rsidR="00147CEA" w:rsidRPr="009057DB" w:rsidRDefault="00147CEA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E8AF77B" w14:textId="77777777" w:rsidR="0072020E" w:rsidRPr="009057DB" w:rsidRDefault="0072020E" w:rsidP="00376088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9057DB">
        <w:rPr>
          <w:b/>
          <w:bCs/>
          <w:sz w:val="22"/>
          <w:szCs w:val="22"/>
          <w:lang w:val="sr-Latn-ME"/>
        </w:rPr>
        <w:t xml:space="preserve">4.6. </w:t>
      </w:r>
      <w:r w:rsidR="00480FB1" w:rsidRPr="009057DB">
        <w:rPr>
          <w:b/>
          <w:bCs/>
          <w:sz w:val="22"/>
          <w:szCs w:val="22"/>
          <w:lang w:val="sr-Latn-ME"/>
        </w:rPr>
        <w:tab/>
      </w:r>
      <w:r w:rsidR="006D20A5" w:rsidRPr="009057DB">
        <w:rPr>
          <w:b/>
          <w:sz w:val="22"/>
          <w:szCs w:val="22"/>
          <w:lang w:val="sr-Latn-ME"/>
        </w:rPr>
        <w:t>Plodnost, trudnoća i dojenje</w:t>
      </w:r>
    </w:p>
    <w:p w14:paraId="4444F669" w14:textId="77777777" w:rsidR="002031B3" w:rsidRPr="009057DB" w:rsidRDefault="002031B3" w:rsidP="0037608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24ADF3FC" w14:textId="77777777" w:rsidR="002031B3" w:rsidRPr="009057DB" w:rsidRDefault="002031B3" w:rsidP="0037608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9057DB">
        <w:rPr>
          <w:sz w:val="22"/>
          <w:szCs w:val="22"/>
          <w:u w:val="single"/>
          <w:lang w:val="sr-Latn-ME"/>
        </w:rPr>
        <w:t>Plodnost</w:t>
      </w:r>
    </w:p>
    <w:p w14:paraId="4075DC38" w14:textId="75DDDE4C" w:rsidR="002031B3" w:rsidRPr="009057DB" w:rsidRDefault="002031B3" w:rsidP="0037608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0362B1DA" w14:textId="1B35DEB1" w:rsidR="00B451E8" w:rsidRPr="009057DB" w:rsidRDefault="00B451E8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 xml:space="preserve">Studije na životinjama ne ukazuju na direktne ili indirektne štetne efekte na </w:t>
      </w:r>
      <w:r w:rsidR="00FB0122" w:rsidRPr="009057DB">
        <w:rPr>
          <w:sz w:val="22"/>
          <w:szCs w:val="22"/>
          <w:lang w:val="sr-Latn-ME"/>
        </w:rPr>
        <w:t>plodnost</w:t>
      </w:r>
      <w:r w:rsidR="00F95062" w:rsidRPr="009057DB">
        <w:rPr>
          <w:sz w:val="22"/>
          <w:szCs w:val="22"/>
          <w:lang w:val="sr-Latn-ME"/>
        </w:rPr>
        <w:t xml:space="preserve"> </w:t>
      </w:r>
      <w:r w:rsidRPr="009057DB">
        <w:rPr>
          <w:sz w:val="22"/>
          <w:szCs w:val="22"/>
          <w:lang w:val="sr-Latn-ME"/>
        </w:rPr>
        <w:t>(vidjet</w:t>
      </w:r>
      <w:r w:rsidR="005126EB" w:rsidRPr="009057DB">
        <w:rPr>
          <w:sz w:val="22"/>
          <w:szCs w:val="22"/>
          <w:lang w:val="sr-Latn-ME"/>
        </w:rPr>
        <w:t>i</w:t>
      </w:r>
      <w:r w:rsidRPr="009057DB">
        <w:rPr>
          <w:sz w:val="22"/>
          <w:szCs w:val="22"/>
          <w:lang w:val="sr-Latn-ME"/>
        </w:rPr>
        <w:t xml:space="preserve"> </w:t>
      </w:r>
      <w:r w:rsidR="0040292B" w:rsidRPr="009057DB">
        <w:rPr>
          <w:sz w:val="22"/>
          <w:szCs w:val="22"/>
          <w:lang w:val="sr-Latn-ME"/>
        </w:rPr>
        <w:t xml:space="preserve">dio </w:t>
      </w:r>
      <w:r w:rsidRPr="009057DB">
        <w:rPr>
          <w:sz w:val="22"/>
          <w:szCs w:val="22"/>
          <w:lang w:val="sr-Latn-ME"/>
        </w:rPr>
        <w:t>5.3)</w:t>
      </w:r>
      <w:r w:rsidR="0040292B" w:rsidRPr="009057DB">
        <w:rPr>
          <w:sz w:val="22"/>
          <w:szCs w:val="22"/>
          <w:lang w:val="sr-Latn-ME"/>
        </w:rPr>
        <w:t>.</w:t>
      </w:r>
    </w:p>
    <w:p w14:paraId="5BA5F4FB" w14:textId="77777777" w:rsidR="00B451E8" w:rsidRPr="009057DB" w:rsidRDefault="00B451E8" w:rsidP="0037608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3DF7E360" w14:textId="77777777" w:rsidR="005F4FAB" w:rsidRPr="009057DB" w:rsidRDefault="005F4FAB" w:rsidP="0037608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2202A6CA" w14:textId="77777777" w:rsidR="005F4FAB" w:rsidRPr="009057DB" w:rsidRDefault="005F4FAB" w:rsidP="0037608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048E29BD" w14:textId="0AFCDEF9" w:rsidR="007A3ECB" w:rsidRPr="009057DB" w:rsidRDefault="007A3ECB" w:rsidP="0037608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9057DB">
        <w:rPr>
          <w:sz w:val="22"/>
          <w:szCs w:val="22"/>
          <w:u w:val="single"/>
          <w:lang w:val="sr-Latn-ME"/>
        </w:rPr>
        <w:t>Trudnoća</w:t>
      </w:r>
    </w:p>
    <w:p w14:paraId="5CE3DF85" w14:textId="55B1F9AB" w:rsidR="002031B3" w:rsidRPr="009057DB" w:rsidRDefault="002031B3" w:rsidP="0037608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2AE7EE94" w14:textId="54699899" w:rsidR="00E15A5E" w:rsidRPr="009057DB" w:rsidRDefault="00E15A5E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Postoje ograničena iskustva sa prim</w:t>
      </w:r>
      <w:r w:rsidR="005126EB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 xml:space="preserve">enom vakcine </w:t>
      </w:r>
      <w:r w:rsidR="005F2E5E" w:rsidRPr="009057DB">
        <w:rPr>
          <w:color w:val="000000"/>
          <w:sz w:val="22"/>
          <w:szCs w:val="22"/>
          <w:shd w:val="clear" w:color="auto" w:fill="FFFFFF"/>
          <w:lang w:val="sr-Latn-ME"/>
        </w:rPr>
        <w:t>Vaxzevria</w:t>
      </w:r>
      <w:r w:rsidR="008448EC" w:rsidRPr="009057DB">
        <w:rPr>
          <w:color w:val="000000"/>
          <w:sz w:val="22"/>
          <w:szCs w:val="22"/>
          <w:shd w:val="clear" w:color="auto" w:fill="FFFFFF"/>
          <w:lang w:val="sr-Latn-ME"/>
        </w:rPr>
        <w:t xml:space="preserve"> </w:t>
      </w:r>
      <w:r w:rsidRPr="009057DB">
        <w:rPr>
          <w:sz w:val="22"/>
          <w:szCs w:val="22"/>
          <w:lang w:val="sr-Latn-ME"/>
        </w:rPr>
        <w:t xml:space="preserve">kod </w:t>
      </w:r>
      <w:r w:rsidR="00A6230B" w:rsidRPr="009057DB">
        <w:rPr>
          <w:sz w:val="22"/>
          <w:szCs w:val="22"/>
          <w:lang w:val="sr-Latn-ME"/>
        </w:rPr>
        <w:t>trudnica</w:t>
      </w:r>
      <w:r w:rsidRPr="009057DB">
        <w:rPr>
          <w:sz w:val="22"/>
          <w:szCs w:val="22"/>
          <w:lang w:val="sr-Latn-ME"/>
        </w:rPr>
        <w:t>.</w:t>
      </w:r>
    </w:p>
    <w:p w14:paraId="1EB87D4F" w14:textId="77777777" w:rsidR="00E15A5E" w:rsidRPr="009057DB" w:rsidRDefault="00E15A5E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DF5F303" w14:textId="0F930126" w:rsidR="00E15A5E" w:rsidRPr="009057DB" w:rsidRDefault="00AF7979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 xml:space="preserve">Studije na životinjama ne ukazuju na direktne ili indirektne </w:t>
      </w:r>
      <w:r w:rsidR="00A6230B" w:rsidRPr="009057DB">
        <w:rPr>
          <w:sz w:val="22"/>
          <w:szCs w:val="22"/>
          <w:lang w:val="sr-Latn-ME"/>
        </w:rPr>
        <w:t xml:space="preserve">štetne </w:t>
      </w:r>
      <w:r w:rsidRPr="009057DB">
        <w:rPr>
          <w:sz w:val="22"/>
          <w:szCs w:val="22"/>
          <w:lang w:val="sr-Latn-ME"/>
        </w:rPr>
        <w:t xml:space="preserve">efekte u trudnoći, na razvoj emriona/fetusa, porođaj ili </w:t>
      </w:r>
      <w:r w:rsidR="00A6230B" w:rsidRPr="009057DB">
        <w:rPr>
          <w:sz w:val="22"/>
          <w:szCs w:val="22"/>
          <w:lang w:val="sr-Latn-ME"/>
        </w:rPr>
        <w:t xml:space="preserve">postnatalni </w:t>
      </w:r>
      <w:r w:rsidRPr="009057DB">
        <w:rPr>
          <w:sz w:val="22"/>
          <w:szCs w:val="22"/>
          <w:lang w:val="sr-Latn-ME"/>
        </w:rPr>
        <w:t xml:space="preserve">razvoj (vidjeti </w:t>
      </w:r>
      <w:r w:rsidR="0040292B" w:rsidRPr="009057DB">
        <w:rPr>
          <w:sz w:val="22"/>
          <w:szCs w:val="22"/>
          <w:lang w:val="sr-Latn-ME"/>
        </w:rPr>
        <w:t xml:space="preserve">dio </w:t>
      </w:r>
      <w:r w:rsidRPr="009057DB">
        <w:rPr>
          <w:sz w:val="22"/>
          <w:szCs w:val="22"/>
          <w:lang w:val="sr-Latn-ME"/>
        </w:rPr>
        <w:t xml:space="preserve">5.3). </w:t>
      </w:r>
    </w:p>
    <w:p w14:paraId="4F7886D1" w14:textId="2D34B1DD" w:rsidR="00E15A5E" w:rsidRPr="009057DB" w:rsidRDefault="00E15A5E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Prim</w:t>
      </w:r>
      <w:r w:rsidR="0097442B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>en</w:t>
      </w:r>
      <w:r w:rsidR="00F95062" w:rsidRPr="009057DB">
        <w:rPr>
          <w:sz w:val="22"/>
          <w:szCs w:val="22"/>
          <w:lang w:val="sr-Latn-ME"/>
        </w:rPr>
        <w:t>u</w:t>
      </w:r>
      <w:r w:rsidRPr="009057DB">
        <w:rPr>
          <w:sz w:val="22"/>
          <w:szCs w:val="22"/>
          <w:lang w:val="sr-Latn-ME"/>
        </w:rPr>
        <w:t xml:space="preserve"> vakcine </w:t>
      </w:r>
      <w:r w:rsidR="005F2E5E" w:rsidRPr="009057DB">
        <w:rPr>
          <w:color w:val="000000"/>
          <w:sz w:val="22"/>
          <w:szCs w:val="22"/>
          <w:shd w:val="clear" w:color="auto" w:fill="FFFFFF"/>
          <w:lang w:val="sr-Latn-ME"/>
        </w:rPr>
        <w:t>Vaxzevria</w:t>
      </w:r>
      <w:r w:rsidR="008448EC" w:rsidRPr="009057DB">
        <w:rPr>
          <w:color w:val="000000"/>
          <w:sz w:val="22"/>
          <w:szCs w:val="22"/>
          <w:shd w:val="clear" w:color="auto" w:fill="FFFFFF"/>
          <w:lang w:val="sr-Latn-ME"/>
        </w:rPr>
        <w:t xml:space="preserve"> </w:t>
      </w:r>
      <w:r w:rsidRPr="009057DB">
        <w:rPr>
          <w:sz w:val="22"/>
          <w:szCs w:val="22"/>
          <w:lang w:val="sr-Latn-ME"/>
        </w:rPr>
        <w:t>tokom trudnoće treba razm</w:t>
      </w:r>
      <w:r w:rsidR="00BA4022" w:rsidRPr="009057DB">
        <w:rPr>
          <w:sz w:val="22"/>
          <w:szCs w:val="22"/>
          <w:lang w:val="sr-Latn-ME"/>
        </w:rPr>
        <w:t>o</w:t>
      </w:r>
      <w:r w:rsidRPr="009057DB">
        <w:rPr>
          <w:sz w:val="22"/>
          <w:szCs w:val="22"/>
          <w:lang w:val="sr-Latn-ME"/>
        </w:rPr>
        <w:t>tr</w:t>
      </w:r>
      <w:r w:rsidR="00BA4022" w:rsidRPr="009057DB">
        <w:rPr>
          <w:sz w:val="22"/>
          <w:szCs w:val="22"/>
          <w:lang w:val="sr-Latn-ME"/>
        </w:rPr>
        <w:t>iti</w:t>
      </w:r>
      <w:r w:rsidRPr="009057DB">
        <w:rPr>
          <w:sz w:val="22"/>
          <w:szCs w:val="22"/>
          <w:lang w:val="sr-Latn-ME"/>
        </w:rPr>
        <w:t xml:space="preserve"> </w:t>
      </w:r>
      <w:r w:rsidR="00DE277A" w:rsidRPr="009057DB">
        <w:rPr>
          <w:sz w:val="22"/>
          <w:szCs w:val="22"/>
          <w:lang w:val="sr-Latn-ME"/>
        </w:rPr>
        <w:t xml:space="preserve">samo </w:t>
      </w:r>
      <w:r w:rsidRPr="009057DB">
        <w:rPr>
          <w:sz w:val="22"/>
          <w:szCs w:val="22"/>
          <w:lang w:val="sr-Latn-ME"/>
        </w:rPr>
        <w:t>kada potencijalne koristi prevazilaze</w:t>
      </w:r>
      <w:r w:rsidR="00B231B6" w:rsidRPr="009057DB">
        <w:rPr>
          <w:sz w:val="22"/>
          <w:szCs w:val="22"/>
          <w:lang w:val="sr-Latn-ME"/>
        </w:rPr>
        <w:t xml:space="preserve"> moguće</w:t>
      </w:r>
      <w:r w:rsidRPr="009057DB">
        <w:rPr>
          <w:sz w:val="22"/>
          <w:szCs w:val="22"/>
          <w:lang w:val="sr-Latn-ME"/>
        </w:rPr>
        <w:t xml:space="preserve"> rizik</w:t>
      </w:r>
      <w:r w:rsidR="00B231B6" w:rsidRPr="009057DB">
        <w:rPr>
          <w:sz w:val="22"/>
          <w:szCs w:val="22"/>
          <w:lang w:val="sr-Latn-ME"/>
        </w:rPr>
        <w:t>e</w:t>
      </w:r>
      <w:r w:rsidRPr="009057DB">
        <w:rPr>
          <w:sz w:val="22"/>
          <w:szCs w:val="22"/>
          <w:lang w:val="sr-Latn-ME"/>
        </w:rPr>
        <w:t xml:space="preserve"> za majku i fetus. </w:t>
      </w:r>
    </w:p>
    <w:p w14:paraId="27C408E3" w14:textId="77777777" w:rsidR="0065615F" w:rsidRPr="009057DB" w:rsidRDefault="0065615F" w:rsidP="0037608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2D02E36F" w14:textId="78157E2E" w:rsidR="0072020E" w:rsidRPr="009057DB" w:rsidRDefault="007A3ECB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057DB">
        <w:rPr>
          <w:sz w:val="22"/>
          <w:szCs w:val="22"/>
          <w:u w:val="single"/>
          <w:lang w:val="sr-Latn-ME"/>
        </w:rPr>
        <w:t xml:space="preserve">Dojenje </w:t>
      </w:r>
    </w:p>
    <w:p w14:paraId="62DBE54D" w14:textId="2D855117" w:rsidR="00227BDB" w:rsidRPr="009057DB" w:rsidRDefault="00227BDB" w:rsidP="00376088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7431CB4D" w14:textId="59982428" w:rsidR="00DA5626" w:rsidRPr="009057DB" w:rsidRDefault="00DA5626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Nije poznato da li se vakcin</w:t>
      </w:r>
      <w:r w:rsidR="00F95062" w:rsidRPr="009057DB">
        <w:rPr>
          <w:sz w:val="22"/>
          <w:szCs w:val="22"/>
          <w:lang w:val="sr-Latn-ME"/>
        </w:rPr>
        <w:t>a</w:t>
      </w:r>
      <w:r w:rsidRPr="009057DB">
        <w:rPr>
          <w:sz w:val="22"/>
          <w:szCs w:val="22"/>
          <w:lang w:val="sr-Latn-ME"/>
        </w:rPr>
        <w:t xml:space="preserve"> </w:t>
      </w:r>
      <w:r w:rsidR="005F2E5E" w:rsidRPr="009057DB">
        <w:rPr>
          <w:color w:val="000000"/>
          <w:sz w:val="22"/>
          <w:szCs w:val="22"/>
          <w:shd w:val="clear" w:color="auto" w:fill="FFFFFF"/>
          <w:lang w:val="sr-Latn-ME"/>
        </w:rPr>
        <w:t>Vaxzevria</w:t>
      </w:r>
      <w:r w:rsidR="008448EC" w:rsidRPr="009057DB">
        <w:rPr>
          <w:color w:val="000000"/>
          <w:sz w:val="22"/>
          <w:szCs w:val="22"/>
          <w:shd w:val="clear" w:color="auto" w:fill="FFFFFF"/>
          <w:lang w:val="sr-Latn-ME"/>
        </w:rPr>
        <w:t xml:space="preserve"> </w:t>
      </w:r>
      <w:r w:rsidRPr="009057DB">
        <w:rPr>
          <w:sz w:val="22"/>
          <w:szCs w:val="22"/>
          <w:lang w:val="sr-Latn-ME"/>
        </w:rPr>
        <w:t xml:space="preserve">izlučuje u </w:t>
      </w:r>
      <w:r w:rsidR="00C73E71" w:rsidRPr="009057DB">
        <w:rPr>
          <w:sz w:val="22"/>
          <w:szCs w:val="22"/>
          <w:lang w:val="sr-Latn-ME"/>
        </w:rPr>
        <w:t xml:space="preserve">majčino </w:t>
      </w:r>
      <w:r w:rsidRPr="009057DB">
        <w:rPr>
          <w:sz w:val="22"/>
          <w:szCs w:val="22"/>
          <w:lang w:val="sr-Latn-ME"/>
        </w:rPr>
        <w:t>ml</w:t>
      </w:r>
      <w:r w:rsidR="00335E1E" w:rsidRPr="009057DB">
        <w:rPr>
          <w:sz w:val="22"/>
          <w:szCs w:val="22"/>
          <w:lang w:val="sr-Latn-ME"/>
        </w:rPr>
        <w:t>ij</w:t>
      </w:r>
      <w:r w:rsidRPr="009057DB">
        <w:rPr>
          <w:sz w:val="22"/>
          <w:szCs w:val="22"/>
          <w:lang w:val="sr-Latn-ME"/>
        </w:rPr>
        <w:t>eko.</w:t>
      </w:r>
    </w:p>
    <w:p w14:paraId="7EA83BFD" w14:textId="2DD30B7C" w:rsidR="00AF7979" w:rsidRPr="009057DB" w:rsidRDefault="00AF7979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 xml:space="preserve">U studijama na životinjama, </w:t>
      </w:r>
      <w:r w:rsidR="00A2585A" w:rsidRPr="009057DB">
        <w:rPr>
          <w:sz w:val="22"/>
          <w:szCs w:val="22"/>
          <w:lang w:val="sr-Latn-ME"/>
        </w:rPr>
        <w:t xml:space="preserve">primijećen je </w:t>
      </w:r>
      <w:r w:rsidRPr="009057DB">
        <w:rPr>
          <w:sz w:val="22"/>
          <w:szCs w:val="22"/>
          <w:lang w:val="sr-Latn-ME"/>
        </w:rPr>
        <w:t xml:space="preserve">laktacioni transfer anti-SARS-CoV-2 S antitijela </w:t>
      </w:r>
      <w:r w:rsidR="00A2585A" w:rsidRPr="009057DB">
        <w:rPr>
          <w:sz w:val="22"/>
          <w:szCs w:val="22"/>
          <w:lang w:val="sr-Latn-ME"/>
        </w:rPr>
        <w:t>sa</w:t>
      </w:r>
      <w:r w:rsidRPr="009057DB">
        <w:rPr>
          <w:sz w:val="22"/>
          <w:szCs w:val="22"/>
          <w:lang w:val="sr-Latn-ME"/>
        </w:rPr>
        <w:t xml:space="preserve"> ženk</w:t>
      </w:r>
      <w:r w:rsidR="00A2585A" w:rsidRPr="009057DB">
        <w:rPr>
          <w:sz w:val="22"/>
          <w:szCs w:val="22"/>
          <w:lang w:val="sr-Latn-ME"/>
        </w:rPr>
        <w:t>i</w:t>
      </w:r>
      <w:r w:rsidRPr="009057DB">
        <w:rPr>
          <w:sz w:val="22"/>
          <w:szCs w:val="22"/>
          <w:lang w:val="sr-Latn-ME"/>
        </w:rPr>
        <w:t xml:space="preserve"> miš</w:t>
      </w:r>
      <w:r w:rsidR="00A2585A" w:rsidRPr="009057DB">
        <w:rPr>
          <w:sz w:val="22"/>
          <w:szCs w:val="22"/>
          <w:lang w:val="sr-Latn-ME"/>
        </w:rPr>
        <w:t>ev</w:t>
      </w:r>
      <w:r w:rsidRPr="009057DB">
        <w:rPr>
          <w:sz w:val="22"/>
          <w:szCs w:val="22"/>
          <w:lang w:val="sr-Latn-ME"/>
        </w:rPr>
        <w:t xml:space="preserve">a </w:t>
      </w:r>
      <w:r w:rsidR="00A2585A" w:rsidRPr="009057DB">
        <w:rPr>
          <w:sz w:val="22"/>
          <w:szCs w:val="22"/>
          <w:lang w:val="sr-Latn-ME"/>
        </w:rPr>
        <w:t>na</w:t>
      </w:r>
      <w:r w:rsidRPr="009057DB">
        <w:rPr>
          <w:sz w:val="22"/>
          <w:szCs w:val="22"/>
          <w:lang w:val="sr-Latn-ME"/>
        </w:rPr>
        <w:t xml:space="preserve"> mladunč</w:t>
      </w:r>
      <w:r w:rsidR="00A2585A" w:rsidRPr="009057DB">
        <w:rPr>
          <w:sz w:val="22"/>
          <w:szCs w:val="22"/>
          <w:lang w:val="sr-Latn-ME"/>
        </w:rPr>
        <w:t>ad</w:t>
      </w:r>
      <w:r w:rsidRPr="009057DB">
        <w:rPr>
          <w:sz w:val="22"/>
          <w:szCs w:val="22"/>
          <w:lang w:val="sr-Latn-ME"/>
        </w:rPr>
        <w:t xml:space="preserve"> </w:t>
      </w:r>
      <w:r w:rsidR="00A2585A" w:rsidRPr="009057DB">
        <w:rPr>
          <w:sz w:val="22"/>
          <w:szCs w:val="22"/>
          <w:lang w:val="sr-Latn-ME"/>
        </w:rPr>
        <w:t>(</w:t>
      </w:r>
      <w:r w:rsidR="00FB0122" w:rsidRPr="009057DB">
        <w:rPr>
          <w:sz w:val="22"/>
          <w:szCs w:val="22"/>
          <w:lang w:val="sr-Latn-ME"/>
        </w:rPr>
        <w:t xml:space="preserve">vidjeti </w:t>
      </w:r>
      <w:r w:rsidR="0040292B" w:rsidRPr="009057DB">
        <w:rPr>
          <w:sz w:val="22"/>
          <w:szCs w:val="22"/>
          <w:lang w:val="sr-Latn-ME"/>
        </w:rPr>
        <w:t xml:space="preserve">dio </w:t>
      </w:r>
      <w:r w:rsidR="00FB0122" w:rsidRPr="009057DB">
        <w:rPr>
          <w:sz w:val="22"/>
          <w:szCs w:val="22"/>
          <w:lang w:val="sr-Latn-ME"/>
        </w:rPr>
        <w:t>5.3).</w:t>
      </w:r>
    </w:p>
    <w:p w14:paraId="6E84B572" w14:textId="77777777" w:rsidR="00DA5626" w:rsidRPr="009057DB" w:rsidRDefault="00DA5626" w:rsidP="00376088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28F89BDB" w14:textId="77777777" w:rsidR="0072020E" w:rsidRPr="009057DB" w:rsidRDefault="0072020E" w:rsidP="00376088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9057DB">
        <w:rPr>
          <w:b/>
          <w:bCs/>
          <w:sz w:val="22"/>
          <w:szCs w:val="22"/>
          <w:lang w:val="sr-Latn-ME"/>
        </w:rPr>
        <w:t xml:space="preserve">4.7. </w:t>
      </w:r>
      <w:r w:rsidR="00480FB1" w:rsidRPr="009057DB">
        <w:rPr>
          <w:b/>
          <w:bCs/>
          <w:sz w:val="22"/>
          <w:szCs w:val="22"/>
          <w:lang w:val="sr-Latn-ME"/>
        </w:rPr>
        <w:tab/>
      </w:r>
      <w:r w:rsidRPr="009057DB">
        <w:rPr>
          <w:b/>
          <w:bCs/>
          <w:sz w:val="22"/>
          <w:szCs w:val="22"/>
          <w:lang w:val="sr-Latn-ME"/>
        </w:rPr>
        <w:t xml:space="preserve">Uticaj na </w:t>
      </w:r>
      <w:r w:rsidR="002031B3" w:rsidRPr="009057DB">
        <w:rPr>
          <w:b/>
          <w:bCs/>
          <w:sz w:val="22"/>
          <w:szCs w:val="22"/>
          <w:lang w:val="sr-Latn-ME"/>
        </w:rPr>
        <w:t xml:space="preserve">sposobnost </w:t>
      </w:r>
      <w:r w:rsidR="00F34554" w:rsidRPr="009057DB">
        <w:rPr>
          <w:b/>
          <w:bCs/>
          <w:sz w:val="22"/>
          <w:szCs w:val="22"/>
          <w:lang w:val="sr-Latn-ME"/>
        </w:rPr>
        <w:t>upravljanja vozili</w:t>
      </w:r>
      <w:r w:rsidRPr="009057DB">
        <w:rPr>
          <w:b/>
          <w:bCs/>
          <w:sz w:val="22"/>
          <w:szCs w:val="22"/>
          <w:lang w:val="sr-Latn-ME"/>
        </w:rPr>
        <w:t>m</w:t>
      </w:r>
      <w:r w:rsidR="00F34554" w:rsidRPr="009057DB">
        <w:rPr>
          <w:b/>
          <w:bCs/>
          <w:sz w:val="22"/>
          <w:szCs w:val="22"/>
          <w:lang w:val="sr-Latn-ME"/>
        </w:rPr>
        <w:t>a</w:t>
      </w:r>
      <w:r w:rsidRPr="009057DB">
        <w:rPr>
          <w:b/>
          <w:bCs/>
          <w:sz w:val="22"/>
          <w:szCs w:val="22"/>
          <w:lang w:val="sr-Latn-ME"/>
        </w:rPr>
        <w:t xml:space="preserve"> i </w:t>
      </w:r>
      <w:r w:rsidR="000D3449" w:rsidRPr="009057DB">
        <w:rPr>
          <w:b/>
          <w:bCs/>
          <w:sz w:val="22"/>
          <w:szCs w:val="22"/>
          <w:lang w:val="sr-Latn-ME"/>
        </w:rPr>
        <w:t xml:space="preserve">rukovanje </w:t>
      </w:r>
      <w:r w:rsidRPr="009057DB">
        <w:rPr>
          <w:b/>
          <w:bCs/>
          <w:sz w:val="22"/>
          <w:szCs w:val="22"/>
          <w:lang w:val="sr-Latn-ME"/>
        </w:rPr>
        <w:t>mašinama</w:t>
      </w:r>
    </w:p>
    <w:p w14:paraId="647FF513" w14:textId="6393708F" w:rsidR="0072020E" w:rsidRPr="009057DB" w:rsidRDefault="0072020E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3B11E32" w14:textId="4E303100" w:rsidR="00B81AE4" w:rsidRPr="009057DB" w:rsidRDefault="005F2E5E" w:rsidP="00376088">
      <w:pPr>
        <w:tabs>
          <w:tab w:val="left" w:pos="284"/>
        </w:tabs>
        <w:jc w:val="both"/>
        <w:rPr>
          <w:b/>
          <w:bCs/>
          <w:spacing w:val="-8"/>
          <w:sz w:val="22"/>
          <w:szCs w:val="22"/>
          <w:lang w:val="sr-Latn-ME"/>
        </w:rPr>
      </w:pPr>
      <w:r w:rsidRPr="009057DB">
        <w:rPr>
          <w:color w:val="000000"/>
          <w:sz w:val="22"/>
          <w:szCs w:val="22"/>
          <w:shd w:val="clear" w:color="auto" w:fill="FFFFFF"/>
          <w:lang w:val="sr-Latn-ME"/>
        </w:rPr>
        <w:t>Vaxzevria</w:t>
      </w:r>
      <w:r w:rsidR="008448EC" w:rsidRPr="009057DB">
        <w:rPr>
          <w:color w:val="000000"/>
          <w:sz w:val="22"/>
          <w:szCs w:val="22"/>
          <w:shd w:val="clear" w:color="auto" w:fill="FFFFFF"/>
          <w:lang w:val="sr-Latn-ME"/>
        </w:rPr>
        <w:t xml:space="preserve"> </w:t>
      </w:r>
      <w:r w:rsidR="00B81AE4" w:rsidRPr="009057DB">
        <w:rPr>
          <w:sz w:val="22"/>
          <w:szCs w:val="22"/>
          <w:lang w:val="sr-Latn-ME"/>
        </w:rPr>
        <w:t>nema ili ima zanemarljiv uticaj na sposobnost upravljanja vozilima i rukovanje mašinama. Međutim, nek</w:t>
      </w:r>
      <w:r w:rsidR="00F95062" w:rsidRPr="009057DB">
        <w:rPr>
          <w:sz w:val="22"/>
          <w:szCs w:val="22"/>
          <w:lang w:val="sr-Latn-ME"/>
        </w:rPr>
        <w:t>a</w:t>
      </w:r>
      <w:r w:rsidR="00B81AE4" w:rsidRPr="009057DB">
        <w:rPr>
          <w:sz w:val="22"/>
          <w:szCs w:val="22"/>
          <w:lang w:val="sr-Latn-ME"/>
        </w:rPr>
        <w:t xml:space="preserve"> od neželjenih</w:t>
      </w:r>
      <w:r w:rsidR="004171A8" w:rsidRPr="009057DB">
        <w:rPr>
          <w:sz w:val="22"/>
          <w:szCs w:val="22"/>
          <w:lang w:val="sr-Latn-ME"/>
        </w:rPr>
        <w:t xml:space="preserve"> dejstava</w:t>
      </w:r>
      <w:r w:rsidR="00B81AE4" w:rsidRPr="009057DB">
        <w:rPr>
          <w:sz w:val="22"/>
          <w:szCs w:val="22"/>
          <w:lang w:val="sr-Latn-ME"/>
        </w:rPr>
        <w:t xml:space="preserve"> naveden</w:t>
      </w:r>
      <w:r w:rsidR="00F95062" w:rsidRPr="009057DB">
        <w:rPr>
          <w:sz w:val="22"/>
          <w:szCs w:val="22"/>
          <w:lang w:val="sr-Latn-ME"/>
        </w:rPr>
        <w:t>ih</w:t>
      </w:r>
      <w:r w:rsidR="00B81AE4" w:rsidRPr="009057DB">
        <w:rPr>
          <w:sz w:val="22"/>
          <w:szCs w:val="22"/>
          <w:lang w:val="sr-Latn-ME"/>
        </w:rPr>
        <w:t xml:space="preserve"> u </w:t>
      </w:r>
      <w:r w:rsidR="0040292B" w:rsidRPr="009057DB">
        <w:rPr>
          <w:sz w:val="22"/>
          <w:szCs w:val="22"/>
          <w:lang w:val="sr-Latn-ME"/>
        </w:rPr>
        <w:t xml:space="preserve">dijelu </w:t>
      </w:r>
      <w:r w:rsidR="00B81AE4" w:rsidRPr="009057DB">
        <w:rPr>
          <w:sz w:val="22"/>
          <w:szCs w:val="22"/>
          <w:lang w:val="sr-Latn-ME"/>
        </w:rPr>
        <w:t>4.8. mogu privremeno uticati na sposobnost upravljanja vozilima i rukovanje mašinama.</w:t>
      </w:r>
    </w:p>
    <w:p w14:paraId="2A51FED5" w14:textId="77777777" w:rsidR="00B81AE4" w:rsidRPr="009057DB" w:rsidRDefault="00B81AE4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BE9D5E9" w14:textId="77777777" w:rsidR="0072020E" w:rsidRPr="009057DB" w:rsidRDefault="0072020E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057DB">
        <w:rPr>
          <w:b/>
          <w:bCs/>
          <w:sz w:val="22"/>
          <w:szCs w:val="22"/>
          <w:lang w:val="sr-Latn-ME"/>
        </w:rPr>
        <w:t xml:space="preserve">4.8. </w:t>
      </w:r>
      <w:r w:rsidR="00480FB1" w:rsidRPr="009057DB">
        <w:rPr>
          <w:b/>
          <w:bCs/>
          <w:sz w:val="22"/>
          <w:szCs w:val="22"/>
          <w:lang w:val="sr-Latn-ME"/>
        </w:rPr>
        <w:tab/>
      </w:r>
      <w:r w:rsidRPr="009057DB">
        <w:rPr>
          <w:b/>
          <w:bCs/>
          <w:sz w:val="22"/>
          <w:szCs w:val="22"/>
          <w:lang w:val="sr-Latn-ME"/>
        </w:rPr>
        <w:t>Neželjena dejstva</w:t>
      </w:r>
    </w:p>
    <w:p w14:paraId="74C016B8" w14:textId="1297356B" w:rsidR="004E70AD" w:rsidRPr="009057DB" w:rsidRDefault="004E70AD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9512A4C" w14:textId="7EE19E74" w:rsidR="00C715DD" w:rsidRPr="009057DB" w:rsidRDefault="00C715DD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9057DB">
        <w:rPr>
          <w:sz w:val="22"/>
          <w:szCs w:val="22"/>
          <w:u w:val="single"/>
          <w:lang w:val="sr-Latn-ME"/>
        </w:rPr>
        <w:t>Sažetak bezb</w:t>
      </w:r>
      <w:r w:rsidR="0005151D" w:rsidRPr="009057DB">
        <w:rPr>
          <w:sz w:val="22"/>
          <w:szCs w:val="22"/>
          <w:u w:val="single"/>
          <w:lang w:val="sr-Latn-ME"/>
        </w:rPr>
        <w:t>j</w:t>
      </w:r>
      <w:r w:rsidRPr="009057DB">
        <w:rPr>
          <w:sz w:val="22"/>
          <w:szCs w:val="22"/>
          <w:u w:val="single"/>
          <w:lang w:val="sr-Latn-ME"/>
        </w:rPr>
        <w:t>ednosnog profila</w:t>
      </w:r>
    </w:p>
    <w:p w14:paraId="3088B7EF" w14:textId="77777777" w:rsidR="00E37005" w:rsidRPr="009057DB" w:rsidRDefault="00E37005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6E63D06C" w14:textId="7098695A" w:rsidR="004E515E" w:rsidRPr="009057DB" w:rsidRDefault="00E37005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9057DB">
        <w:rPr>
          <w:sz w:val="22"/>
          <w:szCs w:val="22"/>
          <w:u w:val="single"/>
          <w:lang w:val="sr-Latn-ME"/>
        </w:rPr>
        <w:t>Primarni proces vakcinacije</w:t>
      </w:r>
    </w:p>
    <w:p w14:paraId="220E8474" w14:textId="77777777" w:rsidR="00E37005" w:rsidRPr="009057DB" w:rsidRDefault="00E37005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54CEA2A8" w14:textId="3A0327DA" w:rsidR="001604D1" w:rsidRPr="009057DB" w:rsidRDefault="00C715DD" w:rsidP="00376088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057DB">
        <w:rPr>
          <w:noProof/>
          <w:sz w:val="22"/>
          <w:szCs w:val="22"/>
          <w:lang w:val="sr-Latn-ME"/>
        </w:rPr>
        <w:t>Ukupna bezb</w:t>
      </w:r>
      <w:r w:rsidR="00485DB5" w:rsidRPr="009057DB">
        <w:rPr>
          <w:noProof/>
          <w:sz w:val="22"/>
          <w:szCs w:val="22"/>
          <w:lang w:val="sr-Latn-ME"/>
        </w:rPr>
        <w:t>j</w:t>
      </w:r>
      <w:r w:rsidRPr="009057DB">
        <w:rPr>
          <w:noProof/>
          <w:sz w:val="22"/>
          <w:szCs w:val="22"/>
          <w:lang w:val="sr-Latn-ME"/>
        </w:rPr>
        <w:t xml:space="preserve">ednost </w:t>
      </w:r>
      <w:r w:rsidRPr="009057DB">
        <w:rPr>
          <w:sz w:val="22"/>
          <w:szCs w:val="22"/>
          <w:lang w:val="sr-Latn-ME"/>
        </w:rPr>
        <w:t xml:space="preserve">vakcine </w:t>
      </w:r>
      <w:r w:rsidR="005F2E5E" w:rsidRPr="009057DB">
        <w:rPr>
          <w:color w:val="000000"/>
          <w:sz w:val="22"/>
          <w:szCs w:val="22"/>
          <w:shd w:val="clear" w:color="auto" w:fill="FFFFFF"/>
          <w:lang w:val="sr-Latn-ME"/>
        </w:rPr>
        <w:t>Vaxzevria</w:t>
      </w:r>
      <w:r w:rsidR="008448EC" w:rsidRPr="009057DB">
        <w:rPr>
          <w:color w:val="000000"/>
          <w:sz w:val="22"/>
          <w:szCs w:val="22"/>
          <w:shd w:val="clear" w:color="auto" w:fill="FFFFFF"/>
          <w:lang w:val="sr-Latn-ME"/>
        </w:rPr>
        <w:t xml:space="preserve"> </w:t>
      </w:r>
      <w:r w:rsidRPr="009057DB">
        <w:rPr>
          <w:sz w:val="22"/>
          <w:szCs w:val="22"/>
          <w:lang w:val="sr-Latn-ME"/>
        </w:rPr>
        <w:t>zasniva se na</w:t>
      </w:r>
      <w:r w:rsidR="00DB6E50" w:rsidRPr="009057DB">
        <w:rPr>
          <w:sz w:val="22"/>
          <w:szCs w:val="22"/>
          <w:lang w:val="sr-Latn-ME"/>
        </w:rPr>
        <w:t xml:space="preserve"> </w:t>
      </w:r>
      <w:r w:rsidRPr="009057DB">
        <w:rPr>
          <w:sz w:val="22"/>
          <w:szCs w:val="22"/>
          <w:lang w:val="sr-Latn-ME"/>
        </w:rPr>
        <w:t xml:space="preserve">analizi objedinjenih podataka iz četiri klinička ispitivanja </w:t>
      </w:r>
      <w:r w:rsidR="00362970" w:rsidRPr="009057DB">
        <w:rPr>
          <w:sz w:val="22"/>
          <w:szCs w:val="22"/>
          <w:lang w:val="sr-Latn-ME"/>
        </w:rPr>
        <w:t xml:space="preserve">faza I/II, II/III i III, </w:t>
      </w:r>
      <w:r w:rsidRPr="009057DB">
        <w:rPr>
          <w:sz w:val="22"/>
          <w:szCs w:val="22"/>
          <w:lang w:val="sr-Latn-ME"/>
        </w:rPr>
        <w:t>sprovedena u Velikoj Britaniji, Brazilu i Južnoj Africi</w:t>
      </w:r>
      <w:r w:rsidR="00804699" w:rsidRPr="009057DB">
        <w:rPr>
          <w:sz w:val="22"/>
          <w:szCs w:val="22"/>
          <w:lang w:val="sr-Latn-ME"/>
        </w:rPr>
        <w:t xml:space="preserve"> </w:t>
      </w:r>
      <w:r w:rsidR="00362970" w:rsidRPr="009057DB">
        <w:rPr>
          <w:sz w:val="22"/>
          <w:szCs w:val="22"/>
          <w:lang w:val="sr-Latn-ME"/>
        </w:rPr>
        <w:t>i na podacima iz dodatne faze III klini</w:t>
      </w:r>
      <w:r w:rsidR="003849B0" w:rsidRPr="009057DB">
        <w:rPr>
          <w:sz w:val="22"/>
          <w:szCs w:val="22"/>
          <w:lang w:val="sr-Latn-ME"/>
        </w:rPr>
        <w:t>č</w:t>
      </w:r>
      <w:r w:rsidR="00362970" w:rsidRPr="009057DB">
        <w:rPr>
          <w:sz w:val="22"/>
          <w:szCs w:val="22"/>
          <w:lang w:val="sr-Latn-ME"/>
        </w:rPr>
        <w:t>ke studije koja je sprovedena  u Sjedinjenim Američkim državama, Peruu i Čileu</w:t>
      </w:r>
      <w:r w:rsidR="00804699" w:rsidRPr="009057DB">
        <w:rPr>
          <w:sz w:val="22"/>
          <w:szCs w:val="22"/>
          <w:lang w:val="sr-Latn-ME"/>
        </w:rPr>
        <w:t xml:space="preserve">. </w:t>
      </w:r>
      <w:r w:rsidRPr="009057DB">
        <w:rPr>
          <w:sz w:val="22"/>
          <w:szCs w:val="22"/>
          <w:lang w:val="sr-Latn-ME"/>
        </w:rPr>
        <w:t>U vr</w:t>
      </w:r>
      <w:r w:rsidR="00485DB5" w:rsidRPr="009057DB">
        <w:rPr>
          <w:sz w:val="22"/>
          <w:szCs w:val="22"/>
          <w:lang w:val="sr-Latn-ME"/>
        </w:rPr>
        <w:t>ij</w:t>
      </w:r>
      <w:r w:rsidRPr="009057DB">
        <w:rPr>
          <w:sz w:val="22"/>
          <w:szCs w:val="22"/>
          <w:lang w:val="sr-Latn-ME"/>
        </w:rPr>
        <w:t xml:space="preserve">eme analize, </w:t>
      </w:r>
      <w:r w:rsidR="00362970" w:rsidRPr="009057DB">
        <w:rPr>
          <w:sz w:val="22"/>
          <w:szCs w:val="22"/>
          <w:lang w:val="sr-Latn-ME"/>
        </w:rPr>
        <w:t>56 124</w:t>
      </w:r>
      <w:r w:rsidR="001604D1" w:rsidRPr="009057DB">
        <w:rPr>
          <w:sz w:val="22"/>
          <w:szCs w:val="22"/>
          <w:lang w:val="sr-Latn-ME"/>
        </w:rPr>
        <w:t> </w:t>
      </w:r>
      <w:r w:rsidRPr="009057DB">
        <w:rPr>
          <w:sz w:val="22"/>
          <w:szCs w:val="22"/>
          <w:lang w:val="sr-Latn-ME"/>
        </w:rPr>
        <w:t xml:space="preserve"> učesnika starosti 18 i više godina bili su randomizovani</w:t>
      </w:r>
      <w:r w:rsidR="00362970" w:rsidRPr="009057DB">
        <w:rPr>
          <w:sz w:val="22"/>
          <w:szCs w:val="22"/>
          <w:lang w:val="sr-Latn-ME"/>
        </w:rPr>
        <w:t>.</w:t>
      </w:r>
      <w:r w:rsidRPr="009057DB">
        <w:rPr>
          <w:sz w:val="22"/>
          <w:szCs w:val="22"/>
          <w:lang w:val="sr-Latn-ME"/>
        </w:rPr>
        <w:t xml:space="preserve"> Od ovog broja, </w:t>
      </w:r>
      <w:r w:rsidR="00362970" w:rsidRPr="009057DB">
        <w:rPr>
          <w:sz w:val="22"/>
          <w:szCs w:val="22"/>
          <w:lang w:val="sr-Latn-ME"/>
        </w:rPr>
        <w:t>33 869</w:t>
      </w:r>
      <w:r w:rsidR="001604D1" w:rsidRPr="009057DB">
        <w:rPr>
          <w:sz w:val="22"/>
          <w:szCs w:val="22"/>
          <w:lang w:val="sr-Latn-ME"/>
        </w:rPr>
        <w:t xml:space="preserve"> </w:t>
      </w:r>
      <w:r w:rsidR="00763D22" w:rsidRPr="009057DB">
        <w:rPr>
          <w:sz w:val="22"/>
          <w:szCs w:val="22"/>
          <w:lang w:val="sr-Latn-ME"/>
        </w:rPr>
        <w:t>ispitanik</w:t>
      </w:r>
      <w:r w:rsidR="00DB6E50" w:rsidRPr="009057DB">
        <w:rPr>
          <w:sz w:val="22"/>
          <w:szCs w:val="22"/>
          <w:lang w:val="sr-Latn-ME"/>
        </w:rPr>
        <w:t>a</w:t>
      </w:r>
      <w:r w:rsidR="00763D22" w:rsidRPr="009057DB">
        <w:rPr>
          <w:sz w:val="22"/>
          <w:szCs w:val="22"/>
          <w:lang w:val="sr-Latn-ME"/>
        </w:rPr>
        <w:t xml:space="preserve"> </w:t>
      </w:r>
      <w:r w:rsidR="00804699" w:rsidRPr="009057DB">
        <w:rPr>
          <w:sz w:val="22"/>
          <w:szCs w:val="22"/>
          <w:lang w:val="sr-Latn-ME"/>
        </w:rPr>
        <w:t>je</w:t>
      </w:r>
      <w:r w:rsidR="00BD6182" w:rsidRPr="009057DB">
        <w:rPr>
          <w:sz w:val="22"/>
          <w:szCs w:val="22"/>
          <w:lang w:val="sr-Latn-ME"/>
        </w:rPr>
        <w:t xml:space="preserve"> </w:t>
      </w:r>
      <w:r w:rsidRPr="009057DB">
        <w:rPr>
          <w:sz w:val="22"/>
          <w:szCs w:val="22"/>
          <w:lang w:val="sr-Latn-ME"/>
        </w:rPr>
        <w:t>prim</w:t>
      </w:r>
      <w:r w:rsidR="00BA3253" w:rsidRPr="009057DB">
        <w:rPr>
          <w:sz w:val="22"/>
          <w:szCs w:val="22"/>
          <w:lang w:val="sr-Latn-ME"/>
        </w:rPr>
        <w:t>i</w:t>
      </w:r>
      <w:r w:rsidR="00DB6E50" w:rsidRPr="009057DB">
        <w:rPr>
          <w:sz w:val="22"/>
          <w:szCs w:val="22"/>
          <w:lang w:val="sr-Latn-ME"/>
        </w:rPr>
        <w:t>l</w:t>
      </w:r>
      <w:r w:rsidR="00804699" w:rsidRPr="009057DB">
        <w:rPr>
          <w:sz w:val="22"/>
          <w:szCs w:val="22"/>
          <w:lang w:val="sr-Latn-ME"/>
        </w:rPr>
        <w:t>o</w:t>
      </w:r>
      <w:r w:rsidR="00BD6182" w:rsidRPr="009057DB">
        <w:rPr>
          <w:sz w:val="22"/>
          <w:szCs w:val="22"/>
          <w:lang w:val="sr-Latn-ME"/>
        </w:rPr>
        <w:t xml:space="preserve">  </w:t>
      </w:r>
      <w:r w:rsidRPr="009057DB">
        <w:rPr>
          <w:sz w:val="22"/>
          <w:szCs w:val="22"/>
          <w:lang w:val="sr-Latn-ME"/>
        </w:rPr>
        <w:t>najmanje jednu dozu vakcine</w:t>
      </w:r>
      <w:r w:rsidR="005F2E5E" w:rsidRPr="009057DB">
        <w:rPr>
          <w:sz w:val="22"/>
          <w:szCs w:val="22"/>
          <w:lang w:val="sr-Latn-ME"/>
        </w:rPr>
        <w:t xml:space="preserve"> </w:t>
      </w:r>
      <w:r w:rsidR="005F2E5E" w:rsidRPr="009057DB">
        <w:rPr>
          <w:color w:val="000000"/>
          <w:sz w:val="22"/>
          <w:szCs w:val="22"/>
          <w:shd w:val="clear" w:color="auto" w:fill="FFFFFF"/>
          <w:lang w:val="sr-Latn-ME"/>
        </w:rPr>
        <w:t>Vaxzevria</w:t>
      </w:r>
      <w:r w:rsidR="00074046" w:rsidRPr="009057DB">
        <w:rPr>
          <w:sz w:val="22"/>
          <w:szCs w:val="22"/>
          <w:lang w:val="sr-Latn-ME"/>
        </w:rPr>
        <w:t>,</w:t>
      </w:r>
      <w:r w:rsidRPr="009057DB">
        <w:rPr>
          <w:sz w:val="22"/>
          <w:szCs w:val="22"/>
          <w:lang w:val="sr-Latn-ME"/>
        </w:rPr>
        <w:t xml:space="preserve"> </w:t>
      </w:r>
      <w:r w:rsidR="00074046" w:rsidRPr="009057DB">
        <w:rPr>
          <w:sz w:val="22"/>
          <w:szCs w:val="22"/>
          <w:lang w:val="sr-Latn-ME"/>
        </w:rPr>
        <w:t>dok je nji</w:t>
      </w:r>
      <w:r w:rsidR="00066323" w:rsidRPr="009057DB">
        <w:rPr>
          <w:sz w:val="22"/>
          <w:szCs w:val="22"/>
          <w:lang w:val="sr-Latn-ME"/>
        </w:rPr>
        <w:t>h</w:t>
      </w:r>
      <w:r w:rsidR="00074046" w:rsidRPr="009057DB">
        <w:rPr>
          <w:sz w:val="22"/>
          <w:szCs w:val="22"/>
          <w:lang w:val="sr-Latn-ME"/>
        </w:rPr>
        <w:t xml:space="preserve"> </w:t>
      </w:r>
      <w:r w:rsidR="00362970" w:rsidRPr="009057DB">
        <w:rPr>
          <w:sz w:val="22"/>
          <w:szCs w:val="22"/>
          <w:lang w:val="sr-Latn-ME"/>
        </w:rPr>
        <w:t>31 217</w:t>
      </w:r>
      <w:r w:rsidR="00804699" w:rsidRPr="009057DB">
        <w:rPr>
          <w:sz w:val="22"/>
          <w:szCs w:val="22"/>
          <w:lang w:val="sr-Latn-ME"/>
        </w:rPr>
        <w:t xml:space="preserve"> </w:t>
      </w:r>
      <w:r w:rsidRPr="009057DB">
        <w:rPr>
          <w:sz w:val="22"/>
          <w:szCs w:val="22"/>
          <w:lang w:val="sr-Latn-ME"/>
        </w:rPr>
        <w:t>primilo dv</w:t>
      </w:r>
      <w:r w:rsidR="00485DB5" w:rsidRPr="009057DB">
        <w:rPr>
          <w:sz w:val="22"/>
          <w:szCs w:val="22"/>
          <w:lang w:val="sr-Latn-ME"/>
        </w:rPr>
        <w:t>ij</w:t>
      </w:r>
      <w:r w:rsidRPr="009057DB">
        <w:rPr>
          <w:sz w:val="22"/>
          <w:szCs w:val="22"/>
          <w:lang w:val="sr-Latn-ME"/>
        </w:rPr>
        <w:t xml:space="preserve">e doze. </w:t>
      </w:r>
    </w:p>
    <w:p w14:paraId="4B9154A9" w14:textId="77777777" w:rsidR="00C715DD" w:rsidRPr="009057DB" w:rsidRDefault="00C715DD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0FE32A4" w14:textId="18DBECA0" w:rsidR="00BD6182" w:rsidRPr="009057DB" w:rsidRDefault="00C715DD" w:rsidP="00376088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9057DB">
        <w:rPr>
          <w:noProof/>
          <w:sz w:val="22"/>
          <w:szCs w:val="22"/>
          <w:lang w:val="sr-Latn-ME"/>
        </w:rPr>
        <w:t>Najčešće prijavljen</w:t>
      </w:r>
      <w:r w:rsidR="00804699" w:rsidRPr="009057DB">
        <w:rPr>
          <w:noProof/>
          <w:sz w:val="22"/>
          <w:szCs w:val="22"/>
          <w:lang w:val="sr-Latn-ME"/>
        </w:rPr>
        <w:t>e</w:t>
      </w:r>
      <w:r w:rsidRPr="009057DB">
        <w:rPr>
          <w:noProof/>
          <w:sz w:val="22"/>
          <w:szCs w:val="22"/>
          <w:lang w:val="sr-Latn-ME"/>
        </w:rPr>
        <w:t xml:space="preserve"> neželjen</w:t>
      </w:r>
      <w:r w:rsidR="00804699" w:rsidRPr="009057DB">
        <w:rPr>
          <w:noProof/>
          <w:sz w:val="22"/>
          <w:szCs w:val="22"/>
          <w:lang w:val="sr-Latn-ME"/>
        </w:rPr>
        <w:t>e reakcije</w:t>
      </w:r>
      <w:r w:rsidR="00554807" w:rsidRPr="009057DB">
        <w:rPr>
          <w:noProof/>
          <w:sz w:val="22"/>
          <w:szCs w:val="22"/>
          <w:lang w:val="sr-Latn-ME"/>
        </w:rPr>
        <w:t xml:space="preserve"> </w:t>
      </w:r>
      <w:r w:rsidRPr="009057DB">
        <w:rPr>
          <w:noProof/>
          <w:sz w:val="22"/>
          <w:szCs w:val="22"/>
          <w:lang w:val="sr-Latn-ME"/>
        </w:rPr>
        <w:t>su os</w:t>
      </w:r>
      <w:r w:rsidR="00EA1831" w:rsidRPr="009057DB">
        <w:rPr>
          <w:noProof/>
          <w:sz w:val="22"/>
          <w:szCs w:val="22"/>
          <w:lang w:val="sr-Latn-ME"/>
        </w:rPr>
        <w:t>j</w:t>
      </w:r>
      <w:r w:rsidRPr="009057DB">
        <w:rPr>
          <w:noProof/>
          <w:sz w:val="22"/>
          <w:szCs w:val="22"/>
          <w:lang w:val="sr-Latn-ME"/>
        </w:rPr>
        <w:t>etljivost na m</w:t>
      </w:r>
      <w:r w:rsidR="009B4852" w:rsidRPr="009057DB">
        <w:rPr>
          <w:noProof/>
          <w:sz w:val="22"/>
          <w:szCs w:val="22"/>
          <w:lang w:val="sr-Latn-ME"/>
        </w:rPr>
        <w:t>j</w:t>
      </w:r>
      <w:r w:rsidRPr="009057DB">
        <w:rPr>
          <w:noProof/>
          <w:sz w:val="22"/>
          <w:szCs w:val="22"/>
          <w:lang w:val="sr-Latn-ME"/>
        </w:rPr>
        <w:t xml:space="preserve">estu </w:t>
      </w:r>
      <w:r w:rsidR="004D74BE" w:rsidRPr="009057DB">
        <w:rPr>
          <w:noProof/>
          <w:sz w:val="22"/>
          <w:szCs w:val="22"/>
          <w:lang w:val="sr-Latn-ME"/>
        </w:rPr>
        <w:t xml:space="preserve">primjene </w:t>
      </w:r>
      <w:r w:rsidRPr="009057DB">
        <w:rPr>
          <w:noProof/>
          <w:sz w:val="22"/>
          <w:szCs w:val="22"/>
          <w:lang w:val="sr-Latn-ME"/>
        </w:rPr>
        <w:t>injekcije (6</w:t>
      </w:r>
      <w:r w:rsidR="001604D1" w:rsidRPr="009057DB">
        <w:rPr>
          <w:noProof/>
          <w:sz w:val="22"/>
          <w:szCs w:val="22"/>
          <w:lang w:val="sr-Latn-ME"/>
        </w:rPr>
        <w:t>8</w:t>
      </w:r>
      <w:r w:rsidRPr="009057DB">
        <w:rPr>
          <w:noProof/>
          <w:sz w:val="22"/>
          <w:szCs w:val="22"/>
          <w:lang w:val="sr-Latn-ME"/>
        </w:rPr>
        <w:t>%), bol na m</w:t>
      </w:r>
      <w:r w:rsidR="009B4852" w:rsidRPr="009057DB">
        <w:rPr>
          <w:noProof/>
          <w:sz w:val="22"/>
          <w:szCs w:val="22"/>
          <w:lang w:val="sr-Latn-ME"/>
        </w:rPr>
        <w:t>j</w:t>
      </w:r>
      <w:r w:rsidRPr="009057DB">
        <w:rPr>
          <w:noProof/>
          <w:sz w:val="22"/>
          <w:szCs w:val="22"/>
          <w:lang w:val="sr-Latn-ME"/>
        </w:rPr>
        <w:t xml:space="preserve">estu </w:t>
      </w:r>
      <w:r w:rsidR="004D74BE" w:rsidRPr="009057DB">
        <w:rPr>
          <w:noProof/>
          <w:sz w:val="22"/>
          <w:szCs w:val="22"/>
          <w:lang w:val="sr-Latn-ME"/>
        </w:rPr>
        <w:t xml:space="preserve">primjene </w:t>
      </w:r>
      <w:r w:rsidRPr="009057DB">
        <w:rPr>
          <w:noProof/>
          <w:sz w:val="22"/>
          <w:szCs w:val="22"/>
          <w:lang w:val="sr-Latn-ME"/>
        </w:rPr>
        <w:t>injekcije (5</w:t>
      </w:r>
      <w:r w:rsidR="00362970" w:rsidRPr="009057DB">
        <w:rPr>
          <w:noProof/>
          <w:sz w:val="22"/>
          <w:szCs w:val="22"/>
          <w:lang w:val="sr-Latn-ME"/>
        </w:rPr>
        <w:t>8</w:t>
      </w:r>
      <w:r w:rsidRPr="009057DB">
        <w:rPr>
          <w:noProof/>
          <w:sz w:val="22"/>
          <w:szCs w:val="22"/>
          <w:lang w:val="sr-Latn-ME"/>
        </w:rPr>
        <w:t>%), glavobolja (5</w:t>
      </w:r>
      <w:r w:rsidR="00362970" w:rsidRPr="009057DB">
        <w:rPr>
          <w:noProof/>
          <w:sz w:val="22"/>
          <w:szCs w:val="22"/>
          <w:lang w:val="sr-Latn-ME"/>
        </w:rPr>
        <w:t>3</w:t>
      </w:r>
      <w:r w:rsidRPr="009057DB">
        <w:rPr>
          <w:noProof/>
          <w:sz w:val="22"/>
          <w:szCs w:val="22"/>
          <w:lang w:val="sr-Latn-ME"/>
        </w:rPr>
        <w:t>%), umor (53%), mial</w:t>
      </w:r>
      <w:r w:rsidR="00F7605F" w:rsidRPr="009057DB">
        <w:rPr>
          <w:noProof/>
          <w:sz w:val="22"/>
          <w:szCs w:val="22"/>
          <w:lang w:val="sr-Latn-ME"/>
        </w:rPr>
        <w:t>g</w:t>
      </w:r>
      <w:r w:rsidRPr="009057DB">
        <w:rPr>
          <w:noProof/>
          <w:sz w:val="22"/>
          <w:szCs w:val="22"/>
          <w:lang w:val="sr-Latn-ME"/>
        </w:rPr>
        <w:t>ija (4</w:t>
      </w:r>
      <w:r w:rsidR="007E5DA9" w:rsidRPr="009057DB">
        <w:rPr>
          <w:noProof/>
          <w:sz w:val="22"/>
          <w:szCs w:val="22"/>
          <w:lang w:val="sr-Latn-ME"/>
        </w:rPr>
        <w:t>4</w:t>
      </w:r>
      <w:r w:rsidRPr="009057DB">
        <w:rPr>
          <w:noProof/>
          <w:sz w:val="22"/>
          <w:szCs w:val="22"/>
          <w:lang w:val="sr-Latn-ME"/>
        </w:rPr>
        <w:t xml:space="preserve">%), malaksalost (44%), pireksija (uključuje </w:t>
      </w:r>
      <w:r w:rsidR="009C3DAF" w:rsidRPr="009057DB">
        <w:rPr>
          <w:noProof/>
          <w:sz w:val="22"/>
          <w:szCs w:val="22"/>
          <w:lang w:val="sr-Latn-ME"/>
        </w:rPr>
        <w:t xml:space="preserve">povišenu tjelesnu </w:t>
      </w:r>
      <w:r w:rsidRPr="009057DB">
        <w:rPr>
          <w:noProof/>
          <w:sz w:val="22"/>
          <w:szCs w:val="22"/>
          <w:lang w:val="sr-Latn-ME"/>
        </w:rPr>
        <w:t xml:space="preserve">temperaturu (33%) i </w:t>
      </w:r>
      <w:r w:rsidR="001972DB" w:rsidRPr="009057DB">
        <w:rPr>
          <w:noProof/>
          <w:sz w:val="22"/>
          <w:szCs w:val="22"/>
          <w:lang w:val="sr-Latn-ME"/>
        </w:rPr>
        <w:t>groznicu</w:t>
      </w:r>
      <w:r w:rsidR="001604D1" w:rsidRPr="009057DB">
        <w:rPr>
          <w:sz w:val="22"/>
          <w:szCs w:val="22"/>
          <w:lang w:val="sr-Latn-ME"/>
        </w:rPr>
        <w:t xml:space="preserve"> ≥</w:t>
      </w:r>
      <w:r w:rsidRPr="009057DB">
        <w:rPr>
          <w:noProof/>
          <w:sz w:val="22"/>
          <w:szCs w:val="22"/>
          <w:lang w:val="sr-Latn-ME"/>
        </w:rPr>
        <w:t>38</w:t>
      </w:r>
      <w:r w:rsidR="00400D42" w:rsidRPr="009057DB">
        <w:rPr>
          <w:noProof/>
          <w:sz w:val="22"/>
          <w:szCs w:val="22"/>
          <w:vertAlign w:val="superscript"/>
          <w:lang w:val="sr-Latn-ME"/>
        </w:rPr>
        <w:t>o</w:t>
      </w:r>
      <w:r w:rsidR="00400D42" w:rsidRPr="009057DB">
        <w:rPr>
          <w:noProof/>
          <w:sz w:val="22"/>
          <w:szCs w:val="22"/>
          <w:lang w:val="sr-Latn-ME"/>
        </w:rPr>
        <w:t>C</w:t>
      </w:r>
      <w:r w:rsidRPr="009057DB">
        <w:rPr>
          <w:noProof/>
          <w:sz w:val="22"/>
          <w:szCs w:val="22"/>
          <w:lang w:val="sr-Latn-ME"/>
        </w:rPr>
        <w:t xml:space="preserve"> (</w:t>
      </w:r>
      <w:r w:rsidR="007E5DA9" w:rsidRPr="009057DB">
        <w:rPr>
          <w:noProof/>
          <w:sz w:val="22"/>
          <w:szCs w:val="22"/>
          <w:lang w:val="sr-Latn-ME"/>
        </w:rPr>
        <w:t>8</w:t>
      </w:r>
      <w:r w:rsidRPr="009057DB">
        <w:rPr>
          <w:noProof/>
          <w:sz w:val="22"/>
          <w:szCs w:val="22"/>
          <w:lang w:val="sr-Latn-ME"/>
        </w:rPr>
        <w:t>%)), drh</w:t>
      </w:r>
      <w:r w:rsidR="009B4852" w:rsidRPr="009057DB">
        <w:rPr>
          <w:noProof/>
          <w:sz w:val="22"/>
          <w:szCs w:val="22"/>
          <w:lang w:val="sr-Latn-ME"/>
        </w:rPr>
        <w:t>t</w:t>
      </w:r>
      <w:r w:rsidRPr="009057DB">
        <w:rPr>
          <w:noProof/>
          <w:sz w:val="22"/>
          <w:szCs w:val="22"/>
          <w:lang w:val="sr-Latn-ME"/>
        </w:rPr>
        <w:t>avic</w:t>
      </w:r>
      <w:r w:rsidR="00F7605F" w:rsidRPr="009057DB">
        <w:rPr>
          <w:noProof/>
          <w:sz w:val="22"/>
          <w:szCs w:val="22"/>
          <w:lang w:val="sr-Latn-ME"/>
        </w:rPr>
        <w:t>a</w:t>
      </w:r>
      <w:r w:rsidRPr="009057DB">
        <w:rPr>
          <w:noProof/>
          <w:sz w:val="22"/>
          <w:szCs w:val="22"/>
          <w:lang w:val="sr-Latn-ME"/>
        </w:rPr>
        <w:t xml:space="preserve"> (3</w:t>
      </w:r>
      <w:r w:rsidR="001604D1" w:rsidRPr="009057DB">
        <w:rPr>
          <w:noProof/>
          <w:sz w:val="22"/>
          <w:szCs w:val="22"/>
          <w:lang w:val="sr-Latn-ME"/>
        </w:rPr>
        <w:t>2</w:t>
      </w:r>
      <w:r w:rsidRPr="009057DB">
        <w:rPr>
          <w:noProof/>
          <w:sz w:val="22"/>
          <w:szCs w:val="22"/>
          <w:lang w:val="sr-Latn-ME"/>
        </w:rPr>
        <w:t>%), artralgija (2</w:t>
      </w:r>
      <w:r w:rsidR="007E5DA9" w:rsidRPr="009057DB">
        <w:rPr>
          <w:noProof/>
          <w:sz w:val="22"/>
          <w:szCs w:val="22"/>
          <w:lang w:val="sr-Latn-ME"/>
        </w:rPr>
        <w:t>7</w:t>
      </w:r>
      <w:r w:rsidRPr="009057DB">
        <w:rPr>
          <w:noProof/>
          <w:sz w:val="22"/>
          <w:szCs w:val="22"/>
          <w:lang w:val="sr-Latn-ME"/>
        </w:rPr>
        <w:t>%) i mučnina (</w:t>
      </w:r>
      <w:r w:rsidR="001604D1" w:rsidRPr="009057DB">
        <w:rPr>
          <w:sz w:val="22"/>
          <w:szCs w:val="22"/>
          <w:lang w:val="sr-Latn-ME"/>
        </w:rPr>
        <w:t>22%</w:t>
      </w:r>
      <w:r w:rsidR="00DB6E50" w:rsidRPr="009057DB">
        <w:rPr>
          <w:sz w:val="22"/>
          <w:szCs w:val="22"/>
          <w:lang w:val="sr-Latn-ME"/>
        </w:rPr>
        <w:t>).</w:t>
      </w:r>
      <w:r w:rsidR="001604D1" w:rsidRPr="009057DB">
        <w:rPr>
          <w:sz w:val="22"/>
          <w:szCs w:val="22"/>
          <w:lang w:val="sr-Latn-ME"/>
        </w:rPr>
        <w:t xml:space="preserve"> </w:t>
      </w:r>
      <w:r w:rsidRPr="009057DB">
        <w:rPr>
          <w:noProof/>
          <w:sz w:val="22"/>
          <w:szCs w:val="22"/>
          <w:lang w:val="sr-Latn-ME"/>
        </w:rPr>
        <w:t xml:space="preserve">Većina neželjenih </w:t>
      </w:r>
      <w:r w:rsidR="00804699" w:rsidRPr="009057DB">
        <w:rPr>
          <w:noProof/>
          <w:sz w:val="22"/>
          <w:szCs w:val="22"/>
          <w:lang w:val="sr-Latn-ME"/>
        </w:rPr>
        <w:t>reakcija</w:t>
      </w:r>
      <w:r w:rsidR="00DA01BC" w:rsidRPr="009057DB">
        <w:rPr>
          <w:noProof/>
          <w:sz w:val="22"/>
          <w:szCs w:val="22"/>
          <w:lang w:val="sr-Latn-ME"/>
        </w:rPr>
        <w:t xml:space="preserve"> </w:t>
      </w:r>
      <w:r w:rsidRPr="009057DB">
        <w:rPr>
          <w:noProof/>
          <w:sz w:val="22"/>
          <w:szCs w:val="22"/>
          <w:lang w:val="sr-Latn-ME"/>
        </w:rPr>
        <w:t>bil</w:t>
      </w:r>
      <w:r w:rsidR="00804699" w:rsidRPr="009057DB">
        <w:rPr>
          <w:noProof/>
          <w:sz w:val="22"/>
          <w:szCs w:val="22"/>
          <w:lang w:val="sr-Latn-ME"/>
        </w:rPr>
        <w:t>e</w:t>
      </w:r>
      <w:r w:rsidRPr="009057DB">
        <w:rPr>
          <w:noProof/>
          <w:sz w:val="22"/>
          <w:szCs w:val="22"/>
          <w:lang w:val="sr-Latn-ME"/>
        </w:rPr>
        <w:t xml:space="preserve"> su blage do um</w:t>
      </w:r>
      <w:r w:rsidR="002208FB" w:rsidRPr="009057DB">
        <w:rPr>
          <w:noProof/>
          <w:sz w:val="22"/>
          <w:szCs w:val="22"/>
          <w:lang w:val="sr-Latn-ME"/>
        </w:rPr>
        <w:t>j</w:t>
      </w:r>
      <w:r w:rsidRPr="009057DB">
        <w:rPr>
          <w:noProof/>
          <w:sz w:val="22"/>
          <w:szCs w:val="22"/>
          <w:lang w:val="sr-Latn-ME"/>
        </w:rPr>
        <w:t>erene težine i obično s</w:t>
      </w:r>
      <w:r w:rsidR="00BA3253" w:rsidRPr="009057DB">
        <w:rPr>
          <w:noProof/>
          <w:sz w:val="22"/>
          <w:szCs w:val="22"/>
          <w:lang w:val="sr-Latn-ME"/>
        </w:rPr>
        <w:t>u</w:t>
      </w:r>
      <w:r w:rsidRPr="009057DB">
        <w:rPr>
          <w:noProof/>
          <w:sz w:val="22"/>
          <w:szCs w:val="22"/>
          <w:lang w:val="sr-Latn-ME"/>
        </w:rPr>
        <w:t xml:space="preserve"> se povukl</w:t>
      </w:r>
      <w:r w:rsidR="00804699" w:rsidRPr="009057DB">
        <w:rPr>
          <w:noProof/>
          <w:sz w:val="22"/>
          <w:szCs w:val="22"/>
          <w:lang w:val="sr-Latn-ME"/>
        </w:rPr>
        <w:t>e</w:t>
      </w:r>
      <w:r w:rsidRPr="009057DB">
        <w:rPr>
          <w:noProof/>
          <w:sz w:val="22"/>
          <w:szCs w:val="22"/>
          <w:lang w:val="sr-Latn-ME"/>
        </w:rPr>
        <w:t xml:space="preserve"> u roku od nekoliko dana od vakcinacije. </w:t>
      </w:r>
    </w:p>
    <w:p w14:paraId="2169B3EF" w14:textId="3F981381" w:rsidR="00C715DD" w:rsidRPr="009057DB" w:rsidRDefault="00C715DD" w:rsidP="00376088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0A5C1FEF" w14:textId="48116B19" w:rsidR="007E5DA9" w:rsidRPr="009057DB" w:rsidRDefault="007E5DA9" w:rsidP="00376088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9057DB">
        <w:rPr>
          <w:noProof/>
          <w:sz w:val="22"/>
          <w:szCs w:val="22"/>
          <w:lang w:val="sr-Latn-ME"/>
        </w:rPr>
        <w:t xml:space="preserve">Veoma rijetki slučajevi tromboze sa sindromom trombocitopenije su prijavljeni u postmarketinškom periodu u roku od prve tri sedmice nakon vakcinacije (pogledati </w:t>
      </w:r>
      <w:r w:rsidR="000C06F8" w:rsidRPr="009057DB">
        <w:rPr>
          <w:noProof/>
          <w:sz w:val="22"/>
          <w:szCs w:val="22"/>
          <w:lang w:val="sr-Latn-ME"/>
        </w:rPr>
        <w:t>dio</w:t>
      </w:r>
      <w:r w:rsidRPr="009057DB">
        <w:rPr>
          <w:noProof/>
          <w:sz w:val="22"/>
          <w:szCs w:val="22"/>
          <w:lang w:val="sr-Latn-ME"/>
        </w:rPr>
        <w:t xml:space="preserve"> 4.4.)</w:t>
      </w:r>
    </w:p>
    <w:p w14:paraId="48310B10" w14:textId="77777777" w:rsidR="007E5DA9" w:rsidRPr="009057DB" w:rsidRDefault="007E5DA9" w:rsidP="00376088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09284AF4" w14:textId="6CD94ECD" w:rsidR="001604D1" w:rsidRPr="009057DB" w:rsidRDefault="008A0D31" w:rsidP="00376088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9057DB">
        <w:rPr>
          <w:noProof/>
          <w:sz w:val="22"/>
          <w:szCs w:val="22"/>
          <w:lang w:val="sr-Latn-ME"/>
        </w:rPr>
        <w:t xml:space="preserve">Nakon vakcinacije, pacijenti mogu iskusiti </w:t>
      </w:r>
      <w:r w:rsidR="007A6DEC" w:rsidRPr="009057DB">
        <w:rPr>
          <w:noProof/>
          <w:sz w:val="22"/>
          <w:szCs w:val="22"/>
          <w:lang w:val="sr-Latn-ME"/>
        </w:rPr>
        <w:t>više</w:t>
      </w:r>
      <w:r w:rsidRPr="009057DB">
        <w:rPr>
          <w:noProof/>
          <w:sz w:val="22"/>
          <w:szCs w:val="22"/>
          <w:lang w:val="sr-Latn-ME"/>
        </w:rPr>
        <w:t xml:space="preserve"> neželjen</w:t>
      </w:r>
      <w:r w:rsidR="007A6DEC" w:rsidRPr="009057DB">
        <w:rPr>
          <w:noProof/>
          <w:sz w:val="22"/>
          <w:szCs w:val="22"/>
          <w:lang w:val="sr-Latn-ME"/>
        </w:rPr>
        <w:t>ih</w:t>
      </w:r>
      <w:r w:rsidRPr="009057DB">
        <w:rPr>
          <w:noProof/>
          <w:sz w:val="22"/>
          <w:szCs w:val="22"/>
          <w:lang w:val="sr-Latn-ME"/>
        </w:rPr>
        <w:t xml:space="preserve"> reakcij</w:t>
      </w:r>
      <w:r w:rsidR="007A6DEC" w:rsidRPr="009057DB">
        <w:rPr>
          <w:noProof/>
          <w:sz w:val="22"/>
          <w:szCs w:val="22"/>
          <w:lang w:val="sr-Latn-ME"/>
        </w:rPr>
        <w:t>a</w:t>
      </w:r>
      <w:r w:rsidRPr="009057DB">
        <w:rPr>
          <w:noProof/>
          <w:sz w:val="22"/>
          <w:szCs w:val="22"/>
          <w:lang w:val="sr-Latn-ME"/>
        </w:rPr>
        <w:t xml:space="preserve"> </w:t>
      </w:r>
      <w:r w:rsidR="002152CB" w:rsidRPr="009057DB">
        <w:rPr>
          <w:noProof/>
          <w:sz w:val="22"/>
          <w:szCs w:val="22"/>
          <w:lang w:val="sr-Latn-ME"/>
        </w:rPr>
        <w:t xml:space="preserve">istovremeno </w:t>
      </w:r>
      <w:r w:rsidRPr="009057DB">
        <w:rPr>
          <w:noProof/>
          <w:sz w:val="22"/>
          <w:szCs w:val="22"/>
          <w:lang w:val="sr-Latn-ME"/>
        </w:rPr>
        <w:t>(na primjer, mialgija/artralgija, glavobolja, drh</w:t>
      </w:r>
      <w:r w:rsidR="005C7D33" w:rsidRPr="009057DB">
        <w:rPr>
          <w:noProof/>
          <w:sz w:val="22"/>
          <w:szCs w:val="22"/>
          <w:lang w:val="sr-Latn-ME"/>
        </w:rPr>
        <w:t>t</w:t>
      </w:r>
      <w:r w:rsidRPr="009057DB">
        <w:rPr>
          <w:noProof/>
          <w:sz w:val="22"/>
          <w:szCs w:val="22"/>
          <w:lang w:val="sr-Latn-ME"/>
        </w:rPr>
        <w:t>avica, pirek</w:t>
      </w:r>
      <w:r w:rsidR="00BB1DCA" w:rsidRPr="009057DB">
        <w:rPr>
          <w:noProof/>
          <w:sz w:val="22"/>
          <w:szCs w:val="22"/>
          <w:lang w:val="sr-Latn-ME"/>
        </w:rPr>
        <w:t>s</w:t>
      </w:r>
      <w:r w:rsidRPr="009057DB">
        <w:rPr>
          <w:noProof/>
          <w:sz w:val="22"/>
          <w:szCs w:val="22"/>
          <w:lang w:val="sr-Latn-ME"/>
        </w:rPr>
        <w:t>ija i malaksalost</w:t>
      </w:r>
      <w:r w:rsidR="007A6DEC" w:rsidRPr="009057DB">
        <w:rPr>
          <w:noProof/>
          <w:sz w:val="22"/>
          <w:szCs w:val="22"/>
          <w:lang w:val="sr-Latn-ME"/>
        </w:rPr>
        <w:t>)</w:t>
      </w:r>
      <w:r w:rsidRPr="009057DB">
        <w:rPr>
          <w:noProof/>
          <w:sz w:val="22"/>
          <w:szCs w:val="22"/>
          <w:lang w:val="sr-Latn-ME"/>
        </w:rPr>
        <w:t>.</w:t>
      </w:r>
    </w:p>
    <w:p w14:paraId="1B68248A" w14:textId="77777777" w:rsidR="00BD6182" w:rsidRPr="009057DB" w:rsidRDefault="00BD6182" w:rsidP="00376088">
      <w:pPr>
        <w:tabs>
          <w:tab w:val="left" w:pos="284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053EC15E" w14:textId="1270E604" w:rsidR="009A4AC3" w:rsidRPr="009057DB" w:rsidRDefault="009A4AC3" w:rsidP="00376088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9057DB">
        <w:rPr>
          <w:noProof/>
          <w:sz w:val="22"/>
          <w:szCs w:val="22"/>
          <w:lang w:val="sr-Latn-ME"/>
        </w:rPr>
        <w:lastRenderedPageBreak/>
        <w:t>U poređenju sa prvom dozom, neželjen</w:t>
      </w:r>
      <w:r w:rsidR="001F42D5" w:rsidRPr="009057DB">
        <w:rPr>
          <w:noProof/>
          <w:sz w:val="22"/>
          <w:szCs w:val="22"/>
          <w:lang w:val="sr-Latn-ME"/>
        </w:rPr>
        <w:t>e</w:t>
      </w:r>
      <w:r w:rsidRPr="009057DB">
        <w:rPr>
          <w:noProof/>
          <w:sz w:val="22"/>
          <w:szCs w:val="22"/>
          <w:lang w:val="sr-Latn-ME"/>
        </w:rPr>
        <w:t xml:space="preserve"> </w:t>
      </w:r>
      <w:r w:rsidR="001F42D5" w:rsidRPr="009057DB">
        <w:rPr>
          <w:noProof/>
          <w:sz w:val="22"/>
          <w:szCs w:val="22"/>
          <w:lang w:val="sr-Latn-ME"/>
        </w:rPr>
        <w:t>reakcije</w:t>
      </w:r>
      <w:r w:rsidRPr="009057DB">
        <w:rPr>
          <w:noProof/>
          <w:sz w:val="22"/>
          <w:szCs w:val="22"/>
          <w:lang w:val="sr-Latn-ME"/>
        </w:rPr>
        <w:t xml:space="preserve"> zabilježen</w:t>
      </w:r>
      <w:r w:rsidR="001F42D5" w:rsidRPr="009057DB">
        <w:rPr>
          <w:noProof/>
          <w:sz w:val="22"/>
          <w:szCs w:val="22"/>
          <w:lang w:val="sr-Latn-ME"/>
        </w:rPr>
        <w:t>e</w:t>
      </w:r>
      <w:r w:rsidRPr="009057DB">
        <w:rPr>
          <w:noProof/>
          <w:sz w:val="22"/>
          <w:szCs w:val="22"/>
          <w:lang w:val="sr-Latn-ME"/>
        </w:rPr>
        <w:t xml:space="preserve"> nakon druge doze bila su blaž</w:t>
      </w:r>
      <w:r w:rsidR="001F42D5" w:rsidRPr="009057DB">
        <w:rPr>
          <w:noProof/>
          <w:sz w:val="22"/>
          <w:szCs w:val="22"/>
          <w:lang w:val="sr-Latn-ME"/>
        </w:rPr>
        <w:t>e</w:t>
      </w:r>
      <w:r w:rsidRPr="009057DB">
        <w:rPr>
          <w:noProof/>
          <w:sz w:val="22"/>
          <w:szCs w:val="22"/>
          <w:lang w:val="sr-Latn-ME"/>
        </w:rPr>
        <w:t xml:space="preserve">, a njihova učestalost prijavljivanja rjeđa. </w:t>
      </w:r>
    </w:p>
    <w:p w14:paraId="6F2897CF" w14:textId="77777777" w:rsidR="00C715DD" w:rsidRPr="009057DB" w:rsidRDefault="00C715DD" w:rsidP="00376088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6AE3D925" w14:textId="79B4C82E" w:rsidR="00C715DD" w:rsidRPr="009057DB" w:rsidRDefault="00C715DD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noProof/>
          <w:sz w:val="22"/>
          <w:szCs w:val="22"/>
          <w:lang w:val="sr-Latn-ME"/>
        </w:rPr>
        <w:t>Reaktogenost je uglavnom bila blaža i r</w:t>
      </w:r>
      <w:r w:rsidR="008951DC" w:rsidRPr="009057DB">
        <w:rPr>
          <w:noProof/>
          <w:sz w:val="22"/>
          <w:szCs w:val="22"/>
          <w:lang w:val="sr-Latn-ME"/>
        </w:rPr>
        <w:t>j</w:t>
      </w:r>
      <w:r w:rsidRPr="009057DB">
        <w:rPr>
          <w:noProof/>
          <w:sz w:val="22"/>
          <w:szCs w:val="22"/>
          <w:lang w:val="sr-Latn-ME"/>
        </w:rPr>
        <w:t xml:space="preserve">eđe je prijavljena kod starijih </w:t>
      </w:r>
      <w:r w:rsidR="00745117" w:rsidRPr="009057DB">
        <w:rPr>
          <w:noProof/>
          <w:sz w:val="22"/>
          <w:szCs w:val="22"/>
          <w:lang w:val="sr-Latn-ME"/>
        </w:rPr>
        <w:t>odraslih osoba (</w:t>
      </w:r>
      <w:r w:rsidR="00E16D63" w:rsidRPr="009057DB">
        <w:rPr>
          <w:noProof/>
          <w:sz w:val="22"/>
          <w:szCs w:val="22"/>
          <w:lang w:val="sr-Latn-ME"/>
        </w:rPr>
        <w:t>≥</w:t>
      </w:r>
      <w:r w:rsidRPr="009057DB">
        <w:rPr>
          <w:noProof/>
          <w:sz w:val="22"/>
          <w:szCs w:val="22"/>
          <w:lang w:val="sr-Latn-ME"/>
        </w:rPr>
        <w:t>65 godina</w:t>
      </w:r>
      <w:r w:rsidR="00745117" w:rsidRPr="009057DB">
        <w:rPr>
          <w:noProof/>
          <w:sz w:val="22"/>
          <w:szCs w:val="22"/>
          <w:lang w:val="sr-Latn-ME"/>
        </w:rPr>
        <w:t>)</w:t>
      </w:r>
      <w:r w:rsidR="009717BF" w:rsidRPr="009057DB">
        <w:rPr>
          <w:noProof/>
          <w:sz w:val="22"/>
          <w:szCs w:val="22"/>
          <w:lang w:val="sr-Latn-ME"/>
        </w:rPr>
        <w:t>.</w:t>
      </w:r>
      <w:r w:rsidR="00A710DD" w:rsidRPr="009057DB">
        <w:rPr>
          <w:noProof/>
          <w:sz w:val="22"/>
          <w:szCs w:val="22"/>
          <w:lang w:val="sr-Latn-ME"/>
        </w:rPr>
        <w:t xml:space="preserve"> </w:t>
      </w:r>
    </w:p>
    <w:p w14:paraId="7F6298E2" w14:textId="77777777" w:rsidR="00BD6182" w:rsidRPr="009057DB" w:rsidRDefault="00BD6182" w:rsidP="00376088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2EAF3393" w14:textId="5BAAB8A9" w:rsidR="004E06EC" w:rsidRPr="009057DB" w:rsidRDefault="00C715DD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noProof/>
          <w:sz w:val="22"/>
          <w:szCs w:val="22"/>
          <w:lang w:val="sr-Latn-ME"/>
        </w:rPr>
        <w:t>Bezb</w:t>
      </w:r>
      <w:r w:rsidR="0043172B" w:rsidRPr="009057DB">
        <w:rPr>
          <w:noProof/>
          <w:sz w:val="22"/>
          <w:szCs w:val="22"/>
          <w:lang w:val="sr-Latn-ME"/>
        </w:rPr>
        <w:t>j</w:t>
      </w:r>
      <w:r w:rsidRPr="009057DB">
        <w:rPr>
          <w:noProof/>
          <w:sz w:val="22"/>
          <w:szCs w:val="22"/>
          <w:lang w:val="sr-Latn-ME"/>
        </w:rPr>
        <w:t>ednosni profil bio je dosl</w:t>
      </w:r>
      <w:r w:rsidR="0043172B" w:rsidRPr="009057DB">
        <w:rPr>
          <w:noProof/>
          <w:sz w:val="22"/>
          <w:szCs w:val="22"/>
          <w:lang w:val="sr-Latn-ME"/>
        </w:rPr>
        <w:t>j</w:t>
      </w:r>
      <w:r w:rsidRPr="009057DB">
        <w:rPr>
          <w:noProof/>
          <w:sz w:val="22"/>
          <w:szCs w:val="22"/>
          <w:lang w:val="sr-Latn-ME"/>
        </w:rPr>
        <w:t xml:space="preserve">edan </w:t>
      </w:r>
      <w:r w:rsidR="005C0ABD" w:rsidRPr="009057DB">
        <w:rPr>
          <w:noProof/>
          <w:sz w:val="22"/>
          <w:szCs w:val="22"/>
          <w:lang w:val="sr-Latn-ME"/>
        </w:rPr>
        <w:t xml:space="preserve">kod svih ispitanika </w:t>
      </w:r>
      <w:r w:rsidR="00DB389B" w:rsidRPr="009057DB">
        <w:rPr>
          <w:noProof/>
          <w:sz w:val="22"/>
          <w:szCs w:val="22"/>
          <w:lang w:val="sr-Latn-ME"/>
        </w:rPr>
        <w:t xml:space="preserve">nezavisno od prethodno pristunih dokaza </w:t>
      </w:r>
      <w:r w:rsidR="00105B19" w:rsidRPr="009057DB">
        <w:rPr>
          <w:noProof/>
          <w:sz w:val="22"/>
          <w:szCs w:val="22"/>
          <w:lang w:val="sr-Latn-ME"/>
        </w:rPr>
        <w:t xml:space="preserve">infekcije virusom </w:t>
      </w:r>
      <w:r w:rsidRPr="009057DB">
        <w:rPr>
          <w:sz w:val="22"/>
          <w:szCs w:val="22"/>
          <w:lang w:val="sr-Latn-ME"/>
        </w:rPr>
        <w:t>SARS-CoV-2 na početku</w:t>
      </w:r>
      <w:r w:rsidR="00106030" w:rsidRPr="009057DB">
        <w:rPr>
          <w:sz w:val="22"/>
          <w:szCs w:val="22"/>
          <w:lang w:val="sr-Latn-ME"/>
        </w:rPr>
        <w:t xml:space="preserve"> ispitivanja</w:t>
      </w:r>
      <w:r w:rsidR="00731951" w:rsidRPr="009057DB">
        <w:rPr>
          <w:sz w:val="22"/>
          <w:szCs w:val="22"/>
          <w:lang w:val="sr-Latn-ME"/>
        </w:rPr>
        <w:t>.</w:t>
      </w:r>
      <w:r w:rsidRPr="009057DB">
        <w:rPr>
          <w:sz w:val="22"/>
          <w:szCs w:val="22"/>
          <w:lang w:val="sr-Latn-ME"/>
        </w:rPr>
        <w:t xml:space="preserve"> </w:t>
      </w:r>
    </w:p>
    <w:p w14:paraId="75759763" w14:textId="5E8E7762" w:rsidR="004E06EC" w:rsidRPr="009057DB" w:rsidRDefault="004E06EC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D1E4BF3" w14:textId="77777777" w:rsidR="00A82BAD" w:rsidRPr="009057DB" w:rsidRDefault="00A82BAD" w:rsidP="00A82BAD">
      <w:pPr>
        <w:tabs>
          <w:tab w:val="left" w:pos="284"/>
        </w:tabs>
        <w:spacing w:line="276" w:lineRule="auto"/>
        <w:jc w:val="both"/>
        <w:rPr>
          <w:rFonts w:eastAsia="Calibri"/>
          <w:sz w:val="22"/>
          <w:szCs w:val="22"/>
          <w:lang w:val="sr-Latn-RS"/>
        </w:rPr>
      </w:pPr>
      <w:r w:rsidRPr="009057DB">
        <w:rPr>
          <w:rFonts w:eastAsia="Calibri"/>
          <w:sz w:val="22"/>
          <w:szCs w:val="22"/>
          <w:lang w:val="sr-Latn-RS"/>
        </w:rPr>
        <w:t>Booster doza (treća doza)</w:t>
      </w:r>
    </w:p>
    <w:p w14:paraId="3E549A6B" w14:textId="77777777" w:rsidR="00A82BAD" w:rsidRPr="009057DB" w:rsidRDefault="00A82BAD" w:rsidP="00A82BAD">
      <w:pPr>
        <w:tabs>
          <w:tab w:val="left" w:pos="284"/>
        </w:tabs>
        <w:spacing w:line="276" w:lineRule="auto"/>
        <w:jc w:val="both"/>
        <w:rPr>
          <w:rFonts w:eastAsia="Calibri"/>
          <w:sz w:val="22"/>
          <w:szCs w:val="22"/>
          <w:lang w:val="sr-Latn-RS"/>
        </w:rPr>
      </w:pPr>
    </w:p>
    <w:p w14:paraId="4EB4DF80" w14:textId="38CB89C2" w:rsidR="00A82BAD" w:rsidRPr="009057DB" w:rsidRDefault="00A82BAD" w:rsidP="00A82BAD">
      <w:pPr>
        <w:tabs>
          <w:tab w:val="left" w:pos="284"/>
        </w:tabs>
        <w:spacing w:line="276" w:lineRule="auto"/>
        <w:jc w:val="both"/>
        <w:rPr>
          <w:rFonts w:eastAsia="Calibri"/>
          <w:sz w:val="22"/>
          <w:szCs w:val="22"/>
          <w:lang w:val="sr-Latn-RS"/>
        </w:rPr>
      </w:pPr>
      <w:r w:rsidRPr="009057DB">
        <w:rPr>
          <w:rFonts w:eastAsia="Calibri"/>
          <w:sz w:val="22"/>
          <w:szCs w:val="22"/>
          <w:lang w:val="sr-Latn-RS"/>
        </w:rPr>
        <w:t>Bezbjednosni profil primijećen kod pojedinaca koji su primili dodatnu dozu (</w:t>
      </w:r>
      <w:r w:rsidRPr="009057DB">
        <w:rPr>
          <w:rFonts w:eastAsia="Calibri"/>
          <w:i/>
          <w:iCs/>
          <w:sz w:val="22"/>
          <w:szCs w:val="22"/>
          <w:lang w:val="sr-Latn-RS"/>
        </w:rPr>
        <w:t>booster,</w:t>
      </w:r>
      <w:r w:rsidRPr="009057DB">
        <w:rPr>
          <w:rFonts w:eastAsia="Calibri"/>
          <w:sz w:val="22"/>
          <w:szCs w:val="22"/>
          <w:lang w:val="sr-Latn-RS"/>
        </w:rPr>
        <w:t xml:space="preserve"> treću doza) bio je u skladu sa poznatim bezbjednosnim profilom vakcin</w:t>
      </w:r>
      <w:r w:rsidR="00663A7F">
        <w:rPr>
          <w:rFonts w:eastAsia="Calibri"/>
          <w:sz w:val="22"/>
          <w:szCs w:val="22"/>
          <w:lang w:val="sr-Latn-RS"/>
        </w:rPr>
        <w:t>e</w:t>
      </w:r>
      <w:r w:rsidRPr="009057DB">
        <w:rPr>
          <w:rFonts w:eastAsia="Calibri"/>
          <w:sz w:val="22"/>
          <w:szCs w:val="22"/>
          <w:lang w:val="sr-Latn-RS"/>
        </w:rPr>
        <w:t xml:space="preserve"> Vaxzevria. Nijesu otkriveni novi problemi u pogledu bezbjednosti, u poređenju sa neželjenim reakcijama prijavljenim za primarni proces vakcinacije vakcinom Vaxzevria, kod pojedinaca koji su primali dopunsku dozu vakcine Vaxzevria. </w:t>
      </w:r>
    </w:p>
    <w:p w14:paraId="0BEF092B" w14:textId="77777777" w:rsidR="00A82BAD" w:rsidRPr="009057DB" w:rsidRDefault="00A82BAD" w:rsidP="00A82BAD">
      <w:pPr>
        <w:tabs>
          <w:tab w:val="left" w:pos="284"/>
        </w:tabs>
        <w:spacing w:line="276" w:lineRule="auto"/>
        <w:jc w:val="both"/>
        <w:rPr>
          <w:rFonts w:eastAsia="Calibri"/>
          <w:sz w:val="22"/>
          <w:szCs w:val="22"/>
          <w:lang w:val="sr-Latn-RS"/>
        </w:rPr>
      </w:pPr>
    </w:p>
    <w:p w14:paraId="6C3F7E06" w14:textId="77777777" w:rsidR="00A82BAD" w:rsidRPr="009057DB" w:rsidRDefault="00A82BAD" w:rsidP="00A82BAD">
      <w:pPr>
        <w:tabs>
          <w:tab w:val="left" w:pos="284"/>
        </w:tabs>
        <w:spacing w:line="276" w:lineRule="auto"/>
        <w:jc w:val="both"/>
        <w:rPr>
          <w:rFonts w:eastAsia="Calibri"/>
          <w:sz w:val="22"/>
          <w:szCs w:val="22"/>
          <w:lang w:val="sr-Latn-RS"/>
        </w:rPr>
      </w:pPr>
      <w:r w:rsidRPr="009057DB">
        <w:rPr>
          <w:rFonts w:eastAsia="Calibri"/>
          <w:i/>
          <w:iCs/>
          <w:sz w:val="22"/>
          <w:szCs w:val="22"/>
          <w:lang w:val="sr-Latn-RS"/>
        </w:rPr>
        <w:t>Booster</w:t>
      </w:r>
      <w:r w:rsidRPr="009057DB">
        <w:rPr>
          <w:rFonts w:eastAsia="Calibri"/>
          <w:sz w:val="22"/>
          <w:szCs w:val="22"/>
          <w:lang w:val="sr-Latn-RS"/>
        </w:rPr>
        <w:t xml:space="preserve"> doza (treća doza) nakon primarnog procesa vakcinacije vakcinom Vaxzevria</w:t>
      </w:r>
    </w:p>
    <w:p w14:paraId="5AD2B05A" w14:textId="77777777" w:rsidR="00A82BAD" w:rsidRPr="009057DB" w:rsidRDefault="00A82BAD" w:rsidP="00A82BAD">
      <w:pPr>
        <w:tabs>
          <w:tab w:val="left" w:pos="284"/>
        </w:tabs>
        <w:spacing w:line="276" w:lineRule="auto"/>
        <w:jc w:val="both"/>
        <w:rPr>
          <w:rFonts w:eastAsia="Calibri"/>
          <w:sz w:val="22"/>
          <w:szCs w:val="22"/>
          <w:lang w:val="sr-Latn-RS"/>
        </w:rPr>
      </w:pPr>
    </w:p>
    <w:p w14:paraId="5FC4566B" w14:textId="013E3A3E" w:rsidR="00A82BAD" w:rsidRPr="009057DB" w:rsidRDefault="00A82BAD" w:rsidP="00A82BAD">
      <w:pPr>
        <w:tabs>
          <w:tab w:val="left" w:pos="284"/>
        </w:tabs>
        <w:spacing w:line="276" w:lineRule="auto"/>
        <w:jc w:val="both"/>
        <w:rPr>
          <w:rFonts w:eastAsia="Calibri"/>
          <w:sz w:val="22"/>
          <w:szCs w:val="22"/>
          <w:lang w:val="sr-Latn-RS"/>
        </w:rPr>
      </w:pPr>
      <w:r w:rsidRPr="009057DB">
        <w:rPr>
          <w:rFonts w:eastAsia="Calibri"/>
          <w:sz w:val="22"/>
          <w:szCs w:val="22"/>
          <w:lang w:val="sr-Latn-RS"/>
        </w:rPr>
        <w:t>U studiji D7220C00001,</w:t>
      </w:r>
      <w:r w:rsidR="00663A7F">
        <w:rPr>
          <w:rFonts w:eastAsia="Calibri"/>
          <w:sz w:val="22"/>
          <w:szCs w:val="22"/>
          <w:lang w:val="sr-Latn-RS"/>
        </w:rPr>
        <w:t xml:space="preserve"> </w:t>
      </w:r>
      <w:r w:rsidRPr="009057DB">
        <w:rPr>
          <w:rFonts w:eastAsia="Calibri"/>
          <w:sz w:val="22"/>
          <w:szCs w:val="22"/>
          <w:lang w:val="sr-Latn-RS"/>
        </w:rPr>
        <w:t xml:space="preserve">bilo je uključeno 367 </w:t>
      </w:r>
      <w:r w:rsidR="00FF331F">
        <w:rPr>
          <w:rFonts w:eastAsia="Calibri"/>
          <w:sz w:val="22"/>
          <w:szCs w:val="22"/>
          <w:lang w:val="sr-Latn-RS"/>
        </w:rPr>
        <w:t>ispitanika</w:t>
      </w:r>
      <w:r w:rsidRPr="009057DB">
        <w:rPr>
          <w:rFonts w:eastAsia="Calibri"/>
          <w:sz w:val="22"/>
          <w:szCs w:val="22"/>
          <w:lang w:val="sr-Latn-RS"/>
        </w:rPr>
        <w:t xml:space="preserve"> koji su prethodno primarno primili 2 doze vakcine Vaxzevria, a potom primili dodatnu dozu (treću dozu) vakcine Vaxzevria. </w:t>
      </w:r>
      <w:r w:rsidR="00663A7F">
        <w:rPr>
          <w:rFonts w:eastAsia="Calibri"/>
          <w:sz w:val="22"/>
          <w:szCs w:val="22"/>
          <w:lang w:val="sr-Latn-RS"/>
        </w:rPr>
        <w:t>Medijana vremena</w:t>
      </w:r>
      <w:r w:rsidRPr="009057DB">
        <w:rPr>
          <w:rFonts w:eastAsia="Calibri"/>
          <w:sz w:val="22"/>
          <w:szCs w:val="22"/>
          <w:lang w:val="sr-Latn-RS"/>
        </w:rPr>
        <w:t xml:space="preserve"> između </w:t>
      </w:r>
      <w:r w:rsidR="00663A7F">
        <w:rPr>
          <w:rFonts w:eastAsia="Calibri"/>
          <w:sz w:val="22"/>
          <w:szCs w:val="22"/>
          <w:lang w:val="sr-Latn-RS"/>
        </w:rPr>
        <w:t xml:space="preserve">primjene </w:t>
      </w:r>
      <w:r w:rsidRPr="009057DB">
        <w:rPr>
          <w:rFonts w:eastAsia="Calibri"/>
          <w:sz w:val="22"/>
          <w:szCs w:val="22"/>
          <w:lang w:val="sr-Latn-RS"/>
        </w:rPr>
        <w:t>druge doze i treće doze bil</w:t>
      </w:r>
      <w:r w:rsidR="00663A7F">
        <w:rPr>
          <w:rFonts w:eastAsia="Calibri"/>
          <w:sz w:val="22"/>
          <w:szCs w:val="22"/>
          <w:lang w:val="sr-Latn-RS"/>
        </w:rPr>
        <w:t>a</w:t>
      </w:r>
      <w:r w:rsidRPr="009057DB">
        <w:rPr>
          <w:rFonts w:eastAsia="Calibri"/>
          <w:sz w:val="22"/>
          <w:szCs w:val="22"/>
          <w:lang w:val="sr-Latn-RS"/>
        </w:rPr>
        <w:t xml:space="preserve"> je 8,6 mjeseci (263 dana).</w:t>
      </w:r>
    </w:p>
    <w:p w14:paraId="0A342C07" w14:textId="77777777" w:rsidR="00A82BAD" w:rsidRPr="009057DB" w:rsidRDefault="00A82BAD" w:rsidP="00A82BAD">
      <w:pPr>
        <w:tabs>
          <w:tab w:val="left" w:pos="284"/>
        </w:tabs>
        <w:spacing w:line="276" w:lineRule="auto"/>
        <w:jc w:val="both"/>
        <w:rPr>
          <w:rFonts w:eastAsia="Calibri"/>
          <w:sz w:val="22"/>
          <w:szCs w:val="22"/>
          <w:lang w:val="sr-Latn-RS"/>
        </w:rPr>
      </w:pPr>
    </w:p>
    <w:p w14:paraId="0E89C444" w14:textId="4B4D0E20" w:rsidR="00A82BAD" w:rsidRPr="009057DB" w:rsidRDefault="00A82BAD" w:rsidP="00A82BAD">
      <w:pPr>
        <w:tabs>
          <w:tab w:val="left" w:pos="284"/>
        </w:tabs>
        <w:spacing w:line="276" w:lineRule="auto"/>
        <w:jc w:val="both"/>
        <w:rPr>
          <w:rFonts w:eastAsia="Calibri"/>
          <w:sz w:val="22"/>
          <w:szCs w:val="22"/>
          <w:lang w:val="sr-Latn-RS"/>
        </w:rPr>
      </w:pPr>
      <w:r w:rsidRPr="009057DB">
        <w:rPr>
          <w:rFonts w:eastAsia="Calibri"/>
          <w:sz w:val="22"/>
          <w:szCs w:val="22"/>
          <w:lang w:val="sr-Latn-RS"/>
        </w:rPr>
        <w:t xml:space="preserve">Najčešće prijavljivane neželjene reakcije, kod </w:t>
      </w:r>
      <w:r w:rsidR="00FF331F">
        <w:rPr>
          <w:rFonts w:eastAsia="Calibri"/>
          <w:sz w:val="22"/>
          <w:szCs w:val="22"/>
          <w:lang w:val="sr-Latn-RS"/>
        </w:rPr>
        <w:t>ispitanika</w:t>
      </w:r>
      <w:r w:rsidRPr="009057DB">
        <w:rPr>
          <w:rFonts w:eastAsia="Calibri"/>
          <w:sz w:val="22"/>
          <w:szCs w:val="22"/>
          <w:lang w:val="sr-Latn-RS"/>
        </w:rPr>
        <w:t xml:space="preserve"> koji su prethodno vakcinisani vakcinom Vaxzevria, bile su: osjetljivost na mjestu injekcije (54%), umor (43%), bol na mjestu injekcije (38%), glavobolja (34%), mialgija (23%) i malaksalost (22 %). Većina ovih neželjenih reakcija su bile blage do umjerene težine i obično su se povukle u roku od nekoliko dana od vakcinacije.</w:t>
      </w:r>
    </w:p>
    <w:p w14:paraId="563B0F43" w14:textId="77777777" w:rsidR="00A82BAD" w:rsidRPr="009057DB" w:rsidRDefault="00A82BAD" w:rsidP="00A82BAD">
      <w:pPr>
        <w:tabs>
          <w:tab w:val="left" w:pos="284"/>
        </w:tabs>
        <w:spacing w:line="276" w:lineRule="auto"/>
        <w:jc w:val="both"/>
        <w:rPr>
          <w:rFonts w:eastAsia="Calibri"/>
          <w:sz w:val="22"/>
          <w:szCs w:val="22"/>
          <w:lang w:val="sr-Latn-RS"/>
        </w:rPr>
      </w:pPr>
    </w:p>
    <w:p w14:paraId="32C55DC6" w14:textId="0545D113" w:rsidR="00A82BAD" w:rsidRPr="009057DB" w:rsidRDefault="00A82BAD" w:rsidP="00A82BAD">
      <w:pPr>
        <w:tabs>
          <w:tab w:val="left" w:pos="284"/>
        </w:tabs>
        <w:spacing w:line="276" w:lineRule="auto"/>
        <w:jc w:val="both"/>
        <w:rPr>
          <w:rFonts w:eastAsia="Calibri"/>
          <w:sz w:val="22"/>
          <w:szCs w:val="22"/>
          <w:lang w:val="sr-Latn-RS"/>
        </w:rPr>
      </w:pPr>
      <w:r w:rsidRPr="009057DB">
        <w:rPr>
          <w:rFonts w:eastAsia="Calibri"/>
          <w:i/>
          <w:iCs/>
          <w:sz w:val="22"/>
          <w:szCs w:val="22"/>
          <w:lang w:val="sr-Latn-RS"/>
        </w:rPr>
        <w:t>Booster</w:t>
      </w:r>
      <w:r w:rsidRPr="009057DB">
        <w:rPr>
          <w:rFonts w:eastAsia="Calibri"/>
          <w:sz w:val="22"/>
          <w:szCs w:val="22"/>
          <w:lang w:val="sr-Latn-RS"/>
        </w:rPr>
        <w:t xml:space="preserve"> doza (treća doza) nakon primarne vakcinacije odobrenom mRNA </w:t>
      </w:r>
      <w:r w:rsidR="00E0734F" w:rsidRPr="009057DB">
        <w:rPr>
          <w:rFonts w:eastAsia="Calibri"/>
          <w:sz w:val="22"/>
          <w:szCs w:val="22"/>
          <w:lang w:val="sr-Latn-RS"/>
        </w:rPr>
        <w:t xml:space="preserve">vakcinom </w:t>
      </w:r>
      <w:r w:rsidR="00E0734F">
        <w:rPr>
          <w:rFonts w:eastAsia="Calibri"/>
          <w:sz w:val="22"/>
          <w:szCs w:val="22"/>
          <w:lang w:val="sr-Latn-RS"/>
        </w:rPr>
        <w:t xml:space="preserve">protiv </w:t>
      </w:r>
      <w:r w:rsidRPr="009057DB">
        <w:rPr>
          <w:rFonts w:eastAsia="Calibri"/>
          <w:sz w:val="22"/>
          <w:szCs w:val="22"/>
          <w:lang w:val="sr-Latn-RS"/>
        </w:rPr>
        <w:t>COVID</w:t>
      </w:r>
      <w:r w:rsidR="00E0734F">
        <w:rPr>
          <w:rFonts w:eastAsia="Calibri"/>
          <w:sz w:val="22"/>
          <w:szCs w:val="22"/>
          <w:lang w:val="sr-Latn-RS"/>
        </w:rPr>
        <w:t>-</w:t>
      </w:r>
      <w:r w:rsidRPr="009057DB">
        <w:rPr>
          <w:rFonts w:eastAsia="Calibri"/>
          <w:sz w:val="22"/>
          <w:szCs w:val="22"/>
          <w:lang w:val="sr-Latn-RS"/>
        </w:rPr>
        <w:t xml:space="preserve">19 </w:t>
      </w:r>
    </w:p>
    <w:p w14:paraId="58AB4600" w14:textId="77777777" w:rsidR="00A82BAD" w:rsidRPr="009057DB" w:rsidRDefault="00A82BAD" w:rsidP="00A82BAD">
      <w:pPr>
        <w:tabs>
          <w:tab w:val="left" w:pos="284"/>
        </w:tabs>
        <w:spacing w:line="276" w:lineRule="auto"/>
        <w:jc w:val="both"/>
        <w:rPr>
          <w:rFonts w:eastAsia="Calibri"/>
          <w:sz w:val="22"/>
          <w:szCs w:val="22"/>
          <w:lang w:val="sr-Latn-RS"/>
        </w:rPr>
      </w:pPr>
    </w:p>
    <w:p w14:paraId="3DA95C5F" w14:textId="2E6CEFEB" w:rsidR="00A82BAD" w:rsidRPr="009057DB" w:rsidRDefault="00A82BAD" w:rsidP="00A82BAD">
      <w:pPr>
        <w:tabs>
          <w:tab w:val="left" w:pos="284"/>
        </w:tabs>
        <w:spacing w:line="276" w:lineRule="auto"/>
        <w:jc w:val="both"/>
        <w:rPr>
          <w:rFonts w:eastAsia="Calibri"/>
          <w:sz w:val="22"/>
          <w:szCs w:val="22"/>
          <w:lang w:val="sr-Latn-RS"/>
        </w:rPr>
      </w:pPr>
      <w:r w:rsidRPr="009057DB">
        <w:rPr>
          <w:rFonts w:eastAsia="Calibri"/>
          <w:sz w:val="22"/>
          <w:szCs w:val="22"/>
          <w:lang w:val="sr-Latn-RS"/>
        </w:rPr>
        <w:t>U studiji D7220C00001, bil</w:t>
      </w:r>
      <w:r w:rsidR="00663A7F">
        <w:rPr>
          <w:rFonts w:eastAsia="Calibri"/>
          <w:sz w:val="22"/>
          <w:szCs w:val="22"/>
          <w:lang w:val="sr-Latn-RS"/>
        </w:rPr>
        <w:t>a su</w:t>
      </w:r>
      <w:r w:rsidRPr="009057DB">
        <w:rPr>
          <w:rFonts w:eastAsia="Calibri"/>
          <w:sz w:val="22"/>
          <w:szCs w:val="22"/>
          <w:lang w:val="sr-Latn-RS"/>
        </w:rPr>
        <w:t xml:space="preserve"> uključen</w:t>
      </w:r>
      <w:r w:rsidR="00663A7F">
        <w:rPr>
          <w:rFonts w:eastAsia="Calibri"/>
          <w:sz w:val="22"/>
          <w:szCs w:val="22"/>
          <w:lang w:val="sr-Latn-RS"/>
        </w:rPr>
        <w:t>a</w:t>
      </w:r>
      <w:r w:rsidRPr="009057DB">
        <w:rPr>
          <w:rFonts w:eastAsia="Calibri"/>
          <w:sz w:val="22"/>
          <w:szCs w:val="22"/>
          <w:lang w:val="sr-Latn-RS"/>
        </w:rPr>
        <w:t xml:space="preserve"> 322</w:t>
      </w:r>
      <w:r w:rsidR="00663A7F">
        <w:rPr>
          <w:rFonts w:eastAsia="Calibri"/>
          <w:sz w:val="22"/>
          <w:szCs w:val="22"/>
          <w:lang w:val="sr-Latn-RS"/>
        </w:rPr>
        <w:t xml:space="preserve"> ispitanika</w:t>
      </w:r>
      <w:r w:rsidRPr="009057DB">
        <w:rPr>
          <w:rFonts w:eastAsia="Calibri"/>
          <w:sz w:val="22"/>
          <w:szCs w:val="22"/>
          <w:lang w:val="sr-Latn-RS"/>
        </w:rPr>
        <w:t xml:space="preserve"> koji su prethodno prethodno primarno primili 2 doze odobrene mRNA vakcine</w:t>
      </w:r>
      <w:r w:rsidR="00E0734F" w:rsidRPr="00E0734F">
        <w:rPr>
          <w:rFonts w:eastAsia="Calibri"/>
          <w:sz w:val="22"/>
          <w:szCs w:val="22"/>
          <w:lang w:val="sr-Latn-RS"/>
        </w:rPr>
        <w:t xml:space="preserve"> </w:t>
      </w:r>
      <w:r w:rsidR="00E0734F">
        <w:rPr>
          <w:rFonts w:eastAsia="Calibri"/>
          <w:sz w:val="22"/>
          <w:szCs w:val="22"/>
          <w:lang w:val="sr-Latn-RS"/>
        </w:rPr>
        <w:t xml:space="preserve">protiv </w:t>
      </w:r>
      <w:r w:rsidR="00E0734F" w:rsidRPr="009057DB">
        <w:rPr>
          <w:rFonts w:eastAsia="Calibri"/>
          <w:sz w:val="22"/>
          <w:szCs w:val="22"/>
          <w:lang w:val="sr-Latn-RS"/>
        </w:rPr>
        <w:t>COVID-19</w:t>
      </w:r>
      <w:r w:rsidRPr="009057DB">
        <w:rPr>
          <w:rFonts w:eastAsia="Calibri"/>
          <w:sz w:val="22"/>
          <w:szCs w:val="22"/>
          <w:lang w:val="sr-Latn-RS"/>
        </w:rPr>
        <w:t xml:space="preserve">, a potom primili dodatnu dozu (treću dozu) vakcine Vaxzevria. </w:t>
      </w:r>
      <w:r w:rsidR="00FF331F">
        <w:rPr>
          <w:rFonts w:eastAsia="Calibri"/>
          <w:sz w:val="22"/>
          <w:szCs w:val="22"/>
          <w:lang w:val="sr-Latn-RS"/>
        </w:rPr>
        <w:t>Medijana vremena</w:t>
      </w:r>
      <w:r w:rsidRPr="009057DB">
        <w:rPr>
          <w:rFonts w:eastAsia="Calibri"/>
          <w:sz w:val="22"/>
          <w:szCs w:val="22"/>
          <w:lang w:val="sr-Latn-RS"/>
        </w:rPr>
        <w:t xml:space="preserve"> između </w:t>
      </w:r>
      <w:r w:rsidR="00FF331F">
        <w:rPr>
          <w:rFonts w:eastAsia="Calibri"/>
          <w:sz w:val="22"/>
          <w:szCs w:val="22"/>
          <w:lang w:val="sr-Latn-RS"/>
        </w:rPr>
        <w:t xml:space="preserve">primjene </w:t>
      </w:r>
      <w:r w:rsidRPr="009057DB">
        <w:rPr>
          <w:rFonts w:eastAsia="Calibri"/>
          <w:sz w:val="22"/>
          <w:szCs w:val="22"/>
          <w:lang w:val="sr-Latn-RS"/>
        </w:rPr>
        <w:t>druge doze i treće doze bil</w:t>
      </w:r>
      <w:r w:rsidR="00FF331F">
        <w:rPr>
          <w:rFonts w:eastAsia="Calibri"/>
          <w:sz w:val="22"/>
          <w:szCs w:val="22"/>
          <w:lang w:val="sr-Latn-RS"/>
        </w:rPr>
        <w:t>a</w:t>
      </w:r>
      <w:r w:rsidRPr="009057DB">
        <w:rPr>
          <w:rFonts w:eastAsia="Calibri"/>
          <w:sz w:val="22"/>
          <w:szCs w:val="22"/>
          <w:lang w:val="sr-Latn-RS"/>
        </w:rPr>
        <w:t xml:space="preserve"> je 3,9 mjeseci (119 dana).</w:t>
      </w:r>
    </w:p>
    <w:p w14:paraId="25497158" w14:textId="77777777" w:rsidR="00A82BAD" w:rsidRPr="009057DB" w:rsidRDefault="00A82BAD" w:rsidP="00A82BAD">
      <w:pPr>
        <w:tabs>
          <w:tab w:val="left" w:pos="284"/>
        </w:tabs>
        <w:spacing w:line="276" w:lineRule="auto"/>
        <w:jc w:val="both"/>
        <w:rPr>
          <w:rFonts w:eastAsia="Calibri"/>
          <w:sz w:val="22"/>
          <w:szCs w:val="22"/>
          <w:lang w:val="sr-Latn-RS"/>
        </w:rPr>
      </w:pPr>
    </w:p>
    <w:p w14:paraId="0D8E05BA" w14:textId="243CD0F5" w:rsidR="00A82BAD" w:rsidRPr="009057DB" w:rsidRDefault="00A82BAD" w:rsidP="00A82BAD">
      <w:pPr>
        <w:tabs>
          <w:tab w:val="left" w:pos="284"/>
        </w:tabs>
        <w:spacing w:line="276" w:lineRule="auto"/>
        <w:jc w:val="both"/>
        <w:rPr>
          <w:rFonts w:eastAsia="Calibri"/>
          <w:sz w:val="22"/>
          <w:szCs w:val="22"/>
          <w:lang w:val="sr-Latn-RS"/>
        </w:rPr>
      </w:pPr>
      <w:r w:rsidRPr="009057DB">
        <w:rPr>
          <w:rFonts w:eastAsia="Calibri"/>
          <w:sz w:val="22"/>
          <w:szCs w:val="22"/>
          <w:lang w:val="sr-Latn-RS"/>
        </w:rPr>
        <w:t xml:space="preserve">Najčešće prijavljene neželjene reakcije kod </w:t>
      </w:r>
      <w:r w:rsidR="00FF331F">
        <w:rPr>
          <w:rFonts w:eastAsia="Calibri"/>
          <w:sz w:val="22"/>
          <w:szCs w:val="22"/>
          <w:lang w:val="sr-Latn-RS"/>
        </w:rPr>
        <w:t>ispitanika</w:t>
      </w:r>
      <w:r w:rsidRPr="009057DB">
        <w:rPr>
          <w:rFonts w:eastAsia="Calibri"/>
          <w:sz w:val="22"/>
          <w:szCs w:val="22"/>
          <w:lang w:val="sr-Latn-RS"/>
        </w:rPr>
        <w:t xml:space="preserve"> koji su prethodno vakcinisani mRNK vakcinom bile su: osjetljivost na mjestu injekcije (71%), umor (58%), glavobolja (52%), bol na mjestu injekcije (50%), mialgija (47%), malaksalost (42%) ), osjećaj hladnoće (31%) i mučnina (21%). Većina ovih neželjenih reakcija bile su blage do umjerene težine i obično su se povukle u roku od nekoliko dana od vakcinacije.</w:t>
      </w:r>
    </w:p>
    <w:p w14:paraId="1A86D0E2" w14:textId="77777777" w:rsidR="00A82BAD" w:rsidRPr="009057DB" w:rsidRDefault="00A82BAD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8FEC50A" w14:textId="6E0E9A42" w:rsidR="00C715DD" w:rsidRPr="009057DB" w:rsidRDefault="00C715DD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9057DB">
        <w:rPr>
          <w:sz w:val="22"/>
          <w:szCs w:val="22"/>
          <w:u w:val="single"/>
          <w:lang w:val="sr-Latn-ME"/>
        </w:rPr>
        <w:t xml:space="preserve">Tabelarni prikaz neželjenih </w:t>
      </w:r>
      <w:r w:rsidR="00E77860" w:rsidRPr="009057DB">
        <w:rPr>
          <w:sz w:val="22"/>
          <w:szCs w:val="22"/>
          <w:u w:val="single"/>
          <w:lang w:val="sr-Latn-ME"/>
        </w:rPr>
        <w:t>reakcija</w:t>
      </w:r>
    </w:p>
    <w:p w14:paraId="30D9CA41" w14:textId="77777777" w:rsidR="00C715DD" w:rsidRPr="009057DB" w:rsidRDefault="00C715DD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39144B7C" w14:textId="77777777" w:rsidR="00B00AF6" w:rsidRPr="009057DB" w:rsidRDefault="00B00AF6" w:rsidP="00376088">
      <w:pPr>
        <w:widowControl w:val="0"/>
        <w:autoSpaceDE w:val="0"/>
        <w:autoSpaceDN w:val="0"/>
        <w:ind w:right="414" w:hanging="10"/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 xml:space="preserve">Bezbjednosni profil prikazan ispod se zasniva na analizi podataka iz pet kliničkih studija koje su uključile pacijente starije od 18 godina (objedinjeni podaci iz četiri klinička ispitivanja sprovedena u Velikoj Britaniji, Brazilu i Južnoj Africi i podaci iz jednog ispitivanja sprovedenog u Sjedinjenim Američkim državama, Peruu i Čileu) i podataka iz postmarketinškog perioda. </w:t>
      </w:r>
    </w:p>
    <w:p w14:paraId="2E30ED3E" w14:textId="5B1FAD99" w:rsidR="00C715DD" w:rsidRPr="009057DB" w:rsidRDefault="00C715DD" w:rsidP="00376088">
      <w:pPr>
        <w:widowControl w:val="0"/>
        <w:autoSpaceDE w:val="0"/>
        <w:autoSpaceDN w:val="0"/>
        <w:ind w:right="414" w:hanging="10"/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Neželjen</w:t>
      </w:r>
      <w:r w:rsidR="003644AC" w:rsidRPr="009057DB">
        <w:rPr>
          <w:sz w:val="22"/>
          <w:szCs w:val="22"/>
          <w:lang w:val="sr-Latn-ME"/>
        </w:rPr>
        <w:t>a</w:t>
      </w:r>
      <w:r w:rsidRPr="009057DB">
        <w:rPr>
          <w:sz w:val="22"/>
          <w:szCs w:val="22"/>
          <w:lang w:val="sr-Latn-ME"/>
        </w:rPr>
        <w:t xml:space="preserve"> </w:t>
      </w:r>
      <w:r w:rsidR="003644AC" w:rsidRPr="009057DB">
        <w:rPr>
          <w:sz w:val="22"/>
          <w:szCs w:val="22"/>
          <w:lang w:val="sr-Latn-ME"/>
        </w:rPr>
        <w:t xml:space="preserve">dejstva </w:t>
      </w:r>
      <w:r w:rsidR="001F55EF" w:rsidRPr="009057DB">
        <w:rPr>
          <w:sz w:val="22"/>
          <w:szCs w:val="22"/>
          <w:lang w:val="sr-Latn-ME"/>
        </w:rPr>
        <w:t xml:space="preserve">kategorizuju </w:t>
      </w:r>
      <w:r w:rsidRPr="009057DB">
        <w:rPr>
          <w:sz w:val="22"/>
          <w:szCs w:val="22"/>
          <w:lang w:val="sr-Latn-ME"/>
        </w:rPr>
        <w:t>s</w:t>
      </w:r>
      <w:r w:rsidR="001F55EF" w:rsidRPr="009057DB">
        <w:rPr>
          <w:sz w:val="22"/>
          <w:szCs w:val="22"/>
          <w:lang w:val="sr-Latn-ME"/>
        </w:rPr>
        <w:t>e</w:t>
      </w:r>
      <w:r w:rsidRPr="009057DB">
        <w:rPr>
          <w:sz w:val="22"/>
          <w:szCs w:val="22"/>
          <w:lang w:val="sr-Latn-ME"/>
        </w:rPr>
        <w:t xml:space="preserve"> prema MedDRA klasifikaciji sistema organa. </w:t>
      </w:r>
      <w:r w:rsidR="00EE6D04" w:rsidRPr="009057DB">
        <w:rPr>
          <w:sz w:val="22"/>
          <w:szCs w:val="22"/>
          <w:lang w:val="sr-Latn-ME"/>
        </w:rPr>
        <w:t xml:space="preserve">Učestalost </w:t>
      </w:r>
      <w:r w:rsidR="00FB1040" w:rsidRPr="009057DB">
        <w:rPr>
          <w:sz w:val="22"/>
          <w:szCs w:val="22"/>
          <w:lang w:val="sr-Latn-ME"/>
        </w:rPr>
        <w:t xml:space="preserve">pojave </w:t>
      </w:r>
      <w:r w:rsidR="00EE6D04" w:rsidRPr="009057DB">
        <w:rPr>
          <w:sz w:val="22"/>
          <w:szCs w:val="22"/>
          <w:lang w:val="sr-Latn-ME"/>
        </w:rPr>
        <w:t xml:space="preserve">neželjenih dejstava </w:t>
      </w:r>
      <w:r w:rsidRPr="009057DB">
        <w:rPr>
          <w:sz w:val="22"/>
          <w:szCs w:val="22"/>
          <w:lang w:val="sr-Latn-ME"/>
        </w:rPr>
        <w:t>definiše se ka</w:t>
      </w:r>
      <w:r w:rsidR="00100A46" w:rsidRPr="009057DB">
        <w:rPr>
          <w:sz w:val="22"/>
          <w:szCs w:val="22"/>
          <w:lang w:val="sr-Latn-ME"/>
        </w:rPr>
        <w:t>k</w:t>
      </w:r>
      <w:r w:rsidRPr="009057DB">
        <w:rPr>
          <w:sz w:val="22"/>
          <w:szCs w:val="22"/>
          <w:lang w:val="sr-Latn-ME"/>
        </w:rPr>
        <w:t>o</w:t>
      </w:r>
      <w:r w:rsidR="00100A46" w:rsidRPr="009057DB">
        <w:rPr>
          <w:sz w:val="22"/>
          <w:szCs w:val="22"/>
          <w:lang w:val="sr-Latn-ME"/>
        </w:rPr>
        <w:t xml:space="preserve"> slijedi</w:t>
      </w:r>
      <w:r w:rsidRPr="009057DB">
        <w:rPr>
          <w:sz w:val="22"/>
          <w:szCs w:val="22"/>
          <w:lang w:val="sr-Latn-ME"/>
        </w:rPr>
        <w:t xml:space="preserve">: veoma često (≥ 1/10); često (≥ 1/100 </w:t>
      </w:r>
      <w:r w:rsidR="004B19CF" w:rsidRPr="009057DB">
        <w:rPr>
          <w:sz w:val="22"/>
          <w:szCs w:val="22"/>
          <w:lang w:val="sr-Latn-ME"/>
        </w:rPr>
        <w:t>i</w:t>
      </w:r>
      <w:r w:rsidRPr="009057DB">
        <w:rPr>
          <w:sz w:val="22"/>
          <w:szCs w:val="22"/>
          <w:lang w:val="sr-Latn-ME"/>
        </w:rPr>
        <w:t xml:space="preserve"> &lt;1/10); povremeno (≥ 1/1000 </w:t>
      </w:r>
      <w:r w:rsidR="004B19CF" w:rsidRPr="009057DB">
        <w:rPr>
          <w:sz w:val="22"/>
          <w:szCs w:val="22"/>
          <w:lang w:val="sr-Latn-ME"/>
        </w:rPr>
        <w:t>i</w:t>
      </w:r>
      <w:r w:rsidRPr="009057DB">
        <w:rPr>
          <w:sz w:val="22"/>
          <w:szCs w:val="22"/>
          <w:lang w:val="sr-Latn-ME"/>
        </w:rPr>
        <w:t xml:space="preserve"> &lt;1/100); r</w:t>
      </w:r>
      <w:r w:rsidR="008453ED" w:rsidRPr="009057DB">
        <w:rPr>
          <w:sz w:val="22"/>
          <w:szCs w:val="22"/>
          <w:lang w:val="sr-Latn-ME"/>
        </w:rPr>
        <w:t>ij</w:t>
      </w:r>
      <w:r w:rsidRPr="009057DB">
        <w:rPr>
          <w:sz w:val="22"/>
          <w:szCs w:val="22"/>
          <w:lang w:val="sr-Latn-ME"/>
        </w:rPr>
        <w:t xml:space="preserve">etko (≥ 1/10000 </w:t>
      </w:r>
      <w:r w:rsidR="004B19CF" w:rsidRPr="009057DB">
        <w:rPr>
          <w:sz w:val="22"/>
          <w:szCs w:val="22"/>
          <w:lang w:val="sr-Latn-ME"/>
        </w:rPr>
        <w:t>i</w:t>
      </w:r>
      <w:r w:rsidRPr="009057DB">
        <w:rPr>
          <w:sz w:val="22"/>
          <w:szCs w:val="22"/>
          <w:lang w:val="sr-Latn-ME"/>
        </w:rPr>
        <w:t xml:space="preserve"> &lt;1/1000); veoma r</w:t>
      </w:r>
      <w:r w:rsidR="00646789" w:rsidRPr="009057DB">
        <w:rPr>
          <w:sz w:val="22"/>
          <w:szCs w:val="22"/>
          <w:lang w:val="sr-Latn-ME"/>
        </w:rPr>
        <w:t>ij</w:t>
      </w:r>
      <w:r w:rsidRPr="009057DB">
        <w:rPr>
          <w:sz w:val="22"/>
          <w:szCs w:val="22"/>
          <w:lang w:val="sr-Latn-ME"/>
        </w:rPr>
        <w:t>etko (&lt;1/10000)</w:t>
      </w:r>
      <w:r w:rsidR="006A35EE" w:rsidRPr="009057DB">
        <w:rPr>
          <w:sz w:val="22"/>
          <w:szCs w:val="22"/>
          <w:lang w:val="sr-Latn-ME"/>
        </w:rPr>
        <w:t xml:space="preserve"> i</w:t>
      </w:r>
      <w:r w:rsidRPr="009057DB">
        <w:rPr>
          <w:sz w:val="22"/>
          <w:szCs w:val="22"/>
          <w:lang w:val="sr-Latn-ME"/>
        </w:rPr>
        <w:t xml:space="preserve"> nepoznato (ne može se proc</w:t>
      </w:r>
      <w:r w:rsidR="00646789" w:rsidRPr="009057DB">
        <w:rPr>
          <w:sz w:val="22"/>
          <w:szCs w:val="22"/>
          <w:lang w:val="sr-Latn-ME"/>
        </w:rPr>
        <w:t>ij</w:t>
      </w:r>
      <w:r w:rsidRPr="009057DB">
        <w:rPr>
          <w:sz w:val="22"/>
          <w:szCs w:val="22"/>
          <w:lang w:val="sr-Latn-ME"/>
        </w:rPr>
        <w:t xml:space="preserve">eniti na osnovu dostupnih podataka). U </w:t>
      </w:r>
      <w:r w:rsidR="00FD3618" w:rsidRPr="009057DB">
        <w:rPr>
          <w:sz w:val="22"/>
          <w:szCs w:val="22"/>
          <w:lang w:val="sr-Latn-ME"/>
        </w:rPr>
        <w:t xml:space="preserve">okviru svakog sistema organa </w:t>
      </w:r>
      <w:r w:rsidR="006A0229" w:rsidRPr="009057DB">
        <w:rPr>
          <w:sz w:val="22"/>
          <w:szCs w:val="22"/>
          <w:lang w:val="sr-Latn-ME"/>
        </w:rPr>
        <w:t>preporučeni termini se navode prema opadajućoj učest</w:t>
      </w:r>
      <w:r w:rsidR="00BA3253" w:rsidRPr="009057DB">
        <w:rPr>
          <w:sz w:val="22"/>
          <w:szCs w:val="22"/>
          <w:lang w:val="sr-Latn-ME"/>
        </w:rPr>
        <w:t>a</w:t>
      </w:r>
      <w:r w:rsidR="006A0229" w:rsidRPr="009057DB">
        <w:rPr>
          <w:sz w:val="22"/>
          <w:szCs w:val="22"/>
          <w:lang w:val="sr-Latn-ME"/>
        </w:rPr>
        <w:t>losti</w:t>
      </w:r>
      <w:r w:rsidR="009A7FFB" w:rsidRPr="009057DB">
        <w:rPr>
          <w:sz w:val="22"/>
          <w:szCs w:val="22"/>
          <w:lang w:val="sr-Latn-ME"/>
        </w:rPr>
        <w:t xml:space="preserve">, a zatim </w:t>
      </w:r>
      <w:r w:rsidR="00F93EFF" w:rsidRPr="009057DB">
        <w:rPr>
          <w:sz w:val="22"/>
          <w:szCs w:val="22"/>
          <w:lang w:val="sr-Latn-ME"/>
        </w:rPr>
        <w:t xml:space="preserve">prema </w:t>
      </w:r>
      <w:r w:rsidR="009711E4" w:rsidRPr="009057DB">
        <w:rPr>
          <w:sz w:val="22"/>
          <w:szCs w:val="22"/>
          <w:lang w:val="sr-Latn-ME"/>
        </w:rPr>
        <w:t xml:space="preserve">opadajućoj </w:t>
      </w:r>
      <w:r w:rsidRPr="009057DB">
        <w:rPr>
          <w:sz w:val="22"/>
          <w:szCs w:val="22"/>
          <w:lang w:val="sr-Latn-ME"/>
        </w:rPr>
        <w:t>ozbiljnosti.</w:t>
      </w:r>
    </w:p>
    <w:p w14:paraId="260A1DE5" w14:textId="77777777" w:rsidR="00C715DD" w:rsidRPr="009057DB" w:rsidRDefault="00C715DD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6D29A0C5" w14:textId="6C0728C7" w:rsidR="00C715DD" w:rsidRPr="009057DB" w:rsidRDefault="00C715DD" w:rsidP="00376088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9057DB">
        <w:rPr>
          <w:b/>
          <w:bCs/>
          <w:sz w:val="22"/>
          <w:szCs w:val="22"/>
          <w:lang w:val="sr-Latn-ME"/>
        </w:rPr>
        <w:t>Tabela 1. Neželjen</w:t>
      </w:r>
      <w:r w:rsidR="00973DB2" w:rsidRPr="009057DB">
        <w:rPr>
          <w:b/>
          <w:bCs/>
          <w:sz w:val="22"/>
          <w:szCs w:val="22"/>
          <w:lang w:val="sr-Latn-ME"/>
        </w:rPr>
        <w:t>a</w:t>
      </w:r>
      <w:r w:rsidRPr="009057DB">
        <w:rPr>
          <w:b/>
          <w:bCs/>
          <w:sz w:val="22"/>
          <w:szCs w:val="22"/>
          <w:lang w:val="sr-Latn-ME"/>
        </w:rPr>
        <w:t xml:space="preserve"> </w:t>
      </w:r>
      <w:r w:rsidR="00973DB2" w:rsidRPr="009057DB">
        <w:rPr>
          <w:b/>
          <w:bCs/>
          <w:sz w:val="22"/>
          <w:szCs w:val="22"/>
          <w:lang w:val="sr-Latn-ME"/>
        </w:rPr>
        <w:t xml:space="preserve">dejstva </w:t>
      </w:r>
      <w:r w:rsidRPr="009057DB">
        <w:rPr>
          <w:b/>
          <w:bCs/>
          <w:sz w:val="22"/>
          <w:szCs w:val="22"/>
          <w:lang w:val="sr-Latn-ME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1"/>
        <w:gridCol w:w="1985"/>
        <w:gridCol w:w="3397"/>
      </w:tblGrid>
      <w:tr w:rsidR="00C715DD" w:rsidRPr="009057DB" w14:paraId="12A09529" w14:textId="77777777" w:rsidTr="005076C0">
        <w:trPr>
          <w:cantSplit/>
          <w:trHeight w:val="324"/>
          <w:tblHeader/>
        </w:trPr>
        <w:tc>
          <w:tcPr>
            <w:tcW w:w="2031" w:type="pct"/>
            <w:shd w:val="clear" w:color="auto" w:fill="auto"/>
          </w:tcPr>
          <w:p w14:paraId="7109A9D0" w14:textId="77777777" w:rsidR="00C715DD" w:rsidRPr="009057DB" w:rsidRDefault="00C715DD" w:rsidP="00376088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sr-Latn-ME"/>
              </w:rPr>
            </w:pPr>
            <w:r w:rsidRPr="009057DB">
              <w:rPr>
                <w:b/>
                <w:sz w:val="22"/>
                <w:szCs w:val="22"/>
                <w:lang w:val="sr-Latn-ME"/>
              </w:rPr>
              <w:lastRenderedPageBreak/>
              <w:t xml:space="preserve">MedDRA </w:t>
            </w:r>
            <w:r w:rsidRPr="009057DB">
              <w:rPr>
                <w:b/>
                <w:bCs/>
                <w:sz w:val="22"/>
                <w:szCs w:val="22"/>
                <w:lang w:val="sr-Latn-ME"/>
              </w:rPr>
              <w:t>klasifikacija sistema organa</w:t>
            </w:r>
          </w:p>
        </w:tc>
        <w:tc>
          <w:tcPr>
            <w:tcW w:w="1095" w:type="pct"/>
            <w:tcBorders>
              <w:bottom w:val="single" w:sz="4" w:space="0" w:color="auto"/>
            </w:tcBorders>
            <w:shd w:val="clear" w:color="auto" w:fill="auto"/>
          </w:tcPr>
          <w:p w14:paraId="1AC48155" w14:textId="77777777" w:rsidR="00C715DD" w:rsidRPr="009057DB" w:rsidRDefault="00C715DD" w:rsidP="00376088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sr-Latn-ME"/>
              </w:rPr>
            </w:pPr>
            <w:r w:rsidRPr="009057DB">
              <w:rPr>
                <w:b/>
                <w:sz w:val="22"/>
                <w:szCs w:val="22"/>
                <w:lang w:val="sr-Latn-ME"/>
              </w:rPr>
              <w:t>Učestalost</w:t>
            </w:r>
          </w:p>
        </w:tc>
        <w:tc>
          <w:tcPr>
            <w:tcW w:w="1874" w:type="pct"/>
            <w:shd w:val="clear" w:color="auto" w:fill="auto"/>
          </w:tcPr>
          <w:p w14:paraId="7FA25B96" w14:textId="77777777" w:rsidR="00C715DD" w:rsidRPr="009057DB" w:rsidRDefault="00C715DD" w:rsidP="00376088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sr-Latn-ME"/>
              </w:rPr>
            </w:pPr>
            <w:r w:rsidRPr="009057DB">
              <w:rPr>
                <w:b/>
                <w:sz w:val="22"/>
                <w:szCs w:val="22"/>
                <w:lang w:val="sr-Latn-ME"/>
              </w:rPr>
              <w:t>Neželjene reakcije</w:t>
            </w:r>
          </w:p>
        </w:tc>
      </w:tr>
      <w:tr w:rsidR="00554939" w:rsidRPr="009057DB" w14:paraId="222C0E7A" w14:textId="77777777" w:rsidTr="00686BFB">
        <w:trPr>
          <w:cantSplit/>
          <w:trHeight w:val="210"/>
        </w:trPr>
        <w:tc>
          <w:tcPr>
            <w:tcW w:w="2031" w:type="pct"/>
            <w:vMerge w:val="restart"/>
            <w:shd w:val="clear" w:color="auto" w:fill="auto"/>
          </w:tcPr>
          <w:p w14:paraId="73E9C2EE" w14:textId="77777777" w:rsidR="00554939" w:rsidRPr="009057DB" w:rsidRDefault="0055493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Poremećaji krvi i limfnog sistema</w:t>
            </w:r>
          </w:p>
          <w:p w14:paraId="43F84182" w14:textId="77777777" w:rsidR="00554939" w:rsidRPr="009057DB" w:rsidRDefault="00554939" w:rsidP="00376088">
            <w:pPr>
              <w:tabs>
                <w:tab w:val="left" w:pos="2700"/>
              </w:tabs>
              <w:jc w:val="both"/>
              <w:rPr>
                <w:sz w:val="22"/>
                <w:szCs w:val="22"/>
                <w:lang w:val="sr-Latn-ME"/>
              </w:rPr>
            </w:pPr>
            <w:r w:rsidRPr="009057DB">
              <w:rPr>
                <w:sz w:val="22"/>
                <w:szCs w:val="22"/>
                <w:lang w:val="sr-Latn-ME"/>
              </w:rPr>
              <w:tab/>
            </w:r>
          </w:p>
          <w:p w14:paraId="64B965D9" w14:textId="77777777" w:rsidR="00554939" w:rsidRPr="009057DB" w:rsidRDefault="00554939" w:rsidP="00376088">
            <w:pPr>
              <w:tabs>
                <w:tab w:val="left" w:pos="2700"/>
              </w:tabs>
              <w:jc w:val="both"/>
              <w:rPr>
                <w:sz w:val="22"/>
                <w:szCs w:val="22"/>
                <w:lang w:val="sr-Latn-ME"/>
              </w:rPr>
            </w:pPr>
          </w:p>
          <w:p w14:paraId="0BF28EE5" w14:textId="77777777" w:rsidR="00554939" w:rsidRPr="009057DB" w:rsidRDefault="00554939" w:rsidP="00376088">
            <w:pPr>
              <w:tabs>
                <w:tab w:val="left" w:pos="2700"/>
              </w:tabs>
              <w:jc w:val="both"/>
              <w:rPr>
                <w:sz w:val="22"/>
                <w:szCs w:val="22"/>
                <w:lang w:val="sr-Latn-ME"/>
              </w:rPr>
            </w:pPr>
          </w:p>
          <w:p w14:paraId="35870F8D" w14:textId="736097F8" w:rsidR="00554939" w:rsidRPr="009057DB" w:rsidRDefault="00554939" w:rsidP="00376088">
            <w:pPr>
              <w:tabs>
                <w:tab w:val="left" w:pos="2700"/>
              </w:tabs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196C5CE8" w14:textId="4118188F" w:rsidR="00554939" w:rsidRPr="009057DB" w:rsidRDefault="0055493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874" w:type="pct"/>
            <w:shd w:val="clear" w:color="auto" w:fill="auto"/>
          </w:tcPr>
          <w:p w14:paraId="6D34EB19" w14:textId="525AF7CA" w:rsidR="00554939" w:rsidRPr="009057DB" w:rsidRDefault="0055493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vertAlign w:val="superscript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Trombocitopenija</w:t>
            </w:r>
            <w:r w:rsidRPr="009057DB">
              <w:rPr>
                <w:bCs/>
                <w:sz w:val="22"/>
                <w:szCs w:val="22"/>
                <w:vertAlign w:val="superscript"/>
                <w:lang w:val="sr-Latn-ME"/>
              </w:rPr>
              <w:t>a</w:t>
            </w:r>
          </w:p>
        </w:tc>
      </w:tr>
      <w:tr w:rsidR="00554939" w:rsidRPr="009057DB" w14:paraId="2D51851B" w14:textId="77777777" w:rsidTr="00FE5A4F">
        <w:trPr>
          <w:cantSplit/>
          <w:trHeight w:val="825"/>
        </w:trPr>
        <w:tc>
          <w:tcPr>
            <w:tcW w:w="2031" w:type="pct"/>
            <w:vMerge/>
            <w:shd w:val="clear" w:color="auto" w:fill="auto"/>
          </w:tcPr>
          <w:p w14:paraId="3171DCBB" w14:textId="77777777" w:rsidR="00554939" w:rsidRPr="009057DB" w:rsidRDefault="0055493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782DBA29" w14:textId="6E99667B" w:rsidR="00554939" w:rsidRPr="009057DB" w:rsidRDefault="0055493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1874" w:type="pct"/>
            <w:shd w:val="clear" w:color="auto" w:fill="auto"/>
          </w:tcPr>
          <w:p w14:paraId="2B04E57A" w14:textId="77777777" w:rsidR="00554939" w:rsidRPr="009057DB" w:rsidRDefault="0055493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  <w:p w14:paraId="0D4BBAFF" w14:textId="078C4377" w:rsidR="00554939" w:rsidRPr="009057DB" w:rsidRDefault="0055493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Limfadenopatija</w:t>
            </w:r>
          </w:p>
        </w:tc>
      </w:tr>
      <w:tr w:rsidR="00554939" w:rsidRPr="009057DB" w14:paraId="15CA8733" w14:textId="77777777" w:rsidTr="00D50B60">
        <w:trPr>
          <w:cantSplit/>
          <w:trHeight w:val="420"/>
        </w:trPr>
        <w:tc>
          <w:tcPr>
            <w:tcW w:w="2031" w:type="pct"/>
            <w:vMerge/>
            <w:shd w:val="clear" w:color="auto" w:fill="auto"/>
          </w:tcPr>
          <w:p w14:paraId="19B92EFB" w14:textId="77777777" w:rsidR="00554939" w:rsidRPr="009057DB" w:rsidRDefault="00554939" w:rsidP="00376088">
            <w:pPr>
              <w:tabs>
                <w:tab w:val="left" w:pos="2700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704C1B0A" w14:textId="26945CCE" w:rsidR="00554939" w:rsidRPr="009057DB" w:rsidRDefault="0055493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Nepoznato</w:t>
            </w:r>
          </w:p>
        </w:tc>
        <w:tc>
          <w:tcPr>
            <w:tcW w:w="1874" w:type="pct"/>
            <w:shd w:val="clear" w:color="auto" w:fill="auto"/>
          </w:tcPr>
          <w:p w14:paraId="32B646E5" w14:textId="4ED4DD65" w:rsidR="00554939" w:rsidRPr="009057DB" w:rsidRDefault="0055493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vertAlign w:val="superscript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Imunski posredovana trombocitopenija</w:t>
            </w:r>
            <w:r w:rsidRPr="009057DB">
              <w:rPr>
                <w:bCs/>
                <w:sz w:val="22"/>
                <w:szCs w:val="22"/>
                <w:vertAlign w:val="superscript"/>
                <w:lang w:val="sr-Latn-ME"/>
              </w:rPr>
              <w:t>b</w:t>
            </w:r>
          </w:p>
        </w:tc>
      </w:tr>
      <w:tr w:rsidR="00FE5A4F" w:rsidRPr="009057DB" w14:paraId="5ABE4B9D" w14:textId="77777777" w:rsidTr="00D50B60">
        <w:trPr>
          <w:cantSplit/>
          <w:trHeight w:val="420"/>
        </w:trPr>
        <w:tc>
          <w:tcPr>
            <w:tcW w:w="2031" w:type="pct"/>
            <w:shd w:val="clear" w:color="auto" w:fill="auto"/>
          </w:tcPr>
          <w:p w14:paraId="47804BBD" w14:textId="69A255EE" w:rsidR="00FE5A4F" w:rsidRPr="009057DB" w:rsidRDefault="00FE5A4F" w:rsidP="00376088">
            <w:pPr>
              <w:tabs>
                <w:tab w:val="left" w:pos="2700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Poremećaji imunog sistema</w:t>
            </w:r>
          </w:p>
        </w:tc>
        <w:tc>
          <w:tcPr>
            <w:tcW w:w="1095" w:type="pct"/>
            <w:shd w:val="clear" w:color="auto" w:fill="auto"/>
            <w:vAlign w:val="center"/>
          </w:tcPr>
          <w:p w14:paraId="1FE6759E" w14:textId="5FCD7E55" w:rsidR="00FE5A4F" w:rsidRPr="009057DB" w:rsidRDefault="00FE5A4F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Nepoznato</w:t>
            </w:r>
          </w:p>
        </w:tc>
        <w:tc>
          <w:tcPr>
            <w:tcW w:w="1874" w:type="pct"/>
            <w:shd w:val="clear" w:color="auto" w:fill="auto"/>
          </w:tcPr>
          <w:p w14:paraId="40FA6563" w14:textId="18783A8C" w:rsidR="00FE5A4F" w:rsidRPr="009057DB" w:rsidRDefault="00FE5A4F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Anafilaks</w:t>
            </w:r>
            <w:r w:rsidR="00917695" w:rsidRPr="009057DB">
              <w:rPr>
                <w:bCs/>
                <w:sz w:val="22"/>
                <w:szCs w:val="22"/>
                <w:lang w:val="sr-Latn-ME"/>
              </w:rPr>
              <w:t>ij</w:t>
            </w:r>
            <w:r w:rsidRPr="009057DB">
              <w:rPr>
                <w:bCs/>
                <w:sz w:val="22"/>
                <w:szCs w:val="22"/>
                <w:lang w:val="sr-Latn-ME"/>
              </w:rPr>
              <w:t>a</w:t>
            </w:r>
          </w:p>
          <w:p w14:paraId="673AEDB6" w14:textId="0B5B0BCD" w:rsidR="00FE5A4F" w:rsidRPr="009057DB" w:rsidRDefault="00FE5A4F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Preos</w:t>
            </w:r>
            <w:r w:rsidR="007B21CE" w:rsidRPr="009057DB">
              <w:rPr>
                <w:bCs/>
                <w:sz w:val="22"/>
                <w:szCs w:val="22"/>
                <w:lang w:val="sr-Latn-ME"/>
              </w:rPr>
              <w:t>j</w:t>
            </w:r>
            <w:r w:rsidRPr="009057DB">
              <w:rPr>
                <w:bCs/>
                <w:sz w:val="22"/>
                <w:szCs w:val="22"/>
                <w:lang w:val="sr-Latn-ME"/>
              </w:rPr>
              <w:t>etljivost</w:t>
            </w:r>
          </w:p>
        </w:tc>
      </w:tr>
      <w:tr w:rsidR="00C715DD" w:rsidRPr="009057DB" w14:paraId="1596E471" w14:textId="77777777" w:rsidTr="00D50B60">
        <w:trPr>
          <w:cantSplit/>
          <w:trHeight w:val="211"/>
        </w:trPr>
        <w:tc>
          <w:tcPr>
            <w:tcW w:w="2031" w:type="pct"/>
            <w:shd w:val="clear" w:color="auto" w:fill="auto"/>
          </w:tcPr>
          <w:p w14:paraId="0F34237C" w14:textId="77777777" w:rsidR="00C715DD" w:rsidRPr="009057DB" w:rsidRDefault="00C715DD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Poremećaji metabolizma i ishrane</w:t>
            </w:r>
          </w:p>
        </w:tc>
        <w:tc>
          <w:tcPr>
            <w:tcW w:w="1095" w:type="pct"/>
            <w:shd w:val="clear" w:color="auto" w:fill="auto"/>
            <w:vAlign w:val="center"/>
          </w:tcPr>
          <w:p w14:paraId="5E41F242" w14:textId="77777777" w:rsidR="00C715DD" w:rsidRPr="009057DB" w:rsidRDefault="00C715DD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1874" w:type="pct"/>
            <w:shd w:val="clear" w:color="auto" w:fill="auto"/>
          </w:tcPr>
          <w:p w14:paraId="22F7C03F" w14:textId="77777777" w:rsidR="00C715DD" w:rsidRPr="009057DB" w:rsidRDefault="00C715DD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Smanjen apetit</w:t>
            </w:r>
          </w:p>
        </w:tc>
      </w:tr>
      <w:tr w:rsidR="00C9378A" w:rsidRPr="009057DB" w14:paraId="6F2700FD" w14:textId="77777777" w:rsidTr="00D50B60">
        <w:trPr>
          <w:cantSplit/>
          <w:trHeight w:val="211"/>
        </w:trPr>
        <w:tc>
          <w:tcPr>
            <w:tcW w:w="2031" w:type="pct"/>
            <w:vMerge w:val="restart"/>
            <w:shd w:val="clear" w:color="auto" w:fill="auto"/>
          </w:tcPr>
          <w:p w14:paraId="58C67554" w14:textId="77777777" w:rsidR="00C9378A" w:rsidRPr="009057DB" w:rsidRDefault="00C9378A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Poremećaji nervnog sistema</w:t>
            </w:r>
          </w:p>
        </w:tc>
        <w:tc>
          <w:tcPr>
            <w:tcW w:w="1095" w:type="pct"/>
            <w:shd w:val="clear" w:color="auto" w:fill="auto"/>
          </w:tcPr>
          <w:p w14:paraId="508FECC9" w14:textId="77777777" w:rsidR="00C9378A" w:rsidRPr="009057DB" w:rsidRDefault="00C9378A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1874" w:type="pct"/>
            <w:shd w:val="clear" w:color="auto" w:fill="auto"/>
          </w:tcPr>
          <w:p w14:paraId="3C7BA99F" w14:textId="4E0D451D" w:rsidR="00C9378A" w:rsidRPr="009057DB" w:rsidRDefault="00C9378A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Glavobolja</w:t>
            </w:r>
            <w:r w:rsidR="00563181" w:rsidRPr="009057DB">
              <w:rPr>
                <w:noProof/>
                <w:sz w:val="22"/>
                <w:szCs w:val="22"/>
                <w:vertAlign w:val="superscript"/>
                <w:lang w:val="sr-Latn-ME"/>
              </w:rPr>
              <w:t xml:space="preserve"> c</w:t>
            </w:r>
          </w:p>
        </w:tc>
      </w:tr>
      <w:tr w:rsidR="00C9378A" w:rsidRPr="009057DB" w14:paraId="424A2AC4" w14:textId="77777777" w:rsidTr="00FE0577">
        <w:trPr>
          <w:cantSplit/>
          <w:trHeight w:val="735"/>
        </w:trPr>
        <w:tc>
          <w:tcPr>
            <w:tcW w:w="2031" w:type="pct"/>
            <w:vMerge/>
            <w:shd w:val="clear" w:color="auto" w:fill="auto"/>
          </w:tcPr>
          <w:p w14:paraId="465DEE02" w14:textId="77777777" w:rsidR="00C9378A" w:rsidRPr="009057DB" w:rsidRDefault="00C9378A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1EDD9AB3" w14:textId="77777777" w:rsidR="00C9378A" w:rsidRPr="009057DB" w:rsidRDefault="00C9378A" w:rsidP="00376088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9057DB">
              <w:rPr>
                <w:sz w:val="22"/>
                <w:szCs w:val="22"/>
                <w:lang w:val="sr-Latn-ME"/>
              </w:rPr>
              <w:t>Povremeno</w:t>
            </w:r>
          </w:p>
          <w:p w14:paraId="1C80A58F" w14:textId="0CC28E66" w:rsidR="00C9378A" w:rsidRPr="009057DB" w:rsidRDefault="00C9378A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74" w:type="pct"/>
            <w:shd w:val="clear" w:color="auto" w:fill="auto"/>
          </w:tcPr>
          <w:p w14:paraId="0E5C28D5" w14:textId="77777777" w:rsidR="00C9378A" w:rsidRPr="009057DB" w:rsidRDefault="00C9378A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Vrtoglavica</w:t>
            </w:r>
          </w:p>
          <w:p w14:paraId="5C9AF4EA" w14:textId="77777777" w:rsidR="00C9378A" w:rsidRPr="009057DB" w:rsidRDefault="00C9378A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Pospanost</w:t>
            </w:r>
          </w:p>
          <w:p w14:paraId="25CED185" w14:textId="77777777" w:rsidR="00C9378A" w:rsidRPr="009057DB" w:rsidRDefault="00C9378A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Letargija</w:t>
            </w:r>
          </w:p>
          <w:p w14:paraId="6F6B3F01" w14:textId="0831604C" w:rsidR="004044B8" w:rsidRPr="009057DB" w:rsidRDefault="004044B8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Parestezije</w:t>
            </w:r>
          </w:p>
          <w:p w14:paraId="00972A9B" w14:textId="4C28FE86" w:rsidR="004044B8" w:rsidRPr="009057DB" w:rsidRDefault="009D019A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>
              <w:rPr>
                <w:bCs/>
                <w:sz w:val="22"/>
                <w:szCs w:val="22"/>
                <w:lang w:val="sr-Latn-ME"/>
              </w:rPr>
              <w:t>H</w:t>
            </w:r>
            <w:r w:rsidR="004044B8" w:rsidRPr="009057DB">
              <w:rPr>
                <w:bCs/>
                <w:sz w:val="22"/>
                <w:szCs w:val="22"/>
                <w:lang w:val="sr-Latn-ME"/>
              </w:rPr>
              <w:t>ipoestezija</w:t>
            </w:r>
          </w:p>
        </w:tc>
      </w:tr>
      <w:tr w:rsidR="007E5DA9" w:rsidRPr="009057DB" w14:paraId="32BFFF58" w14:textId="77777777" w:rsidTr="00FE0577">
        <w:trPr>
          <w:cantSplit/>
          <w:trHeight w:val="735"/>
        </w:trPr>
        <w:tc>
          <w:tcPr>
            <w:tcW w:w="2031" w:type="pct"/>
            <w:vMerge/>
            <w:shd w:val="clear" w:color="auto" w:fill="auto"/>
          </w:tcPr>
          <w:p w14:paraId="0C65694D" w14:textId="77777777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298573B0" w14:textId="39BC07DA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9057DB">
              <w:rPr>
                <w:sz w:val="22"/>
                <w:szCs w:val="22"/>
                <w:lang w:val="sr-Latn-ME"/>
              </w:rPr>
              <w:t>Rijetko</w:t>
            </w:r>
          </w:p>
        </w:tc>
        <w:tc>
          <w:tcPr>
            <w:tcW w:w="1874" w:type="pct"/>
            <w:shd w:val="clear" w:color="auto" w:fill="auto"/>
          </w:tcPr>
          <w:p w14:paraId="098E2416" w14:textId="77777777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  <w:p w14:paraId="7FB3E0B2" w14:textId="621638CE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Facijalna paraliza</w:t>
            </w:r>
            <w:r w:rsidRPr="009057DB">
              <w:rPr>
                <w:bCs/>
                <w:sz w:val="22"/>
                <w:szCs w:val="22"/>
                <w:vertAlign w:val="superscript"/>
                <w:lang w:val="sr-Latn-ME"/>
              </w:rPr>
              <w:t>d</w:t>
            </w:r>
          </w:p>
        </w:tc>
      </w:tr>
      <w:tr w:rsidR="007E5DA9" w:rsidRPr="009057DB" w14:paraId="059E7CC3" w14:textId="77777777" w:rsidTr="00C9378A">
        <w:trPr>
          <w:cantSplit/>
          <w:trHeight w:val="270"/>
        </w:trPr>
        <w:tc>
          <w:tcPr>
            <w:tcW w:w="2031" w:type="pct"/>
            <w:vMerge/>
            <w:shd w:val="clear" w:color="auto" w:fill="auto"/>
          </w:tcPr>
          <w:p w14:paraId="569E5527" w14:textId="77777777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7744DE7D" w14:textId="77777777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9057DB">
              <w:rPr>
                <w:sz w:val="22"/>
                <w:szCs w:val="22"/>
                <w:lang w:val="sr-Latn-ME"/>
              </w:rPr>
              <w:t>Veoma rijetko</w:t>
            </w:r>
          </w:p>
          <w:p w14:paraId="1335921C" w14:textId="55569FFF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874" w:type="pct"/>
            <w:shd w:val="clear" w:color="auto" w:fill="auto"/>
          </w:tcPr>
          <w:p w14:paraId="093306F4" w14:textId="78126084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Guillain-Barré sindrom</w:t>
            </w:r>
          </w:p>
        </w:tc>
      </w:tr>
      <w:tr w:rsidR="007E5DA9" w:rsidRPr="009057DB" w14:paraId="68709E8B" w14:textId="77777777" w:rsidTr="00D50B60">
        <w:trPr>
          <w:cantSplit/>
          <w:trHeight w:val="221"/>
        </w:trPr>
        <w:tc>
          <w:tcPr>
            <w:tcW w:w="2031" w:type="pct"/>
            <w:vMerge/>
            <w:shd w:val="clear" w:color="auto" w:fill="auto"/>
          </w:tcPr>
          <w:p w14:paraId="28D21019" w14:textId="77777777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1DC065ED" w14:textId="7EA35783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9057DB">
              <w:rPr>
                <w:rFonts w:eastAsia="Calibri"/>
                <w:bCs/>
                <w:sz w:val="22"/>
                <w:szCs w:val="22"/>
                <w:lang w:val="sr-Latn-ME"/>
              </w:rPr>
              <w:t>Nepoznato</w:t>
            </w:r>
          </w:p>
        </w:tc>
        <w:tc>
          <w:tcPr>
            <w:tcW w:w="1874" w:type="pct"/>
            <w:shd w:val="clear" w:color="auto" w:fill="auto"/>
          </w:tcPr>
          <w:p w14:paraId="7912FC93" w14:textId="69E69698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noProof/>
                <w:sz w:val="22"/>
                <w:szCs w:val="22"/>
                <w:lang w:val="sr-Latn-ME"/>
              </w:rPr>
              <w:t>Transverzalni mijelitis</w:t>
            </w:r>
          </w:p>
        </w:tc>
      </w:tr>
      <w:tr w:rsidR="004044B8" w:rsidRPr="009057DB" w14:paraId="270D1E86" w14:textId="77777777" w:rsidTr="005076C0">
        <w:trPr>
          <w:cantSplit/>
          <w:trHeight w:val="211"/>
        </w:trPr>
        <w:tc>
          <w:tcPr>
            <w:tcW w:w="2031" w:type="pct"/>
            <w:shd w:val="clear" w:color="auto" w:fill="auto"/>
          </w:tcPr>
          <w:p w14:paraId="3729E02A" w14:textId="388698D8" w:rsidR="004044B8" w:rsidRPr="009057DB" w:rsidRDefault="004044B8" w:rsidP="00376088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9057DB">
              <w:rPr>
                <w:rFonts w:eastAsia="Calibri"/>
                <w:bCs/>
                <w:sz w:val="22"/>
                <w:lang w:val="sr-Latn-RS"/>
              </w:rPr>
              <w:t>Poremećaj uha i labirinta</w:t>
            </w:r>
          </w:p>
        </w:tc>
        <w:tc>
          <w:tcPr>
            <w:tcW w:w="1095" w:type="pct"/>
            <w:shd w:val="clear" w:color="auto" w:fill="auto"/>
          </w:tcPr>
          <w:p w14:paraId="5C8969AC" w14:textId="6E8D5C8B" w:rsidR="004044B8" w:rsidRPr="009057DB" w:rsidRDefault="006D4BA0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>
              <w:rPr>
                <w:bCs/>
                <w:sz w:val="22"/>
                <w:szCs w:val="22"/>
                <w:lang w:val="sr-Latn-ME"/>
              </w:rPr>
              <w:t>Povremeno</w:t>
            </w:r>
            <w:r w:rsidR="00032DDB">
              <w:rPr>
                <w:bCs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874" w:type="pct"/>
            <w:shd w:val="clear" w:color="auto" w:fill="auto"/>
          </w:tcPr>
          <w:p w14:paraId="1EA7D117" w14:textId="402422F4" w:rsidR="004044B8" w:rsidRPr="009057DB" w:rsidRDefault="009D019A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>
              <w:rPr>
                <w:bCs/>
                <w:sz w:val="22"/>
                <w:szCs w:val="22"/>
                <w:lang w:val="sr-Latn-ME"/>
              </w:rPr>
              <w:t>T</w:t>
            </w:r>
            <w:r w:rsidR="004044B8" w:rsidRPr="009057DB">
              <w:rPr>
                <w:bCs/>
                <w:sz w:val="22"/>
                <w:szCs w:val="22"/>
                <w:lang w:val="sr-Latn-ME"/>
              </w:rPr>
              <w:t>initus</w:t>
            </w:r>
          </w:p>
        </w:tc>
      </w:tr>
      <w:tr w:rsidR="007E5DA9" w:rsidRPr="009057DB" w14:paraId="1C4B3912" w14:textId="77777777" w:rsidTr="005076C0">
        <w:trPr>
          <w:cantSplit/>
          <w:trHeight w:val="211"/>
        </w:trPr>
        <w:tc>
          <w:tcPr>
            <w:tcW w:w="2031" w:type="pct"/>
            <w:shd w:val="clear" w:color="auto" w:fill="auto"/>
          </w:tcPr>
          <w:p w14:paraId="63CD0F33" w14:textId="40662B71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sz w:val="22"/>
                <w:szCs w:val="22"/>
                <w:lang w:val="sr-Latn-ME"/>
              </w:rPr>
              <w:t>Vaskularni poremećaji</w:t>
            </w:r>
          </w:p>
        </w:tc>
        <w:tc>
          <w:tcPr>
            <w:tcW w:w="1095" w:type="pct"/>
            <w:shd w:val="clear" w:color="auto" w:fill="auto"/>
          </w:tcPr>
          <w:p w14:paraId="6ACD8E83" w14:textId="77777777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Veoma rijetko</w:t>
            </w:r>
          </w:p>
          <w:p w14:paraId="0FB27A54" w14:textId="77777777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  <w:p w14:paraId="4CCD0FF0" w14:textId="764FBE8F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Nepoznato</w:t>
            </w:r>
          </w:p>
        </w:tc>
        <w:tc>
          <w:tcPr>
            <w:tcW w:w="1874" w:type="pct"/>
            <w:shd w:val="clear" w:color="auto" w:fill="auto"/>
          </w:tcPr>
          <w:p w14:paraId="0CF9A36C" w14:textId="4140CFBC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Tromboza sa trombocitopenijom</w:t>
            </w:r>
            <w:r w:rsidR="00563181" w:rsidRPr="009057DB">
              <w:rPr>
                <w:noProof/>
                <w:sz w:val="22"/>
                <w:szCs w:val="22"/>
                <w:vertAlign w:val="superscript"/>
                <w:lang w:val="sr-Latn-ME"/>
              </w:rPr>
              <w:t xml:space="preserve"> e</w:t>
            </w:r>
          </w:p>
          <w:p w14:paraId="4956FADC" w14:textId="77777777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  <w:p w14:paraId="26A250DC" w14:textId="77777777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Sindrom kapilarnog curenja</w:t>
            </w:r>
          </w:p>
          <w:p w14:paraId="71E9400D" w14:textId="6E6E3F94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vertAlign w:val="superscript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Cerebrovaskularna venska i s</w:t>
            </w:r>
            <w:r w:rsidR="00C22BDE" w:rsidRPr="009057DB">
              <w:rPr>
                <w:bCs/>
                <w:sz w:val="22"/>
                <w:szCs w:val="22"/>
                <w:lang w:val="sr-Latn-ME"/>
              </w:rPr>
              <w:t>i</w:t>
            </w:r>
            <w:r w:rsidRPr="009057DB">
              <w:rPr>
                <w:bCs/>
                <w:sz w:val="22"/>
                <w:szCs w:val="22"/>
                <w:lang w:val="sr-Latn-ME"/>
              </w:rPr>
              <w:t>nusna tromboza</w:t>
            </w:r>
            <w:r w:rsidRPr="009057DB">
              <w:rPr>
                <w:bCs/>
                <w:sz w:val="22"/>
                <w:szCs w:val="22"/>
                <w:vertAlign w:val="superscript"/>
                <w:lang w:val="sr-Latn-ME"/>
              </w:rPr>
              <w:t>b</w:t>
            </w:r>
          </w:p>
        </w:tc>
      </w:tr>
      <w:tr w:rsidR="007E5DA9" w:rsidRPr="009057DB" w14:paraId="79BC1C57" w14:textId="77777777" w:rsidTr="00D50B60">
        <w:trPr>
          <w:cantSplit/>
          <w:trHeight w:val="262"/>
        </w:trPr>
        <w:tc>
          <w:tcPr>
            <w:tcW w:w="2031" w:type="pct"/>
            <w:vMerge w:val="restart"/>
            <w:shd w:val="clear" w:color="auto" w:fill="auto"/>
          </w:tcPr>
          <w:p w14:paraId="32576C5C" w14:textId="77777777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9057DB">
              <w:rPr>
                <w:sz w:val="22"/>
                <w:szCs w:val="22"/>
                <w:lang w:val="sr-Latn-ME"/>
              </w:rPr>
              <w:t>Gastrointestinalni poremećaji</w:t>
            </w:r>
          </w:p>
        </w:tc>
        <w:tc>
          <w:tcPr>
            <w:tcW w:w="1095" w:type="pct"/>
            <w:shd w:val="clear" w:color="auto" w:fill="auto"/>
          </w:tcPr>
          <w:p w14:paraId="5EE4CB7A" w14:textId="77777777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1874" w:type="pct"/>
            <w:shd w:val="clear" w:color="auto" w:fill="auto"/>
          </w:tcPr>
          <w:p w14:paraId="0A5F0128" w14:textId="77777777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Mučnina</w:t>
            </w:r>
          </w:p>
        </w:tc>
      </w:tr>
      <w:tr w:rsidR="007E5DA9" w:rsidRPr="009057DB" w14:paraId="37F1D734" w14:textId="77777777" w:rsidTr="00A710DD">
        <w:trPr>
          <w:cantSplit/>
          <w:trHeight w:val="495"/>
        </w:trPr>
        <w:tc>
          <w:tcPr>
            <w:tcW w:w="2031" w:type="pct"/>
            <w:vMerge/>
            <w:shd w:val="clear" w:color="auto" w:fill="auto"/>
          </w:tcPr>
          <w:p w14:paraId="40983A61" w14:textId="77777777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095" w:type="pct"/>
            <w:shd w:val="clear" w:color="auto" w:fill="auto"/>
          </w:tcPr>
          <w:p w14:paraId="42FF1F49" w14:textId="77777777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Često</w:t>
            </w:r>
          </w:p>
          <w:p w14:paraId="0FF313D7" w14:textId="77777777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  <w:p w14:paraId="2B046FFC" w14:textId="50600D82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74" w:type="pct"/>
            <w:shd w:val="clear" w:color="auto" w:fill="auto"/>
          </w:tcPr>
          <w:p w14:paraId="6448DABB" w14:textId="77777777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Povraćanje</w:t>
            </w:r>
          </w:p>
          <w:p w14:paraId="59FC1D03" w14:textId="77777777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Dijareja</w:t>
            </w:r>
          </w:p>
        </w:tc>
      </w:tr>
      <w:tr w:rsidR="007E5DA9" w:rsidRPr="009057DB" w14:paraId="693D1965" w14:textId="77777777" w:rsidTr="00D50B60">
        <w:trPr>
          <w:cantSplit/>
          <w:trHeight w:val="249"/>
        </w:trPr>
        <w:tc>
          <w:tcPr>
            <w:tcW w:w="2031" w:type="pct"/>
            <w:vMerge/>
            <w:shd w:val="clear" w:color="auto" w:fill="auto"/>
          </w:tcPr>
          <w:p w14:paraId="517228BB" w14:textId="77777777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095" w:type="pct"/>
            <w:shd w:val="clear" w:color="auto" w:fill="auto"/>
          </w:tcPr>
          <w:p w14:paraId="23916A79" w14:textId="1798C1B3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1874" w:type="pct"/>
            <w:shd w:val="clear" w:color="auto" w:fill="auto"/>
          </w:tcPr>
          <w:p w14:paraId="1CAE63F3" w14:textId="51C60285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Abdominalni bol</w:t>
            </w:r>
          </w:p>
        </w:tc>
      </w:tr>
      <w:tr w:rsidR="007E5DA9" w:rsidRPr="009057DB" w14:paraId="19490F1E" w14:textId="77777777" w:rsidTr="00A710DD">
        <w:trPr>
          <w:cantSplit/>
          <w:trHeight w:val="1140"/>
        </w:trPr>
        <w:tc>
          <w:tcPr>
            <w:tcW w:w="2031" w:type="pct"/>
            <w:vMerge w:val="restart"/>
            <w:shd w:val="clear" w:color="auto" w:fill="auto"/>
          </w:tcPr>
          <w:p w14:paraId="53D9BAEF" w14:textId="77777777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9057DB">
              <w:rPr>
                <w:sz w:val="22"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1095" w:type="pct"/>
            <w:shd w:val="clear" w:color="auto" w:fill="auto"/>
          </w:tcPr>
          <w:p w14:paraId="7B919B83" w14:textId="77777777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Povremeno</w:t>
            </w:r>
          </w:p>
          <w:p w14:paraId="7631FE90" w14:textId="77777777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  <w:p w14:paraId="4CB196D7" w14:textId="77777777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  <w:p w14:paraId="68FB004F" w14:textId="77777777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  <w:p w14:paraId="62E542E1" w14:textId="0047B4E3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74" w:type="pct"/>
            <w:shd w:val="clear" w:color="auto" w:fill="auto"/>
          </w:tcPr>
          <w:p w14:paraId="1043ACB3" w14:textId="77777777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Hiperhidroza</w:t>
            </w:r>
          </w:p>
          <w:p w14:paraId="0F450547" w14:textId="77777777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Svrab</w:t>
            </w:r>
          </w:p>
          <w:p w14:paraId="357A8BC2" w14:textId="77777777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Osip</w:t>
            </w:r>
          </w:p>
          <w:p w14:paraId="65E83BC0" w14:textId="4974D123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Urtikarija</w:t>
            </w:r>
          </w:p>
        </w:tc>
      </w:tr>
      <w:tr w:rsidR="007E5DA9" w:rsidRPr="009057DB" w14:paraId="7FCD79AC" w14:textId="77777777" w:rsidTr="00D50B60">
        <w:trPr>
          <w:cantSplit/>
          <w:trHeight w:val="363"/>
        </w:trPr>
        <w:tc>
          <w:tcPr>
            <w:tcW w:w="2031" w:type="pct"/>
            <w:vMerge/>
            <w:shd w:val="clear" w:color="auto" w:fill="auto"/>
          </w:tcPr>
          <w:p w14:paraId="69265057" w14:textId="77777777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095" w:type="pct"/>
            <w:shd w:val="clear" w:color="auto" w:fill="auto"/>
          </w:tcPr>
          <w:p w14:paraId="7DE5159C" w14:textId="5A103845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Nepoznato</w:t>
            </w:r>
          </w:p>
        </w:tc>
        <w:tc>
          <w:tcPr>
            <w:tcW w:w="1874" w:type="pct"/>
            <w:shd w:val="clear" w:color="auto" w:fill="auto"/>
          </w:tcPr>
          <w:p w14:paraId="587AF31D" w14:textId="0B5B52A0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Angioedem</w:t>
            </w:r>
          </w:p>
        </w:tc>
      </w:tr>
      <w:tr w:rsidR="007E5DA9" w:rsidRPr="009057DB" w14:paraId="29260F04" w14:textId="77777777" w:rsidTr="00FD08B7">
        <w:trPr>
          <w:cantSplit/>
          <w:trHeight w:val="540"/>
        </w:trPr>
        <w:tc>
          <w:tcPr>
            <w:tcW w:w="2031" w:type="pct"/>
            <w:vMerge w:val="restart"/>
            <w:shd w:val="clear" w:color="auto" w:fill="auto"/>
            <w:vAlign w:val="center"/>
          </w:tcPr>
          <w:p w14:paraId="22D5A7A0" w14:textId="77777777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9057DB">
              <w:rPr>
                <w:sz w:val="22"/>
                <w:szCs w:val="22"/>
                <w:lang w:val="sr-Latn-ME"/>
              </w:rPr>
              <w:t>Poremećaji mišićno-koštanog sistema i vezivnog tkiva</w:t>
            </w:r>
          </w:p>
        </w:tc>
        <w:tc>
          <w:tcPr>
            <w:tcW w:w="1095" w:type="pct"/>
            <w:shd w:val="clear" w:color="auto" w:fill="auto"/>
          </w:tcPr>
          <w:p w14:paraId="435F6502" w14:textId="77777777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Veoma često</w:t>
            </w:r>
          </w:p>
          <w:p w14:paraId="0F163D98" w14:textId="77777777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  <w:p w14:paraId="798C61AA" w14:textId="6345B587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74" w:type="pct"/>
            <w:shd w:val="clear" w:color="auto" w:fill="auto"/>
          </w:tcPr>
          <w:p w14:paraId="198BADF9" w14:textId="77777777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Mialgija</w:t>
            </w:r>
          </w:p>
          <w:p w14:paraId="1E9DDCA3" w14:textId="77777777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Artralgija</w:t>
            </w:r>
          </w:p>
        </w:tc>
      </w:tr>
      <w:tr w:rsidR="007E5DA9" w:rsidRPr="009057DB" w14:paraId="6E7080FE" w14:textId="77777777" w:rsidTr="007E5DA9">
        <w:trPr>
          <w:cantSplit/>
          <w:trHeight w:val="271"/>
        </w:trPr>
        <w:tc>
          <w:tcPr>
            <w:tcW w:w="2031" w:type="pct"/>
            <w:vMerge/>
            <w:shd w:val="clear" w:color="auto" w:fill="auto"/>
            <w:vAlign w:val="center"/>
          </w:tcPr>
          <w:p w14:paraId="1AE4AE13" w14:textId="77777777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095" w:type="pct"/>
            <w:shd w:val="clear" w:color="auto" w:fill="auto"/>
          </w:tcPr>
          <w:p w14:paraId="5F333898" w14:textId="77777777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Često</w:t>
            </w:r>
          </w:p>
          <w:p w14:paraId="51F6D389" w14:textId="0595CF02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74" w:type="pct"/>
            <w:shd w:val="clear" w:color="auto" w:fill="auto"/>
          </w:tcPr>
          <w:p w14:paraId="051E174C" w14:textId="5E39C40E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Bol u ekstremitetima</w:t>
            </w:r>
          </w:p>
        </w:tc>
      </w:tr>
      <w:tr w:rsidR="007E5DA9" w:rsidRPr="009057DB" w14:paraId="051DADE3" w14:textId="77777777" w:rsidTr="00FD08B7">
        <w:trPr>
          <w:cantSplit/>
          <w:trHeight w:val="221"/>
        </w:trPr>
        <w:tc>
          <w:tcPr>
            <w:tcW w:w="2031" w:type="pct"/>
            <w:vMerge/>
            <w:shd w:val="clear" w:color="auto" w:fill="auto"/>
            <w:vAlign w:val="center"/>
          </w:tcPr>
          <w:p w14:paraId="3B7DB0E7" w14:textId="77777777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095" w:type="pct"/>
            <w:shd w:val="clear" w:color="auto" w:fill="auto"/>
          </w:tcPr>
          <w:p w14:paraId="2CFB69C7" w14:textId="77777777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Povremeno</w:t>
            </w:r>
          </w:p>
          <w:p w14:paraId="5FF86D73" w14:textId="77777777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874" w:type="pct"/>
            <w:shd w:val="clear" w:color="auto" w:fill="auto"/>
          </w:tcPr>
          <w:p w14:paraId="588BC552" w14:textId="33321B01" w:rsidR="007E5DA9" w:rsidRPr="009057DB" w:rsidRDefault="007E5DA9" w:rsidP="00376088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Mišićni spazam</w:t>
            </w:r>
          </w:p>
        </w:tc>
      </w:tr>
      <w:tr w:rsidR="007E5DA9" w:rsidRPr="009057DB" w14:paraId="404BD4A5" w14:textId="77777777" w:rsidTr="00D50B60">
        <w:trPr>
          <w:cantSplit/>
          <w:trHeight w:val="262"/>
        </w:trPr>
        <w:tc>
          <w:tcPr>
            <w:tcW w:w="2031" w:type="pct"/>
            <w:vMerge w:val="restart"/>
            <w:shd w:val="clear" w:color="auto" w:fill="auto"/>
          </w:tcPr>
          <w:p w14:paraId="341ACFF7" w14:textId="763E9C33" w:rsidR="007E5DA9" w:rsidRPr="009057DB" w:rsidRDefault="007E5DA9" w:rsidP="00376088">
            <w:pPr>
              <w:keepNext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9057DB">
              <w:rPr>
                <w:sz w:val="22"/>
                <w:szCs w:val="22"/>
                <w:lang w:val="sr-Latn-ME"/>
              </w:rPr>
              <w:lastRenderedPageBreak/>
              <w:t>Opšti poremećaji i reakcije na mjestu primjene</w:t>
            </w:r>
          </w:p>
        </w:tc>
        <w:tc>
          <w:tcPr>
            <w:tcW w:w="1095" w:type="pct"/>
            <w:shd w:val="clear" w:color="auto" w:fill="auto"/>
          </w:tcPr>
          <w:p w14:paraId="03A90376" w14:textId="77777777" w:rsidR="007E5DA9" w:rsidRPr="009057DB" w:rsidRDefault="007E5DA9" w:rsidP="00376088">
            <w:pPr>
              <w:keepNext/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1874" w:type="pct"/>
            <w:shd w:val="clear" w:color="auto" w:fill="auto"/>
          </w:tcPr>
          <w:p w14:paraId="40B24832" w14:textId="1D3A600E" w:rsidR="007E5DA9" w:rsidRPr="009057DB" w:rsidRDefault="007E5DA9" w:rsidP="00376088">
            <w:pPr>
              <w:keepNext/>
              <w:tabs>
                <w:tab w:val="left" w:pos="284"/>
              </w:tabs>
              <w:jc w:val="both"/>
              <w:rPr>
                <w:bCs/>
                <w:sz w:val="22"/>
                <w:szCs w:val="22"/>
                <w:vertAlign w:val="superscript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Osjetljivost na mjestu primjene</w:t>
            </w:r>
            <w:r w:rsidR="00F84A3E" w:rsidRPr="009057DB">
              <w:rPr>
                <w:bCs/>
                <w:sz w:val="22"/>
                <w:szCs w:val="22"/>
                <w:lang w:val="sr-Latn-ME"/>
              </w:rPr>
              <w:t>,</w:t>
            </w:r>
            <w:r w:rsidR="00563181" w:rsidRPr="009057DB">
              <w:rPr>
                <w:bCs/>
                <w:sz w:val="22"/>
                <w:szCs w:val="22"/>
                <w:lang w:val="sr-Latn-ME"/>
              </w:rPr>
              <w:t xml:space="preserve"> b</w:t>
            </w:r>
            <w:r w:rsidRPr="009057DB">
              <w:rPr>
                <w:bCs/>
                <w:sz w:val="22"/>
                <w:szCs w:val="22"/>
                <w:lang w:val="sr-Latn-ME"/>
              </w:rPr>
              <w:t>ol</w:t>
            </w:r>
            <w:r w:rsidR="00F84A3E" w:rsidRPr="009057DB">
              <w:rPr>
                <w:bCs/>
                <w:sz w:val="22"/>
                <w:szCs w:val="22"/>
                <w:lang w:val="sr-Latn-ME"/>
              </w:rPr>
              <w:t>, t</w:t>
            </w:r>
            <w:r w:rsidRPr="009057DB">
              <w:rPr>
                <w:bCs/>
                <w:sz w:val="22"/>
                <w:szCs w:val="22"/>
                <w:lang w:val="sr-Latn-ME"/>
              </w:rPr>
              <w:t>oplina</w:t>
            </w:r>
            <w:r w:rsidR="00F84A3E" w:rsidRPr="009057DB">
              <w:rPr>
                <w:bCs/>
                <w:sz w:val="22"/>
                <w:szCs w:val="22"/>
                <w:lang w:val="sr-Latn-ME"/>
              </w:rPr>
              <w:t>, s</w:t>
            </w:r>
            <w:r w:rsidRPr="009057DB">
              <w:rPr>
                <w:bCs/>
                <w:sz w:val="22"/>
                <w:szCs w:val="22"/>
                <w:lang w:val="sr-Latn-ME"/>
              </w:rPr>
              <w:t>vrab</w:t>
            </w:r>
            <w:r w:rsidR="00F84A3E" w:rsidRPr="009057DB">
              <w:rPr>
                <w:bCs/>
                <w:sz w:val="22"/>
                <w:szCs w:val="22"/>
                <w:lang w:val="sr-Latn-ME"/>
              </w:rPr>
              <w:t>, m</w:t>
            </w:r>
            <w:r w:rsidRPr="009057DB">
              <w:rPr>
                <w:bCs/>
                <w:sz w:val="22"/>
                <w:szCs w:val="22"/>
                <w:lang w:val="sr-Latn-ME"/>
              </w:rPr>
              <w:t xml:space="preserve">odrica </w:t>
            </w:r>
            <w:r w:rsidRPr="009057DB">
              <w:rPr>
                <w:bCs/>
                <w:sz w:val="22"/>
                <w:szCs w:val="22"/>
                <w:vertAlign w:val="superscript"/>
                <w:lang w:val="sr-Latn-ME"/>
              </w:rPr>
              <w:t>f</w:t>
            </w:r>
            <w:r w:rsidRPr="009057DB">
              <w:rPr>
                <w:bCs/>
                <w:sz w:val="22"/>
                <w:szCs w:val="22"/>
                <w:lang w:val="sr-Latn-ME"/>
              </w:rPr>
              <w:t xml:space="preserve"> </w:t>
            </w:r>
          </w:p>
          <w:p w14:paraId="12886BB3" w14:textId="77777777" w:rsidR="007E5DA9" w:rsidRPr="009057DB" w:rsidRDefault="007E5DA9" w:rsidP="00376088">
            <w:pPr>
              <w:keepNext/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Umor</w:t>
            </w:r>
          </w:p>
          <w:p w14:paraId="16987B16" w14:textId="77777777" w:rsidR="007E5DA9" w:rsidRPr="009057DB" w:rsidRDefault="007E5DA9" w:rsidP="00376088">
            <w:pPr>
              <w:keepNext/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Malaksalost</w:t>
            </w:r>
          </w:p>
          <w:p w14:paraId="72B6B249" w14:textId="77777777" w:rsidR="007E5DA9" w:rsidRPr="009057DB" w:rsidRDefault="007E5DA9" w:rsidP="00376088">
            <w:pPr>
              <w:keepNext/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Povišena temperatura</w:t>
            </w:r>
          </w:p>
          <w:p w14:paraId="7C0754C4" w14:textId="65E29CAB" w:rsidR="007E5DA9" w:rsidRPr="009057DB" w:rsidRDefault="007E5DA9" w:rsidP="00376088">
            <w:pPr>
              <w:keepNext/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Drhtavica</w:t>
            </w:r>
          </w:p>
        </w:tc>
      </w:tr>
      <w:tr w:rsidR="007E5DA9" w:rsidRPr="009057DB" w14:paraId="7ADD7BC9" w14:textId="77777777" w:rsidTr="00D50B60">
        <w:trPr>
          <w:cantSplit/>
          <w:trHeight w:val="262"/>
        </w:trPr>
        <w:tc>
          <w:tcPr>
            <w:tcW w:w="2031" w:type="pct"/>
            <w:vMerge/>
            <w:shd w:val="clear" w:color="auto" w:fill="auto"/>
          </w:tcPr>
          <w:p w14:paraId="38299815" w14:textId="77777777" w:rsidR="007E5DA9" w:rsidRPr="009057DB" w:rsidRDefault="007E5DA9" w:rsidP="00376088">
            <w:pPr>
              <w:keepNext/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095" w:type="pct"/>
            <w:shd w:val="clear" w:color="auto" w:fill="auto"/>
          </w:tcPr>
          <w:p w14:paraId="2EBC24D0" w14:textId="77777777" w:rsidR="007E5DA9" w:rsidRPr="009057DB" w:rsidRDefault="007E5DA9" w:rsidP="00376088">
            <w:pPr>
              <w:keepNext/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874" w:type="pct"/>
            <w:shd w:val="clear" w:color="auto" w:fill="auto"/>
          </w:tcPr>
          <w:p w14:paraId="02DD0879" w14:textId="156286F3" w:rsidR="007E5DA9" w:rsidRPr="009057DB" w:rsidRDefault="007E5DA9" w:rsidP="00376088">
            <w:pPr>
              <w:keepNext/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Otok na mjestu primjene</w:t>
            </w:r>
          </w:p>
          <w:p w14:paraId="749AB351" w14:textId="510C3F5E" w:rsidR="007E5DA9" w:rsidRPr="009057DB" w:rsidRDefault="007E5DA9" w:rsidP="00376088">
            <w:pPr>
              <w:keepNext/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 xml:space="preserve">Eritem </w:t>
            </w:r>
          </w:p>
          <w:p w14:paraId="44489AB7" w14:textId="5DE7E951" w:rsidR="007E5DA9" w:rsidRPr="009057DB" w:rsidRDefault="007E5DA9" w:rsidP="00376088">
            <w:pPr>
              <w:keepNext/>
              <w:tabs>
                <w:tab w:val="left" w:pos="284"/>
              </w:tabs>
              <w:jc w:val="both"/>
              <w:rPr>
                <w:bCs/>
                <w:sz w:val="22"/>
                <w:szCs w:val="22"/>
                <w:vertAlign w:val="superscript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Groznica</w:t>
            </w:r>
            <w:r w:rsidRPr="009057DB">
              <w:rPr>
                <w:bCs/>
                <w:sz w:val="22"/>
                <w:szCs w:val="22"/>
                <w:vertAlign w:val="superscript"/>
                <w:lang w:val="sr-Latn-ME"/>
              </w:rPr>
              <w:t>g</w:t>
            </w:r>
          </w:p>
          <w:p w14:paraId="7FF07BB8" w14:textId="77777777" w:rsidR="007E5DA9" w:rsidRPr="009057DB" w:rsidRDefault="007E5DA9" w:rsidP="00376088">
            <w:pPr>
              <w:keepNext/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Bolest nalik gripu</w:t>
            </w:r>
          </w:p>
          <w:p w14:paraId="6DDE0E74" w14:textId="626A0C82" w:rsidR="007E5DA9" w:rsidRPr="009057DB" w:rsidRDefault="007E5DA9" w:rsidP="00376088">
            <w:pPr>
              <w:keepNext/>
              <w:tabs>
                <w:tab w:val="left" w:pos="284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9057DB">
              <w:rPr>
                <w:bCs/>
                <w:sz w:val="22"/>
                <w:szCs w:val="22"/>
                <w:lang w:val="sr-Latn-ME"/>
              </w:rPr>
              <w:t>Astenija</w:t>
            </w:r>
          </w:p>
        </w:tc>
      </w:tr>
    </w:tbl>
    <w:p w14:paraId="7807FC89" w14:textId="29D49A2E" w:rsidR="00D97368" w:rsidRPr="009057DB" w:rsidRDefault="00C715DD" w:rsidP="00376088">
      <w:pPr>
        <w:keepNext/>
        <w:tabs>
          <w:tab w:val="left" w:pos="284"/>
        </w:tabs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9057DB">
        <w:rPr>
          <w:noProof/>
          <w:sz w:val="22"/>
          <w:szCs w:val="22"/>
          <w:vertAlign w:val="superscript"/>
          <w:lang w:val="sr-Latn-ME"/>
        </w:rPr>
        <w:t>a</w:t>
      </w:r>
      <w:r w:rsidRPr="009057DB">
        <w:rPr>
          <w:noProof/>
          <w:sz w:val="22"/>
          <w:szCs w:val="22"/>
          <w:lang w:val="sr-Latn-ME"/>
        </w:rPr>
        <w:t xml:space="preserve"> </w:t>
      </w:r>
      <w:r w:rsidR="00D97368" w:rsidRPr="009057DB">
        <w:rPr>
          <w:noProof/>
          <w:sz w:val="22"/>
          <w:szCs w:val="22"/>
          <w:lang w:val="sr-Latn-ME"/>
        </w:rPr>
        <w:t xml:space="preserve">U kliničkim studijama, kratkotrajna, blaga trombocitopenija je često </w:t>
      </w:r>
      <w:r w:rsidR="0057769D" w:rsidRPr="009057DB">
        <w:rPr>
          <w:noProof/>
          <w:sz w:val="22"/>
          <w:szCs w:val="22"/>
          <w:lang w:val="sr-Latn-ME"/>
        </w:rPr>
        <w:t>prijavlji</w:t>
      </w:r>
      <w:r w:rsidR="00D97368" w:rsidRPr="009057DB">
        <w:rPr>
          <w:noProof/>
          <w:sz w:val="22"/>
          <w:szCs w:val="22"/>
          <w:lang w:val="sr-Latn-ME"/>
        </w:rPr>
        <w:t xml:space="preserve">vana (vidjeti </w:t>
      </w:r>
      <w:r w:rsidR="003849B0" w:rsidRPr="009057DB">
        <w:rPr>
          <w:noProof/>
          <w:sz w:val="22"/>
          <w:szCs w:val="22"/>
          <w:lang w:val="sr-Latn-ME"/>
        </w:rPr>
        <w:t xml:space="preserve">dio </w:t>
      </w:r>
      <w:r w:rsidR="00D97368" w:rsidRPr="009057DB">
        <w:rPr>
          <w:noProof/>
          <w:sz w:val="22"/>
          <w:szCs w:val="22"/>
          <w:lang w:val="sr-Latn-ME"/>
        </w:rPr>
        <w:t>4.4).</w:t>
      </w:r>
    </w:p>
    <w:p w14:paraId="69EFB70E" w14:textId="5C2B8DA2" w:rsidR="003A15E8" w:rsidRPr="009057DB" w:rsidRDefault="003A15E8" w:rsidP="00376088">
      <w:pPr>
        <w:keepNext/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  <w:iCs/>
          <w:sz w:val="22"/>
          <w:szCs w:val="22"/>
          <w:lang w:val="sr-Latn-ME"/>
        </w:rPr>
      </w:pPr>
      <w:r w:rsidRPr="009057DB">
        <w:rPr>
          <w:noProof/>
          <w:sz w:val="22"/>
          <w:szCs w:val="22"/>
          <w:vertAlign w:val="superscript"/>
          <w:lang w:val="sr-Latn-ME"/>
        </w:rPr>
        <w:t xml:space="preserve">b  </w:t>
      </w:r>
      <w:r w:rsidRPr="009057DB">
        <w:rPr>
          <w:rFonts w:eastAsia="Calibri"/>
          <w:bCs/>
          <w:iCs/>
          <w:sz w:val="22"/>
          <w:szCs w:val="22"/>
          <w:lang w:val="sr-Latn-ME"/>
        </w:rPr>
        <w:t xml:space="preserve">Slučajevi su prijavljeni nakon stavljanja lijeka u promet (vidjeti takođe </w:t>
      </w:r>
      <w:r w:rsidR="003849B0" w:rsidRPr="009057DB">
        <w:rPr>
          <w:rFonts w:eastAsia="Calibri"/>
          <w:bCs/>
          <w:iCs/>
          <w:sz w:val="22"/>
          <w:szCs w:val="22"/>
          <w:lang w:val="sr-Latn-ME"/>
        </w:rPr>
        <w:t xml:space="preserve">dio </w:t>
      </w:r>
      <w:r w:rsidRPr="009057DB">
        <w:rPr>
          <w:rFonts w:eastAsia="Calibri"/>
          <w:bCs/>
          <w:iCs/>
          <w:sz w:val="22"/>
          <w:szCs w:val="22"/>
          <w:lang w:val="sr-Latn-ME"/>
        </w:rPr>
        <w:t>4.4)</w:t>
      </w:r>
    </w:p>
    <w:p w14:paraId="78CFCA5D" w14:textId="77777777" w:rsidR="007E5DA9" w:rsidRPr="009057DB" w:rsidRDefault="007E5DA9" w:rsidP="00376088">
      <w:pPr>
        <w:keepNext/>
        <w:tabs>
          <w:tab w:val="left" w:pos="284"/>
        </w:tabs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9057DB">
        <w:rPr>
          <w:noProof/>
          <w:sz w:val="22"/>
          <w:szCs w:val="22"/>
          <w:vertAlign w:val="superscript"/>
          <w:lang w:val="sr-Latn-ME"/>
        </w:rPr>
        <w:t xml:space="preserve">c </w:t>
      </w:r>
      <w:r w:rsidRPr="009057DB">
        <w:rPr>
          <w:noProof/>
          <w:sz w:val="22"/>
          <w:szCs w:val="22"/>
          <w:lang w:val="sr-Latn-ME"/>
        </w:rPr>
        <w:t>Glavobolja uključujući migrenu (povremeno)</w:t>
      </w:r>
    </w:p>
    <w:p w14:paraId="56935BCD" w14:textId="4EAAD489" w:rsidR="007E5DA9" w:rsidRPr="009057DB" w:rsidRDefault="007E5DA9" w:rsidP="00376088">
      <w:pPr>
        <w:keepNext/>
        <w:tabs>
          <w:tab w:val="left" w:pos="284"/>
        </w:tabs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9057DB">
        <w:rPr>
          <w:noProof/>
          <w:sz w:val="22"/>
          <w:szCs w:val="22"/>
          <w:vertAlign w:val="superscript"/>
          <w:lang w:val="sr-Latn-ME"/>
        </w:rPr>
        <w:t xml:space="preserve">d  </w:t>
      </w:r>
      <w:r w:rsidRPr="009057DB">
        <w:rPr>
          <w:noProof/>
          <w:sz w:val="22"/>
          <w:szCs w:val="22"/>
          <w:lang w:val="sr-Latn-ME"/>
        </w:rPr>
        <w:t xml:space="preserve">Zasnovano na podacijma iz kliničke studije sprovedene u Sjedinjenim Američkim državama, Peruu i Čileu. Period praćenja bezbjednosti je bio do 05. marta 2021, facijalna paraliza je prijavljena od strane pet učesnika iz Vaxzevria grupe. Početak je bio 8 i 15 dana nakon prve doze, i 4, 17, i 25 dana nakon druge doze. </w:t>
      </w:r>
      <w:r w:rsidR="0076158A" w:rsidRPr="009057DB">
        <w:rPr>
          <w:noProof/>
          <w:sz w:val="22"/>
          <w:szCs w:val="22"/>
          <w:lang w:val="sr-Latn-ME"/>
        </w:rPr>
        <w:t>S</w:t>
      </w:r>
      <w:r w:rsidRPr="009057DB">
        <w:rPr>
          <w:noProof/>
          <w:sz w:val="22"/>
          <w:szCs w:val="22"/>
          <w:lang w:val="sr-Latn-ME"/>
        </w:rPr>
        <w:t xml:space="preserve">lučajevi koji su bili prijavljeni </w:t>
      </w:r>
      <w:r w:rsidR="0076158A" w:rsidRPr="009057DB">
        <w:rPr>
          <w:noProof/>
          <w:sz w:val="22"/>
          <w:szCs w:val="22"/>
          <w:lang w:val="sr-Latn-ME"/>
        </w:rPr>
        <w:t>nijesu bili ozbiljnog karaktera</w:t>
      </w:r>
      <w:r w:rsidRPr="009057DB">
        <w:rPr>
          <w:noProof/>
          <w:sz w:val="22"/>
          <w:szCs w:val="22"/>
          <w:lang w:val="sr-Latn-ME"/>
        </w:rPr>
        <w:t xml:space="preserve">. Nijedan slučaj facijalne paralize nije bio prijavljen u placebo grupi. </w:t>
      </w:r>
    </w:p>
    <w:p w14:paraId="367700C2" w14:textId="7840AF7F" w:rsidR="007E5DA9" w:rsidRPr="009057DB" w:rsidRDefault="007E5DA9" w:rsidP="00376088">
      <w:pPr>
        <w:keepNext/>
        <w:tabs>
          <w:tab w:val="left" w:pos="284"/>
        </w:tabs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9057DB">
        <w:rPr>
          <w:noProof/>
          <w:sz w:val="22"/>
          <w:szCs w:val="22"/>
          <w:vertAlign w:val="superscript"/>
          <w:lang w:val="sr-Latn-ME"/>
        </w:rPr>
        <w:t xml:space="preserve">e </w:t>
      </w:r>
      <w:r w:rsidRPr="009057DB">
        <w:rPr>
          <w:noProof/>
          <w:sz w:val="22"/>
          <w:szCs w:val="22"/>
          <w:lang w:val="sr-Latn-ME"/>
        </w:rPr>
        <w:t xml:space="preserve">Teški i veoma rijetki slučajevi </w:t>
      </w:r>
      <w:r w:rsidR="0076158A" w:rsidRPr="009057DB">
        <w:rPr>
          <w:noProof/>
          <w:sz w:val="22"/>
          <w:szCs w:val="22"/>
          <w:lang w:val="sr-Latn-ME"/>
        </w:rPr>
        <w:t xml:space="preserve">sindroma </w:t>
      </w:r>
      <w:r w:rsidRPr="009057DB">
        <w:rPr>
          <w:noProof/>
          <w:sz w:val="22"/>
          <w:szCs w:val="22"/>
          <w:lang w:val="sr-Latn-ME"/>
        </w:rPr>
        <w:t xml:space="preserve">tromboze sa trombocitopenijom su prijavljeni u post-marketinškom periodu. Ovo uključuje vensku trombozu, kao što je cerebralna venska sinusna tromboza, tromboza splahničke vene, kao i arterijska tromboza (vidjeti </w:t>
      </w:r>
      <w:r w:rsidR="0076158A" w:rsidRPr="009057DB">
        <w:rPr>
          <w:noProof/>
          <w:sz w:val="22"/>
          <w:szCs w:val="22"/>
          <w:lang w:val="sr-Latn-ME"/>
        </w:rPr>
        <w:t>dio</w:t>
      </w:r>
      <w:r w:rsidRPr="009057DB">
        <w:rPr>
          <w:noProof/>
          <w:sz w:val="22"/>
          <w:szCs w:val="22"/>
          <w:lang w:val="sr-Latn-ME"/>
        </w:rPr>
        <w:t xml:space="preserve"> 4.4)</w:t>
      </w:r>
    </w:p>
    <w:p w14:paraId="1DE2D3C5" w14:textId="24EE9F0B" w:rsidR="00C715DD" w:rsidRPr="009057DB" w:rsidRDefault="007E5DA9" w:rsidP="00376088">
      <w:pPr>
        <w:keepNext/>
        <w:tabs>
          <w:tab w:val="left" w:pos="284"/>
        </w:tabs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bookmarkStart w:id="1" w:name="_Hlk87515064"/>
      <w:r w:rsidRPr="009057DB">
        <w:rPr>
          <w:noProof/>
          <w:sz w:val="22"/>
          <w:szCs w:val="22"/>
          <w:vertAlign w:val="superscript"/>
          <w:lang w:val="sr-Latn-ME"/>
        </w:rPr>
        <w:t>f</w:t>
      </w:r>
      <w:bookmarkEnd w:id="1"/>
      <w:r w:rsidR="00D97368" w:rsidRPr="009057DB">
        <w:rPr>
          <w:noProof/>
          <w:sz w:val="22"/>
          <w:szCs w:val="22"/>
          <w:lang w:val="sr-Latn-ME"/>
        </w:rPr>
        <w:t xml:space="preserve"> </w:t>
      </w:r>
      <w:r w:rsidR="00C715DD" w:rsidRPr="009057DB">
        <w:rPr>
          <w:noProof/>
          <w:sz w:val="22"/>
          <w:szCs w:val="22"/>
          <w:lang w:val="sr-Latn-ME"/>
        </w:rPr>
        <w:t>Modric</w:t>
      </w:r>
      <w:r w:rsidR="006959F9" w:rsidRPr="009057DB">
        <w:rPr>
          <w:noProof/>
          <w:sz w:val="22"/>
          <w:szCs w:val="22"/>
          <w:lang w:val="sr-Latn-ME"/>
        </w:rPr>
        <w:t>a</w:t>
      </w:r>
      <w:r w:rsidR="00C715DD" w:rsidRPr="009057DB">
        <w:rPr>
          <w:noProof/>
          <w:sz w:val="22"/>
          <w:szCs w:val="22"/>
          <w:lang w:val="sr-Latn-ME"/>
        </w:rPr>
        <w:t xml:space="preserve"> na m</w:t>
      </w:r>
      <w:r w:rsidR="003B4BDC" w:rsidRPr="009057DB">
        <w:rPr>
          <w:noProof/>
          <w:sz w:val="22"/>
          <w:szCs w:val="22"/>
          <w:lang w:val="sr-Latn-ME"/>
        </w:rPr>
        <w:t>j</w:t>
      </w:r>
      <w:r w:rsidR="00C715DD" w:rsidRPr="009057DB">
        <w:rPr>
          <w:noProof/>
          <w:sz w:val="22"/>
          <w:szCs w:val="22"/>
          <w:lang w:val="sr-Latn-ME"/>
        </w:rPr>
        <w:t xml:space="preserve">estu </w:t>
      </w:r>
      <w:r w:rsidR="00312B8C" w:rsidRPr="009057DB">
        <w:rPr>
          <w:noProof/>
          <w:sz w:val="22"/>
          <w:szCs w:val="22"/>
          <w:lang w:val="sr-Latn-ME"/>
        </w:rPr>
        <w:t xml:space="preserve">primjene </w:t>
      </w:r>
      <w:r w:rsidR="00C715DD" w:rsidRPr="009057DB">
        <w:rPr>
          <w:noProof/>
          <w:sz w:val="22"/>
          <w:szCs w:val="22"/>
          <w:lang w:val="sr-Latn-ME"/>
        </w:rPr>
        <w:t>injekcij</w:t>
      </w:r>
      <w:r w:rsidR="00312B8C" w:rsidRPr="009057DB">
        <w:rPr>
          <w:noProof/>
          <w:sz w:val="22"/>
          <w:szCs w:val="22"/>
          <w:lang w:val="sr-Latn-ME"/>
        </w:rPr>
        <w:t>e</w:t>
      </w:r>
      <w:r w:rsidR="00C715DD" w:rsidRPr="009057DB">
        <w:rPr>
          <w:noProof/>
          <w:sz w:val="22"/>
          <w:szCs w:val="22"/>
          <w:lang w:val="sr-Latn-ME"/>
        </w:rPr>
        <w:t xml:space="preserve"> uključuju</w:t>
      </w:r>
      <w:r w:rsidR="009A4AC3" w:rsidRPr="009057DB">
        <w:rPr>
          <w:noProof/>
          <w:sz w:val="22"/>
          <w:szCs w:val="22"/>
          <w:lang w:val="sr-Latn-ME"/>
        </w:rPr>
        <w:t>ći</w:t>
      </w:r>
      <w:r w:rsidR="00C715DD" w:rsidRPr="009057DB">
        <w:rPr>
          <w:noProof/>
          <w:sz w:val="22"/>
          <w:szCs w:val="22"/>
          <w:lang w:val="sr-Latn-ME"/>
        </w:rPr>
        <w:t xml:space="preserve"> hematom na m</w:t>
      </w:r>
      <w:r w:rsidR="003B4BDC" w:rsidRPr="009057DB">
        <w:rPr>
          <w:noProof/>
          <w:sz w:val="22"/>
          <w:szCs w:val="22"/>
          <w:lang w:val="sr-Latn-ME"/>
        </w:rPr>
        <w:t>j</w:t>
      </w:r>
      <w:r w:rsidR="00C715DD" w:rsidRPr="009057DB">
        <w:rPr>
          <w:noProof/>
          <w:sz w:val="22"/>
          <w:szCs w:val="22"/>
          <w:lang w:val="sr-Latn-ME"/>
        </w:rPr>
        <w:t>estu injekcije (povremeno)</w:t>
      </w:r>
    </w:p>
    <w:p w14:paraId="72FFB264" w14:textId="0F09B4C4" w:rsidR="008F7DC2" w:rsidRPr="009057DB" w:rsidRDefault="007E5DA9" w:rsidP="00376088">
      <w:pPr>
        <w:keepNext/>
        <w:tabs>
          <w:tab w:val="left" w:pos="284"/>
        </w:tabs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9057DB">
        <w:rPr>
          <w:noProof/>
          <w:sz w:val="22"/>
          <w:szCs w:val="22"/>
          <w:vertAlign w:val="superscript"/>
          <w:lang w:val="sr-Latn-ME"/>
        </w:rPr>
        <w:t>g</w:t>
      </w:r>
      <w:r w:rsidR="00F9420F" w:rsidRPr="009057DB">
        <w:rPr>
          <w:noProof/>
          <w:sz w:val="22"/>
          <w:szCs w:val="22"/>
          <w:vertAlign w:val="superscript"/>
          <w:lang w:val="sr-Latn-ME"/>
        </w:rPr>
        <w:t xml:space="preserve"> </w:t>
      </w:r>
      <w:r w:rsidR="00C715DD" w:rsidRPr="009057DB">
        <w:rPr>
          <w:noProof/>
          <w:sz w:val="22"/>
          <w:szCs w:val="22"/>
          <w:lang w:val="sr-Latn-ME"/>
        </w:rPr>
        <w:t>Izm</w:t>
      </w:r>
      <w:r w:rsidR="003B4BDC" w:rsidRPr="009057DB">
        <w:rPr>
          <w:noProof/>
          <w:sz w:val="22"/>
          <w:szCs w:val="22"/>
          <w:lang w:val="sr-Latn-ME"/>
        </w:rPr>
        <w:t>j</w:t>
      </w:r>
      <w:r w:rsidR="00C715DD" w:rsidRPr="009057DB">
        <w:rPr>
          <w:noProof/>
          <w:sz w:val="22"/>
          <w:szCs w:val="22"/>
          <w:lang w:val="sr-Latn-ME"/>
        </w:rPr>
        <w:t>erena temperatura ≥38°C</w:t>
      </w:r>
    </w:p>
    <w:p w14:paraId="4DE90C1B" w14:textId="6A999992" w:rsidR="004705CC" w:rsidRPr="009057DB" w:rsidRDefault="004705CC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8349133" w14:textId="77777777" w:rsidR="005A23D2" w:rsidRPr="009057DB" w:rsidRDefault="005A23D2" w:rsidP="00376088">
      <w:pPr>
        <w:spacing w:after="200"/>
        <w:jc w:val="both"/>
        <w:rPr>
          <w:rFonts w:eastAsia="Calibri"/>
          <w:sz w:val="22"/>
          <w:szCs w:val="22"/>
          <w:u w:val="single"/>
          <w:lang w:val="sr-Latn-ME"/>
        </w:rPr>
      </w:pPr>
      <w:r w:rsidRPr="009057DB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63B30AD8" w14:textId="77777777" w:rsidR="005A23D2" w:rsidRPr="009057DB" w:rsidRDefault="005A23D2" w:rsidP="00376088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9057DB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9057DB">
        <w:rPr>
          <w:rFonts w:eastAsia="Calibri"/>
          <w:sz w:val="22"/>
          <w:szCs w:val="22"/>
          <w:lang w:val="sr-Latn-ME"/>
        </w:rPr>
        <w:t>inuirano praćenje odnosa korist</w:t>
      </w:r>
      <w:r w:rsidRPr="009057DB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9057DB">
        <w:rPr>
          <w:rFonts w:eastAsia="Calibri"/>
          <w:sz w:val="22"/>
          <w:szCs w:val="22"/>
          <w:lang w:val="sr-Latn-ME"/>
        </w:rPr>
        <w:t xml:space="preserve"> </w:t>
      </w:r>
      <w:r w:rsidRPr="009057DB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9057DB">
        <w:rPr>
          <w:rFonts w:eastAsia="Calibri"/>
          <w:sz w:val="22"/>
          <w:szCs w:val="22"/>
          <w:lang w:val="sr-Latn-ME"/>
        </w:rPr>
        <w:t>Institutu</w:t>
      </w:r>
      <w:r w:rsidRPr="009057DB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9057DB">
        <w:rPr>
          <w:rFonts w:eastAsia="Calibri"/>
          <w:sz w:val="22"/>
          <w:szCs w:val="22"/>
          <w:lang w:val="sr-Latn-ME"/>
        </w:rPr>
        <w:t xml:space="preserve"> </w:t>
      </w:r>
      <w:r w:rsidRPr="009057DB">
        <w:rPr>
          <w:rFonts w:eastAsia="Calibri"/>
          <w:sz w:val="22"/>
          <w:szCs w:val="22"/>
          <w:lang w:val="sr-Latn-ME"/>
        </w:rPr>
        <w:t>(</w:t>
      </w:r>
      <w:r w:rsidR="004E70AD" w:rsidRPr="009057DB">
        <w:rPr>
          <w:rFonts w:eastAsia="Calibri"/>
          <w:sz w:val="22"/>
          <w:szCs w:val="22"/>
          <w:lang w:val="sr-Latn-ME"/>
        </w:rPr>
        <w:t>CInMED</w:t>
      </w:r>
      <w:r w:rsidRPr="009057DB">
        <w:rPr>
          <w:rFonts w:eastAsia="Calibri"/>
          <w:sz w:val="22"/>
          <w:szCs w:val="22"/>
          <w:lang w:val="sr-Latn-ME"/>
        </w:rPr>
        <w:t>):</w:t>
      </w:r>
    </w:p>
    <w:p w14:paraId="66B3FEF2" w14:textId="77777777" w:rsidR="005A23D2" w:rsidRPr="009057DB" w:rsidRDefault="004E70AD" w:rsidP="0037608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057DB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9057DB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22487B22" w14:textId="77777777" w:rsidR="005A23D2" w:rsidRPr="009057DB" w:rsidRDefault="005A23D2" w:rsidP="0037608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057DB">
        <w:rPr>
          <w:rFonts w:eastAsia="Calibri"/>
          <w:sz w:val="22"/>
          <w:szCs w:val="22"/>
          <w:lang w:val="sr-Latn-ME"/>
        </w:rPr>
        <w:t>Odjeljenje za farmakovigilancu</w:t>
      </w:r>
    </w:p>
    <w:p w14:paraId="51A88C6F" w14:textId="77777777" w:rsidR="00EA5765" w:rsidRPr="009057DB" w:rsidRDefault="005A23D2" w:rsidP="0037608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057DB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4A206A4C" w14:textId="77777777" w:rsidR="00EA5765" w:rsidRPr="009057DB" w:rsidRDefault="00EA5765" w:rsidP="0037608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589AB5A2" w14:textId="77777777" w:rsidR="005A23D2" w:rsidRPr="009057DB" w:rsidRDefault="005A23D2" w:rsidP="0037608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057DB">
        <w:rPr>
          <w:rFonts w:eastAsia="Calibri"/>
          <w:sz w:val="22"/>
          <w:szCs w:val="22"/>
          <w:lang w:val="sr-Latn-ME"/>
        </w:rPr>
        <w:t>tel: +382 (0) 20 310 280</w:t>
      </w:r>
    </w:p>
    <w:p w14:paraId="4236E164" w14:textId="77777777" w:rsidR="00EA5765" w:rsidRPr="009057DB" w:rsidRDefault="005A23D2" w:rsidP="0037608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057DB">
        <w:rPr>
          <w:rFonts w:eastAsia="Calibri"/>
          <w:sz w:val="22"/>
          <w:szCs w:val="22"/>
          <w:lang w:val="sr-Latn-ME"/>
        </w:rPr>
        <w:t>fax:</w:t>
      </w:r>
      <w:r w:rsidR="00EA5765" w:rsidRPr="009057DB">
        <w:rPr>
          <w:rFonts w:eastAsia="Calibri"/>
          <w:sz w:val="22"/>
          <w:szCs w:val="22"/>
          <w:lang w:val="sr-Latn-ME"/>
        </w:rPr>
        <w:t xml:space="preserve"> </w:t>
      </w:r>
      <w:r w:rsidRPr="009057DB">
        <w:rPr>
          <w:rFonts w:eastAsia="Calibri"/>
          <w:sz w:val="22"/>
          <w:szCs w:val="22"/>
          <w:lang w:val="sr-Latn-ME"/>
        </w:rPr>
        <w:t>+382 (0) 20 310 581</w:t>
      </w:r>
    </w:p>
    <w:p w14:paraId="4E71957D" w14:textId="77777777" w:rsidR="005A23D2" w:rsidRPr="009057DB" w:rsidRDefault="00EE124E" w:rsidP="0037608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9" w:history="1">
        <w:r w:rsidR="004E70AD" w:rsidRPr="009057DB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7680C648" w14:textId="77777777" w:rsidR="00EA5765" w:rsidRPr="009057DB" w:rsidRDefault="00EE124E" w:rsidP="00376088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0" w:history="1">
        <w:r w:rsidR="004E70AD" w:rsidRPr="009057DB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4543AB3F" w14:textId="77777777" w:rsidR="005A23D2" w:rsidRPr="009057DB" w:rsidRDefault="005A23D2" w:rsidP="0037608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057DB">
        <w:rPr>
          <w:rFonts w:eastAsia="Calibri"/>
          <w:sz w:val="22"/>
          <w:szCs w:val="22"/>
          <w:lang w:val="sr-Latn-ME"/>
        </w:rPr>
        <w:t>putem IS zdravstvene zaštite</w:t>
      </w:r>
    </w:p>
    <w:p w14:paraId="500D69BA" w14:textId="77777777" w:rsidR="00836B35" w:rsidRPr="009057DB" w:rsidRDefault="00836B35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D9DD63E" w14:textId="77777777" w:rsidR="00CD6F02" w:rsidRPr="009057DB" w:rsidRDefault="0072020E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057DB">
        <w:rPr>
          <w:b/>
          <w:bCs/>
          <w:sz w:val="22"/>
          <w:szCs w:val="22"/>
          <w:lang w:val="sr-Latn-ME"/>
        </w:rPr>
        <w:t xml:space="preserve">4.9. </w:t>
      </w:r>
      <w:r w:rsidR="00480FB1" w:rsidRPr="009057DB">
        <w:rPr>
          <w:b/>
          <w:bCs/>
          <w:sz w:val="22"/>
          <w:szCs w:val="22"/>
          <w:lang w:val="sr-Latn-ME"/>
        </w:rPr>
        <w:tab/>
      </w:r>
      <w:r w:rsidRPr="009057DB">
        <w:rPr>
          <w:b/>
          <w:bCs/>
          <w:sz w:val="22"/>
          <w:szCs w:val="22"/>
          <w:lang w:val="sr-Latn-ME"/>
        </w:rPr>
        <w:t>Predoziranje</w:t>
      </w:r>
      <w:r w:rsidR="002846DB" w:rsidRPr="009057DB">
        <w:rPr>
          <w:b/>
          <w:bCs/>
          <w:sz w:val="22"/>
          <w:szCs w:val="22"/>
          <w:lang w:val="sr-Latn-ME"/>
        </w:rPr>
        <w:t xml:space="preserve"> </w:t>
      </w:r>
    </w:p>
    <w:p w14:paraId="1B30E1EA" w14:textId="77777777" w:rsidR="00CD6F02" w:rsidRPr="009057DB" w:rsidRDefault="00CD6F02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C018B86" w14:textId="0DE55F2A" w:rsidR="00E71E43" w:rsidRPr="009057DB" w:rsidRDefault="00E71E43" w:rsidP="00376088">
      <w:pPr>
        <w:widowControl w:val="0"/>
        <w:tabs>
          <w:tab w:val="left" w:pos="284"/>
          <w:tab w:val="left" w:pos="10206"/>
        </w:tabs>
        <w:autoSpaceDE w:val="0"/>
        <w:autoSpaceDN w:val="0"/>
        <w:ind w:right="414"/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 xml:space="preserve">Nema </w:t>
      </w:r>
      <w:r w:rsidR="0040292B" w:rsidRPr="009057DB">
        <w:rPr>
          <w:sz w:val="22"/>
          <w:szCs w:val="22"/>
          <w:lang w:val="sr-Latn-ME"/>
        </w:rPr>
        <w:t xml:space="preserve">specifičnog </w:t>
      </w:r>
      <w:r w:rsidR="004D562C" w:rsidRPr="009057DB">
        <w:rPr>
          <w:sz w:val="22"/>
          <w:szCs w:val="22"/>
          <w:lang w:val="sr-Latn-ME"/>
        </w:rPr>
        <w:t xml:space="preserve">liječenja </w:t>
      </w:r>
      <w:r w:rsidRPr="009057DB">
        <w:rPr>
          <w:sz w:val="22"/>
          <w:szCs w:val="22"/>
          <w:lang w:val="sr-Latn-ME"/>
        </w:rPr>
        <w:t>za predoziranje vakcinom</w:t>
      </w:r>
      <w:r w:rsidR="008448EC" w:rsidRPr="009057DB">
        <w:rPr>
          <w:sz w:val="22"/>
          <w:szCs w:val="22"/>
          <w:lang w:val="sr-Latn-ME"/>
        </w:rPr>
        <w:t xml:space="preserve"> </w:t>
      </w:r>
      <w:r w:rsidR="005F2E5E" w:rsidRPr="009057DB">
        <w:rPr>
          <w:color w:val="000000"/>
          <w:sz w:val="22"/>
          <w:szCs w:val="22"/>
          <w:shd w:val="clear" w:color="auto" w:fill="FFFFFF"/>
          <w:lang w:val="sr-Latn-ME"/>
        </w:rPr>
        <w:t>Vaxzevria</w:t>
      </w:r>
      <w:r w:rsidRPr="009057DB">
        <w:rPr>
          <w:sz w:val="22"/>
          <w:szCs w:val="22"/>
          <w:lang w:val="sr-Latn-ME"/>
        </w:rPr>
        <w:t xml:space="preserve">. U slučaju predoziranja, </w:t>
      </w:r>
      <w:r w:rsidR="00C76A79" w:rsidRPr="009057DB">
        <w:rPr>
          <w:sz w:val="22"/>
          <w:szCs w:val="22"/>
          <w:lang w:val="sr-Latn-ME"/>
        </w:rPr>
        <w:t xml:space="preserve">osobu je potrebno </w:t>
      </w:r>
      <w:r w:rsidRPr="009057DB">
        <w:rPr>
          <w:sz w:val="22"/>
          <w:szCs w:val="22"/>
          <w:lang w:val="sr-Latn-ME"/>
        </w:rPr>
        <w:t xml:space="preserve">pažljivo pratiti </w:t>
      </w:r>
      <w:r w:rsidR="00EF0783" w:rsidRPr="009057DB">
        <w:rPr>
          <w:sz w:val="22"/>
          <w:szCs w:val="22"/>
          <w:lang w:val="sr-Latn-ME"/>
        </w:rPr>
        <w:t>i po potrebi prim</w:t>
      </w:r>
      <w:r w:rsidR="00F95062" w:rsidRPr="009057DB">
        <w:rPr>
          <w:sz w:val="22"/>
          <w:szCs w:val="22"/>
          <w:lang w:val="sr-Latn-ME"/>
        </w:rPr>
        <w:t>i</w:t>
      </w:r>
      <w:r w:rsidR="00EF0783" w:rsidRPr="009057DB">
        <w:rPr>
          <w:sz w:val="22"/>
          <w:szCs w:val="22"/>
          <w:lang w:val="sr-Latn-ME"/>
        </w:rPr>
        <w:t>jeniti simptomatsku terapiju</w:t>
      </w:r>
      <w:r w:rsidR="00F95062" w:rsidRPr="009057DB">
        <w:rPr>
          <w:sz w:val="22"/>
          <w:szCs w:val="22"/>
          <w:lang w:val="sr-Latn-ME"/>
        </w:rPr>
        <w:t>.</w:t>
      </w:r>
    </w:p>
    <w:p w14:paraId="3D579C3C" w14:textId="77777777" w:rsidR="00227BDB" w:rsidRPr="009057DB" w:rsidRDefault="00227BDB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12A55E9" w14:textId="77777777" w:rsidR="00A60699" w:rsidRPr="009057DB" w:rsidRDefault="00A60699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511758C" w14:textId="200F2C7C" w:rsidR="0072020E" w:rsidRPr="009057DB" w:rsidRDefault="0072020E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057DB">
        <w:rPr>
          <w:b/>
          <w:bCs/>
          <w:sz w:val="22"/>
          <w:szCs w:val="22"/>
          <w:lang w:val="sr-Latn-ME"/>
        </w:rPr>
        <w:t xml:space="preserve">5. </w:t>
      </w:r>
      <w:r w:rsidR="00480FB1" w:rsidRPr="009057DB">
        <w:rPr>
          <w:b/>
          <w:bCs/>
          <w:sz w:val="22"/>
          <w:szCs w:val="22"/>
          <w:lang w:val="sr-Latn-ME"/>
        </w:rPr>
        <w:tab/>
      </w:r>
      <w:r w:rsidRPr="009057DB">
        <w:rPr>
          <w:b/>
          <w:bCs/>
          <w:sz w:val="22"/>
          <w:szCs w:val="22"/>
          <w:lang w:val="sr-Latn-ME"/>
        </w:rPr>
        <w:t>FARMAKOLOŠK</w:t>
      </w:r>
      <w:r w:rsidR="000D425A" w:rsidRPr="009057DB">
        <w:rPr>
          <w:b/>
          <w:bCs/>
          <w:sz w:val="22"/>
          <w:szCs w:val="22"/>
          <w:lang w:val="sr-Latn-ME"/>
        </w:rPr>
        <w:t>I</w:t>
      </w:r>
      <w:r w:rsidRPr="009057DB">
        <w:rPr>
          <w:b/>
          <w:bCs/>
          <w:sz w:val="22"/>
          <w:szCs w:val="22"/>
          <w:lang w:val="sr-Latn-ME"/>
        </w:rPr>
        <w:t xml:space="preserve"> PODACI</w:t>
      </w:r>
    </w:p>
    <w:p w14:paraId="69D76E33" w14:textId="77777777" w:rsidR="0072020E" w:rsidRPr="009057DB" w:rsidRDefault="0072020E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8AB7B6A" w14:textId="77777777" w:rsidR="0072020E" w:rsidRPr="009057DB" w:rsidRDefault="0072020E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057DB">
        <w:rPr>
          <w:b/>
          <w:bCs/>
          <w:sz w:val="22"/>
          <w:szCs w:val="22"/>
          <w:lang w:val="sr-Latn-ME"/>
        </w:rPr>
        <w:t xml:space="preserve">5.1. </w:t>
      </w:r>
      <w:r w:rsidR="00480FB1" w:rsidRPr="009057DB">
        <w:rPr>
          <w:b/>
          <w:bCs/>
          <w:sz w:val="22"/>
          <w:szCs w:val="22"/>
          <w:lang w:val="sr-Latn-ME"/>
        </w:rPr>
        <w:tab/>
      </w:r>
      <w:r w:rsidRPr="009057DB">
        <w:rPr>
          <w:b/>
          <w:bCs/>
          <w:sz w:val="22"/>
          <w:szCs w:val="22"/>
          <w:lang w:val="sr-Latn-ME"/>
        </w:rPr>
        <w:t>Farmakodinamski podaci</w:t>
      </w:r>
      <w:r w:rsidR="003A7059" w:rsidRPr="009057DB">
        <w:rPr>
          <w:b/>
          <w:bCs/>
          <w:sz w:val="22"/>
          <w:szCs w:val="22"/>
          <w:lang w:val="sr-Latn-ME"/>
        </w:rPr>
        <w:t xml:space="preserve"> </w:t>
      </w:r>
    </w:p>
    <w:p w14:paraId="35AA3FAA" w14:textId="77777777" w:rsidR="00F45F77" w:rsidRPr="009057DB" w:rsidRDefault="00F45F77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F593266" w14:textId="0E6ED225" w:rsidR="0072020E" w:rsidRPr="009057DB" w:rsidRDefault="0072020E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057DB">
        <w:rPr>
          <w:bCs/>
          <w:sz w:val="22"/>
          <w:szCs w:val="22"/>
          <w:lang w:val="sr-Latn-ME"/>
        </w:rPr>
        <w:t>Farmakoterapijska grupa:</w:t>
      </w:r>
      <w:r w:rsidR="009A08D3" w:rsidRPr="009057DB">
        <w:rPr>
          <w:sz w:val="22"/>
          <w:szCs w:val="22"/>
          <w:lang w:val="sr-Latn-ME"/>
        </w:rPr>
        <w:t xml:space="preserve"> </w:t>
      </w:r>
      <w:r w:rsidR="009A08D3" w:rsidRPr="009057DB">
        <w:rPr>
          <w:bCs/>
          <w:sz w:val="22"/>
          <w:szCs w:val="22"/>
          <w:lang w:val="sr-Latn-ME"/>
        </w:rPr>
        <w:t>Vakcina, ostale virusne vakcine</w:t>
      </w:r>
    </w:p>
    <w:p w14:paraId="7BEF647E" w14:textId="77777777" w:rsidR="0072020E" w:rsidRPr="009057DB" w:rsidRDefault="0072020E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9EF3621" w14:textId="04CC0543" w:rsidR="0072020E" w:rsidRPr="009057DB" w:rsidRDefault="0072020E" w:rsidP="0037608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057DB">
        <w:rPr>
          <w:bCs/>
          <w:sz w:val="22"/>
          <w:szCs w:val="22"/>
          <w:lang w:val="sr-Latn-ME"/>
        </w:rPr>
        <w:t>ATC kod:</w:t>
      </w:r>
      <w:r w:rsidR="009A08D3" w:rsidRPr="009057DB">
        <w:rPr>
          <w:b/>
          <w:bCs/>
          <w:sz w:val="22"/>
          <w:szCs w:val="22"/>
          <w:lang w:val="sr-Latn-ME"/>
        </w:rPr>
        <w:t xml:space="preserve"> </w:t>
      </w:r>
      <w:r w:rsidR="009A08D3" w:rsidRPr="009057DB">
        <w:rPr>
          <w:sz w:val="22"/>
          <w:szCs w:val="22"/>
          <w:lang w:val="sr-Latn-ME"/>
        </w:rPr>
        <w:t>J07BX03</w:t>
      </w:r>
    </w:p>
    <w:p w14:paraId="21F27BA3" w14:textId="6E7DDAB4" w:rsidR="009F6564" w:rsidRPr="009057DB" w:rsidRDefault="009F6564" w:rsidP="0037608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F01F1DE" w14:textId="77777777" w:rsidR="009F6564" w:rsidRPr="009057DB" w:rsidRDefault="009F6564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9057DB">
        <w:rPr>
          <w:sz w:val="22"/>
          <w:szCs w:val="22"/>
          <w:u w:val="single"/>
          <w:lang w:val="sr-Latn-ME"/>
        </w:rPr>
        <w:lastRenderedPageBreak/>
        <w:t>Mehanizam dejstva</w:t>
      </w:r>
    </w:p>
    <w:p w14:paraId="38A8C0C5" w14:textId="77777777" w:rsidR="009F6564" w:rsidRPr="009057DB" w:rsidRDefault="009F6564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3CF8076E" w14:textId="756AD823" w:rsidR="009F6564" w:rsidRPr="009057DB" w:rsidRDefault="009F6564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bookmarkStart w:id="2" w:name="_Hlk63686913"/>
      <w:r w:rsidRPr="009057DB">
        <w:rPr>
          <w:sz w:val="22"/>
          <w:szCs w:val="22"/>
          <w:lang w:val="sr-Latn-ME"/>
        </w:rPr>
        <w:t xml:space="preserve">Vakcina </w:t>
      </w:r>
      <w:r w:rsidR="005F2E5E" w:rsidRPr="009057DB">
        <w:rPr>
          <w:color w:val="000000"/>
          <w:sz w:val="22"/>
          <w:szCs w:val="22"/>
          <w:shd w:val="clear" w:color="auto" w:fill="FFFFFF"/>
          <w:lang w:val="sr-Latn-ME"/>
        </w:rPr>
        <w:t>Vaxzevria</w:t>
      </w:r>
      <w:r w:rsidR="008448EC" w:rsidRPr="009057DB">
        <w:rPr>
          <w:color w:val="000000"/>
          <w:sz w:val="22"/>
          <w:szCs w:val="22"/>
          <w:shd w:val="clear" w:color="auto" w:fill="FFFFFF"/>
          <w:lang w:val="sr-Latn-ME"/>
        </w:rPr>
        <w:t xml:space="preserve"> </w:t>
      </w:r>
      <w:bookmarkEnd w:id="2"/>
      <w:r w:rsidRPr="009057DB">
        <w:rPr>
          <w:sz w:val="22"/>
          <w:szCs w:val="22"/>
          <w:lang w:val="sr-Latn-ME"/>
        </w:rPr>
        <w:t>je monovalentna vakcina sastavljena od jednog rekombina</w:t>
      </w:r>
      <w:r w:rsidR="00F56546" w:rsidRPr="009057DB">
        <w:rPr>
          <w:sz w:val="22"/>
          <w:szCs w:val="22"/>
          <w:lang w:val="sr-Latn-ME"/>
        </w:rPr>
        <w:t>n</w:t>
      </w:r>
      <w:r w:rsidRPr="009057DB">
        <w:rPr>
          <w:sz w:val="22"/>
          <w:szCs w:val="22"/>
          <w:lang w:val="sr-Latn-ME"/>
        </w:rPr>
        <w:t xml:space="preserve">tnog, replikaciono deficijentnog adenovirusa šimpanze (ChAdOx1) </w:t>
      </w:r>
      <w:r w:rsidR="00A0075F" w:rsidRPr="009057DB">
        <w:rPr>
          <w:sz w:val="22"/>
          <w:szCs w:val="22"/>
          <w:lang w:val="sr-Latn-ME"/>
        </w:rPr>
        <w:t xml:space="preserve">kao </w:t>
      </w:r>
      <w:r w:rsidRPr="009057DB">
        <w:rPr>
          <w:sz w:val="22"/>
          <w:szCs w:val="22"/>
          <w:lang w:val="sr-Latn-ME"/>
        </w:rPr>
        <w:t>vektora koji kodira S</w:t>
      </w:r>
      <w:r w:rsidR="00F95062" w:rsidRPr="009057DB">
        <w:rPr>
          <w:sz w:val="22"/>
          <w:szCs w:val="22"/>
          <w:lang w:val="sr-Latn-ME"/>
        </w:rPr>
        <w:t>-</w:t>
      </w:r>
      <w:r w:rsidRPr="009057DB">
        <w:rPr>
          <w:sz w:val="22"/>
          <w:szCs w:val="22"/>
          <w:lang w:val="sr-Latn-ME"/>
        </w:rPr>
        <w:t>glikoprot</w:t>
      </w:r>
      <w:r w:rsidR="00F95062" w:rsidRPr="009057DB">
        <w:rPr>
          <w:sz w:val="22"/>
          <w:szCs w:val="22"/>
          <w:lang w:val="sr-Latn-ME"/>
        </w:rPr>
        <w:t>ein</w:t>
      </w:r>
      <w:r w:rsidRPr="009057DB">
        <w:rPr>
          <w:sz w:val="22"/>
          <w:szCs w:val="22"/>
          <w:lang w:val="sr-Latn-ME"/>
        </w:rPr>
        <w:t xml:space="preserve"> od SARS</w:t>
      </w:r>
      <w:r w:rsidRPr="009057DB">
        <w:rPr>
          <w:sz w:val="22"/>
          <w:szCs w:val="22"/>
          <w:lang w:val="sr-Latn-ME"/>
        </w:rPr>
        <w:noBreakHyphen/>
        <w:t>CoV</w:t>
      </w:r>
      <w:r w:rsidRPr="009057DB">
        <w:rPr>
          <w:sz w:val="22"/>
          <w:szCs w:val="22"/>
          <w:lang w:val="sr-Latn-ME"/>
        </w:rPr>
        <w:noBreakHyphen/>
        <w:t>2</w:t>
      </w:r>
      <w:r w:rsidR="00F56546" w:rsidRPr="009057DB">
        <w:rPr>
          <w:sz w:val="22"/>
          <w:szCs w:val="22"/>
          <w:lang w:val="sr-Latn-ME"/>
        </w:rPr>
        <w:t xml:space="preserve"> virusa</w:t>
      </w:r>
      <w:r w:rsidRPr="009057DB">
        <w:rPr>
          <w:sz w:val="22"/>
          <w:szCs w:val="22"/>
          <w:lang w:val="sr-Latn-ME"/>
        </w:rPr>
        <w:t xml:space="preserve">. </w:t>
      </w:r>
      <w:r w:rsidR="00B56178" w:rsidRPr="009057DB">
        <w:rPr>
          <w:sz w:val="22"/>
          <w:szCs w:val="22"/>
          <w:lang w:val="sr-Latn-ME"/>
        </w:rPr>
        <w:t xml:space="preserve">S-glikoprotein </w:t>
      </w:r>
      <w:r w:rsidR="007B0532" w:rsidRPr="009057DB">
        <w:rPr>
          <w:sz w:val="22"/>
          <w:szCs w:val="22"/>
          <w:lang w:val="sr-Latn-ME"/>
        </w:rPr>
        <w:t xml:space="preserve">virusa </w:t>
      </w:r>
      <w:r w:rsidRPr="009057DB">
        <w:rPr>
          <w:sz w:val="22"/>
          <w:szCs w:val="22"/>
          <w:lang w:val="sr-Latn-ME"/>
        </w:rPr>
        <w:t>SARS</w:t>
      </w:r>
      <w:r w:rsidRPr="009057DB">
        <w:rPr>
          <w:sz w:val="22"/>
          <w:szCs w:val="22"/>
          <w:lang w:val="sr-Latn-ME"/>
        </w:rPr>
        <w:noBreakHyphen/>
        <w:t>CoV</w:t>
      </w:r>
      <w:r w:rsidRPr="009057DB">
        <w:rPr>
          <w:sz w:val="22"/>
          <w:szCs w:val="22"/>
          <w:lang w:val="sr-Latn-ME"/>
        </w:rPr>
        <w:noBreakHyphen/>
        <w:t xml:space="preserve">2 </w:t>
      </w:r>
      <w:r w:rsidR="007B0532" w:rsidRPr="009057DB">
        <w:rPr>
          <w:sz w:val="22"/>
          <w:szCs w:val="22"/>
          <w:lang w:val="sr-Latn-ME"/>
        </w:rPr>
        <w:t xml:space="preserve">kao imunogen </w:t>
      </w:r>
      <w:r w:rsidRPr="009057DB">
        <w:rPr>
          <w:sz w:val="22"/>
          <w:szCs w:val="22"/>
          <w:lang w:val="sr-Latn-ME"/>
        </w:rPr>
        <w:t xml:space="preserve">u vakcini </w:t>
      </w:r>
      <w:r w:rsidR="002357B1" w:rsidRPr="009057DB">
        <w:rPr>
          <w:sz w:val="22"/>
          <w:szCs w:val="22"/>
          <w:lang w:val="sr-Latn-ME"/>
        </w:rPr>
        <w:t xml:space="preserve">eksprimira se </w:t>
      </w:r>
      <w:r w:rsidRPr="009057DB">
        <w:rPr>
          <w:sz w:val="22"/>
          <w:szCs w:val="22"/>
          <w:lang w:val="sr-Latn-ME"/>
        </w:rPr>
        <w:t>u trimernoj prefuzionoj konformaciji; kodirajuća sekvenca nije modifikovana da bi se stabilizovao eksprimirani S-protein u prefuzionoj konformaciji. Nakon prim</w:t>
      </w:r>
      <w:r w:rsidR="000A36E4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>ene</w:t>
      </w:r>
      <w:r w:rsidR="00777377" w:rsidRPr="009057DB">
        <w:rPr>
          <w:sz w:val="22"/>
          <w:szCs w:val="22"/>
          <w:lang w:val="sr-Latn-ME"/>
        </w:rPr>
        <w:t xml:space="preserve"> vakcine</w:t>
      </w:r>
      <w:r w:rsidRPr="009057DB">
        <w:rPr>
          <w:sz w:val="22"/>
          <w:szCs w:val="22"/>
          <w:lang w:val="sr-Latn-ME"/>
        </w:rPr>
        <w:t xml:space="preserve"> S</w:t>
      </w:r>
      <w:r w:rsidR="00F95062" w:rsidRPr="009057DB">
        <w:rPr>
          <w:sz w:val="22"/>
          <w:szCs w:val="22"/>
          <w:lang w:val="sr-Latn-ME"/>
        </w:rPr>
        <w:t>-</w:t>
      </w:r>
      <w:r w:rsidRPr="009057DB">
        <w:rPr>
          <w:sz w:val="22"/>
          <w:szCs w:val="22"/>
          <w:lang w:val="sr-Latn-ME"/>
        </w:rPr>
        <w:t>glikoprotein od SARS</w:t>
      </w:r>
      <w:r w:rsidRPr="009057DB">
        <w:rPr>
          <w:sz w:val="22"/>
          <w:szCs w:val="22"/>
          <w:lang w:val="sr-Latn-ME"/>
        </w:rPr>
        <w:noBreakHyphen/>
        <w:t>CoV</w:t>
      </w:r>
      <w:r w:rsidRPr="009057DB">
        <w:rPr>
          <w:sz w:val="22"/>
          <w:szCs w:val="22"/>
          <w:lang w:val="sr-Latn-ME"/>
        </w:rPr>
        <w:noBreakHyphen/>
        <w:t>2</w:t>
      </w:r>
      <w:r w:rsidR="00F56546" w:rsidRPr="009057DB">
        <w:rPr>
          <w:sz w:val="22"/>
          <w:szCs w:val="22"/>
          <w:lang w:val="sr-Latn-ME"/>
        </w:rPr>
        <w:t xml:space="preserve"> virusa</w:t>
      </w:r>
      <w:r w:rsidRPr="009057DB">
        <w:rPr>
          <w:sz w:val="22"/>
          <w:szCs w:val="22"/>
          <w:lang w:val="sr-Latn-ME"/>
        </w:rPr>
        <w:t xml:space="preserve"> eksprimira </w:t>
      </w:r>
      <w:r w:rsidR="00270642" w:rsidRPr="009057DB">
        <w:rPr>
          <w:sz w:val="22"/>
          <w:szCs w:val="22"/>
          <w:lang w:val="sr-Latn-ME"/>
        </w:rPr>
        <w:t xml:space="preserve">se </w:t>
      </w:r>
      <w:r w:rsidRPr="009057DB">
        <w:rPr>
          <w:sz w:val="22"/>
          <w:szCs w:val="22"/>
          <w:lang w:val="sr-Latn-ME"/>
        </w:rPr>
        <w:t xml:space="preserve">lokalno stimulišući </w:t>
      </w:r>
      <w:r w:rsidR="00E16357" w:rsidRPr="009057DB">
        <w:rPr>
          <w:sz w:val="22"/>
          <w:szCs w:val="22"/>
          <w:lang w:val="sr-Latn-ME"/>
        </w:rPr>
        <w:t xml:space="preserve">stvaranje </w:t>
      </w:r>
      <w:r w:rsidRPr="009057DB">
        <w:rPr>
          <w:sz w:val="22"/>
          <w:szCs w:val="22"/>
          <w:lang w:val="sr-Latn-ME"/>
        </w:rPr>
        <w:t>neutrališuć</w:t>
      </w:r>
      <w:r w:rsidR="00E16357" w:rsidRPr="009057DB">
        <w:rPr>
          <w:sz w:val="22"/>
          <w:szCs w:val="22"/>
          <w:lang w:val="sr-Latn-ME"/>
        </w:rPr>
        <w:t>ih</w:t>
      </w:r>
      <w:r w:rsidRPr="009057DB">
        <w:rPr>
          <w:sz w:val="22"/>
          <w:szCs w:val="22"/>
          <w:lang w:val="sr-Latn-ME"/>
        </w:rPr>
        <w:t xml:space="preserve"> antit</w:t>
      </w:r>
      <w:r w:rsidR="000A36E4" w:rsidRPr="009057DB">
        <w:rPr>
          <w:sz w:val="22"/>
          <w:szCs w:val="22"/>
          <w:lang w:val="sr-Latn-ME"/>
        </w:rPr>
        <w:t>ij</w:t>
      </w:r>
      <w:r w:rsidRPr="009057DB">
        <w:rPr>
          <w:sz w:val="22"/>
          <w:szCs w:val="22"/>
          <w:lang w:val="sr-Latn-ME"/>
        </w:rPr>
        <w:t xml:space="preserve">ela i imuni ćelijski odgovor, koji mogu dovesti do zaštite </w:t>
      </w:r>
      <w:r w:rsidR="001837F4" w:rsidRPr="009057DB">
        <w:rPr>
          <w:sz w:val="22"/>
          <w:szCs w:val="22"/>
          <w:lang w:val="sr-Latn-ME"/>
        </w:rPr>
        <w:t xml:space="preserve">od </w:t>
      </w:r>
      <w:r w:rsidRPr="009057DB">
        <w:rPr>
          <w:sz w:val="22"/>
          <w:szCs w:val="22"/>
          <w:lang w:val="sr-Latn-ME"/>
        </w:rPr>
        <w:t>COVID-19.</w:t>
      </w:r>
    </w:p>
    <w:p w14:paraId="1241D3D7" w14:textId="77777777" w:rsidR="009F6564" w:rsidRPr="009057DB" w:rsidRDefault="009F6564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268A086" w14:textId="3931261F" w:rsidR="009F6564" w:rsidRPr="009057DB" w:rsidRDefault="009F6564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9057DB">
        <w:rPr>
          <w:sz w:val="22"/>
          <w:szCs w:val="22"/>
          <w:u w:val="single"/>
          <w:lang w:val="sr-Latn-ME"/>
        </w:rPr>
        <w:t>Klinička efikasnost</w:t>
      </w:r>
    </w:p>
    <w:p w14:paraId="2D904622" w14:textId="12DF5C26" w:rsidR="007E5DA9" w:rsidRPr="009057DB" w:rsidRDefault="007E5DA9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10DFB4B1" w14:textId="2B60AC09" w:rsidR="007E5DA9" w:rsidRPr="009057DB" w:rsidRDefault="007E5DA9" w:rsidP="00376088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9057DB">
        <w:rPr>
          <w:i/>
          <w:sz w:val="22"/>
          <w:szCs w:val="22"/>
          <w:lang w:val="sr-Latn-ME"/>
        </w:rPr>
        <w:t xml:space="preserve">Analiza podataka </w:t>
      </w:r>
      <w:r w:rsidR="00033DF6" w:rsidRPr="009057DB">
        <w:rPr>
          <w:i/>
          <w:sz w:val="22"/>
          <w:szCs w:val="22"/>
          <w:lang w:val="sr-Latn-ME"/>
        </w:rPr>
        <w:t xml:space="preserve">iz </w:t>
      </w:r>
      <w:r w:rsidRPr="009057DB">
        <w:rPr>
          <w:i/>
          <w:sz w:val="22"/>
          <w:szCs w:val="22"/>
          <w:lang w:val="sr-Latn-ME"/>
        </w:rPr>
        <w:t>studije D8110C0001</w:t>
      </w:r>
    </w:p>
    <w:p w14:paraId="7123B6A6" w14:textId="77777777" w:rsidR="007E5DA9" w:rsidRPr="009057DB" w:rsidRDefault="007E5DA9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02230208" w14:textId="33808388" w:rsidR="007E5DA9" w:rsidRPr="009057DB" w:rsidRDefault="007E5DA9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 xml:space="preserve">Klinička efikasnost </w:t>
      </w:r>
      <w:r w:rsidR="00033DF6" w:rsidRPr="009057DB">
        <w:rPr>
          <w:sz w:val="22"/>
          <w:szCs w:val="22"/>
          <w:lang w:val="sr-Latn-ME"/>
        </w:rPr>
        <w:t xml:space="preserve">vakcine </w:t>
      </w:r>
      <w:r w:rsidRPr="009057DB">
        <w:rPr>
          <w:sz w:val="22"/>
          <w:szCs w:val="22"/>
          <w:lang w:val="sr-Latn-ME"/>
        </w:rPr>
        <w:t xml:space="preserve">Vaxzevria je </w:t>
      </w:r>
      <w:r w:rsidR="00D84E84" w:rsidRPr="009057DB">
        <w:rPr>
          <w:sz w:val="22"/>
          <w:szCs w:val="22"/>
          <w:lang w:val="sr-Latn-ME"/>
        </w:rPr>
        <w:t xml:space="preserve">procijenjena </w:t>
      </w:r>
      <w:r w:rsidRPr="009057DB">
        <w:rPr>
          <w:sz w:val="22"/>
          <w:szCs w:val="22"/>
          <w:lang w:val="sr-Latn-ME"/>
        </w:rPr>
        <w:t>na osnovu analiz</w:t>
      </w:r>
      <w:r w:rsidR="008F515C" w:rsidRPr="009057DB">
        <w:rPr>
          <w:sz w:val="22"/>
          <w:szCs w:val="22"/>
          <w:lang w:val="sr-Latn-ME"/>
        </w:rPr>
        <w:t>e</w:t>
      </w:r>
      <w:r w:rsidRPr="009057DB">
        <w:rPr>
          <w:sz w:val="22"/>
          <w:szCs w:val="22"/>
          <w:lang w:val="sr-Latn-ME"/>
        </w:rPr>
        <w:t xml:space="preserve"> studije D8110C00001: </w:t>
      </w:r>
      <w:r w:rsidR="00033DF6" w:rsidRPr="009057DB">
        <w:rPr>
          <w:sz w:val="22"/>
          <w:szCs w:val="22"/>
          <w:lang w:val="sr-Latn-ME"/>
        </w:rPr>
        <w:t>randominizovane</w:t>
      </w:r>
      <w:r w:rsidRPr="009057DB">
        <w:rPr>
          <w:sz w:val="22"/>
          <w:szCs w:val="22"/>
          <w:lang w:val="sr-Latn-ME"/>
        </w:rPr>
        <w:t xml:space="preserve">, dvostruko-slijepe, placebo-kontrolisane studije faze III koja je sprovedena u </w:t>
      </w:r>
      <w:r w:rsidR="00033DF6" w:rsidRPr="009057DB">
        <w:rPr>
          <w:sz w:val="22"/>
          <w:szCs w:val="22"/>
          <w:lang w:val="sr-Latn-ME"/>
        </w:rPr>
        <w:t>SAD</w:t>
      </w:r>
      <w:r w:rsidRPr="009057DB">
        <w:rPr>
          <w:sz w:val="22"/>
          <w:szCs w:val="22"/>
          <w:lang w:val="sr-Latn-ME"/>
        </w:rPr>
        <w:t xml:space="preserve">, Peruu i Čileu. Ova studija je isključila učesnike sa teškim i/ili </w:t>
      </w:r>
      <w:r w:rsidR="00033DF6" w:rsidRPr="009057DB">
        <w:rPr>
          <w:sz w:val="22"/>
          <w:szCs w:val="22"/>
          <w:lang w:val="sr-Latn-ME"/>
        </w:rPr>
        <w:t>nekontrolisanim kardiovaskularnim</w:t>
      </w:r>
      <w:r w:rsidRPr="009057DB">
        <w:rPr>
          <w:sz w:val="22"/>
          <w:szCs w:val="22"/>
          <w:lang w:val="sr-Latn-ME"/>
        </w:rPr>
        <w:t xml:space="preserve">, </w:t>
      </w:r>
      <w:r w:rsidR="00033DF6" w:rsidRPr="009057DB">
        <w:rPr>
          <w:sz w:val="22"/>
          <w:szCs w:val="22"/>
          <w:lang w:val="sr-Latn-ME"/>
        </w:rPr>
        <w:t xml:space="preserve">gastrointestinalnim </w:t>
      </w:r>
      <w:r w:rsidRPr="009057DB">
        <w:rPr>
          <w:sz w:val="22"/>
          <w:szCs w:val="22"/>
          <w:lang w:val="sr-Latn-ME"/>
        </w:rPr>
        <w:t>bolesti</w:t>
      </w:r>
      <w:r w:rsidR="00033DF6" w:rsidRPr="009057DB">
        <w:rPr>
          <w:sz w:val="22"/>
          <w:szCs w:val="22"/>
          <w:lang w:val="sr-Latn-ME"/>
        </w:rPr>
        <w:t>ma</w:t>
      </w:r>
      <w:r w:rsidRPr="009057DB">
        <w:rPr>
          <w:sz w:val="22"/>
          <w:szCs w:val="22"/>
          <w:lang w:val="sr-Latn-ME"/>
        </w:rPr>
        <w:t>, bolesti</w:t>
      </w:r>
      <w:r w:rsidR="00033DF6" w:rsidRPr="009057DB">
        <w:rPr>
          <w:sz w:val="22"/>
          <w:szCs w:val="22"/>
          <w:lang w:val="sr-Latn-ME"/>
        </w:rPr>
        <w:t>ma</w:t>
      </w:r>
      <w:r w:rsidRPr="009057DB">
        <w:rPr>
          <w:sz w:val="22"/>
          <w:szCs w:val="22"/>
          <w:lang w:val="sr-Latn-ME"/>
        </w:rPr>
        <w:t xml:space="preserve"> jetre, bubrega, </w:t>
      </w:r>
      <w:r w:rsidR="00033DF6" w:rsidRPr="009057DB">
        <w:rPr>
          <w:sz w:val="22"/>
          <w:szCs w:val="22"/>
          <w:lang w:val="sr-Latn-ME"/>
        </w:rPr>
        <w:t>endokrino</w:t>
      </w:r>
      <w:r w:rsidRPr="009057DB">
        <w:rPr>
          <w:sz w:val="22"/>
          <w:szCs w:val="22"/>
          <w:lang w:val="sr-Latn-ME"/>
        </w:rPr>
        <w:t>/</w:t>
      </w:r>
      <w:r w:rsidR="00033DF6" w:rsidRPr="009057DB">
        <w:rPr>
          <w:sz w:val="22"/>
          <w:szCs w:val="22"/>
          <w:lang w:val="sr-Latn-ME"/>
        </w:rPr>
        <w:t xml:space="preserve">metaboličkim </w:t>
      </w:r>
      <w:r w:rsidRPr="009057DB">
        <w:rPr>
          <w:sz w:val="22"/>
          <w:szCs w:val="22"/>
          <w:lang w:val="sr-Latn-ME"/>
        </w:rPr>
        <w:t>bolesti</w:t>
      </w:r>
      <w:r w:rsidR="00033DF6" w:rsidRPr="009057DB">
        <w:rPr>
          <w:sz w:val="22"/>
          <w:szCs w:val="22"/>
          <w:lang w:val="sr-Latn-ME"/>
        </w:rPr>
        <w:t>ma</w:t>
      </w:r>
      <w:r w:rsidRPr="009057DB">
        <w:rPr>
          <w:sz w:val="22"/>
          <w:szCs w:val="22"/>
          <w:lang w:val="sr-Latn-ME"/>
        </w:rPr>
        <w:t xml:space="preserve">, </w:t>
      </w:r>
      <w:r w:rsidR="00033DF6" w:rsidRPr="009057DB">
        <w:rPr>
          <w:sz w:val="22"/>
          <w:szCs w:val="22"/>
          <w:lang w:val="sr-Latn-ME"/>
        </w:rPr>
        <w:t xml:space="preserve">neurološkim </w:t>
      </w:r>
      <w:r w:rsidRPr="009057DB">
        <w:rPr>
          <w:sz w:val="22"/>
          <w:szCs w:val="22"/>
          <w:lang w:val="sr-Latn-ME"/>
        </w:rPr>
        <w:t>bolesti</w:t>
      </w:r>
      <w:r w:rsidR="00033DF6" w:rsidRPr="009057DB">
        <w:rPr>
          <w:sz w:val="22"/>
          <w:szCs w:val="22"/>
          <w:lang w:val="sr-Latn-ME"/>
        </w:rPr>
        <w:t>ma</w:t>
      </w:r>
      <w:r w:rsidRPr="009057DB">
        <w:rPr>
          <w:sz w:val="22"/>
          <w:szCs w:val="22"/>
          <w:lang w:val="sr-Latn-ME"/>
        </w:rPr>
        <w:t>, kao i one sa teškom imunosupresijom, trudnice, i pacijente sa poznatom istorijom SARS</w:t>
      </w:r>
      <w:r w:rsidRPr="009057DB">
        <w:rPr>
          <w:sz w:val="22"/>
          <w:szCs w:val="22"/>
          <w:lang w:val="sr-Latn-ME"/>
        </w:rPr>
        <w:noBreakHyphen/>
        <w:t>CoV</w:t>
      </w:r>
      <w:r w:rsidRPr="009057DB">
        <w:rPr>
          <w:sz w:val="22"/>
          <w:szCs w:val="22"/>
          <w:lang w:val="sr-Latn-ME"/>
        </w:rPr>
        <w:noBreakHyphen/>
        <w:t>2 infekcije. Svi učesnici su planirani da se prate 12 mjeseci, zbog procjene efikasnosti protiv COVID-19 infekcije.</w:t>
      </w:r>
    </w:p>
    <w:p w14:paraId="1411ACF9" w14:textId="77777777" w:rsidR="007E5DA9" w:rsidRPr="009057DB" w:rsidRDefault="007E5DA9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5258B8E" w14:textId="6442D7DD" w:rsidR="007E5DA9" w:rsidRPr="009057DB" w:rsidRDefault="007E5DA9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 xml:space="preserve">Učesnici </w:t>
      </w:r>
      <w:r w:rsidR="00033DF6" w:rsidRPr="009057DB">
        <w:rPr>
          <w:sz w:val="22"/>
          <w:szCs w:val="22"/>
          <w:lang w:val="sr-Latn-ME"/>
        </w:rPr>
        <w:t>uzrasta</w:t>
      </w:r>
      <w:r w:rsidR="000418EB" w:rsidRPr="009057DB">
        <w:rPr>
          <w:sz w:val="22"/>
          <w:szCs w:val="22"/>
          <w:lang w:val="sr-Latn-ME"/>
        </w:rPr>
        <w:t xml:space="preserve"> </w:t>
      </w:r>
      <w:r w:rsidRPr="009057DB">
        <w:rPr>
          <w:sz w:val="22"/>
          <w:szCs w:val="22"/>
          <w:lang w:val="sr-Latn-ME"/>
        </w:rPr>
        <w:t xml:space="preserve"> ≥ 18 godina primili su dvije doze (5 × 10</w:t>
      </w:r>
      <w:r w:rsidRPr="009057DB">
        <w:rPr>
          <w:sz w:val="22"/>
          <w:szCs w:val="22"/>
          <w:vertAlign w:val="superscript"/>
          <w:lang w:val="sr-Latn-ME"/>
        </w:rPr>
        <w:t>10</w:t>
      </w:r>
      <w:r w:rsidRPr="009057DB">
        <w:rPr>
          <w:sz w:val="22"/>
          <w:szCs w:val="22"/>
          <w:lang w:val="sr-Latn-ME"/>
        </w:rPr>
        <w:t xml:space="preserve"> virusnih čestica po dozi, što odgovara najmanje 2,5 × 10</w:t>
      </w:r>
      <w:r w:rsidRPr="009057DB">
        <w:rPr>
          <w:sz w:val="22"/>
          <w:szCs w:val="22"/>
          <w:vertAlign w:val="superscript"/>
          <w:lang w:val="sr-Latn-ME"/>
        </w:rPr>
        <w:t>8</w:t>
      </w:r>
      <w:r w:rsidRPr="009057DB">
        <w:rPr>
          <w:sz w:val="22"/>
          <w:szCs w:val="22"/>
          <w:lang w:val="sr-Latn-ME"/>
        </w:rPr>
        <w:t xml:space="preserve"> infektivnih jedinica) vakcine Vaxzevria (N=17662) ili placeba u obliku </w:t>
      </w:r>
      <w:r w:rsidR="00033DF6" w:rsidRPr="009057DB">
        <w:rPr>
          <w:sz w:val="22"/>
          <w:szCs w:val="22"/>
          <w:lang w:val="sr-Latn-ME"/>
        </w:rPr>
        <w:t xml:space="preserve">fiziološkog rastvora </w:t>
      </w:r>
      <w:r w:rsidRPr="009057DB">
        <w:rPr>
          <w:sz w:val="22"/>
          <w:szCs w:val="22"/>
          <w:lang w:val="sr-Latn-ME"/>
        </w:rPr>
        <w:t>(N=8550) primijenjene i.m. injekcijom 1. dana i 29. dana (-3 do +7 dana). Medijan</w:t>
      </w:r>
      <w:r w:rsidR="00033DF6" w:rsidRPr="009057DB">
        <w:rPr>
          <w:sz w:val="22"/>
          <w:szCs w:val="22"/>
          <w:lang w:val="sr-Latn-ME"/>
        </w:rPr>
        <w:t>a</w:t>
      </w:r>
      <w:r w:rsidRPr="009057DB">
        <w:rPr>
          <w:sz w:val="22"/>
          <w:szCs w:val="22"/>
          <w:lang w:val="sr-Latn-ME"/>
        </w:rPr>
        <w:t xml:space="preserve"> intervala između primjene </w:t>
      </w:r>
      <w:r w:rsidR="00033DF6" w:rsidRPr="009057DB">
        <w:rPr>
          <w:sz w:val="22"/>
          <w:szCs w:val="22"/>
          <w:lang w:val="sr-Latn-ME"/>
        </w:rPr>
        <w:t xml:space="preserve">dvije doze je iznosila </w:t>
      </w:r>
      <w:r w:rsidRPr="009057DB">
        <w:rPr>
          <w:sz w:val="22"/>
          <w:szCs w:val="22"/>
          <w:lang w:val="sr-Latn-ME"/>
        </w:rPr>
        <w:t>29 dana, a većina ispitanika (95,7% onih koji su primili vakcinu Vaxzevria</w:t>
      </w:r>
      <w:r w:rsidR="00D84E84" w:rsidRPr="009057DB">
        <w:rPr>
          <w:sz w:val="22"/>
          <w:szCs w:val="22"/>
          <w:lang w:val="sr-Latn-ME"/>
        </w:rPr>
        <w:t>,</w:t>
      </w:r>
      <w:r w:rsidRPr="009057DB">
        <w:rPr>
          <w:sz w:val="22"/>
          <w:szCs w:val="22"/>
          <w:lang w:val="sr-Latn-ME"/>
        </w:rPr>
        <w:t xml:space="preserve"> odnosno 95,3% onih koji su primili placebo) drugu dozu </w:t>
      </w:r>
      <w:r w:rsidR="00D84E84" w:rsidRPr="009057DB">
        <w:rPr>
          <w:sz w:val="22"/>
          <w:szCs w:val="22"/>
          <w:lang w:val="sr-Latn-ME"/>
        </w:rPr>
        <w:t xml:space="preserve">je </w:t>
      </w:r>
      <w:r w:rsidRPr="009057DB">
        <w:rPr>
          <w:sz w:val="22"/>
          <w:szCs w:val="22"/>
          <w:lang w:val="sr-Latn-ME"/>
        </w:rPr>
        <w:t>primila</w:t>
      </w:r>
      <w:r w:rsidR="000418EB" w:rsidRPr="009057DB">
        <w:rPr>
          <w:sz w:val="22"/>
          <w:szCs w:val="22"/>
          <w:lang w:val="sr-Latn-ME"/>
        </w:rPr>
        <w:t xml:space="preserve"> </w:t>
      </w:r>
      <w:r w:rsidRPr="009057DB">
        <w:rPr>
          <w:sz w:val="22"/>
          <w:szCs w:val="22"/>
          <w:lang w:val="sr-Latn-ME"/>
        </w:rPr>
        <w:t xml:space="preserve"> ≥ 26 i ≤ 36 dana nakon 1. doze.</w:t>
      </w:r>
    </w:p>
    <w:p w14:paraId="0C676875" w14:textId="77777777" w:rsidR="007E5DA9" w:rsidRPr="009057DB" w:rsidRDefault="007E5DA9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F67DB98" w14:textId="5D66774F" w:rsidR="007E5DA9" w:rsidRPr="009057DB" w:rsidRDefault="007E5DA9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 xml:space="preserve">Demografske </w:t>
      </w:r>
      <w:r w:rsidR="00A43C70" w:rsidRPr="009057DB">
        <w:rPr>
          <w:sz w:val="22"/>
          <w:szCs w:val="22"/>
          <w:lang w:val="sr-Latn-ME"/>
        </w:rPr>
        <w:t>karakteristike</w:t>
      </w:r>
      <w:r w:rsidRPr="009057DB">
        <w:rPr>
          <w:sz w:val="22"/>
          <w:szCs w:val="22"/>
          <w:lang w:val="sr-Latn-ME"/>
        </w:rPr>
        <w:t xml:space="preserve"> bile su dobro ujednačene između grupe koja je primila vakcinu</w:t>
      </w:r>
      <w:r w:rsidR="00033DF6" w:rsidRPr="009057DB">
        <w:rPr>
          <w:sz w:val="22"/>
          <w:szCs w:val="22"/>
          <w:lang w:val="sr-Latn-ME"/>
        </w:rPr>
        <w:t xml:space="preserve"> </w:t>
      </w:r>
      <w:r w:rsidRPr="009057DB">
        <w:rPr>
          <w:sz w:val="22"/>
          <w:szCs w:val="22"/>
          <w:lang w:val="sr-Latn-ME"/>
        </w:rPr>
        <w:t>Vaxzevria i one koja je primila placebo. Među učesnicima koji su primili vakcinu Vaxzevria</w:t>
      </w:r>
      <w:r w:rsidR="00D84E84" w:rsidRPr="009057DB">
        <w:rPr>
          <w:sz w:val="22"/>
          <w:szCs w:val="22"/>
          <w:lang w:val="sr-Latn-ME"/>
        </w:rPr>
        <w:t>,</w:t>
      </w:r>
      <w:r w:rsidRPr="009057DB">
        <w:rPr>
          <w:sz w:val="22"/>
          <w:szCs w:val="22"/>
          <w:lang w:val="sr-Latn-ME"/>
        </w:rPr>
        <w:t xml:space="preserve"> 79,1% ispitanika bilo je </w:t>
      </w:r>
      <w:r w:rsidR="00033DF6" w:rsidRPr="009057DB">
        <w:rPr>
          <w:sz w:val="22"/>
          <w:szCs w:val="22"/>
          <w:lang w:val="sr-Latn-ME"/>
        </w:rPr>
        <w:t>uzrasta</w:t>
      </w:r>
      <w:r w:rsidRPr="009057DB">
        <w:rPr>
          <w:sz w:val="22"/>
          <w:szCs w:val="22"/>
          <w:lang w:val="sr-Latn-ME"/>
        </w:rPr>
        <w:t xml:space="preserve"> od 18 do 64 godine (20,9% njih imalo je 65 ili više godina), a 43,8% ispitanika bile su žene. Među </w:t>
      </w:r>
      <w:r w:rsidR="00033DF6" w:rsidRPr="009057DB">
        <w:rPr>
          <w:sz w:val="22"/>
          <w:szCs w:val="22"/>
          <w:lang w:val="sr-Latn-ME"/>
        </w:rPr>
        <w:t xml:space="preserve">randomizovanim </w:t>
      </w:r>
      <w:r w:rsidRPr="009057DB">
        <w:rPr>
          <w:sz w:val="22"/>
          <w:szCs w:val="22"/>
          <w:lang w:val="sr-Latn-ME"/>
        </w:rPr>
        <w:t xml:space="preserve">ispitanicima 79,3% njih bili su bijelci, </w:t>
      </w:r>
      <w:r w:rsidR="00D84E84" w:rsidRPr="009057DB">
        <w:rPr>
          <w:sz w:val="22"/>
          <w:szCs w:val="22"/>
          <w:lang w:val="sr-Latn-ME"/>
        </w:rPr>
        <w:t>7</w:t>
      </w:r>
      <w:r w:rsidRPr="009057DB">
        <w:rPr>
          <w:sz w:val="22"/>
          <w:szCs w:val="22"/>
          <w:lang w:val="sr-Latn-ME"/>
        </w:rPr>
        <w:t xml:space="preserve">,9% crnci, 4,2% Azijci, a 4,2% sjevernoamerički Indijanci ili domorodačko stanovništvo Aljaske. Ukupno je 10376 (58,8%) ispitanika imalo najmanje jedan postojeći komorbiditet, koji se </w:t>
      </w:r>
      <w:r w:rsidR="009728F0" w:rsidRPr="009057DB">
        <w:rPr>
          <w:sz w:val="22"/>
          <w:szCs w:val="22"/>
          <w:lang w:val="sr-Latn-ME"/>
        </w:rPr>
        <w:t xml:space="preserve">definisao </w:t>
      </w:r>
      <w:r w:rsidRPr="009057DB">
        <w:rPr>
          <w:sz w:val="22"/>
          <w:szCs w:val="22"/>
          <w:lang w:val="sr-Latn-ME"/>
        </w:rPr>
        <w:t>kao: hronična bubrežna bolest, hronična opstruktivna plućna bolest, oslabljen imuni</w:t>
      </w:r>
      <w:r w:rsidR="00912903" w:rsidRPr="009057DB">
        <w:rPr>
          <w:sz w:val="22"/>
          <w:szCs w:val="22"/>
          <w:lang w:val="sr-Latn-ME"/>
        </w:rPr>
        <w:t xml:space="preserve"> sistem</w:t>
      </w:r>
      <w:r w:rsidRPr="009057DB">
        <w:rPr>
          <w:sz w:val="22"/>
          <w:szCs w:val="22"/>
          <w:lang w:val="sr-Latn-ME"/>
        </w:rPr>
        <w:t xml:space="preserve"> zbog </w:t>
      </w:r>
      <w:r w:rsidR="00D84E84" w:rsidRPr="009057DB">
        <w:rPr>
          <w:sz w:val="22"/>
          <w:szCs w:val="22"/>
          <w:lang w:val="sr-Latn-ME"/>
        </w:rPr>
        <w:t xml:space="preserve">transplantacije solidnog </w:t>
      </w:r>
      <w:r w:rsidRPr="009057DB">
        <w:rPr>
          <w:sz w:val="22"/>
          <w:szCs w:val="22"/>
          <w:lang w:val="sr-Latn-ME"/>
        </w:rPr>
        <w:t xml:space="preserve">organa, </w:t>
      </w:r>
      <w:r w:rsidR="009728F0" w:rsidRPr="009057DB">
        <w:rPr>
          <w:sz w:val="22"/>
          <w:szCs w:val="22"/>
          <w:lang w:val="sr-Latn-ME"/>
        </w:rPr>
        <w:t xml:space="preserve">gojaznost </w:t>
      </w:r>
      <w:r w:rsidRPr="009057DB">
        <w:rPr>
          <w:sz w:val="22"/>
          <w:szCs w:val="22"/>
          <w:lang w:val="sr-Latn-ME"/>
        </w:rPr>
        <w:t xml:space="preserve">(ITM &gt; 30) u anamnezi, ozbiljne srčane bolesti, bolest srpastih </w:t>
      </w:r>
      <w:r w:rsidR="00912903" w:rsidRPr="009057DB">
        <w:rPr>
          <w:sz w:val="22"/>
          <w:szCs w:val="22"/>
          <w:lang w:val="sr-Latn-ME"/>
        </w:rPr>
        <w:t>ćelija</w:t>
      </w:r>
      <w:r w:rsidRPr="009057DB">
        <w:rPr>
          <w:sz w:val="22"/>
          <w:szCs w:val="22"/>
          <w:lang w:val="sr-Latn-ME"/>
        </w:rPr>
        <w:t xml:space="preserve">, </w:t>
      </w:r>
      <w:r w:rsidR="009728F0" w:rsidRPr="009057DB">
        <w:rPr>
          <w:sz w:val="22"/>
          <w:szCs w:val="22"/>
          <w:lang w:val="sr-Latn-ME"/>
        </w:rPr>
        <w:t>dijabetes</w:t>
      </w:r>
      <w:r w:rsidRPr="009057DB">
        <w:rPr>
          <w:sz w:val="22"/>
          <w:szCs w:val="22"/>
          <w:lang w:val="sr-Latn-ME"/>
        </w:rPr>
        <w:t xml:space="preserve"> tipa 1 ili 2, astma, demencija, </w:t>
      </w:r>
      <w:r w:rsidR="00D84E84" w:rsidRPr="009057DB">
        <w:rPr>
          <w:sz w:val="22"/>
          <w:szCs w:val="22"/>
          <w:lang w:val="sr-Latn-ME"/>
        </w:rPr>
        <w:t xml:space="preserve">cerebrovaskularne </w:t>
      </w:r>
      <w:r w:rsidRPr="009057DB">
        <w:rPr>
          <w:sz w:val="22"/>
          <w:szCs w:val="22"/>
          <w:lang w:val="sr-Latn-ME"/>
        </w:rPr>
        <w:t>bolest</w:t>
      </w:r>
      <w:r w:rsidR="00D84E84" w:rsidRPr="009057DB">
        <w:rPr>
          <w:sz w:val="22"/>
          <w:szCs w:val="22"/>
          <w:lang w:val="sr-Latn-ME"/>
        </w:rPr>
        <w:t>i</w:t>
      </w:r>
      <w:r w:rsidRPr="009057DB">
        <w:rPr>
          <w:sz w:val="22"/>
          <w:szCs w:val="22"/>
          <w:lang w:val="sr-Latn-ME"/>
        </w:rPr>
        <w:t>, cistična fibroza, visok krvni pritisak, bolest</w:t>
      </w:r>
      <w:r w:rsidR="009728F0" w:rsidRPr="009057DB">
        <w:rPr>
          <w:sz w:val="22"/>
          <w:szCs w:val="22"/>
          <w:lang w:val="sr-Latn-ME"/>
        </w:rPr>
        <w:t xml:space="preserve"> jetre</w:t>
      </w:r>
      <w:r w:rsidRPr="009057DB">
        <w:rPr>
          <w:sz w:val="22"/>
          <w:szCs w:val="22"/>
          <w:lang w:val="sr-Latn-ME"/>
        </w:rPr>
        <w:t>, plućna fibroza, talasemija ili pušenje u anamnezi. U trenutku analize</w:t>
      </w:r>
      <w:r w:rsidR="009728F0" w:rsidRPr="009057DB">
        <w:rPr>
          <w:sz w:val="22"/>
          <w:szCs w:val="22"/>
          <w:lang w:val="sr-Latn-ME"/>
        </w:rPr>
        <w:t>,</w:t>
      </w:r>
      <w:r w:rsidRPr="009057DB">
        <w:rPr>
          <w:sz w:val="22"/>
          <w:szCs w:val="22"/>
          <w:lang w:val="sr-Latn-ME"/>
        </w:rPr>
        <w:t xml:space="preserve"> medijan</w:t>
      </w:r>
      <w:r w:rsidR="00912903" w:rsidRPr="009057DB">
        <w:rPr>
          <w:sz w:val="22"/>
          <w:szCs w:val="22"/>
          <w:lang w:val="sr-Latn-ME"/>
        </w:rPr>
        <w:t xml:space="preserve">a </w:t>
      </w:r>
      <w:r w:rsidRPr="009057DB">
        <w:rPr>
          <w:sz w:val="22"/>
          <w:szCs w:val="22"/>
          <w:lang w:val="sr-Latn-ME"/>
        </w:rPr>
        <w:t xml:space="preserve">trajanja praćenja nakon druge doze </w:t>
      </w:r>
      <w:r w:rsidR="009728F0" w:rsidRPr="009057DB">
        <w:rPr>
          <w:sz w:val="22"/>
          <w:szCs w:val="22"/>
          <w:lang w:val="sr-Latn-ME"/>
        </w:rPr>
        <w:t xml:space="preserve">iznosila </w:t>
      </w:r>
      <w:r w:rsidRPr="009057DB">
        <w:rPr>
          <w:sz w:val="22"/>
          <w:szCs w:val="22"/>
          <w:lang w:val="sr-Latn-ME"/>
        </w:rPr>
        <w:t>je 61 dan.</w:t>
      </w:r>
    </w:p>
    <w:p w14:paraId="2E6035E7" w14:textId="420998C6" w:rsidR="007E5DA9" w:rsidRPr="009057DB" w:rsidRDefault="007E5DA9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 xml:space="preserve">Konačnu potvrdu slučajeva bolesti COVID-19 </w:t>
      </w:r>
      <w:r w:rsidR="009728F0" w:rsidRPr="009057DB">
        <w:rPr>
          <w:sz w:val="22"/>
          <w:szCs w:val="22"/>
          <w:lang w:val="sr-Latn-ME"/>
        </w:rPr>
        <w:t xml:space="preserve">donosila </w:t>
      </w:r>
      <w:r w:rsidRPr="009057DB">
        <w:rPr>
          <w:sz w:val="22"/>
          <w:szCs w:val="22"/>
          <w:lang w:val="sr-Latn-ME"/>
        </w:rPr>
        <w:t>je</w:t>
      </w:r>
      <w:r w:rsidR="00F9328C" w:rsidRPr="009057DB">
        <w:rPr>
          <w:sz w:val="22"/>
          <w:szCs w:val="22"/>
          <w:lang w:val="sr-Latn-ME"/>
        </w:rPr>
        <w:t xml:space="preserve"> komisija za procjenu</w:t>
      </w:r>
      <w:r w:rsidRPr="009057DB">
        <w:rPr>
          <w:sz w:val="22"/>
          <w:szCs w:val="22"/>
          <w:lang w:val="sr-Latn-ME"/>
        </w:rPr>
        <w:t>. U Tab</w:t>
      </w:r>
      <w:r w:rsidR="00F9328C" w:rsidRPr="009057DB">
        <w:rPr>
          <w:sz w:val="22"/>
          <w:szCs w:val="22"/>
          <w:lang w:val="sr-Latn-ME"/>
        </w:rPr>
        <w:t>eli</w:t>
      </w:r>
      <w:r w:rsidRPr="009057DB">
        <w:rPr>
          <w:sz w:val="22"/>
          <w:szCs w:val="22"/>
          <w:lang w:val="sr-Latn-ME"/>
        </w:rPr>
        <w:t xml:space="preserve"> 2 </w:t>
      </w:r>
      <w:r w:rsidR="009728F0" w:rsidRPr="009057DB">
        <w:rPr>
          <w:sz w:val="22"/>
          <w:szCs w:val="22"/>
          <w:lang w:val="sr-Latn-ME"/>
        </w:rPr>
        <w:t xml:space="preserve">su </w:t>
      </w:r>
      <w:r w:rsidRPr="009057DB">
        <w:rPr>
          <w:sz w:val="22"/>
          <w:szCs w:val="22"/>
          <w:lang w:val="sr-Latn-ME"/>
        </w:rPr>
        <w:t>prikazane ukupna</w:t>
      </w:r>
      <w:r w:rsidR="00F9328C" w:rsidRPr="009057DB">
        <w:rPr>
          <w:sz w:val="22"/>
          <w:szCs w:val="22"/>
          <w:lang w:val="sr-Latn-ME"/>
        </w:rPr>
        <w:t xml:space="preserve"> efikasnost </w:t>
      </w:r>
      <w:r w:rsidRPr="009057DB">
        <w:rPr>
          <w:sz w:val="22"/>
          <w:szCs w:val="22"/>
          <w:lang w:val="sr-Latn-ME"/>
        </w:rPr>
        <w:t xml:space="preserve">vakcine i </w:t>
      </w:r>
      <w:r w:rsidR="00F9328C" w:rsidRPr="009057DB">
        <w:rPr>
          <w:sz w:val="22"/>
          <w:szCs w:val="22"/>
          <w:lang w:val="sr-Latn-ME"/>
        </w:rPr>
        <w:t>efikasnost</w:t>
      </w:r>
      <w:r w:rsidRPr="009057DB">
        <w:rPr>
          <w:sz w:val="22"/>
          <w:szCs w:val="22"/>
          <w:lang w:val="sr-Latn-ME"/>
        </w:rPr>
        <w:t xml:space="preserve"> po ključnim grupama </w:t>
      </w:r>
      <w:r w:rsidR="00D84E84" w:rsidRPr="009057DB">
        <w:rPr>
          <w:sz w:val="22"/>
          <w:szCs w:val="22"/>
          <w:lang w:val="sr-Latn-ME"/>
        </w:rPr>
        <w:t xml:space="preserve">prema </w:t>
      </w:r>
      <w:r w:rsidR="009728F0" w:rsidRPr="009057DB">
        <w:rPr>
          <w:sz w:val="22"/>
          <w:szCs w:val="22"/>
          <w:lang w:val="sr-Latn-ME"/>
        </w:rPr>
        <w:t>životnom uzrastu</w:t>
      </w:r>
      <w:r w:rsidRPr="009057DB">
        <w:rPr>
          <w:sz w:val="22"/>
          <w:szCs w:val="22"/>
          <w:lang w:val="sr-Latn-ME"/>
        </w:rPr>
        <w:t>.</w:t>
      </w:r>
    </w:p>
    <w:p w14:paraId="3C00B709" w14:textId="77777777" w:rsidR="007E5DA9" w:rsidRPr="009057DB" w:rsidRDefault="007E5DA9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269332BB" w14:textId="2018205F" w:rsidR="007E5DA9" w:rsidRPr="009057DB" w:rsidRDefault="00033DF6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9057DB">
        <w:rPr>
          <w:sz w:val="22"/>
          <w:szCs w:val="22"/>
          <w:u w:val="single"/>
          <w:lang w:val="sr-Latn-ME"/>
        </w:rPr>
        <w:t xml:space="preserve">Tabela </w:t>
      </w:r>
      <w:r w:rsidR="007E5DA9" w:rsidRPr="009057DB">
        <w:rPr>
          <w:sz w:val="22"/>
          <w:szCs w:val="22"/>
          <w:u w:val="single"/>
          <w:lang w:val="sr-Latn-ME"/>
        </w:rPr>
        <w:t xml:space="preserve">2 – </w:t>
      </w:r>
      <w:r w:rsidR="00D84E84" w:rsidRPr="009057DB">
        <w:rPr>
          <w:sz w:val="22"/>
          <w:szCs w:val="22"/>
          <w:u w:val="single"/>
          <w:lang w:val="sr-Latn-ME"/>
        </w:rPr>
        <w:t xml:space="preserve">Efikasnost </w:t>
      </w:r>
      <w:r w:rsidR="007E5DA9" w:rsidRPr="009057DB">
        <w:rPr>
          <w:sz w:val="22"/>
          <w:szCs w:val="22"/>
          <w:u w:val="single"/>
          <w:lang w:val="sr-Latn-ME"/>
        </w:rPr>
        <w:t>vakcine Vaxzevria protiv simptomatske bolesti COVID-19 u ispitivanju D8110C00001</w:t>
      </w:r>
    </w:p>
    <w:p w14:paraId="1DDED075" w14:textId="780DF098" w:rsidR="007E5DA9" w:rsidRPr="009057DB" w:rsidRDefault="007E5DA9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tbl>
      <w:tblPr>
        <w:tblStyle w:val="TableGrid"/>
        <w:tblW w:w="93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136"/>
        <w:gridCol w:w="833"/>
        <w:gridCol w:w="1176"/>
        <w:gridCol w:w="1509"/>
        <w:gridCol w:w="769"/>
        <w:gridCol w:w="1142"/>
        <w:gridCol w:w="1440"/>
        <w:gridCol w:w="1350"/>
      </w:tblGrid>
      <w:tr w:rsidR="00912903" w:rsidRPr="009057DB" w14:paraId="6DC3B954" w14:textId="77777777" w:rsidTr="004E6AB3">
        <w:trPr>
          <w:tblHeader/>
        </w:trPr>
        <w:tc>
          <w:tcPr>
            <w:tcW w:w="1136" w:type="dxa"/>
            <w:vMerge w:val="restart"/>
            <w:shd w:val="clear" w:color="auto" w:fill="FFFFFF" w:themeFill="background1"/>
            <w:vAlign w:val="center"/>
          </w:tcPr>
          <w:p w14:paraId="6E2405BC" w14:textId="77777777" w:rsidR="00912903" w:rsidRPr="009057DB" w:rsidRDefault="00912903" w:rsidP="0037608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3518" w:type="dxa"/>
            <w:gridSpan w:val="3"/>
            <w:shd w:val="clear" w:color="auto" w:fill="FFFFFF" w:themeFill="background1"/>
            <w:vAlign w:val="center"/>
          </w:tcPr>
          <w:p w14:paraId="76FCDC74" w14:textId="77777777" w:rsidR="00912903" w:rsidRPr="009057DB" w:rsidRDefault="00912903" w:rsidP="003760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40"/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9057DB">
              <w:rPr>
                <w:b/>
                <w:bCs/>
                <w:sz w:val="22"/>
                <w:szCs w:val="22"/>
                <w:lang w:val="sr-Latn-ME"/>
              </w:rPr>
              <w:t>Vaxzevria</w:t>
            </w:r>
          </w:p>
        </w:tc>
        <w:tc>
          <w:tcPr>
            <w:tcW w:w="3351" w:type="dxa"/>
            <w:gridSpan w:val="3"/>
            <w:shd w:val="clear" w:color="auto" w:fill="FFFFFF" w:themeFill="background1"/>
            <w:vAlign w:val="center"/>
          </w:tcPr>
          <w:p w14:paraId="5DA2425A" w14:textId="77777777" w:rsidR="00912903" w:rsidRPr="009057DB" w:rsidRDefault="00912903" w:rsidP="0037608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9057DB">
              <w:rPr>
                <w:b/>
                <w:bCs/>
                <w:sz w:val="22"/>
                <w:szCs w:val="22"/>
                <w:lang w:val="sr-Latn-ME"/>
              </w:rPr>
              <w:t>Placebo</w:t>
            </w:r>
          </w:p>
        </w:tc>
        <w:tc>
          <w:tcPr>
            <w:tcW w:w="1350" w:type="dxa"/>
            <w:vMerge w:val="restart"/>
            <w:shd w:val="clear" w:color="auto" w:fill="FFFFFF" w:themeFill="background1"/>
            <w:vAlign w:val="center"/>
          </w:tcPr>
          <w:p w14:paraId="34D86C69" w14:textId="589E93A8" w:rsidR="00912903" w:rsidRPr="009057DB" w:rsidRDefault="00AC3501" w:rsidP="0037608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9057DB">
              <w:rPr>
                <w:b/>
                <w:bCs/>
                <w:sz w:val="22"/>
                <w:szCs w:val="22"/>
                <w:lang w:val="sr-Latn-ME"/>
              </w:rPr>
              <w:t xml:space="preserve">Efikasnost </w:t>
            </w:r>
            <w:r w:rsidR="00912903" w:rsidRPr="009057DB">
              <w:rPr>
                <w:b/>
                <w:bCs/>
                <w:sz w:val="22"/>
                <w:szCs w:val="22"/>
                <w:lang w:val="sr-Latn-ME"/>
              </w:rPr>
              <w:t>vakcine % (95% CI)</w:t>
            </w:r>
            <w:r w:rsidR="00912903" w:rsidRPr="009057DB">
              <w:rPr>
                <w:b/>
                <w:bCs/>
                <w:sz w:val="22"/>
                <w:szCs w:val="22"/>
                <w:vertAlign w:val="superscript"/>
                <w:lang w:val="sr-Latn-ME"/>
              </w:rPr>
              <w:t>b</w:t>
            </w:r>
          </w:p>
        </w:tc>
      </w:tr>
      <w:tr w:rsidR="00912903" w:rsidRPr="009057DB" w14:paraId="4E19CB20" w14:textId="77777777" w:rsidTr="004E6AB3">
        <w:trPr>
          <w:tblHeader/>
        </w:trPr>
        <w:tc>
          <w:tcPr>
            <w:tcW w:w="1136" w:type="dxa"/>
            <w:vMerge/>
            <w:shd w:val="clear" w:color="auto" w:fill="FFFFFF" w:themeFill="background1"/>
          </w:tcPr>
          <w:p w14:paraId="08A9CCC5" w14:textId="77777777" w:rsidR="00912903" w:rsidRPr="009057DB" w:rsidRDefault="00912903" w:rsidP="0037608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52161C7" w14:textId="77777777" w:rsidR="00912903" w:rsidRPr="009057DB" w:rsidRDefault="00912903" w:rsidP="003760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40"/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9057DB">
              <w:rPr>
                <w:b/>
                <w:bCs/>
                <w:sz w:val="22"/>
                <w:szCs w:val="22"/>
                <w:lang w:val="sr-Latn-ME"/>
              </w:rPr>
              <w:t>N</w:t>
            </w:r>
          </w:p>
        </w:tc>
        <w:tc>
          <w:tcPr>
            <w:tcW w:w="1176" w:type="dxa"/>
            <w:shd w:val="clear" w:color="auto" w:fill="FFFFFF" w:themeFill="background1"/>
          </w:tcPr>
          <w:p w14:paraId="1CB102AF" w14:textId="5693883E" w:rsidR="00912903" w:rsidRPr="009057DB" w:rsidRDefault="00912903" w:rsidP="003760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40"/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9057DB">
              <w:rPr>
                <w:b/>
                <w:bCs/>
                <w:sz w:val="22"/>
                <w:szCs w:val="22"/>
                <w:lang w:val="sr-Latn-ME"/>
              </w:rPr>
              <w:t>Broj slučajeva COVID-19</w:t>
            </w:r>
            <w:r w:rsidRPr="009057DB">
              <w:rPr>
                <w:b/>
                <w:bCs/>
                <w:sz w:val="22"/>
                <w:szCs w:val="22"/>
                <w:vertAlign w:val="superscript"/>
                <w:lang w:val="sr-Latn-ME"/>
              </w:rPr>
              <w:t>a</w:t>
            </w:r>
            <w:r w:rsidRPr="009057DB">
              <w:rPr>
                <w:b/>
                <w:bCs/>
                <w:sz w:val="22"/>
                <w:szCs w:val="22"/>
                <w:lang w:val="sr-Latn-ME"/>
              </w:rPr>
              <w:t>, n (%)</w:t>
            </w:r>
          </w:p>
        </w:tc>
        <w:tc>
          <w:tcPr>
            <w:tcW w:w="1509" w:type="dxa"/>
            <w:shd w:val="clear" w:color="auto" w:fill="FFFFFF" w:themeFill="background1"/>
          </w:tcPr>
          <w:p w14:paraId="4DC0C2EC" w14:textId="79A19EF0" w:rsidR="00912903" w:rsidRPr="009057DB" w:rsidRDefault="00912903" w:rsidP="003760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40"/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9057DB">
              <w:rPr>
                <w:b/>
                <w:bCs/>
                <w:sz w:val="22"/>
                <w:szCs w:val="22"/>
                <w:lang w:val="sr-Latn-ME"/>
              </w:rPr>
              <w:t>Stopa incidence bolesti COVID-19 na  1000  osoba</w:t>
            </w:r>
            <w:r w:rsidR="00D84E84" w:rsidRPr="009057DB">
              <w:rPr>
                <w:b/>
                <w:bCs/>
                <w:sz w:val="22"/>
                <w:szCs w:val="22"/>
                <w:lang w:val="sr-Latn-ME"/>
              </w:rPr>
              <w:t>-godina</w:t>
            </w:r>
          </w:p>
        </w:tc>
        <w:tc>
          <w:tcPr>
            <w:tcW w:w="769" w:type="dxa"/>
            <w:shd w:val="clear" w:color="auto" w:fill="FFFFFF" w:themeFill="background1"/>
          </w:tcPr>
          <w:p w14:paraId="7702BF48" w14:textId="77777777" w:rsidR="00912903" w:rsidRPr="009057DB" w:rsidRDefault="00912903" w:rsidP="003760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40"/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9057DB">
              <w:rPr>
                <w:b/>
                <w:bCs/>
                <w:sz w:val="22"/>
                <w:szCs w:val="22"/>
                <w:lang w:val="sr-Latn-ME"/>
              </w:rPr>
              <w:t>N</w:t>
            </w:r>
          </w:p>
        </w:tc>
        <w:tc>
          <w:tcPr>
            <w:tcW w:w="1142" w:type="dxa"/>
            <w:shd w:val="clear" w:color="auto" w:fill="FFFFFF" w:themeFill="background1"/>
          </w:tcPr>
          <w:p w14:paraId="3F712E68" w14:textId="409FE068" w:rsidR="00912903" w:rsidRPr="009057DB" w:rsidRDefault="00912903" w:rsidP="003760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40"/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9057DB">
              <w:rPr>
                <w:b/>
                <w:bCs/>
                <w:sz w:val="22"/>
                <w:szCs w:val="22"/>
                <w:lang w:val="sr-Latn-ME"/>
              </w:rPr>
              <w:t>Broj slučajeva COVID-19</w:t>
            </w:r>
            <w:r w:rsidRPr="009057DB">
              <w:rPr>
                <w:b/>
                <w:bCs/>
                <w:sz w:val="22"/>
                <w:szCs w:val="22"/>
                <w:vertAlign w:val="superscript"/>
                <w:lang w:val="sr-Latn-ME"/>
              </w:rPr>
              <w:t>a</w:t>
            </w:r>
            <w:r w:rsidRPr="009057DB">
              <w:rPr>
                <w:b/>
                <w:bCs/>
                <w:sz w:val="22"/>
                <w:szCs w:val="22"/>
                <w:lang w:val="sr-Latn-ME"/>
              </w:rPr>
              <w:t>, n (%)</w:t>
            </w:r>
          </w:p>
        </w:tc>
        <w:tc>
          <w:tcPr>
            <w:tcW w:w="1440" w:type="dxa"/>
            <w:shd w:val="clear" w:color="auto" w:fill="FFFFFF" w:themeFill="background1"/>
          </w:tcPr>
          <w:p w14:paraId="740E325B" w14:textId="0FFCD96A" w:rsidR="00912903" w:rsidRPr="009057DB" w:rsidRDefault="00912903" w:rsidP="0037608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9057DB">
              <w:rPr>
                <w:b/>
                <w:bCs/>
                <w:sz w:val="22"/>
                <w:szCs w:val="22"/>
                <w:lang w:val="sr-Latn-ME"/>
              </w:rPr>
              <w:t>Stopa incidence bolesti COVID-19 na  1000  osoba</w:t>
            </w:r>
            <w:r w:rsidR="00AC3501" w:rsidRPr="009057DB">
              <w:rPr>
                <w:b/>
                <w:bCs/>
                <w:sz w:val="22"/>
                <w:szCs w:val="22"/>
                <w:lang w:val="sr-Latn-ME"/>
              </w:rPr>
              <w:t>-godina</w:t>
            </w:r>
          </w:p>
        </w:tc>
        <w:tc>
          <w:tcPr>
            <w:tcW w:w="1350" w:type="dxa"/>
            <w:vMerge/>
            <w:shd w:val="clear" w:color="auto" w:fill="FFFFFF" w:themeFill="background1"/>
          </w:tcPr>
          <w:p w14:paraId="5FAEC072" w14:textId="77777777" w:rsidR="00912903" w:rsidRPr="009057DB" w:rsidRDefault="00912903" w:rsidP="0037608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912903" w:rsidRPr="009057DB" w14:paraId="244040AD" w14:textId="77777777" w:rsidTr="004E6AB3">
        <w:tc>
          <w:tcPr>
            <w:tcW w:w="1136" w:type="dxa"/>
            <w:shd w:val="clear" w:color="auto" w:fill="FFFFFF" w:themeFill="background1"/>
            <w:vAlign w:val="center"/>
          </w:tcPr>
          <w:p w14:paraId="4E92722D" w14:textId="559E9E00" w:rsidR="00912903" w:rsidRPr="009057DB" w:rsidRDefault="00912903" w:rsidP="003760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Lines="40" w:after="96"/>
              <w:jc w:val="both"/>
              <w:rPr>
                <w:sz w:val="22"/>
                <w:szCs w:val="22"/>
                <w:lang w:val="sr-Latn-ME"/>
              </w:rPr>
            </w:pPr>
            <w:r w:rsidRPr="009057DB">
              <w:rPr>
                <w:sz w:val="22"/>
                <w:szCs w:val="22"/>
                <w:lang w:val="sr-Latn-ME"/>
              </w:rPr>
              <w:t>Ukupno  (</w:t>
            </w:r>
            <w:r w:rsidR="00AC3501" w:rsidRPr="009057DB">
              <w:rPr>
                <w:sz w:val="22"/>
                <w:szCs w:val="22"/>
                <w:lang w:val="sr-Latn-ME"/>
              </w:rPr>
              <w:t xml:space="preserve">uzrast </w:t>
            </w:r>
            <w:r w:rsidRPr="009057DB">
              <w:rPr>
                <w:sz w:val="22"/>
                <w:szCs w:val="22"/>
                <w:lang w:val="sr-Latn-ME"/>
              </w:rPr>
              <w:lastRenderedPageBreak/>
              <w:t>≥18 godina)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333033C" w14:textId="4120417D" w:rsidR="00912903" w:rsidRPr="009057DB" w:rsidRDefault="00912903" w:rsidP="003760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Lines="40" w:after="96"/>
              <w:jc w:val="center"/>
              <w:rPr>
                <w:sz w:val="22"/>
                <w:szCs w:val="22"/>
                <w:lang w:val="sr-Latn-ME"/>
              </w:rPr>
            </w:pPr>
            <w:r w:rsidRPr="009057DB">
              <w:rPr>
                <w:sz w:val="22"/>
                <w:szCs w:val="22"/>
                <w:lang w:val="sr-Latn-ME"/>
              </w:rPr>
              <w:lastRenderedPageBreak/>
              <w:t>17662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14:paraId="370FFB4D" w14:textId="0D7D29F0" w:rsidR="00912903" w:rsidRPr="009057DB" w:rsidRDefault="00912903" w:rsidP="003760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Lines="40" w:after="96"/>
              <w:jc w:val="center"/>
              <w:rPr>
                <w:sz w:val="22"/>
                <w:szCs w:val="22"/>
                <w:lang w:val="sr-Latn-ME"/>
              </w:rPr>
            </w:pPr>
            <w:r w:rsidRPr="009057DB">
              <w:rPr>
                <w:sz w:val="22"/>
                <w:szCs w:val="22"/>
                <w:lang w:val="sr-Latn-ME"/>
              </w:rPr>
              <w:t>73 (0</w:t>
            </w:r>
            <w:r w:rsidR="00AC3501" w:rsidRPr="009057DB">
              <w:rPr>
                <w:sz w:val="22"/>
                <w:szCs w:val="22"/>
                <w:lang w:val="sr-Latn-ME"/>
              </w:rPr>
              <w:t>,</w:t>
            </w:r>
            <w:r w:rsidRPr="009057DB">
              <w:rPr>
                <w:sz w:val="22"/>
                <w:szCs w:val="22"/>
                <w:lang w:val="sr-Latn-ME"/>
              </w:rPr>
              <w:t>4)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14:paraId="7B287F07" w14:textId="15BE8148" w:rsidR="00912903" w:rsidRPr="009057DB" w:rsidRDefault="00912903" w:rsidP="003760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Lines="40" w:after="96"/>
              <w:jc w:val="center"/>
              <w:rPr>
                <w:sz w:val="22"/>
                <w:szCs w:val="22"/>
                <w:lang w:val="sr-Latn-ME"/>
              </w:rPr>
            </w:pPr>
            <w:r w:rsidRPr="009057DB">
              <w:rPr>
                <w:sz w:val="22"/>
                <w:szCs w:val="22"/>
                <w:lang w:val="sr-Latn-ME"/>
              </w:rPr>
              <w:t>35</w:t>
            </w:r>
            <w:r w:rsidR="00AC3501" w:rsidRPr="009057DB">
              <w:rPr>
                <w:sz w:val="22"/>
                <w:szCs w:val="22"/>
                <w:lang w:val="sr-Latn-ME"/>
              </w:rPr>
              <w:t>,</w:t>
            </w:r>
            <w:r w:rsidRPr="009057DB">
              <w:rPr>
                <w:sz w:val="22"/>
                <w:szCs w:val="22"/>
                <w:lang w:val="sr-Latn-ME"/>
              </w:rPr>
              <w:t>69</w:t>
            </w:r>
          </w:p>
        </w:tc>
        <w:tc>
          <w:tcPr>
            <w:tcW w:w="769" w:type="dxa"/>
            <w:shd w:val="clear" w:color="auto" w:fill="FFFFFF" w:themeFill="background1"/>
            <w:vAlign w:val="center"/>
          </w:tcPr>
          <w:p w14:paraId="5B9E2960" w14:textId="48725743" w:rsidR="00912903" w:rsidRPr="009057DB" w:rsidRDefault="00912903" w:rsidP="003760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Lines="40" w:after="96"/>
              <w:jc w:val="center"/>
              <w:rPr>
                <w:sz w:val="22"/>
                <w:szCs w:val="22"/>
                <w:lang w:val="sr-Latn-ME"/>
              </w:rPr>
            </w:pPr>
            <w:r w:rsidRPr="009057DB">
              <w:rPr>
                <w:sz w:val="22"/>
                <w:szCs w:val="22"/>
                <w:lang w:val="sr-Latn-ME"/>
              </w:rPr>
              <w:t>8550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5DA62F33" w14:textId="658A7057" w:rsidR="00912903" w:rsidRPr="009057DB" w:rsidRDefault="00912903" w:rsidP="003760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Lines="40" w:after="96"/>
              <w:jc w:val="center"/>
              <w:rPr>
                <w:sz w:val="22"/>
                <w:szCs w:val="22"/>
                <w:lang w:val="sr-Latn-ME"/>
              </w:rPr>
            </w:pPr>
            <w:r w:rsidRPr="009057DB">
              <w:rPr>
                <w:sz w:val="22"/>
                <w:szCs w:val="22"/>
                <w:lang w:val="sr-Latn-ME"/>
              </w:rPr>
              <w:t>130 (1</w:t>
            </w:r>
            <w:r w:rsidR="00AC3501" w:rsidRPr="009057DB">
              <w:rPr>
                <w:sz w:val="22"/>
                <w:szCs w:val="22"/>
                <w:lang w:val="sr-Latn-ME"/>
              </w:rPr>
              <w:t>,</w:t>
            </w:r>
            <w:r w:rsidRPr="009057DB">
              <w:rPr>
                <w:sz w:val="22"/>
                <w:szCs w:val="22"/>
                <w:lang w:val="sr-Latn-ME"/>
              </w:rPr>
              <w:t>5)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4B6DA3E0" w14:textId="0B04B2FE" w:rsidR="00912903" w:rsidRPr="009057DB" w:rsidRDefault="00912903" w:rsidP="003760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Lines="40" w:after="96"/>
              <w:jc w:val="center"/>
              <w:rPr>
                <w:sz w:val="22"/>
                <w:szCs w:val="22"/>
                <w:lang w:val="sr-Latn-ME"/>
              </w:rPr>
            </w:pPr>
            <w:r w:rsidRPr="009057DB">
              <w:rPr>
                <w:sz w:val="22"/>
                <w:szCs w:val="22"/>
                <w:lang w:val="sr-Latn-ME"/>
              </w:rPr>
              <w:t>137</w:t>
            </w:r>
            <w:r w:rsidR="00AC3501" w:rsidRPr="009057DB">
              <w:rPr>
                <w:sz w:val="22"/>
                <w:szCs w:val="22"/>
                <w:lang w:val="sr-Latn-ME"/>
              </w:rPr>
              <w:t>,</w:t>
            </w:r>
            <w:r w:rsidRPr="009057DB">
              <w:rPr>
                <w:sz w:val="22"/>
                <w:szCs w:val="22"/>
                <w:lang w:val="sr-Latn-ME"/>
              </w:rPr>
              <w:t>23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83494E0" w14:textId="6BEB1230" w:rsidR="00912903" w:rsidRPr="009057DB" w:rsidRDefault="00912903" w:rsidP="003760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Lines="40" w:after="96"/>
              <w:jc w:val="center"/>
              <w:rPr>
                <w:sz w:val="22"/>
                <w:szCs w:val="22"/>
                <w:lang w:val="sr-Latn-ME"/>
              </w:rPr>
            </w:pPr>
            <w:r w:rsidRPr="009057DB">
              <w:rPr>
                <w:sz w:val="22"/>
                <w:szCs w:val="22"/>
                <w:lang w:val="sr-Latn-ME"/>
              </w:rPr>
              <w:t>74</w:t>
            </w:r>
            <w:r w:rsidR="00AC3501" w:rsidRPr="009057DB">
              <w:rPr>
                <w:sz w:val="22"/>
                <w:szCs w:val="22"/>
                <w:lang w:val="sr-Latn-ME"/>
              </w:rPr>
              <w:t>,</w:t>
            </w:r>
            <w:r w:rsidRPr="009057DB">
              <w:rPr>
                <w:sz w:val="22"/>
                <w:szCs w:val="22"/>
                <w:lang w:val="sr-Latn-ME"/>
              </w:rPr>
              <w:t>0</w:t>
            </w:r>
            <w:r w:rsidRPr="009057DB">
              <w:rPr>
                <w:sz w:val="22"/>
                <w:szCs w:val="22"/>
                <w:lang w:val="sr-Latn-ME"/>
              </w:rPr>
              <w:br/>
              <w:t>(65</w:t>
            </w:r>
            <w:r w:rsidR="00AC3501" w:rsidRPr="009057DB">
              <w:rPr>
                <w:sz w:val="22"/>
                <w:szCs w:val="22"/>
                <w:lang w:val="sr-Latn-ME"/>
              </w:rPr>
              <w:t>,</w:t>
            </w:r>
            <w:r w:rsidRPr="009057DB">
              <w:rPr>
                <w:sz w:val="22"/>
                <w:szCs w:val="22"/>
                <w:lang w:val="sr-Latn-ME"/>
              </w:rPr>
              <w:t>3, 80</w:t>
            </w:r>
            <w:r w:rsidR="00AC3501" w:rsidRPr="009057DB">
              <w:rPr>
                <w:sz w:val="22"/>
                <w:szCs w:val="22"/>
                <w:lang w:val="sr-Latn-ME"/>
              </w:rPr>
              <w:t>,</w:t>
            </w:r>
            <w:r w:rsidRPr="009057DB">
              <w:rPr>
                <w:sz w:val="22"/>
                <w:szCs w:val="22"/>
                <w:lang w:val="sr-Latn-ME"/>
              </w:rPr>
              <w:t>5)</w:t>
            </w:r>
          </w:p>
        </w:tc>
      </w:tr>
      <w:tr w:rsidR="00912903" w:rsidRPr="009057DB" w14:paraId="539A9D99" w14:textId="77777777" w:rsidTr="004E6AB3">
        <w:tc>
          <w:tcPr>
            <w:tcW w:w="1136" w:type="dxa"/>
            <w:shd w:val="clear" w:color="auto" w:fill="FFFFFF" w:themeFill="background1"/>
            <w:vAlign w:val="center"/>
          </w:tcPr>
          <w:p w14:paraId="4FFDE485" w14:textId="666486CE" w:rsidR="00912903" w:rsidRPr="009057DB" w:rsidRDefault="007E63B5" w:rsidP="00376088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Lines="40" w:after="96"/>
              <w:jc w:val="both"/>
              <w:rPr>
                <w:sz w:val="22"/>
                <w:szCs w:val="22"/>
                <w:lang w:val="sr-Latn-ME"/>
              </w:rPr>
            </w:pPr>
            <w:r w:rsidRPr="009057DB">
              <w:rPr>
                <w:sz w:val="22"/>
                <w:szCs w:val="22"/>
                <w:lang w:val="sr-Latn-ME"/>
              </w:rPr>
              <w:lastRenderedPageBreak/>
              <w:t>Starosti</w:t>
            </w:r>
            <w:r w:rsidR="00912903" w:rsidRPr="009057DB">
              <w:rPr>
                <w:sz w:val="22"/>
                <w:szCs w:val="22"/>
                <w:lang w:val="sr-Latn-ME"/>
              </w:rPr>
              <w:t xml:space="preserve"> </w:t>
            </w:r>
            <w:r w:rsidR="00AC3501" w:rsidRPr="009057DB">
              <w:rPr>
                <w:sz w:val="22"/>
                <w:szCs w:val="22"/>
                <w:lang w:val="sr-Latn-ME"/>
              </w:rPr>
              <w:t xml:space="preserve">od </w:t>
            </w:r>
            <w:r w:rsidR="00912903" w:rsidRPr="009057DB">
              <w:rPr>
                <w:sz w:val="22"/>
                <w:szCs w:val="22"/>
                <w:lang w:val="sr-Latn-ME"/>
              </w:rPr>
              <w:t xml:space="preserve">18 </w:t>
            </w:r>
            <w:r w:rsidR="00AC3501" w:rsidRPr="009057DB">
              <w:rPr>
                <w:sz w:val="22"/>
                <w:szCs w:val="22"/>
                <w:lang w:val="sr-Latn-ME"/>
              </w:rPr>
              <w:t xml:space="preserve">do </w:t>
            </w:r>
            <w:r w:rsidR="00912903" w:rsidRPr="009057DB">
              <w:rPr>
                <w:sz w:val="22"/>
                <w:szCs w:val="22"/>
                <w:lang w:val="sr-Latn-ME"/>
              </w:rPr>
              <w:t>64 godin</w:t>
            </w:r>
            <w:r w:rsidRPr="009057DB">
              <w:rPr>
                <w:sz w:val="22"/>
                <w:szCs w:val="22"/>
                <w:lang w:val="sr-Latn-ME"/>
              </w:rPr>
              <w:t>e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A349A95" w14:textId="082A8E7B" w:rsidR="00912903" w:rsidRPr="009057DB" w:rsidRDefault="00912903" w:rsidP="003760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Lines="40" w:after="96"/>
              <w:jc w:val="center"/>
              <w:rPr>
                <w:sz w:val="22"/>
                <w:szCs w:val="22"/>
                <w:lang w:val="sr-Latn-ME"/>
              </w:rPr>
            </w:pPr>
            <w:r w:rsidRPr="009057DB">
              <w:rPr>
                <w:sz w:val="22"/>
                <w:szCs w:val="22"/>
                <w:lang w:val="sr-Latn-ME"/>
              </w:rPr>
              <w:t>13966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14:paraId="2F1B1EEC" w14:textId="63A8BF93" w:rsidR="00912903" w:rsidRPr="009057DB" w:rsidRDefault="00912903" w:rsidP="003760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Lines="40" w:after="96"/>
              <w:jc w:val="center"/>
              <w:rPr>
                <w:sz w:val="22"/>
                <w:szCs w:val="22"/>
                <w:lang w:val="sr-Latn-ME"/>
              </w:rPr>
            </w:pPr>
            <w:r w:rsidRPr="009057DB">
              <w:rPr>
                <w:sz w:val="22"/>
                <w:szCs w:val="22"/>
                <w:lang w:val="sr-Latn-ME"/>
              </w:rPr>
              <w:t>68 (0</w:t>
            </w:r>
            <w:r w:rsidR="00AC3501" w:rsidRPr="009057DB">
              <w:rPr>
                <w:sz w:val="22"/>
                <w:szCs w:val="22"/>
                <w:lang w:val="sr-Latn-ME"/>
              </w:rPr>
              <w:t>,</w:t>
            </w:r>
            <w:r w:rsidRPr="009057DB">
              <w:rPr>
                <w:sz w:val="22"/>
                <w:szCs w:val="22"/>
                <w:lang w:val="sr-Latn-ME"/>
              </w:rPr>
              <w:t>5)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14:paraId="3E7E0094" w14:textId="5BCA61C3" w:rsidR="00912903" w:rsidRPr="009057DB" w:rsidRDefault="00912903" w:rsidP="003760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Lines="40" w:after="96"/>
              <w:jc w:val="center"/>
              <w:rPr>
                <w:sz w:val="22"/>
                <w:szCs w:val="22"/>
                <w:lang w:val="sr-Latn-ME"/>
              </w:rPr>
            </w:pPr>
            <w:r w:rsidRPr="009057DB">
              <w:rPr>
                <w:sz w:val="22"/>
                <w:szCs w:val="22"/>
                <w:lang w:val="sr-Latn-ME"/>
              </w:rPr>
              <w:t>40</w:t>
            </w:r>
            <w:r w:rsidR="00AC3501" w:rsidRPr="009057DB">
              <w:rPr>
                <w:sz w:val="22"/>
                <w:szCs w:val="22"/>
                <w:lang w:val="sr-Latn-ME"/>
              </w:rPr>
              <w:t>,</w:t>
            </w:r>
            <w:r w:rsidRPr="009057DB">
              <w:rPr>
                <w:sz w:val="22"/>
                <w:szCs w:val="22"/>
                <w:lang w:val="sr-Latn-ME"/>
              </w:rPr>
              <w:t>47</w:t>
            </w:r>
          </w:p>
        </w:tc>
        <w:tc>
          <w:tcPr>
            <w:tcW w:w="769" w:type="dxa"/>
            <w:shd w:val="clear" w:color="auto" w:fill="FFFFFF" w:themeFill="background1"/>
            <w:vAlign w:val="center"/>
          </w:tcPr>
          <w:p w14:paraId="02E8F421" w14:textId="7E155D3D" w:rsidR="00912903" w:rsidRPr="009057DB" w:rsidRDefault="00912903" w:rsidP="003760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Lines="40" w:after="96"/>
              <w:jc w:val="center"/>
              <w:rPr>
                <w:sz w:val="22"/>
                <w:szCs w:val="22"/>
                <w:lang w:val="sr-Latn-ME"/>
              </w:rPr>
            </w:pPr>
            <w:r w:rsidRPr="009057DB">
              <w:rPr>
                <w:sz w:val="22"/>
                <w:szCs w:val="22"/>
                <w:lang w:val="sr-Latn-ME"/>
              </w:rPr>
              <w:t>6738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3DEA389B" w14:textId="14A6E07A" w:rsidR="00912903" w:rsidRPr="009057DB" w:rsidRDefault="00912903" w:rsidP="003760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Lines="40" w:after="96"/>
              <w:jc w:val="center"/>
              <w:rPr>
                <w:sz w:val="22"/>
                <w:szCs w:val="22"/>
                <w:lang w:val="sr-Latn-ME"/>
              </w:rPr>
            </w:pPr>
            <w:r w:rsidRPr="009057DB">
              <w:rPr>
                <w:sz w:val="22"/>
                <w:szCs w:val="22"/>
                <w:lang w:val="sr-Latn-ME"/>
              </w:rPr>
              <w:t>116 (1</w:t>
            </w:r>
            <w:r w:rsidR="00AC3501" w:rsidRPr="009057DB">
              <w:rPr>
                <w:sz w:val="22"/>
                <w:szCs w:val="22"/>
                <w:lang w:val="sr-Latn-ME"/>
              </w:rPr>
              <w:t>,</w:t>
            </w:r>
            <w:r w:rsidRPr="009057DB">
              <w:rPr>
                <w:sz w:val="22"/>
                <w:szCs w:val="22"/>
                <w:lang w:val="sr-Latn-ME"/>
              </w:rPr>
              <w:t>7)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5D8A6900" w14:textId="60FE70C6" w:rsidR="00912903" w:rsidRPr="009057DB" w:rsidRDefault="00912903" w:rsidP="003760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Lines="40" w:after="96"/>
              <w:jc w:val="center"/>
              <w:rPr>
                <w:sz w:val="22"/>
                <w:szCs w:val="22"/>
                <w:lang w:val="sr-Latn-ME"/>
              </w:rPr>
            </w:pPr>
            <w:r w:rsidRPr="009057DB">
              <w:rPr>
                <w:sz w:val="22"/>
                <w:szCs w:val="22"/>
                <w:lang w:val="sr-Latn-ME"/>
              </w:rPr>
              <w:t>148</w:t>
            </w:r>
            <w:r w:rsidR="00AC3501" w:rsidRPr="009057DB">
              <w:rPr>
                <w:sz w:val="22"/>
                <w:szCs w:val="22"/>
                <w:lang w:val="sr-Latn-ME"/>
              </w:rPr>
              <w:t>,</w:t>
            </w:r>
            <w:r w:rsidRPr="009057DB">
              <w:rPr>
                <w:sz w:val="22"/>
                <w:szCs w:val="22"/>
                <w:lang w:val="sr-Latn-ME"/>
              </w:rPr>
              <w:t>99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1EB1BEA" w14:textId="47781F5C" w:rsidR="00912903" w:rsidRPr="009057DB" w:rsidRDefault="00912903" w:rsidP="003760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Lines="40" w:after="96"/>
              <w:jc w:val="center"/>
              <w:rPr>
                <w:sz w:val="22"/>
                <w:szCs w:val="22"/>
                <w:lang w:val="sr-Latn-ME"/>
              </w:rPr>
            </w:pPr>
            <w:r w:rsidRPr="009057DB">
              <w:rPr>
                <w:sz w:val="22"/>
                <w:szCs w:val="22"/>
                <w:lang w:val="sr-Latn-ME"/>
              </w:rPr>
              <w:t>72</w:t>
            </w:r>
            <w:r w:rsidR="00AC3501" w:rsidRPr="009057DB">
              <w:rPr>
                <w:sz w:val="22"/>
                <w:szCs w:val="22"/>
                <w:lang w:val="sr-Latn-ME"/>
              </w:rPr>
              <w:t>,</w:t>
            </w:r>
            <w:r w:rsidRPr="009057DB">
              <w:rPr>
                <w:sz w:val="22"/>
                <w:szCs w:val="22"/>
                <w:lang w:val="sr-Latn-ME"/>
              </w:rPr>
              <w:t>8</w:t>
            </w:r>
            <w:r w:rsidRPr="009057DB">
              <w:rPr>
                <w:sz w:val="22"/>
                <w:szCs w:val="22"/>
                <w:lang w:val="sr-Latn-ME"/>
              </w:rPr>
              <w:br/>
              <w:t>(63</w:t>
            </w:r>
            <w:r w:rsidR="00AC3501" w:rsidRPr="009057DB">
              <w:rPr>
                <w:sz w:val="22"/>
                <w:szCs w:val="22"/>
                <w:lang w:val="sr-Latn-ME"/>
              </w:rPr>
              <w:t>,</w:t>
            </w:r>
            <w:r w:rsidRPr="009057DB">
              <w:rPr>
                <w:sz w:val="22"/>
                <w:szCs w:val="22"/>
                <w:lang w:val="sr-Latn-ME"/>
              </w:rPr>
              <w:t>4, 79</w:t>
            </w:r>
            <w:r w:rsidR="00AC3501" w:rsidRPr="009057DB">
              <w:rPr>
                <w:sz w:val="22"/>
                <w:szCs w:val="22"/>
                <w:lang w:val="sr-Latn-ME"/>
              </w:rPr>
              <w:t>,</w:t>
            </w:r>
            <w:r w:rsidRPr="009057DB">
              <w:rPr>
                <w:sz w:val="22"/>
                <w:szCs w:val="22"/>
                <w:lang w:val="sr-Latn-ME"/>
              </w:rPr>
              <w:t>9)</w:t>
            </w:r>
          </w:p>
        </w:tc>
      </w:tr>
      <w:tr w:rsidR="00912903" w:rsidRPr="009057DB" w14:paraId="4066CC67" w14:textId="77777777" w:rsidTr="004E6AB3">
        <w:tc>
          <w:tcPr>
            <w:tcW w:w="1136" w:type="dxa"/>
            <w:shd w:val="clear" w:color="auto" w:fill="FFFFFF" w:themeFill="background1"/>
            <w:vAlign w:val="center"/>
          </w:tcPr>
          <w:p w14:paraId="6D9CDC42" w14:textId="53781795" w:rsidR="00912903" w:rsidRPr="009057DB" w:rsidRDefault="00AC3501" w:rsidP="003760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Lines="40" w:after="96"/>
              <w:jc w:val="both"/>
              <w:rPr>
                <w:sz w:val="22"/>
                <w:szCs w:val="22"/>
                <w:lang w:val="sr-Latn-ME"/>
              </w:rPr>
            </w:pPr>
            <w:r w:rsidRPr="009057DB">
              <w:rPr>
                <w:sz w:val="22"/>
                <w:szCs w:val="22"/>
                <w:lang w:val="sr-Latn-ME"/>
              </w:rPr>
              <w:t xml:space="preserve">Starost </w:t>
            </w:r>
            <w:r w:rsidR="00912903" w:rsidRPr="009057DB">
              <w:rPr>
                <w:sz w:val="22"/>
                <w:szCs w:val="22"/>
                <w:lang w:val="sr-Latn-ME"/>
              </w:rPr>
              <w:t>≥</w:t>
            </w:r>
            <w:r w:rsidR="007E63B5" w:rsidRPr="009057DB">
              <w:rPr>
                <w:sz w:val="22"/>
                <w:szCs w:val="22"/>
                <w:lang w:val="sr-Latn-ME"/>
              </w:rPr>
              <w:t xml:space="preserve"> </w:t>
            </w:r>
            <w:r w:rsidR="00912903" w:rsidRPr="009057DB">
              <w:rPr>
                <w:sz w:val="22"/>
                <w:szCs w:val="22"/>
                <w:lang w:val="sr-Latn-ME"/>
              </w:rPr>
              <w:t>65 godina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5BABC79" w14:textId="7846CB9B" w:rsidR="00912903" w:rsidRPr="009057DB" w:rsidRDefault="00912903" w:rsidP="003760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Lines="40" w:after="96"/>
              <w:jc w:val="center"/>
              <w:rPr>
                <w:sz w:val="22"/>
                <w:szCs w:val="22"/>
                <w:lang w:val="sr-Latn-ME"/>
              </w:rPr>
            </w:pPr>
            <w:r w:rsidRPr="009057DB">
              <w:rPr>
                <w:sz w:val="22"/>
                <w:szCs w:val="22"/>
                <w:lang w:val="sr-Latn-ME"/>
              </w:rPr>
              <w:t>3696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14:paraId="57DD4865" w14:textId="4EFDF71D" w:rsidR="00912903" w:rsidRPr="009057DB" w:rsidRDefault="00912903" w:rsidP="003760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Lines="40" w:after="96"/>
              <w:jc w:val="center"/>
              <w:rPr>
                <w:sz w:val="22"/>
                <w:szCs w:val="22"/>
                <w:lang w:val="sr-Latn-ME"/>
              </w:rPr>
            </w:pPr>
            <w:r w:rsidRPr="009057DB">
              <w:rPr>
                <w:sz w:val="22"/>
                <w:szCs w:val="22"/>
                <w:lang w:val="sr-Latn-ME"/>
              </w:rPr>
              <w:t>5 (0</w:t>
            </w:r>
            <w:r w:rsidR="00AC3501" w:rsidRPr="009057DB">
              <w:rPr>
                <w:sz w:val="22"/>
                <w:szCs w:val="22"/>
                <w:lang w:val="sr-Latn-ME"/>
              </w:rPr>
              <w:t>,</w:t>
            </w:r>
            <w:r w:rsidRPr="009057DB">
              <w:rPr>
                <w:sz w:val="22"/>
                <w:szCs w:val="22"/>
                <w:lang w:val="sr-Latn-ME"/>
              </w:rPr>
              <w:t>1)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14:paraId="5F2F2DBF" w14:textId="7FFDEC79" w:rsidR="00912903" w:rsidRPr="009057DB" w:rsidRDefault="00912903" w:rsidP="003760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Lines="40" w:after="96"/>
              <w:jc w:val="center"/>
              <w:rPr>
                <w:sz w:val="22"/>
                <w:szCs w:val="22"/>
                <w:lang w:val="sr-Latn-ME"/>
              </w:rPr>
            </w:pPr>
            <w:r w:rsidRPr="009057DB">
              <w:rPr>
                <w:sz w:val="22"/>
                <w:szCs w:val="22"/>
                <w:lang w:val="sr-Latn-ME"/>
              </w:rPr>
              <w:t>13</w:t>
            </w:r>
            <w:r w:rsidR="00AC3501" w:rsidRPr="009057DB">
              <w:rPr>
                <w:sz w:val="22"/>
                <w:szCs w:val="22"/>
                <w:lang w:val="sr-Latn-ME"/>
              </w:rPr>
              <w:t>,</w:t>
            </w:r>
            <w:r w:rsidRPr="009057DB">
              <w:rPr>
                <w:sz w:val="22"/>
                <w:szCs w:val="22"/>
                <w:lang w:val="sr-Latn-ME"/>
              </w:rPr>
              <w:t>69</w:t>
            </w:r>
          </w:p>
        </w:tc>
        <w:tc>
          <w:tcPr>
            <w:tcW w:w="769" w:type="dxa"/>
            <w:shd w:val="clear" w:color="auto" w:fill="FFFFFF" w:themeFill="background1"/>
            <w:vAlign w:val="center"/>
          </w:tcPr>
          <w:p w14:paraId="2FFAD72C" w14:textId="4B65CF19" w:rsidR="00912903" w:rsidRPr="009057DB" w:rsidRDefault="00912903" w:rsidP="003760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Lines="40" w:after="96"/>
              <w:jc w:val="center"/>
              <w:rPr>
                <w:sz w:val="22"/>
                <w:szCs w:val="22"/>
                <w:lang w:val="sr-Latn-ME"/>
              </w:rPr>
            </w:pPr>
            <w:r w:rsidRPr="009057DB">
              <w:rPr>
                <w:sz w:val="22"/>
                <w:szCs w:val="22"/>
                <w:lang w:val="sr-Latn-ME"/>
              </w:rPr>
              <w:t>1812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451D8435" w14:textId="1BC6D6B7" w:rsidR="00912903" w:rsidRPr="009057DB" w:rsidRDefault="00912903" w:rsidP="003760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Lines="40" w:after="96"/>
              <w:jc w:val="center"/>
              <w:rPr>
                <w:sz w:val="22"/>
                <w:szCs w:val="22"/>
                <w:lang w:val="sr-Latn-ME"/>
              </w:rPr>
            </w:pPr>
            <w:r w:rsidRPr="009057DB">
              <w:rPr>
                <w:sz w:val="22"/>
                <w:szCs w:val="22"/>
                <w:lang w:val="sr-Latn-ME"/>
              </w:rPr>
              <w:t>14 (0</w:t>
            </w:r>
            <w:r w:rsidR="00AC3501" w:rsidRPr="009057DB">
              <w:rPr>
                <w:sz w:val="22"/>
                <w:szCs w:val="22"/>
                <w:lang w:val="sr-Latn-ME"/>
              </w:rPr>
              <w:t>,</w:t>
            </w:r>
            <w:r w:rsidRPr="009057DB">
              <w:rPr>
                <w:sz w:val="22"/>
                <w:szCs w:val="22"/>
                <w:lang w:val="sr-Latn-ME"/>
              </w:rPr>
              <w:t>8)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1865BB33" w14:textId="3627DBC9" w:rsidR="00912903" w:rsidRPr="009057DB" w:rsidRDefault="00912903" w:rsidP="003760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Lines="40" w:after="96"/>
              <w:jc w:val="center"/>
              <w:rPr>
                <w:sz w:val="22"/>
                <w:szCs w:val="22"/>
                <w:lang w:val="sr-Latn-ME"/>
              </w:rPr>
            </w:pPr>
            <w:r w:rsidRPr="009057DB">
              <w:rPr>
                <w:sz w:val="22"/>
                <w:szCs w:val="22"/>
                <w:lang w:val="sr-Latn-ME"/>
              </w:rPr>
              <w:t>82</w:t>
            </w:r>
            <w:r w:rsidR="00AC3501" w:rsidRPr="009057DB">
              <w:rPr>
                <w:sz w:val="22"/>
                <w:szCs w:val="22"/>
                <w:lang w:val="sr-Latn-ME"/>
              </w:rPr>
              <w:t>,</w:t>
            </w:r>
            <w:r w:rsidRPr="009057DB">
              <w:rPr>
                <w:sz w:val="22"/>
                <w:szCs w:val="22"/>
                <w:lang w:val="sr-Latn-ME"/>
              </w:rPr>
              <w:t>98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1CB541E" w14:textId="17A5E382" w:rsidR="00912903" w:rsidRPr="009057DB" w:rsidRDefault="00912903" w:rsidP="003760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Lines="40" w:after="96"/>
              <w:jc w:val="center"/>
              <w:rPr>
                <w:sz w:val="22"/>
                <w:szCs w:val="22"/>
                <w:lang w:val="sr-Latn-ME"/>
              </w:rPr>
            </w:pPr>
            <w:r w:rsidRPr="009057DB">
              <w:rPr>
                <w:sz w:val="22"/>
                <w:szCs w:val="22"/>
                <w:lang w:val="sr-Latn-ME"/>
              </w:rPr>
              <w:t>83</w:t>
            </w:r>
            <w:r w:rsidR="00AC3501" w:rsidRPr="009057DB">
              <w:rPr>
                <w:sz w:val="22"/>
                <w:szCs w:val="22"/>
                <w:lang w:val="sr-Latn-ME"/>
              </w:rPr>
              <w:t>,</w:t>
            </w:r>
            <w:r w:rsidRPr="009057DB">
              <w:rPr>
                <w:sz w:val="22"/>
                <w:szCs w:val="22"/>
                <w:lang w:val="sr-Latn-ME"/>
              </w:rPr>
              <w:t>5</w:t>
            </w:r>
            <w:r w:rsidRPr="009057DB">
              <w:rPr>
                <w:sz w:val="22"/>
                <w:szCs w:val="22"/>
                <w:lang w:val="sr-Latn-ME"/>
              </w:rPr>
              <w:br/>
              <w:t>(54</w:t>
            </w:r>
            <w:r w:rsidR="00AC3501" w:rsidRPr="009057DB">
              <w:rPr>
                <w:sz w:val="22"/>
                <w:szCs w:val="22"/>
                <w:lang w:val="sr-Latn-ME"/>
              </w:rPr>
              <w:t>,</w:t>
            </w:r>
            <w:r w:rsidRPr="009057DB">
              <w:rPr>
                <w:sz w:val="22"/>
                <w:szCs w:val="22"/>
                <w:lang w:val="sr-Latn-ME"/>
              </w:rPr>
              <w:t>2, 94</w:t>
            </w:r>
            <w:r w:rsidR="00AC3501" w:rsidRPr="009057DB">
              <w:rPr>
                <w:sz w:val="22"/>
                <w:szCs w:val="22"/>
                <w:lang w:val="sr-Latn-ME"/>
              </w:rPr>
              <w:t>,</w:t>
            </w:r>
            <w:r w:rsidRPr="009057DB">
              <w:rPr>
                <w:sz w:val="22"/>
                <w:szCs w:val="22"/>
                <w:lang w:val="sr-Latn-ME"/>
              </w:rPr>
              <w:t>1)</w:t>
            </w:r>
          </w:p>
        </w:tc>
      </w:tr>
    </w:tbl>
    <w:p w14:paraId="02E2D7C0" w14:textId="501BF837" w:rsidR="009F6564" w:rsidRPr="009057DB" w:rsidRDefault="009F6564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1B62548A" w14:textId="77777777" w:rsidR="00912903" w:rsidRPr="009057DB" w:rsidRDefault="00912903" w:rsidP="00376088">
      <w:pPr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  <w:r w:rsidRPr="009057DB">
        <w:rPr>
          <w:i/>
          <w:iCs/>
          <w:sz w:val="22"/>
          <w:szCs w:val="22"/>
          <w:lang w:val="sr-Latn-ME"/>
        </w:rPr>
        <w:t>N = broj ispitanika u svakoj grupi; n = broj ispitanika s potvrđenim događajem; CI = interval pouzdanosti.</w:t>
      </w:r>
    </w:p>
    <w:p w14:paraId="331B32B8" w14:textId="2534C889" w:rsidR="00912903" w:rsidRPr="009057DB" w:rsidRDefault="00912903" w:rsidP="00376088">
      <w:pPr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  <w:r w:rsidRPr="009057DB">
        <w:rPr>
          <w:i/>
          <w:iCs/>
          <w:sz w:val="22"/>
          <w:szCs w:val="22"/>
          <w:vertAlign w:val="superscript"/>
          <w:lang w:val="sr-Latn-ME"/>
        </w:rPr>
        <w:t>a</w:t>
      </w:r>
      <w:r w:rsidRPr="009057DB">
        <w:rPr>
          <w:i/>
          <w:iCs/>
          <w:sz w:val="22"/>
          <w:szCs w:val="22"/>
          <w:lang w:val="sr-Latn-ME"/>
        </w:rPr>
        <w:t xml:space="preserve"> Simptomatski COVID-19 koji je zahtijevao pozitivan nalaz testa </w:t>
      </w:r>
      <w:r w:rsidR="002C1463" w:rsidRPr="009057DB">
        <w:rPr>
          <w:i/>
          <w:iCs/>
          <w:sz w:val="22"/>
          <w:szCs w:val="22"/>
          <w:lang w:val="sr-Latn-ME"/>
        </w:rPr>
        <w:t xml:space="preserve">zasnovan </w:t>
      </w:r>
      <w:r w:rsidRPr="009057DB">
        <w:rPr>
          <w:i/>
          <w:iCs/>
          <w:sz w:val="22"/>
          <w:szCs w:val="22"/>
          <w:lang w:val="sr-Latn-ME"/>
        </w:rPr>
        <w:t>na lančanoj reakciji polimerazom uz reverznu transkripciju (engl. Reverse Transcriptase-Polymerase Chain Reaction, RT-PCR) i najmanje 1 respiratorni znak ili simptom ili najmanje 2 druga sistemska znaka ili simptoma u skladu s definicijom u planu ispitivanja.</w:t>
      </w:r>
    </w:p>
    <w:p w14:paraId="35758740" w14:textId="62B5FE02" w:rsidR="00912903" w:rsidRPr="009057DB" w:rsidRDefault="00912903" w:rsidP="00376088">
      <w:pPr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  <w:r w:rsidRPr="009057DB">
        <w:rPr>
          <w:i/>
          <w:iCs/>
          <w:sz w:val="22"/>
          <w:szCs w:val="22"/>
          <w:vertAlign w:val="superscript"/>
          <w:lang w:val="sr-Latn-ME"/>
        </w:rPr>
        <w:t>b</w:t>
      </w:r>
      <w:r w:rsidRPr="009057DB">
        <w:rPr>
          <w:i/>
          <w:iCs/>
          <w:sz w:val="22"/>
          <w:szCs w:val="22"/>
          <w:lang w:val="sr-Latn-ME"/>
        </w:rPr>
        <w:t xml:space="preserve"> Intervali pouzdanosti ni</w:t>
      </w:r>
      <w:r w:rsidR="00A80A45" w:rsidRPr="009057DB">
        <w:rPr>
          <w:i/>
          <w:iCs/>
          <w:sz w:val="22"/>
          <w:szCs w:val="22"/>
          <w:lang w:val="sr-Latn-ME"/>
        </w:rPr>
        <w:t>je</w:t>
      </w:r>
      <w:r w:rsidRPr="009057DB">
        <w:rPr>
          <w:i/>
          <w:iCs/>
          <w:sz w:val="22"/>
          <w:szCs w:val="22"/>
          <w:lang w:val="sr-Latn-ME"/>
        </w:rPr>
        <w:t>su bili prilagođeni za višestrukost.</w:t>
      </w:r>
    </w:p>
    <w:p w14:paraId="78D263E2" w14:textId="77777777" w:rsidR="00912903" w:rsidRPr="009057DB" w:rsidRDefault="00912903" w:rsidP="00376088">
      <w:pPr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</w:p>
    <w:p w14:paraId="7E065B52" w14:textId="4F6D66BC" w:rsidR="00912903" w:rsidRPr="009057DB" w:rsidRDefault="00912903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 xml:space="preserve">Teška ili kritična simptomatska bolest COVID-19 ocjenjivala se kao ključna sekundarna mjera ishoda. Među svim ispitanicima iz </w:t>
      </w:r>
      <w:r w:rsidR="002C1463" w:rsidRPr="009057DB">
        <w:rPr>
          <w:sz w:val="22"/>
          <w:szCs w:val="22"/>
          <w:lang w:val="sr-Latn-ME"/>
        </w:rPr>
        <w:t xml:space="preserve">grupe vakcinisane </w:t>
      </w:r>
      <w:r w:rsidRPr="009057DB">
        <w:rPr>
          <w:sz w:val="22"/>
          <w:szCs w:val="22"/>
          <w:lang w:val="sr-Latn-ME"/>
        </w:rPr>
        <w:t>prema planu ispitivanja nije prijavljen nijedan slučaj teške ili kritične simptomatske bolesti COVID-19 u grupi koja je primila vakcinu, dok je u onoj koja je primila placebo prijavljeno 8 takvih slučajeva. Zabilježeno je 9 slučajeva hospitalizacije, koji su uključivali spomenutih 8 slučajeva teške ili kritične simptomatske bolesti COVID-19 i jedan dodatan slučaj u grupi koja je primila vakcinu. U većini slučajeva teške ili kritične simptomatske bolesti COVID-19 jedini ispunjen kriterijum za tešku bolest bila je zasićenost kiseonikom (SpO2) (≤ 93% pri sobnom vazduhu).</w:t>
      </w:r>
    </w:p>
    <w:p w14:paraId="54EA4E6D" w14:textId="49C2E363" w:rsidR="00912903" w:rsidRPr="009057DB" w:rsidRDefault="00912903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Kod osoba s prethodnim dokazima infekcije virusom SARS-CoV-2 ili bez njih</w:t>
      </w:r>
      <w:r w:rsidR="002C1463" w:rsidRPr="009057DB">
        <w:rPr>
          <w:sz w:val="22"/>
          <w:szCs w:val="22"/>
          <w:lang w:val="sr-Latn-ME"/>
        </w:rPr>
        <w:t>,</w:t>
      </w:r>
      <w:r w:rsidRPr="009057DB">
        <w:rPr>
          <w:sz w:val="22"/>
          <w:szCs w:val="22"/>
          <w:lang w:val="sr-Latn-ME"/>
        </w:rPr>
        <w:t xml:space="preserve"> </w:t>
      </w:r>
      <w:r w:rsidR="002C1463" w:rsidRPr="009057DB">
        <w:rPr>
          <w:sz w:val="22"/>
          <w:szCs w:val="22"/>
          <w:lang w:val="sr-Latn-ME"/>
        </w:rPr>
        <w:t xml:space="preserve">efikasnost </w:t>
      </w:r>
      <w:r w:rsidRPr="009057DB">
        <w:rPr>
          <w:sz w:val="22"/>
          <w:szCs w:val="22"/>
          <w:lang w:val="sr-Latn-ME"/>
        </w:rPr>
        <w:t>vakcine</w:t>
      </w:r>
      <w:r w:rsidR="002C1463" w:rsidRPr="009057DB">
        <w:rPr>
          <w:sz w:val="22"/>
          <w:szCs w:val="22"/>
          <w:lang w:val="sr-Latn-ME"/>
        </w:rPr>
        <w:t xml:space="preserve"> </w:t>
      </w:r>
      <w:r w:rsidRPr="009057DB">
        <w:rPr>
          <w:sz w:val="22"/>
          <w:szCs w:val="22"/>
          <w:lang w:val="sr-Latn-ME"/>
        </w:rPr>
        <w:t>Vaxzevria (≥ 15 dana nakon 2. doze) iznosila je 73,7% (95% CI: 63,1; 80,1), uz 76 (0,4%) slučajeva bolesti COVID-19 u grupi koja je primila vakcinu Vaxzevria (N=18563) u odnosu na 135 (1,5%) slučajeva u onoj koja je primila placebo (N=9031).</w:t>
      </w:r>
    </w:p>
    <w:p w14:paraId="3BCF8C55" w14:textId="77777777" w:rsidR="00912903" w:rsidRPr="009057DB" w:rsidRDefault="00912903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4475F77" w14:textId="3B64A0C3" w:rsidR="00912903" w:rsidRPr="009057DB" w:rsidRDefault="00912903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Među učesnicima vakcinisanim vakcinom Vaxzevria koji su imali jedan ili više komorbiditeta</w:t>
      </w:r>
      <w:r w:rsidR="002C1463" w:rsidRPr="009057DB">
        <w:rPr>
          <w:sz w:val="22"/>
          <w:szCs w:val="22"/>
          <w:lang w:val="sr-Latn-ME"/>
        </w:rPr>
        <w:t>,</w:t>
      </w:r>
      <w:r w:rsidRPr="009057DB">
        <w:rPr>
          <w:sz w:val="22"/>
          <w:szCs w:val="22"/>
          <w:lang w:val="sr-Latn-ME"/>
        </w:rPr>
        <w:t xml:space="preserve"> </w:t>
      </w:r>
      <w:r w:rsidR="002C1463" w:rsidRPr="009057DB">
        <w:rPr>
          <w:sz w:val="22"/>
          <w:szCs w:val="22"/>
          <w:lang w:val="sr-Latn-ME"/>
        </w:rPr>
        <w:t xml:space="preserve">efikasnost </w:t>
      </w:r>
      <w:r w:rsidRPr="009057DB">
        <w:rPr>
          <w:sz w:val="22"/>
          <w:szCs w:val="22"/>
          <w:lang w:val="sr-Latn-ME"/>
        </w:rPr>
        <w:t xml:space="preserve">vakcine  (≥ 15 dana nakon 2. doze) iznosila je 75,2% (95% CI: 64,2; 82,9), dok je kod onih bez komorbiditeta </w:t>
      </w:r>
      <w:r w:rsidR="002C1463" w:rsidRPr="009057DB">
        <w:rPr>
          <w:sz w:val="22"/>
          <w:szCs w:val="22"/>
          <w:lang w:val="sr-Latn-ME"/>
        </w:rPr>
        <w:t xml:space="preserve">efikasnost </w:t>
      </w:r>
      <w:r w:rsidRPr="009057DB">
        <w:rPr>
          <w:sz w:val="22"/>
          <w:szCs w:val="22"/>
          <w:lang w:val="sr-Latn-ME"/>
        </w:rPr>
        <w:t>vakcine iznosila 71,8% (95% CI: 55,5; 82,1).</w:t>
      </w:r>
    </w:p>
    <w:p w14:paraId="5C0E4626" w14:textId="1B09C4F5" w:rsidR="00912903" w:rsidRPr="009057DB" w:rsidRDefault="00912903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7283C0B7" w14:textId="714A4EC4" w:rsidR="004044B8" w:rsidRPr="009057DB" w:rsidRDefault="004044B8" w:rsidP="00E2485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9057DB">
        <w:rPr>
          <w:rFonts w:eastAsia="TimesNewRoman"/>
          <w:sz w:val="22"/>
          <w:szCs w:val="22"/>
        </w:rPr>
        <w:t>U 6-mjesečnoj analizi praćenja, izvršene su ažurirane analize efikasnosti sa dodatnim potvrđenim slučajevima COVID-19 nastalim tokom studije, koja je bila slijepa, placebo</w:t>
      </w:r>
      <w:r w:rsidR="009D019A">
        <w:rPr>
          <w:rFonts w:eastAsia="TimesNewRoman"/>
          <w:sz w:val="22"/>
          <w:szCs w:val="22"/>
        </w:rPr>
        <w:t>m</w:t>
      </w:r>
      <w:r w:rsidRPr="009057DB">
        <w:rPr>
          <w:rFonts w:eastAsia="TimesNewRoman"/>
          <w:sz w:val="22"/>
          <w:szCs w:val="22"/>
        </w:rPr>
        <w:t xml:space="preserve"> kontrolisana, sa</w:t>
      </w:r>
      <w:r w:rsidR="009D019A">
        <w:rPr>
          <w:rFonts w:eastAsia="TimesNewRoman"/>
          <w:sz w:val="22"/>
          <w:szCs w:val="22"/>
        </w:rPr>
        <w:t xml:space="preserve"> medijanom praćenja</w:t>
      </w:r>
      <w:r w:rsidRPr="009057DB">
        <w:rPr>
          <w:rFonts w:eastAsia="TimesNewRoman"/>
          <w:sz w:val="22"/>
          <w:szCs w:val="22"/>
        </w:rPr>
        <w:t xml:space="preserve"> od 78 dana kod </w:t>
      </w:r>
      <w:r w:rsidR="009D019A">
        <w:rPr>
          <w:rFonts w:eastAsia="TimesNewRoman"/>
          <w:sz w:val="22"/>
          <w:szCs w:val="22"/>
        </w:rPr>
        <w:t>ispitanika</w:t>
      </w:r>
      <w:r w:rsidRPr="009057DB">
        <w:rPr>
          <w:rFonts w:eastAsia="TimesNewRoman"/>
          <w:sz w:val="22"/>
          <w:szCs w:val="22"/>
        </w:rPr>
        <w:t xml:space="preserve"> koji su primali vakcinu Vaxzevria i 71 dan kod </w:t>
      </w:r>
      <w:r w:rsidR="009D019A">
        <w:rPr>
          <w:rFonts w:eastAsia="TimesNewRoman"/>
          <w:sz w:val="22"/>
          <w:szCs w:val="22"/>
        </w:rPr>
        <w:t>ispitanika</w:t>
      </w:r>
      <w:r w:rsidRPr="009057DB">
        <w:rPr>
          <w:rFonts w:eastAsia="TimesNewRoman"/>
          <w:sz w:val="22"/>
          <w:szCs w:val="22"/>
        </w:rPr>
        <w:t xml:space="preserve"> koji su primali placebo. Ukupna efikasnost vakcine protiv simptomatske bolesti COVID-19 bila je 67,0% (95% CI: 58,9, 73,5) sa 141 (0,8%) slučajem COVID-19 prijavljenim kod </w:t>
      </w:r>
      <w:r w:rsidR="009D019A">
        <w:rPr>
          <w:rFonts w:eastAsia="TimesNewRoman"/>
          <w:sz w:val="22"/>
          <w:szCs w:val="22"/>
        </w:rPr>
        <w:t>ispitanika</w:t>
      </w:r>
      <w:r w:rsidRPr="009057DB">
        <w:rPr>
          <w:rFonts w:eastAsia="TimesNewRoman"/>
          <w:sz w:val="22"/>
          <w:szCs w:val="22"/>
        </w:rPr>
        <w:t xml:space="preserve"> koji su primili dvije doze vakcine Vaxzevria (N=17,617) i 184 2,2%</w:t>
      </w:r>
      <w:r w:rsidR="009D019A">
        <w:rPr>
          <w:rFonts w:eastAsia="TimesNewRoman"/>
          <w:sz w:val="22"/>
          <w:szCs w:val="22"/>
        </w:rPr>
        <w:t xml:space="preserve"> </w:t>
      </w:r>
      <w:r w:rsidRPr="009057DB">
        <w:rPr>
          <w:rFonts w:eastAsia="TimesNewRoman"/>
          <w:sz w:val="22"/>
          <w:szCs w:val="22"/>
        </w:rPr>
        <w:t xml:space="preserve">slučajeva prijavljenih kod </w:t>
      </w:r>
      <w:r w:rsidR="009D019A">
        <w:rPr>
          <w:rFonts w:eastAsia="TimesNewRoman"/>
          <w:sz w:val="22"/>
          <w:szCs w:val="22"/>
        </w:rPr>
        <w:t>ispitanika</w:t>
      </w:r>
      <w:r w:rsidRPr="009057DB">
        <w:rPr>
          <w:rFonts w:eastAsia="TimesNewRoman"/>
          <w:sz w:val="22"/>
          <w:szCs w:val="22"/>
        </w:rPr>
        <w:t xml:space="preserve"> koji su primali placebo (N=8,528). Kod </w:t>
      </w:r>
      <w:r w:rsidR="009D019A">
        <w:rPr>
          <w:rFonts w:eastAsia="TimesNewRoman"/>
          <w:sz w:val="22"/>
          <w:szCs w:val="22"/>
        </w:rPr>
        <w:t>ispitanika</w:t>
      </w:r>
      <w:r w:rsidRPr="009057DB">
        <w:rPr>
          <w:rFonts w:eastAsia="TimesNewRoman"/>
          <w:sz w:val="22"/>
          <w:szCs w:val="22"/>
        </w:rPr>
        <w:t xml:space="preserve"> starosti od 18 do 64 godine bilo je 135 (1,0%) slučajeva </w:t>
      </w:r>
      <w:r w:rsidR="009D019A">
        <w:rPr>
          <w:rFonts w:eastAsia="TimesNewRoman"/>
          <w:sz w:val="22"/>
          <w:szCs w:val="22"/>
        </w:rPr>
        <w:t xml:space="preserve">COVID-19 </w:t>
      </w:r>
      <w:r w:rsidRPr="009057DB">
        <w:rPr>
          <w:rFonts w:eastAsia="TimesNewRoman"/>
          <w:sz w:val="22"/>
          <w:szCs w:val="22"/>
        </w:rPr>
        <w:t xml:space="preserve">u grupi koja je primala vakcinu Vaxzevria (N=13,921) naspram 165 (2,5%) slučajeva u grupi koja je primala placebo (N=6,712), što odgovara efikasnosti vakcine od 64,8% ( 95% CI: 55,7, 71,9). Kod </w:t>
      </w:r>
      <w:r w:rsidR="009D019A">
        <w:rPr>
          <w:rFonts w:eastAsia="TimesNewRoman"/>
          <w:sz w:val="22"/>
          <w:szCs w:val="22"/>
        </w:rPr>
        <w:t>ispitanika</w:t>
      </w:r>
      <w:r w:rsidRPr="009057DB">
        <w:rPr>
          <w:rFonts w:eastAsia="TimesNewRoman"/>
          <w:sz w:val="22"/>
          <w:szCs w:val="22"/>
        </w:rPr>
        <w:t xml:space="preserve"> starijih od 65 godina efikasnost vakcine bila je 86,3% (95% CI: 65,8, 94,6) sa 6 (0,2%) slučajeva </w:t>
      </w:r>
      <w:r w:rsidR="009D019A">
        <w:rPr>
          <w:rFonts w:eastAsia="TimesNewRoman"/>
          <w:sz w:val="22"/>
          <w:szCs w:val="22"/>
        </w:rPr>
        <w:t xml:space="preserve">COVID-19 </w:t>
      </w:r>
      <w:r w:rsidRPr="009057DB">
        <w:rPr>
          <w:rFonts w:eastAsia="TimesNewRoman"/>
          <w:sz w:val="22"/>
          <w:szCs w:val="22"/>
        </w:rPr>
        <w:t xml:space="preserve">u grupi </w:t>
      </w:r>
      <w:r w:rsidR="00CB1F02">
        <w:rPr>
          <w:rFonts w:eastAsia="TimesNewRoman"/>
          <w:sz w:val="22"/>
          <w:szCs w:val="22"/>
        </w:rPr>
        <w:t xml:space="preserve">koja je primala vakcinu </w:t>
      </w:r>
      <w:r w:rsidRPr="009057DB">
        <w:rPr>
          <w:rFonts w:eastAsia="TimesNewRoman"/>
          <w:sz w:val="22"/>
          <w:szCs w:val="22"/>
        </w:rPr>
        <w:t>Vaxzevria (N=3,696) naspram 19 (1,1%) slučajeva u grupi koja je primala placebo (N= 1,816).</w:t>
      </w:r>
    </w:p>
    <w:p w14:paraId="60D59F4D" w14:textId="77777777" w:rsidR="004044B8" w:rsidRPr="009057DB" w:rsidRDefault="004044B8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537B9487" w14:textId="40531C53" w:rsidR="009F6564" w:rsidRPr="009057DB" w:rsidRDefault="009F6564" w:rsidP="00376088">
      <w:pPr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  <w:r w:rsidRPr="009057DB">
        <w:rPr>
          <w:i/>
          <w:iCs/>
          <w:sz w:val="22"/>
          <w:szCs w:val="22"/>
          <w:lang w:val="sr-Latn-ME"/>
        </w:rPr>
        <w:t>Analiza objedinjenih podataka iz COV002 i COV003</w:t>
      </w:r>
    </w:p>
    <w:p w14:paraId="4F7262BC" w14:textId="77777777" w:rsidR="0012225F" w:rsidRPr="009057DB" w:rsidRDefault="0012225F" w:rsidP="00376088">
      <w:pPr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</w:p>
    <w:p w14:paraId="46FDDD39" w14:textId="44D38E77" w:rsidR="009F6564" w:rsidRPr="009057DB" w:rsidRDefault="009F6564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lastRenderedPageBreak/>
        <w:t xml:space="preserve">Klinička efikasnost vakcine </w:t>
      </w:r>
      <w:r w:rsidR="005F2E5E" w:rsidRPr="009057DB">
        <w:rPr>
          <w:color w:val="000000"/>
          <w:sz w:val="22"/>
          <w:szCs w:val="22"/>
          <w:shd w:val="clear" w:color="auto" w:fill="FFFFFF"/>
          <w:lang w:val="sr-Latn-ME"/>
        </w:rPr>
        <w:t>Vaxzevria</w:t>
      </w:r>
      <w:r w:rsidR="008448EC" w:rsidRPr="009057DB">
        <w:rPr>
          <w:color w:val="000000"/>
          <w:sz w:val="22"/>
          <w:szCs w:val="22"/>
          <w:shd w:val="clear" w:color="auto" w:fill="FFFFFF"/>
          <w:lang w:val="sr-Latn-ME"/>
        </w:rPr>
        <w:t xml:space="preserve"> </w:t>
      </w:r>
      <w:r w:rsidRPr="009057DB">
        <w:rPr>
          <w:sz w:val="22"/>
          <w:szCs w:val="22"/>
          <w:lang w:val="sr-Latn-ME"/>
        </w:rPr>
        <w:t>ispitana je na osnovu analize objedinjenih podataka iz dv</w:t>
      </w:r>
      <w:r w:rsidR="00591908" w:rsidRPr="009057DB">
        <w:rPr>
          <w:sz w:val="22"/>
          <w:szCs w:val="22"/>
          <w:lang w:val="sr-Latn-ME"/>
        </w:rPr>
        <w:t>ij</w:t>
      </w:r>
      <w:r w:rsidRPr="009057DB">
        <w:rPr>
          <w:sz w:val="22"/>
          <w:szCs w:val="22"/>
          <w:lang w:val="sr-Latn-ME"/>
        </w:rPr>
        <w:t>e randomizovane, sl</w:t>
      </w:r>
      <w:r w:rsidR="00591908" w:rsidRPr="009057DB">
        <w:rPr>
          <w:sz w:val="22"/>
          <w:szCs w:val="22"/>
          <w:lang w:val="sr-Latn-ME"/>
        </w:rPr>
        <w:t>ij</w:t>
      </w:r>
      <w:r w:rsidRPr="009057DB">
        <w:rPr>
          <w:sz w:val="22"/>
          <w:szCs w:val="22"/>
          <w:lang w:val="sr-Latn-ME"/>
        </w:rPr>
        <w:t xml:space="preserve">epe, kontrolisane studije koje su </w:t>
      </w:r>
      <w:r w:rsidR="00557186" w:rsidRPr="009057DB">
        <w:rPr>
          <w:sz w:val="22"/>
          <w:szCs w:val="22"/>
          <w:lang w:val="sr-Latn-ME"/>
        </w:rPr>
        <w:t xml:space="preserve">još </w:t>
      </w:r>
      <w:r w:rsidRPr="009057DB">
        <w:rPr>
          <w:sz w:val="22"/>
          <w:szCs w:val="22"/>
          <w:lang w:val="sr-Latn-ME"/>
        </w:rPr>
        <w:t xml:space="preserve">u toku: faza II/III studije, </w:t>
      </w:r>
      <w:r w:rsidR="00C06EF9" w:rsidRPr="009057DB">
        <w:rPr>
          <w:sz w:val="22"/>
          <w:szCs w:val="22"/>
          <w:lang w:val="sr-Latn-ME"/>
        </w:rPr>
        <w:t xml:space="preserve">pod imenom </w:t>
      </w:r>
      <w:r w:rsidRPr="009057DB">
        <w:rPr>
          <w:sz w:val="22"/>
          <w:szCs w:val="22"/>
          <w:lang w:val="sr-Latn-ME"/>
        </w:rPr>
        <w:t xml:space="preserve">COV002, kod odraslih </w:t>
      </w:r>
      <w:r w:rsidR="00A832FD" w:rsidRPr="009057DB">
        <w:rPr>
          <w:sz w:val="22"/>
          <w:szCs w:val="22"/>
          <w:lang w:val="sr-Latn-ME"/>
        </w:rPr>
        <w:t xml:space="preserve">osoba </w:t>
      </w:r>
      <w:r w:rsidRPr="009057DB">
        <w:rPr>
          <w:sz w:val="22"/>
          <w:szCs w:val="22"/>
          <w:lang w:val="sr-Latn-ME"/>
        </w:rPr>
        <w:t xml:space="preserve">≥ 18 godina (uključujući </w:t>
      </w:r>
      <w:r w:rsidR="00B57B45" w:rsidRPr="009057DB">
        <w:rPr>
          <w:sz w:val="22"/>
          <w:szCs w:val="22"/>
          <w:lang w:val="sr-Latn-ME"/>
        </w:rPr>
        <w:t xml:space="preserve">i </w:t>
      </w:r>
      <w:r w:rsidRPr="009057DB">
        <w:rPr>
          <w:sz w:val="22"/>
          <w:szCs w:val="22"/>
          <w:lang w:val="sr-Latn-ME"/>
        </w:rPr>
        <w:t>starije</w:t>
      </w:r>
      <w:r w:rsidR="00B57B45" w:rsidRPr="009057DB">
        <w:rPr>
          <w:sz w:val="22"/>
          <w:szCs w:val="22"/>
          <w:lang w:val="sr-Latn-ME"/>
        </w:rPr>
        <w:t xml:space="preserve"> osobe</w:t>
      </w:r>
      <w:r w:rsidRPr="009057DB">
        <w:rPr>
          <w:sz w:val="22"/>
          <w:szCs w:val="22"/>
          <w:lang w:val="sr-Latn-ME"/>
        </w:rPr>
        <w:t>) u Ujedinjenom Kraljevst</w:t>
      </w:r>
      <w:r w:rsidR="00E75F08" w:rsidRPr="009057DB">
        <w:rPr>
          <w:sz w:val="22"/>
          <w:szCs w:val="22"/>
          <w:lang w:val="sr-Latn-ME"/>
        </w:rPr>
        <w:t>v</w:t>
      </w:r>
      <w:r w:rsidRPr="009057DB">
        <w:rPr>
          <w:sz w:val="22"/>
          <w:szCs w:val="22"/>
          <w:lang w:val="sr-Latn-ME"/>
        </w:rPr>
        <w:t>u; i III faze studije COV003, kod odraslih ≥ 18 godina (uključujući starije) u Brazilu. U studije ni</w:t>
      </w:r>
      <w:r w:rsidR="0083074E" w:rsidRPr="009057DB">
        <w:rPr>
          <w:sz w:val="22"/>
          <w:szCs w:val="22"/>
          <w:lang w:val="sr-Latn-ME"/>
        </w:rPr>
        <w:t>je</w:t>
      </w:r>
      <w:r w:rsidRPr="009057DB">
        <w:rPr>
          <w:sz w:val="22"/>
          <w:szCs w:val="22"/>
          <w:lang w:val="sr-Latn-ME"/>
        </w:rPr>
        <w:t xml:space="preserve">su </w:t>
      </w:r>
      <w:r w:rsidR="00E134FB" w:rsidRPr="009057DB">
        <w:rPr>
          <w:sz w:val="22"/>
          <w:szCs w:val="22"/>
          <w:lang w:val="sr-Latn-ME"/>
        </w:rPr>
        <w:t xml:space="preserve">mogle </w:t>
      </w:r>
      <w:r w:rsidRPr="009057DB">
        <w:rPr>
          <w:sz w:val="22"/>
          <w:szCs w:val="22"/>
          <w:lang w:val="sr-Latn-ME"/>
        </w:rPr>
        <w:t>bi</w:t>
      </w:r>
      <w:r w:rsidR="00E134FB" w:rsidRPr="009057DB">
        <w:rPr>
          <w:sz w:val="22"/>
          <w:szCs w:val="22"/>
          <w:lang w:val="sr-Latn-ME"/>
        </w:rPr>
        <w:t>ti</w:t>
      </w:r>
      <w:r w:rsidRPr="009057DB">
        <w:rPr>
          <w:sz w:val="22"/>
          <w:szCs w:val="22"/>
          <w:lang w:val="sr-Latn-ME"/>
        </w:rPr>
        <w:t xml:space="preserve"> uključene osobe sa ozbiljnom i/ili nekontrolisanom kardiovaskularnom, gastrointestinalnom, bole</w:t>
      </w:r>
      <w:r w:rsidR="00E75F08" w:rsidRPr="009057DB">
        <w:rPr>
          <w:sz w:val="22"/>
          <w:szCs w:val="22"/>
          <w:lang w:val="sr-Latn-ME"/>
        </w:rPr>
        <w:t>šću</w:t>
      </w:r>
      <w:r w:rsidRPr="009057DB">
        <w:rPr>
          <w:sz w:val="22"/>
          <w:szCs w:val="22"/>
          <w:lang w:val="sr-Latn-ME"/>
        </w:rPr>
        <w:t xml:space="preserve"> jetre, renalnom, endokrinom/metaboličkom bolešću,</w:t>
      </w:r>
      <w:r w:rsidR="00926D81" w:rsidRPr="009057DB">
        <w:rPr>
          <w:sz w:val="22"/>
          <w:szCs w:val="22"/>
          <w:lang w:val="sr-Latn-ME"/>
        </w:rPr>
        <w:t xml:space="preserve"> kao</w:t>
      </w:r>
      <w:r w:rsidRPr="009057DB">
        <w:rPr>
          <w:sz w:val="22"/>
          <w:szCs w:val="22"/>
          <w:lang w:val="sr-Latn-ME"/>
        </w:rPr>
        <w:t xml:space="preserve"> i neurološk</w:t>
      </w:r>
      <w:r w:rsidR="00926D81" w:rsidRPr="009057DB">
        <w:rPr>
          <w:sz w:val="22"/>
          <w:szCs w:val="22"/>
          <w:lang w:val="sr-Latn-ME"/>
        </w:rPr>
        <w:t>im</w:t>
      </w:r>
      <w:r w:rsidRPr="009057DB">
        <w:rPr>
          <w:sz w:val="22"/>
          <w:szCs w:val="22"/>
          <w:lang w:val="sr-Latn-ME"/>
        </w:rPr>
        <w:t xml:space="preserve"> bolesti</w:t>
      </w:r>
      <w:r w:rsidR="00926D81" w:rsidRPr="009057DB">
        <w:rPr>
          <w:sz w:val="22"/>
          <w:szCs w:val="22"/>
          <w:lang w:val="sr-Latn-ME"/>
        </w:rPr>
        <w:t>ma</w:t>
      </w:r>
      <w:r w:rsidRPr="009057DB">
        <w:rPr>
          <w:sz w:val="22"/>
          <w:szCs w:val="22"/>
          <w:lang w:val="sr-Latn-ME"/>
        </w:rPr>
        <w:t xml:space="preserve">; kao </w:t>
      </w:r>
      <w:r w:rsidR="00A43C70" w:rsidRPr="009057DB">
        <w:rPr>
          <w:sz w:val="22"/>
          <w:szCs w:val="22"/>
          <w:lang w:val="sr-Latn-ME"/>
        </w:rPr>
        <w:t>n</w:t>
      </w:r>
      <w:r w:rsidRPr="009057DB">
        <w:rPr>
          <w:sz w:val="22"/>
          <w:szCs w:val="22"/>
          <w:lang w:val="sr-Latn-ME"/>
        </w:rPr>
        <w:t xml:space="preserve">i oni sa </w:t>
      </w:r>
      <w:r w:rsidR="00E75F08" w:rsidRPr="009057DB">
        <w:rPr>
          <w:sz w:val="22"/>
          <w:szCs w:val="22"/>
          <w:lang w:val="sr-Latn-ME"/>
        </w:rPr>
        <w:t>teškom imunosupresijom</w:t>
      </w:r>
      <w:r w:rsidRPr="009057DB">
        <w:rPr>
          <w:sz w:val="22"/>
          <w:szCs w:val="22"/>
          <w:lang w:val="sr-Latn-ME"/>
        </w:rPr>
        <w:t>, trudn</w:t>
      </w:r>
      <w:r w:rsidR="0018483D" w:rsidRPr="009057DB">
        <w:rPr>
          <w:sz w:val="22"/>
          <w:szCs w:val="22"/>
          <w:lang w:val="sr-Latn-ME"/>
        </w:rPr>
        <w:t>ice</w:t>
      </w:r>
      <w:r w:rsidR="00E75F08" w:rsidRPr="009057DB">
        <w:rPr>
          <w:sz w:val="22"/>
          <w:szCs w:val="22"/>
          <w:lang w:val="sr-Latn-ME"/>
        </w:rPr>
        <w:t xml:space="preserve"> </w:t>
      </w:r>
      <w:r w:rsidRPr="009057DB">
        <w:rPr>
          <w:sz w:val="22"/>
          <w:szCs w:val="22"/>
          <w:lang w:val="sr-Latn-ME"/>
        </w:rPr>
        <w:t>i ispitanici sa poznatom infekcij</w:t>
      </w:r>
      <w:r w:rsidR="00501F81" w:rsidRPr="009057DB">
        <w:rPr>
          <w:sz w:val="22"/>
          <w:szCs w:val="22"/>
          <w:lang w:val="sr-Latn-ME"/>
        </w:rPr>
        <w:t>om</w:t>
      </w:r>
      <w:r w:rsidRPr="009057DB">
        <w:rPr>
          <w:sz w:val="22"/>
          <w:szCs w:val="22"/>
          <w:lang w:val="sr-Latn-ME"/>
        </w:rPr>
        <w:t xml:space="preserve"> SARS</w:t>
      </w:r>
      <w:r w:rsidRPr="009057DB">
        <w:rPr>
          <w:sz w:val="22"/>
          <w:szCs w:val="22"/>
          <w:lang w:val="sr-Latn-ME"/>
        </w:rPr>
        <w:noBreakHyphen/>
        <w:t>CoV</w:t>
      </w:r>
      <w:r w:rsidRPr="009057DB">
        <w:rPr>
          <w:sz w:val="22"/>
          <w:szCs w:val="22"/>
          <w:lang w:val="sr-Latn-ME"/>
        </w:rPr>
        <w:noBreakHyphen/>
        <w:t>2</w:t>
      </w:r>
      <w:r w:rsidR="00501F81" w:rsidRPr="009057DB">
        <w:rPr>
          <w:sz w:val="22"/>
          <w:szCs w:val="22"/>
          <w:lang w:val="sr-Latn-ME"/>
        </w:rPr>
        <w:t xml:space="preserve"> u anamnezi</w:t>
      </w:r>
      <w:r w:rsidRPr="009057DB">
        <w:rPr>
          <w:sz w:val="22"/>
          <w:szCs w:val="22"/>
          <w:lang w:val="sr-Latn-ME"/>
        </w:rPr>
        <w:t>. Vakcin</w:t>
      </w:r>
      <w:r w:rsidR="00E75F08" w:rsidRPr="009057DB">
        <w:rPr>
          <w:sz w:val="22"/>
          <w:szCs w:val="22"/>
          <w:lang w:val="sr-Latn-ME"/>
        </w:rPr>
        <w:t>e</w:t>
      </w:r>
      <w:r w:rsidRPr="009057DB">
        <w:rPr>
          <w:sz w:val="22"/>
          <w:szCs w:val="22"/>
          <w:lang w:val="sr-Latn-ME"/>
        </w:rPr>
        <w:t xml:space="preserve"> </w:t>
      </w:r>
      <w:r w:rsidR="005B4670" w:rsidRPr="009057DB">
        <w:rPr>
          <w:sz w:val="22"/>
          <w:szCs w:val="22"/>
          <w:lang w:val="sr-Latn-ME"/>
        </w:rPr>
        <w:t xml:space="preserve">protiv gripa </w:t>
      </w:r>
      <w:r w:rsidR="006B1C24" w:rsidRPr="009057DB">
        <w:rPr>
          <w:sz w:val="22"/>
          <w:szCs w:val="22"/>
          <w:lang w:val="sr-Latn-ME"/>
        </w:rPr>
        <w:t>mogl</w:t>
      </w:r>
      <w:r w:rsidR="00E75F08" w:rsidRPr="009057DB">
        <w:rPr>
          <w:sz w:val="22"/>
          <w:szCs w:val="22"/>
          <w:lang w:val="sr-Latn-ME"/>
        </w:rPr>
        <w:t>e su da s</w:t>
      </w:r>
      <w:r w:rsidRPr="009057DB">
        <w:rPr>
          <w:sz w:val="22"/>
          <w:szCs w:val="22"/>
          <w:lang w:val="sr-Latn-ME"/>
        </w:rPr>
        <w:t>e prim</w:t>
      </w:r>
      <w:r w:rsidR="00E75F08" w:rsidRPr="009057DB">
        <w:rPr>
          <w:sz w:val="22"/>
          <w:szCs w:val="22"/>
          <w:lang w:val="sr-Latn-ME"/>
        </w:rPr>
        <w:t>i</w:t>
      </w:r>
      <w:r w:rsidR="000451EB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>en</w:t>
      </w:r>
      <w:r w:rsidR="00E75F08" w:rsidRPr="009057DB">
        <w:rPr>
          <w:sz w:val="22"/>
          <w:szCs w:val="22"/>
          <w:lang w:val="sr-Latn-ME"/>
        </w:rPr>
        <w:t>e</w:t>
      </w:r>
      <w:r w:rsidRPr="009057DB">
        <w:rPr>
          <w:sz w:val="22"/>
          <w:szCs w:val="22"/>
          <w:lang w:val="sr-Latn-ME"/>
        </w:rPr>
        <w:t xml:space="preserve"> 7 dana pr</w:t>
      </w:r>
      <w:r w:rsidR="000451EB" w:rsidRPr="009057DB">
        <w:rPr>
          <w:sz w:val="22"/>
          <w:szCs w:val="22"/>
          <w:lang w:val="sr-Latn-ME"/>
        </w:rPr>
        <w:t>ij</w:t>
      </w:r>
      <w:r w:rsidRPr="009057DB">
        <w:rPr>
          <w:sz w:val="22"/>
          <w:szCs w:val="22"/>
          <w:lang w:val="sr-Latn-ME"/>
        </w:rPr>
        <w:t>e ili nakon bilo koje doze vakcine</w:t>
      </w:r>
      <w:r w:rsidR="008448EC" w:rsidRPr="009057DB">
        <w:rPr>
          <w:sz w:val="22"/>
          <w:szCs w:val="22"/>
          <w:lang w:val="sr-Latn-ME"/>
        </w:rPr>
        <w:t xml:space="preserve"> </w:t>
      </w:r>
      <w:r w:rsidR="005F2E5E" w:rsidRPr="009057DB">
        <w:rPr>
          <w:color w:val="000000"/>
          <w:sz w:val="22"/>
          <w:szCs w:val="22"/>
          <w:shd w:val="clear" w:color="auto" w:fill="FFFFFF"/>
          <w:lang w:val="sr-Latn-ME"/>
        </w:rPr>
        <w:t>Vaxzevria</w:t>
      </w:r>
      <w:r w:rsidR="005F2E5E" w:rsidRPr="009057DB">
        <w:rPr>
          <w:sz w:val="22"/>
          <w:szCs w:val="22"/>
          <w:lang w:val="sr-Latn-ME"/>
        </w:rPr>
        <w:t>.</w:t>
      </w:r>
      <w:r w:rsidRPr="009057DB">
        <w:rPr>
          <w:sz w:val="22"/>
          <w:szCs w:val="22"/>
          <w:lang w:val="sr-Latn-ME"/>
        </w:rPr>
        <w:t xml:space="preserve"> Planirano je da svi ispitanici budu praćeni do 12 m</w:t>
      </w:r>
      <w:r w:rsidR="000451EB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>eseci, za proc</w:t>
      </w:r>
      <w:r w:rsidR="000451EB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>enu bezb</w:t>
      </w:r>
      <w:r w:rsidR="000451EB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 xml:space="preserve">ednosti i efikasnosti protiv </w:t>
      </w:r>
      <w:r w:rsidR="00AC6CC0" w:rsidRPr="009057DB">
        <w:rPr>
          <w:sz w:val="22"/>
          <w:szCs w:val="22"/>
          <w:lang w:val="sr-Latn-ME"/>
        </w:rPr>
        <w:t xml:space="preserve">bolesti </w:t>
      </w:r>
      <w:r w:rsidRPr="009057DB">
        <w:rPr>
          <w:sz w:val="22"/>
          <w:szCs w:val="22"/>
          <w:lang w:val="sr-Latn-ME"/>
        </w:rPr>
        <w:t>COVID-19.</w:t>
      </w:r>
    </w:p>
    <w:p w14:paraId="141CB245" w14:textId="77777777" w:rsidR="009F6564" w:rsidRPr="009057DB" w:rsidRDefault="009F6564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BEFBD63" w14:textId="01F6729D" w:rsidR="009F6564" w:rsidRPr="009057DB" w:rsidRDefault="009F6564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U objedinjen</w:t>
      </w:r>
      <w:r w:rsidR="00661B94" w:rsidRPr="009057DB">
        <w:rPr>
          <w:sz w:val="22"/>
          <w:szCs w:val="22"/>
          <w:lang w:val="sr-Latn-ME"/>
        </w:rPr>
        <w:t>oj</w:t>
      </w:r>
      <w:r w:rsidRPr="009057DB">
        <w:rPr>
          <w:sz w:val="22"/>
          <w:szCs w:val="22"/>
          <w:lang w:val="sr-Latn-ME"/>
        </w:rPr>
        <w:t xml:space="preserve"> analiz</w:t>
      </w:r>
      <w:r w:rsidR="00661B94" w:rsidRPr="009057DB">
        <w:rPr>
          <w:sz w:val="22"/>
          <w:szCs w:val="22"/>
          <w:lang w:val="sr-Latn-ME"/>
        </w:rPr>
        <w:t>i</w:t>
      </w:r>
      <w:r w:rsidRPr="009057DB">
        <w:rPr>
          <w:sz w:val="22"/>
          <w:szCs w:val="22"/>
          <w:lang w:val="sr-Latn-ME"/>
        </w:rPr>
        <w:t xml:space="preserve"> za proc</w:t>
      </w:r>
      <w:r w:rsidR="009A5B51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 xml:space="preserve">enu efikasnosti, ispitanici </w:t>
      </w:r>
      <w:r w:rsidR="00030FA1" w:rsidRPr="009057DB">
        <w:rPr>
          <w:sz w:val="22"/>
          <w:szCs w:val="22"/>
          <w:lang w:val="sr-Latn-ME"/>
        </w:rPr>
        <w:t xml:space="preserve">starosti </w:t>
      </w:r>
      <w:r w:rsidRPr="009057DB">
        <w:rPr>
          <w:sz w:val="22"/>
          <w:szCs w:val="22"/>
          <w:lang w:val="sr-Latn-ME"/>
        </w:rPr>
        <w:t>≥ 18 godina primili su dv</w:t>
      </w:r>
      <w:r w:rsidR="009A5B51" w:rsidRPr="009057DB">
        <w:rPr>
          <w:sz w:val="22"/>
          <w:szCs w:val="22"/>
          <w:lang w:val="sr-Latn-ME"/>
        </w:rPr>
        <w:t>ij</w:t>
      </w:r>
      <w:r w:rsidRPr="009057DB">
        <w:rPr>
          <w:sz w:val="22"/>
          <w:szCs w:val="22"/>
          <w:lang w:val="sr-Latn-ME"/>
        </w:rPr>
        <w:t>e doze (5 </w:t>
      </w:r>
      <w:r w:rsidRPr="009057DB">
        <w:rPr>
          <w:noProof/>
          <w:sz w:val="22"/>
          <w:szCs w:val="22"/>
          <w:lang w:val="sr-Latn-ME"/>
        </w:rPr>
        <w:t>× 10</w:t>
      </w:r>
      <w:r w:rsidRPr="009057DB">
        <w:rPr>
          <w:noProof/>
          <w:sz w:val="22"/>
          <w:szCs w:val="22"/>
          <w:vertAlign w:val="superscript"/>
          <w:lang w:val="sr-Latn-ME"/>
        </w:rPr>
        <w:t>10</w:t>
      </w:r>
      <w:r w:rsidRPr="009057DB">
        <w:rPr>
          <w:noProof/>
          <w:sz w:val="22"/>
          <w:szCs w:val="22"/>
          <w:lang w:val="sr-Latn-ME"/>
        </w:rPr>
        <w:t xml:space="preserve"> virusnih čestica po dozi </w:t>
      </w:r>
      <w:r w:rsidR="00A43C70" w:rsidRPr="009057DB">
        <w:rPr>
          <w:noProof/>
          <w:sz w:val="22"/>
          <w:szCs w:val="22"/>
          <w:lang w:val="sr-Latn-ME"/>
        </w:rPr>
        <w:t>što</w:t>
      </w:r>
      <w:r w:rsidRPr="009057DB">
        <w:rPr>
          <w:noProof/>
          <w:sz w:val="22"/>
          <w:szCs w:val="22"/>
          <w:lang w:val="sr-Latn-ME"/>
        </w:rPr>
        <w:t xml:space="preserve"> odgovara n</w:t>
      </w:r>
      <w:r w:rsidR="00EC10F8" w:rsidRPr="009057DB">
        <w:rPr>
          <w:noProof/>
          <w:sz w:val="22"/>
          <w:szCs w:val="22"/>
          <w:lang w:val="sr-Latn-ME"/>
        </w:rPr>
        <w:t>aj</w:t>
      </w:r>
      <w:r w:rsidRPr="009057DB">
        <w:rPr>
          <w:noProof/>
          <w:sz w:val="22"/>
          <w:szCs w:val="22"/>
          <w:lang w:val="sr-Latn-ME"/>
        </w:rPr>
        <w:t>manje 2.5 × 10</w:t>
      </w:r>
      <w:r w:rsidRPr="009057DB">
        <w:rPr>
          <w:noProof/>
          <w:sz w:val="22"/>
          <w:szCs w:val="22"/>
          <w:vertAlign w:val="superscript"/>
          <w:lang w:val="sr-Latn-ME"/>
        </w:rPr>
        <w:t>8</w:t>
      </w:r>
      <w:r w:rsidRPr="009057DB">
        <w:rPr>
          <w:noProof/>
          <w:sz w:val="22"/>
          <w:szCs w:val="22"/>
          <w:lang w:val="sr-Latn-ME"/>
        </w:rPr>
        <w:t xml:space="preserve"> infektivnih jedinica) </w:t>
      </w:r>
      <w:r w:rsidRPr="009057DB">
        <w:rPr>
          <w:sz w:val="22"/>
          <w:szCs w:val="22"/>
          <w:lang w:val="sr-Latn-ME"/>
        </w:rPr>
        <w:t>vakcin</w:t>
      </w:r>
      <w:r w:rsidR="00FD0FFE" w:rsidRPr="009057DB">
        <w:rPr>
          <w:sz w:val="22"/>
          <w:szCs w:val="22"/>
          <w:lang w:val="sr-Latn-ME"/>
        </w:rPr>
        <w:t>e</w:t>
      </w:r>
      <w:r w:rsidRPr="009057DB">
        <w:rPr>
          <w:sz w:val="22"/>
          <w:szCs w:val="22"/>
          <w:lang w:val="sr-Latn-ME"/>
        </w:rPr>
        <w:t xml:space="preserve"> </w:t>
      </w:r>
      <w:r w:rsidR="006524FA">
        <w:rPr>
          <w:sz w:val="22"/>
          <w:szCs w:val="22"/>
          <w:lang w:val="sr-Latn-ME"/>
        </w:rPr>
        <w:t>Vaxzevria</w:t>
      </w:r>
      <w:r w:rsidR="007831AA">
        <w:rPr>
          <w:sz w:val="22"/>
          <w:szCs w:val="22"/>
          <w:lang w:val="sr-Latn-ME"/>
        </w:rPr>
        <w:t xml:space="preserve"> </w:t>
      </w:r>
      <w:r w:rsidRPr="009057DB">
        <w:rPr>
          <w:sz w:val="22"/>
          <w:szCs w:val="22"/>
          <w:lang w:val="sr-Latn-ME"/>
        </w:rPr>
        <w:t>(N=6106) ili kontrol</w:t>
      </w:r>
      <w:r w:rsidR="00072AFB" w:rsidRPr="009057DB">
        <w:rPr>
          <w:sz w:val="22"/>
          <w:szCs w:val="22"/>
          <w:lang w:val="sr-Latn-ME"/>
        </w:rPr>
        <w:t>ne vakcine</w:t>
      </w:r>
      <w:r w:rsidRPr="009057DB">
        <w:rPr>
          <w:sz w:val="22"/>
          <w:szCs w:val="22"/>
          <w:lang w:val="sr-Latn-ME"/>
        </w:rPr>
        <w:t xml:space="preserve"> (meningok</w:t>
      </w:r>
      <w:r w:rsidR="00DB659C" w:rsidRPr="009057DB">
        <w:rPr>
          <w:sz w:val="22"/>
          <w:szCs w:val="22"/>
          <w:lang w:val="sr-Latn-ME"/>
        </w:rPr>
        <w:t>ok</w:t>
      </w:r>
      <w:r w:rsidRPr="009057DB">
        <w:rPr>
          <w:sz w:val="22"/>
          <w:szCs w:val="22"/>
          <w:lang w:val="sr-Latn-ME"/>
        </w:rPr>
        <w:t>n</w:t>
      </w:r>
      <w:r w:rsidR="00152D4F" w:rsidRPr="009057DB">
        <w:rPr>
          <w:sz w:val="22"/>
          <w:szCs w:val="22"/>
          <w:lang w:val="sr-Latn-ME"/>
        </w:rPr>
        <w:t>e</w:t>
      </w:r>
      <w:r w:rsidRPr="009057DB">
        <w:rPr>
          <w:sz w:val="22"/>
          <w:szCs w:val="22"/>
          <w:lang w:val="sr-Latn-ME"/>
        </w:rPr>
        <w:t xml:space="preserve"> vakcin</w:t>
      </w:r>
      <w:r w:rsidR="00152D4F" w:rsidRPr="009057DB">
        <w:rPr>
          <w:sz w:val="22"/>
          <w:szCs w:val="22"/>
          <w:lang w:val="sr-Latn-ME"/>
        </w:rPr>
        <w:t>e</w:t>
      </w:r>
      <w:r w:rsidRPr="009057DB">
        <w:rPr>
          <w:sz w:val="22"/>
          <w:szCs w:val="22"/>
          <w:lang w:val="sr-Latn-ME"/>
        </w:rPr>
        <w:t xml:space="preserve"> ili fiziološk</w:t>
      </w:r>
      <w:r w:rsidR="00152D4F" w:rsidRPr="009057DB">
        <w:rPr>
          <w:sz w:val="22"/>
          <w:szCs w:val="22"/>
          <w:lang w:val="sr-Latn-ME"/>
        </w:rPr>
        <w:t>og</w:t>
      </w:r>
      <w:r w:rsidRPr="009057DB">
        <w:rPr>
          <w:sz w:val="22"/>
          <w:szCs w:val="22"/>
          <w:lang w:val="sr-Latn-ME"/>
        </w:rPr>
        <w:t xml:space="preserve"> rastvor</w:t>
      </w:r>
      <w:r w:rsidR="00152D4F" w:rsidRPr="009057DB">
        <w:rPr>
          <w:sz w:val="22"/>
          <w:szCs w:val="22"/>
          <w:lang w:val="sr-Latn-ME"/>
        </w:rPr>
        <w:t>a</w:t>
      </w:r>
      <w:r w:rsidRPr="009057DB">
        <w:rPr>
          <w:sz w:val="22"/>
          <w:szCs w:val="22"/>
          <w:lang w:val="sr-Latn-ME"/>
        </w:rPr>
        <w:t>) (N=6090)</w:t>
      </w:r>
      <w:r w:rsidR="00924DFF" w:rsidRPr="009057DB">
        <w:rPr>
          <w:sz w:val="22"/>
          <w:szCs w:val="22"/>
          <w:lang w:val="sr-Latn-ME"/>
        </w:rPr>
        <w:t xml:space="preserve"> prim</w:t>
      </w:r>
      <w:r w:rsidR="00A43C70" w:rsidRPr="009057DB">
        <w:rPr>
          <w:sz w:val="22"/>
          <w:szCs w:val="22"/>
          <w:lang w:val="sr-Latn-ME"/>
        </w:rPr>
        <w:t>i</w:t>
      </w:r>
      <w:r w:rsidR="00924DFF" w:rsidRPr="009057DB">
        <w:rPr>
          <w:sz w:val="22"/>
          <w:szCs w:val="22"/>
          <w:lang w:val="sr-Latn-ME"/>
        </w:rPr>
        <w:t>jenjene i.m. injekcijom</w:t>
      </w:r>
      <w:r w:rsidRPr="009057DB">
        <w:rPr>
          <w:sz w:val="22"/>
          <w:szCs w:val="22"/>
          <w:lang w:val="sr-Latn-ME"/>
        </w:rPr>
        <w:t xml:space="preserve">. </w:t>
      </w:r>
    </w:p>
    <w:p w14:paraId="27413AE9" w14:textId="77777777" w:rsidR="009F6564" w:rsidRPr="009057DB" w:rsidRDefault="009F6564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C7DBC1D" w14:textId="66978F3B" w:rsidR="009F6564" w:rsidRPr="009057DB" w:rsidRDefault="009F6564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 xml:space="preserve">Zbog logističkih ograničenja, interval između </w:t>
      </w:r>
      <w:r w:rsidR="00FD6E53" w:rsidRPr="009057DB">
        <w:rPr>
          <w:sz w:val="22"/>
          <w:szCs w:val="22"/>
          <w:lang w:val="sr-Latn-ME"/>
        </w:rPr>
        <w:t xml:space="preserve">primjene </w:t>
      </w:r>
      <w:r w:rsidR="00D75AA1" w:rsidRPr="009057DB">
        <w:rPr>
          <w:sz w:val="22"/>
          <w:szCs w:val="22"/>
          <w:lang w:val="sr-Latn-ME"/>
        </w:rPr>
        <w:t>prve</w:t>
      </w:r>
      <w:r w:rsidRPr="009057DB">
        <w:rPr>
          <w:sz w:val="22"/>
          <w:szCs w:val="22"/>
          <w:lang w:val="sr-Latn-ME"/>
        </w:rPr>
        <w:t xml:space="preserve"> i </w:t>
      </w:r>
      <w:r w:rsidR="00D75AA1" w:rsidRPr="009057DB">
        <w:rPr>
          <w:sz w:val="22"/>
          <w:szCs w:val="22"/>
          <w:lang w:val="sr-Latn-ME"/>
        </w:rPr>
        <w:t>druge</w:t>
      </w:r>
      <w:r w:rsidRPr="009057DB">
        <w:rPr>
          <w:sz w:val="22"/>
          <w:szCs w:val="22"/>
          <w:lang w:val="sr-Latn-ME"/>
        </w:rPr>
        <w:t xml:space="preserve"> doze </w:t>
      </w:r>
      <w:r w:rsidR="00DB659C" w:rsidRPr="009057DB">
        <w:rPr>
          <w:sz w:val="22"/>
          <w:szCs w:val="22"/>
          <w:lang w:val="sr-Latn-ME"/>
        </w:rPr>
        <w:t>kretao se</w:t>
      </w:r>
      <w:r w:rsidRPr="009057DB">
        <w:rPr>
          <w:sz w:val="22"/>
          <w:szCs w:val="22"/>
          <w:lang w:val="sr-Latn-ME"/>
        </w:rPr>
        <w:t xml:space="preserve"> u rasponu od 3 do 23 ned</w:t>
      </w:r>
      <w:r w:rsidR="00060C81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 xml:space="preserve">elje (21 do 159 dana), </w:t>
      </w:r>
      <w:r w:rsidR="009479F4" w:rsidRPr="009057DB">
        <w:rPr>
          <w:sz w:val="22"/>
          <w:szCs w:val="22"/>
          <w:lang w:val="sr-Latn-ME"/>
        </w:rPr>
        <w:t>pri čemu je</w:t>
      </w:r>
      <w:r w:rsidRPr="009057DB">
        <w:rPr>
          <w:sz w:val="22"/>
          <w:szCs w:val="22"/>
          <w:lang w:val="sr-Latn-ME"/>
        </w:rPr>
        <w:t xml:space="preserve"> 86,1% </w:t>
      </w:r>
      <w:r w:rsidR="00CE0A2E" w:rsidRPr="009057DB">
        <w:rPr>
          <w:sz w:val="22"/>
          <w:szCs w:val="22"/>
          <w:lang w:val="sr-Latn-ME"/>
        </w:rPr>
        <w:t xml:space="preserve">ispitanika </w:t>
      </w:r>
      <w:r w:rsidRPr="009057DB">
        <w:rPr>
          <w:sz w:val="22"/>
          <w:szCs w:val="22"/>
          <w:lang w:val="sr-Latn-ME"/>
        </w:rPr>
        <w:t>prim</w:t>
      </w:r>
      <w:r w:rsidR="00755EA4" w:rsidRPr="009057DB">
        <w:rPr>
          <w:sz w:val="22"/>
          <w:szCs w:val="22"/>
          <w:lang w:val="sr-Latn-ME"/>
        </w:rPr>
        <w:t>ilo</w:t>
      </w:r>
      <w:r w:rsidRPr="009057DB">
        <w:rPr>
          <w:sz w:val="22"/>
          <w:szCs w:val="22"/>
          <w:lang w:val="sr-Latn-ME"/>
        </w:rPr>
        <w:t xml:space="preserve"> d</w:t>
      </w:r>
      <w:r w:rsidR="00755EA4" w:rsidRPr="009057DB">
        <w:rPr>
          <w:sz w:val="22"/>
          <w:szCs w:val="22"/>
          <w:lang w:val="sr-Latn-ME"/>
        </w:rPr>
        <w:t>vije</w:t>
      </w:r>
      <w:r w:rsidRPr="009057DB">
        <w:rPr>
          <w:sz w:val="22"/>
          <w:szCs w:val="22"/>
          <w:lang w:val="sr-Latn-ME"/>
        </w:rPr>
        <w:t xml:space="preserve"> doz</w:t>
      </w:r>
      <w:r w:rsidR="00755EA4" w:rsidRPr="009057DB">
        <w:rPr>
          <w:sz w:val="22"/>
          <w:szCs w:val="22"/>
          <w:lang w:val="sr-Latn-ME"/>
        </w:rPr>
        <w:t>e</w:t>
      </w:r>
      <w:r w:rsidRPr="009057DB">
        <w:rPr>
          <w:sz w:val="22"/>
          <w:szCs w:val="22"/>
          <w:lang w:val="sr-Latn-ME"/>
        </w:rPr>
        <w:t xml:space="preserve"> u interval</w:t>
      </w:r>
      <w:r w:rsidR="001370F8" w:rsidRPr="009057DB">
        <w:rPr>
          <w:sz w:val="22"/>
          <w:szCs w:val="22"/>
          <w:lang w:val="sr-Latn-ME"/>
        </w:rPr>
        <w:t>u</w:t>
      </w:r>
      <w:r w:rsidRPr="009057DB">
        <w:rPr>
          <w:sz w:val="22"/>
          <w:szCs w:val="22"/>
          <w:lang w:val="sr-Latn-ME"/>
        </w:rPr>
        <w:t xml:space="preserve"> od 4 do 12 ned</w:t>
      </w:r>
      <w:r w:rsidR="00060C81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 xml:space="preserve">elja (28 </w:t>
      </w:r>
      <w:r w:rsidR="00DB659C" w:rsidRPr="009057DB">
        <w:rPr>
          <w:sz w:val="22"/>
          <w:szCs w:val="22"/>
          <w:lang w:val="sr-Latn-ME"/>
        </w:rPr>
        <w:t xml:space="preserve">do </w:t>
      </w:r>
      <w:r w:rsidRPr="009057DB">
        <w:rPr>
          <w:sz w:val="22"/>
          <w:szCs w:val="22"/>
          <w:lang w:val="sr-Latn-ME"/>
        </w:rPr>
        <w:t xml:space="preserve">84 dana). </w:t>
      </w:r>
    </w:p>
    <w:p w14:paraId="4EA6523E" w14:textId="77777777" w:rsidR="009F6564" w:rsidRPr="009057DB" w:rsidRDefault="009F6564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DADE6B8" w14:textId="5F5EABFE" w:rsidR="009F6564" w:rsidRPr="009057DB" w:rsidRDefault="009F6564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 xml:space="preserve">Osnovne demografske karakteristike bile su </w:t>
      </w:r>
      <w:r w:rsidR="003E3695" w:rsidRPr="009057DB">
        <w:rPr>
          <w:sz w:val="22"/>
          <w:szCs w:val="22"/>
          <w:lang w:val="sr-Latn-ME"/>
        </w:rPr>
        <w:t xml:space="preserve">dobro </w:t>
      </w:r>
      <w:r w:rsidRPr="009057DB">
        <w:rPr>
          <w:sz w:val="22"/>
          <w:szCs w:val="22"/>
          <w:lang w:val="sr-Latn-ME"/>
        </w:rPr>
        <w:t xml:space="preserve">uravnotežene </w:t>
      </w:r>
      <w:r w:rsidR="00F5466A" w:rsidRPr="009057DB">
        <w:rPr>
          <w:sz w:val="22"/>
          <w:szCs w:val="22"/>
          <w:lang w:val="sr-Latn-ME"/>
        </w:rPr>
        <w:t>u</w:t>
      </w:r>
      <w:r w:rsidR="0012388C" w:rsidRPr="009057DB">
        <w:rPr>
          <w:sz w:val="22"/>
          <w:szCs w:val="22"/>
          <w:lang w:val="sr-Latn-ME"/>
        </w:rPr>
        <w:t xml:space="preserve"> </w:t>
      </w:r>
      <w:r w:rsidRPr="009057DB">
        <w:rPr>
          <w:sz w:val="22"/>
          <w:szCs w:val="22"/>
          <w:lang w:val="sr-Latn-ME"/>
        </w:rPr>
        <w:t>grup</w:t>
      </w:r>
      <w:r w:rsidR="00F5466A" w:rsidRPr="009057DB">
        <w:rPr>
          <w:sz w:val="22"/>
          <w:szCs w:val="22"/>
          <w:lang w:val="sr-Latn-ME"/>
        </w:rPr>
        <w:t>ama</w:t>
      </w:r>
      <w:r w:rsidRPr="009057DB">
        <w:rPr>
          <w:sz w:val="22"/>
          <w:szCs w:val="22"/>
          <w:lang w:val="sr-Latn-ME"/>
        </w:rPr>
        <w:t xml:space="preserve"> koj</w:t>
      </w:r>
      <w:r w:rsidR="006C2F72" w:rsidRPr="009057DB">
        <w:rPr>
          <w:sz w:val="22"/>
          <w:szCs w:val="22"/>
          <w:lang w:val="sr-Latn-ME"/>
        </w:rPr>
        <w:t>e</w:t>
      </w:r>
      <w:r w:rsidRPr="009057DB">
        <w:rPr>
          <w:sz w:val="22"/>
          <w:szCs w:val="22"/>
          <w:lang w:val="sr-Latn-ME"/>
        </w:rPr>
        <w:t xml:space="preserve"> </w:t>
      </w:r>
      <w:r w:rsidR="006C2F72" w:rsidRPr="009057DB">
        <w:rPr>
          <w:sz w:val="22"/>
          <w:szCs w:val="22"/>
          <w:lang w:val="sr-Latn-ME"/>
        </w:rPr>
        <w:t>su</w:t>
      </w:r>
      <w:r w:rsidRPr="009057DB">
        <w:rPr>
          <w:sz w:val="22"/>
          <w:szCs w:val="22"/>
          <w:lang w:val="sr-Latn-ME"/>
        </w:rPr>
        <w:t xml:space="preserve"> prim</w:t>
      </w:r>
      <w:r w:rsidR="006C2F72" w:rsidRPr="009057DB">
        <w:rPr>
          <w:sz w:val="22"/>
          <w:szCs w:val="22"/>
          <w:lang w:val="sr-Latn-ME"/>
        </w:rPr>
        <w:t>ile</w:t>
      </w:r>
      <w:r w:rsidRPr="009057DB">
        <w:rPr>
          <w:sz w:val="22"/>
          <w:szCs w:val="22"/>
          <w:lang w:val="sr-Latn-ME"/>
        </w:rPr>
        <w:t xml:space="preserve"> vakcinu </w:t>
      </w:r>
      <w:r w:rsidR="006524FA" w:rsidRPr="006524FA">
        <w:rPr>
          <w:sz w:val="22"/>
          <w:szCs w:val="22"/>
          <w:lang w:val="sr-Latn-ME"/>
        </w:rPr>
        <w:t>Vaxzevria</w:t>
      </w:r>
      <w:r w:rsidR="007831AA">
        <w:rPr>
          <w:sz w:val="22"/>
          <w:szCs w:val="22"/>
          <w:lang w:val="sr-Latn-ME"/>
        </w:rPr>
        <w:t xml:space="preserve"> </w:t>
      </w:r>
      <w:r w:rsidRPr="009057DB">
        <w:rPr>
          <w:sz w:val="22"/>
          <w:szCs w:val="22"/>
          <w:lang w:val="sr-Latn-ME"/>
        </w:rPr>
        <w:t>i kontrol</w:t>
      </w:r>
      <w:r w:rsidR="00651A26" w:rsidRPr="009057DB">
        <w:rPr>
          <w:sz w:val="22"/>
          <w:szCs w:val="22"/>
          <w:lang w:val="sr-Latn-ME"/>
        </w:rPr>
        <w:t>nim grupama</w:t>
      </w:r>
      <w:r w:rsidRPr="009057DB">
        <w:rPr>
          <w:sz w:val="22"/>
          <w:szCs w:val="22"/>
          <w:lang w:val="sr-Latn-ME"/>
        </w:rPr>
        <w:t xml:space="preserve">. U objedinjenim analizama, među ispitanicima koji su primili vakcinu </w:t>
      </w:r>
      <w:r w:rsidR="005F2E5E" w:rsidRPr="009057DB">
        <w:rPr>
          <w:color w:val="000000"/>
          <w:sz w:val="22"/>
          <w:szCs w:val="22"/>
          <w:shd w:val="clear" w:color="auto" w:fill="FFFFFF"/>
          <w:lang w:val="sr-Latn-ME"/>
        </w:rPr>
        <w:t>Vaxzevria</w:t>
      </w:r>
      <w:r w:rsidR="008448EC" w:rsidRPr="009057DB">
        <w:rPr>
          <w:color w:val="000000"/>
          <w:sz w:val="22"/>
          <w:szCs w:val="22"/>
          <w:shd w:val="clear" w:color="auto" w:fill="FFFFFF"/>
          <w:lang w:val="sr-Latn-ME"/>
        </w:rPr>
        <w:t xml:space="preserve"> </w:t>
      </w:r>
      <w:r w:rsidRPr="009057DB">
        <w:rPr>
          <w:sz w:val="22"/>
          <w:szCs w:val="22"/>
          <w:lang w:val="sr-Latn-ME"/>
        </w:rPr>
        <w:t xml:space="preserve">sa intervalom između doza </w:t>
      </w:r>
      <w:r w:rsidR="008079DF" w:rsidRPr="009057DB">
        <w:rPr>
          <w:sz w:val="22"/>
          <w:szCs w:val="22"/>
          <w:lang w:val="sr-Latn-ME"/>
        </w:rPr>
        <w:t xml:space="preserve">od </w:t>
      </w:r>
      <w:r w:rsidRPr="009057DB">
        <w:rPr>
          <w:sz w:val="22"/>
          <w:szCs w:val="22"/>
          <w:lang w:val="sr-Latn-ME"/>
        </w:rPr>
        <w:t>4 i 12 ned</w:t>
      </w:r>
      <w:r w:rsidR="008627D4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 xml:space="preserve">elja, 87,0% </w:t>
      </w:r>
      <w:r w:rsidR="006B1507" w:rsidRPr="009057DB">
        <w:rPr>
          <w:sz w:val="22"/>
          <w:szCs w:val="22"/>
          <w:lang w:val="sr-Latn-ME"/>
        </w:rPr>
        <w:t xml:space="preserve">ispitanika </w:t>
      </w:r>
      <w:r w:rsidRPr="009057DB">
        <w:rPr>
          <w:sz w:val="22"/>
          <w:szCs w:val="22"/>
          <w:lang w:val="sr-Latn-ME"/>
        </w:rPr>
        <w:t xml:space="preserve">bili su </w:t>
      </w:r>
      <w:r w:rsidR="0012388C" w:rsidRPr="009057DB">
        <w:rPr>
          <w:sz w:val="22"/>
          <w:szCs w:val="22"/>
          <w:lang w:val="sr-Latn-ME"/>
        </w:rPr>
        <w:t xml:space="preserve">starosti </w:t>
      </w:r>
      <w:r w:rsidRPr="009057DB">
        <w:rPr>
          <w:sz w:val="22"/>
          <w:szCs w:val="22"/>
          <w:lang w:val="sr-Latn-ME"/>
        </w:rPr>
        <w:t>od 18 do 64 godin</w:t>
      </w:r>
      <w:r w:rsidR="0012388C" w:rsidRPr="009057DB">
        <w:rPr>
          <w:sz w:val="22"/>
          <w:szCs w:val="22"/>
          <w:lang w:val="sr-Latn-ME"/>
        </w:rPr>
        <w:t>e</w:t>
      </w:r>
      <w:r w:rsidRPr="009057DB">
        <w:rPr>
          <w:sz w:val="22"/>
          <w:szCs w:val="22"/>
          <w:lang w:val="sr-Latn-ME"/>
        </w:rPr>
        <w:t xml:space="preserve"> (13,0% starosti 65 godina ili stariji i 2,8% starosti 75 </w:t>
      </w:r>
      <w:r w:rsidR="0012388C" w:rsidRPr="009057DB">
        <w:rPr>
          <w:sz w:val="22"/>
          <w:szCs w:val="22"/>
          <w:lang w:val="sr-Latn-ME"/>
        </w:rPr>
        <w:t xml:space="preserve">godina </w:t>
      </w:r>
      <w:r w:rsidRPr="009057DB">
        <w:rPr>
          <w:sz w:val="22"/>
          <w:szCs w:val="22"/>
          <w:lang w:val="sr-Latn-ME"/>
        </w:rPr>
        <w:t>ili stariji); 55,1% učesnika bile su žene; 76,2% bili su b</w:t>
      </w:r>
      <w:r w:rsidR="008627D4" w:rsidRPr="009057DB">
        <w:rPr>
          <w:sz w:val="22"/>
          <w:szCs w:val="22"/>
          <w:lang w:val="sr-Latn-ME"/>
        </w:rPr>
        <w:t>ij</w:t>
      </w:r>
      <w:r w:rsidRPr="009057DB">
        <w:rPr>
          <w:sz w:val="22"/>
          <w:szCs w:val="22"/>
          <w:lang w:val="sr-Latn-ME"/>
        </w:rPr>
        <w:t>elci, 6,4% bili su crnci i 3,4% bili su Azijati. Ukupno 2068 (39,3%) učesnika imali su najmanje jedan već postojeći komorbiditet (</w:t>
      </w:r>
      <w:r w:rsidR="00FD6A75" w:rsidRPr="009057DB">
        <w:rPr>
          <w:sz w:val="22"/>
          <w:szCs w:val="22"/>
          <w:lang w:val="sr-Latn-ME"/>
        </w:rPr>
        <w:t xml:space="preserve">koji se definiše kao </w:t>
      </w:r>
      <w:r w:rsidRPr="009057DB">
        <w:rPr>
          <w:sz w:val="22"/>
          <w:szCs w:val="22"/>
          <w:lang w:val="sr-Latn-ME"/>
        </w:rPr>
        <w:t>indeks t</w:t>
      </w:r>
      <w:r w:rsidR="00D57144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 xml:space="preserve">elesne </w:t>
      </w:r>
      <w:r w:rsidR="00E16C16" w:rsidRPr="009057DB">
        <w:rPr>
          <w:sz w:val="22"/>
          <w:szCs w:val="22"/>
          <w:lang w:val="sr-Latn-ME"/>
        </w:rPr>
        <w:t>mase</w:t>
      </w:r>
      <w:r w:rsidR="00E82FDF" w:rsidRPr="009057DB">
        <w:rPr>
          <w:sz w:val="22"/>
          <w:szCs w:val="22"/>
          <w:lang w:val="sr-Latn-ME"/>
        </w:rPr>
        <w:t xml:space="preserve"> </w:t>
      </w:r>
      <w:r w:rsidRPr="009057DB">
        <w:rPr>
          <w:sz w:val="22"/>
          <w:szCs w:val="22"/>
          <w:lang w:val="sr-Latn-ME"/>
        </w:rPr>
        <w:t>(</w:t>
      </w:r>
      <w:r w:rsidR="00E82FDF" w:rsidRPr="009057DB">
        <w:rPr>
          <w:sz w:val="22"/>
          <w:szCs w:val="22"/>
          <w:lang w:val="sr-Latn-ME"/>
        </w:rPr>
        <w:t>BMI</w:t>
      </w:r>
      <w:r w:rsidRPr="009057DB">
        <w:rPr>
          <w:sz w:val="22"/>
          <w:szCs w:val="22"/>
          <w:lang w:val="sr-Latn-ME"/>
        </w:rPr>
        <w:t>) ≥</w:t>
      </w:r>
      <w:r w:rsidR="00A43C70" w:rsidRPr="009057DB">
        <w:rPr>
          <w:sz w:val="22"/>
          <w:szCs w:val="22"/>
          <w:lang w:val="sr-Latn-ME"/>
        </w:rPr>
        <w:t xml:space="preserve"> </w:t>
      </w:r>
      <w:r w:rsidRPr="009057DB">
        <w:rPr>
          <w:sz w:val="22"/>
          <w:szCs w:val="22"/>
          <w:lang w:val="sr-Latn-ME"/>
        </w:rPr>
        <w:t>30 kg/m</w:t>
      </w:r>
      <w:r w:rsidRPr="009057DB">
        <w:rPr>
          <w:sz w:val="22"/>
          <w:szCs w:val="22"/>
          <w:vertAlign w:val="superscript"/>
          <w:lang w:val="sr-Latn-ME"/>
        </w:rPr>
        <w:t>2</w:t>
      </w:r>
      <w:r w:rsidRPr="009057DB">
        <w:rPr>
          <w:sz w:val="22"/>
          <w:szCs w:val="22"/>
          <w:lang w:val="sr-Latn-ME"/>
        </w:rPr>
        <w:t>, kardiovaskularn</w:t>
      </w:r>
      <w:r w:rsidR="00D04CAD" w:rsidRPr="009057DB">
        <w:rPr>
          <w:sz w:val="22"/>
          <w:szCs w:val="22"/>
          <w:lang w:val="sr-Latn-ME"/>
        </w:rPr>
        <w:t>a</w:t>
      </w:r>
      <w:r w:rsidRPr="009057DB">
        <w:rPr>
          <w:sz w:val="22"/>
          <w:szCs w:val="22"/>
          <w:lang w:val="sr-Latn-ME"/>
        </w:rPr>
        <w:t xml:space="preserve"> bolest, respiratorn</w:t>
      </w:r>
      <w:r w:rsidR="00D04CAD" w:rsidRPr="009057DB">
        <w:rPr>
          <w:sz w:val="22"/>
          <w:szCs w:val="22"/>
          <w:lang w:val="sr-Latn-ME"/>
        </w:rPr>
        <w:t>a</w:t>
      </w:r>
      <w:r w:rsidRPr="009057DB">
        <w:rPr>
          <w:sz w:val="22"/>
          <w:szCs w:val="22"/>
          <w:lang w:val="sr-Latn-ME"/>
        </w:rPr>
        <w:t xml:space="preserve"> bolest ili dijabetes). Tokom perioda analize, srednje vr</w:t>
      </w:r>
      <w:r w:rsidR="00D57144" w:rsidRPr="009057DB">
        <w:rPr>
          <w:sz w:val="22"/>
          <w:szCs w:val="22"/>
          <w:lang w:val="sr-Latn-ME"/>
        </w:rPr>
        <w:t>ij</w:t>
      </w:r>
      <w:r w:rsidRPr="009057DB">
        <w:rPr>
          <w:sz w:val="22"/>
          <w:szCs w:val="22"/>
          <w:lang w:val="sr-Latn-ME"/>
        </w:rPr>
        <w:t>eme praćenja nakon 2 doze bilo je 78 dana.</w:t>
      </w:r>
    </w:p>
    <w:p w14:paraId="737904A5" w14:textId="77777777" w:rsidR="009F6564" w:rsidRPr="009057DB" w:rsidRDefault="009F6564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4B42C0D" w14:textId="4DF90CC9" w:rsidR="009F6564" w:rsidRPr="009057DB" w:rsidRDefault="009F6564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Konačn</w:t>
      </w:r>
      <w:r w:rsidR="0057414C" w:rsidRPr="009057DB">
        <w:rPr>
          <w:sz w:val="22"/>
          <w:szCs w:val="22"/>
          <w:lang w:val="sr-Latn-ME"/>
        </w:rPr>
        <w:t>u</w:t>
      </w:r>
      <w:r w:rsidRPr="009057DB">
        <w:rPr>
          <w:sz w:val="22"/>
          <w:szCs w:val="22"/>
          <w:lang w:val="sr-Latn-ME"/>
        </w:rPr>
        <w:t xml:space="preserve"> </w:t>
      </w:r>
      <w:r w:rsidR="0057414C" w:rsidRPr="009057DB">
        <w:rPr>
          <w:sz w:val="22"/>
          <w:szCs w:val="22"/>
          <w:lang w:val="sr-Latn-ME"/>
        </w:rPr>
        <w:t xml:space="preserve">potvrdu bolesti </w:t>
      </w:r>
      <w:r w:rsidRPr="009057DB">
        <w:rPr>
          <w:sz w:val="22"/>
          <w:szCs w:val="22"/>
          <w:lang w:val="sr-Latn-ME"/>
        </w:rPr>
        <w:t xml:space="preserve">COVID-19 izvela je komisija </w:t>
      </w:r>
      <w:r w:rsidR="007D3276" w:rsidRPr="009057DB">
        <w:rPr>
          <w:sz w:val="22"/>
          <w:szCs w:val="22"/>
          <w:lang w:val="sr-Latn-ME"/>
        </w:rPr>
        <w:t xml:space="preserve">za procjenu </w:t>
      </w:r>
      <w:r w:rsidRPr="009057DB">
        <w:rPr>
          <w:sz w:val="22"/>
          <w:szCs w:val="22"/>
          <w:lang w:val="sr-Latn-ME"/>
        </w:rPr>
        <w:t>koja je dod</w:t>
      </w:r>
      <w:r w:rsidR="00E42D9C" w:rsidRPr="009057DB">
        <w:rPr>
          <w:sz w:val="22"/>
          <w:szCs w:val="22"/>
          <w:lang w:val="sr-Latn-ME"/>
        </w:rPr>
        <w:t>ij</w:t>
      </w:r>
      <w:r w:rsidRPr="009057DB">
        <w:rPr>
          <w:sz w:val="22"/>
          <w:szCs w:val="22"/>
          <w:lang w:val="sr-Latn-ME"/>
        </w:rPr>
        <w:t xml:space="preserve">elila </w:t>
      </w:r>
      <w:r w:rsidR="00AC3CC6" w:rsidRPr="009057DB">
        <w:rPr>
          <w:sz w:val="22"/>
          <w:szCs w:val="22"/>
          <w:lang w:val="sr-Latn-ME"/>
        </w:rPr>
        <w:t xml:space="preserve">i </w:t>
      </w:r>
      <w:r w:rsidRPr="009057DB">
        <w:rPr>
          <w:sz w:val="22"/>
          <w:szCs w:val="22"/>
          <w:lang w:val="sr-Latn-ME"/>
        </w:rPr>
        <w:t>težinu bolesti prema skali za proc</w:t>
      </w:r>
      <w:r w:rsidR="00E231CF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 xml:space="preserve">enu kliničke progresije </w:t>
      </w:r>
      <w:r w:rsidR="004A3EDA" w:rsidRPr="009057DB">
        <w:rPr>
          <w:sz w:val="22"/>
          <w:szCs w:val="22"/>
          <w:lang w:val="sr-Latn-ME"/>
        </w:rPr>
        <w:t>S</w:t>
      </w:r>
      <w:r w:rsidR="00D04CAD" w:rsidRPr="009057DB">
        <w:rPr>
          <w:sz w:val="22"/>
          <w:szCs w:val="22"/>
          <w:lang w:val="sr-Latn-ME"/>
        </w:rPr>
        <w:t>vjetske zdravstvene organizacije</w:t>
      </w:r>
      <w:r w:rsidR="0036206E" w:rsidRPr="009057DB">
        <w:rPr>
          <w:sz w:val="22"/>
          <w:szCs w:val="22"/>
          <w:lang w:val="sr-Latn-ME"/>
        </w:rPr>
        <w:t xml:space="preserve"> (SZO)</w:t>
      </w:r>
      <w:r w:rsidRPr="009057DB">
        <w:rPr>
          <w:sz w:val="22"/>
          <w:szCs w:val="22"/>
          <w:lang w:val="sr-Latn-ME"/>
        </w:rPr>
        <w:t xml:space="preserve">. Ukupno </w:t>
      </w:r>
      <w:r w:rsidR="005453D5" w:rsidRPr="009057DB">
        <w:rPr>
          <w:sz w:val="22"/>
          <w:szCs w:val="22"/>
          <w:lang w:val="sr-Latn-ME"/>
        </w:rPr>
        <w:t xml:space="preserve">je kod </w:t>
      </w:r>
      <w:r w:rsidRPr="009057DB">
        <w:rPr>
          <w:sz w:val="22"/>
          <w:szCs w:val="22"/>
          <w:lang w:val="sr-Latn-ME"/>
        </w:rPr>
        <w:t xml:space="preserve">218 </w:t>
      </w:r>
      <w:r w:rsidR="00A43C70" w:rsidRPr="009057DB">
        <w:rPr>
          <w:sz w:val="22"/>
          <w:szCs w:val="22"/>
          <w:lang w:val="sr-Latn-ME"/>
        </w:rPr>
        <w:t xml:space="preserve">ispitanika </w:t>
      </w:r>
      <w:r w:rsidR="00871C03" w:rsidRPr="009057DB">
        <w:rPr>
          <w:sz w:val="22"/>
          <w:szCs w:val="22"/>
          <w:lang w:val="sr-Latn-ME"/>
        </w:rPr>
        <w:t>zabilježen</w:t>
      </w:r>
      <w:r w:rsidR="006313DD" w:rsidRPr="009057DB">
        <w:rPr>
          <w:sz w:val="22"/>
          <w:szCs w:val="22"/>
          <w:lang w:val="sr-Latn-ME"/>
        </w:rPr>
        <w:t>a</w:t>
      </w:r>
      <w:r w:rsidR="00871C03" w:rsidRPr="009057DB">
        <w:rPr>
          <w:sz w:val="22"/>
          <w:szCs w:val="22"/>
          <w:lang w:val="sr-Latn-ME"/>
        </w:rPr>
        <w:t xml:space="preserve"> </w:t>
      </w:r>
      <w:r w:rsidRPr="009057DB">
        <w:rPr>
          <w:sz w:val="22"/>
          <w:szCs w:val="22"/>
          <w:lang w:val="sr-Latn-ME"/>
        </w:rPr>
        <w:t>virusno potvrđen</w:t>
      </w:r>
      <w:r w:rsidR="006313DD" w:rsidRPr="009057DB">
        <w:rPr>
          <w:sz w:val="22"/>
          <w:szCs w:val="22"/>
          <w:lang w:val="sr-Latn-ME"/>
        </w:rPr>
        <w:t>a</w:t>
      </w:r>
      <w:r w:rsidRPr="009057DB">
        <w:rPr>
          <w:sz w:val="22"/>
          <w:szCs w:val="22"/>
          <w:lang w:val="sr-Latn-ME"/>
        </w:rPr>
        <w:t xml:space="preserve"> </w:t>
      </w:r>
      <w:r w:rsidR="00871C03" w:rsidRPr="009057DB">
        <w:rPr>
          <w:sz w:val="22"/>
          <w:szCs w:val="22"/>
          <w:lang w:val="sr-Latn-ME"/>
        </w:rPr>
        <w:t>(</w:t>
      </w:r>
      <w:r w:rsidRPr="009057DB">
        <w:rPr>
          <w:sz w:val="22"/>
          <w:szCs w:val="22"/>
          <w:lang w:val="sr-Latn-ME"/>
        </w:rPr>
        <w:t>SARS</w:t>
      </w:r>
      <w:r w:rsidRPr="009057DB">
        <w:rPr>
          <w:sz w:val="22"/>
          <w:szCs w:val="22"/>
          <w:lang w:val="sr-Latn-ME"/>
        </w:rPr>
        <w:noBreakHyphen/>
        <w:t>CoV</w:t>
      </w:r>
      <w:r w:rsidRPr="009057DB">
        <w:rPr>
          <w:sz w:val="22"/>
          <w:szCs w:val="22"/>
          <w:lang w:val="sr-Latn-ME"/>
        </w:rPr>
        <w:noBreakHyphen/>
        <w:t>2</w:t>
      </w:r>
      <w:r w:rsidR="00871C03" w:rsidRPr="009057DB">
        <w:rPr>
          <w:sz w:val="22"/>
          <w:szCs w:val="22"/>
          <w:lang w:val="sr-Latn-ME"/>
        </w:rPr>
        <w:t>)</w:t>
      </w:r>
      <w:r w:rsidRPr="009057DB">
        <w:rPr>
          <w:sz w:val="22"/>
          <w:szCs w:val="22"/>
          <w:lang w:val="sr-Latn-ME"/>
        </w:rPr>
        <w:t xml:space="preserve"> </w:t>
      </w:r>
      <w:r w:rsidR="006313DD" w:rsidRPr="009057DB">
        <w:rPr>
          <w:sz w:val="22"/>
          <w:szCs w:val="22"/>
          <w:lang w:val="sr-Latn-ME"/>
        </w:rPr>
        <w:t xml:space="preserve">bolest COVID-19 </w:t>
      </w:r>
      <w:r w:rsidRPr="009057DB">
        <w:rPr>
          <w:sz w:val="22"/>
          <w:szCs w:val="22"/>
          <w:lang w:val="sr-Latn-ME"/>
        </w:rPr>
        <w:t>koj</w:t>
      </w:r>
      <w:r w:rsidR="00B22E7F" w:rsidRPr="009057DB">
        <w:rPr>
          <w:sz w:val="22"/>
          <w:szCs w:val="22"/>
          <w:lang w:val="sr-Latn-ME"/>
        </w:rPr>
        <w:t>a</w:t>
      </w:r>
      <w:r w:rsidRPr="009057DB">
        <w:rPr>
          <w:sz w:val="22"/>
          <w:szCs w:val="22"/>
          <w:lang w:val="sr-Latn-ME"/>
        </w:rPr>
        <w:t xml:space="preserve"> </w:t>
      </w:r>
      <w:r w:rsidR="00B22E7F" w:rsidRPr="009057DB">
        <w:rPr>
          <w:sz w:val="22"/>
          <w:szCs w:val="22"/>
          <w:lang w:val="sr-Latn-ME"/>
        </w:rPr>
        <w:t>je nastupila</w:t>
      </w:r>
      <w:r w:rsidR="00D04CAD" w:rsidRPr="009057DB">
        <w:rPr>
          <w:sz w:val="22"/>
          <w:szCs w:val="22"/>
          <w:lang w:val="sr-Latn-ME"/>
        </w:rPr>
        <w:t xml:space="preserve"> </w:t>
      </w:r>
      <w:r w:rsidRPr="009057DB">
        <w:rPr>
          <w:sz w:val="22"/>
          <w:szCs w:val="22"/>
          <w:lang w:val="sr-Latn-ME"/>
        </w:rPr>
        <w:t xml:space="preserve">≥ 15 dana nakon </w:t>
      </w:r>
      <w:r w:rsidR="00CE4407" w:rsidRPr="009057DB">
        <w:rPr>
          <w:sz w:val="22"/>
          <w:szCs w:val="22"/>
          <w:lang w:val="sr-Latn-ME"/>
        </w:rPr>
        <w:t xml:space="preserve">primjene </w:t>
      </w:r>
      <w:r w:rsidRPr="009057DB">
        <w:rPr>
          <w:sz w:val="22"/>
          <w:szCs w:val="22"/>
          <w:lang w:val="sr-Latn-ME"/>
        </w:rPr>
        <w:t xml:space="preserve">druge doze sa najmanje jednim simptomom </w:t>
      </w:r>
      <w:r w:rsidR="0048452B" w:rsidRPr="009057DB">
        <w:rPr>
          <w:sz w:val="22"/>
          <w:szCs w:val="22"/>
          <w:lang w:val="sr-Latn-ME"/>
        </w:rPr>
        <w:t xml:space="preserve">bolesti </w:t>
      </w:r>
      <w:r w:rsidRPr="009057DB">
        <w:rPr>
          <w:sz w:val="22"/>
          <w:szCs w:val="22"/>
          <w:lang w:val="sr-Latn-ME"/>
        </w:rPr>
        <w:t xml:space="preserve">COVID-19 (objektivna </w:t>
      </w:r>
      <w:r w:rsidR="000B068A" w:rsidRPr="009057DB">
        <w:rPr>
          <w:sz w:val="22"/>
          <w:szCs w:val="22"/>
          <w:lang w:val="sr-Latn-ME"/>
        </w:rPr>
        <w:t>groznica</w:t>
      </w:r>
      <w:r w:rsidR="00D04CAD" w:rsidRPr="009057DB">
        <w:rPr>
          <w:sz w:val="22"/>
          <w:szCs w:val="22"/>
          <w:lang w:val="sr-Latn-ME"/>
        </w:rPr>
        <w:t xml:space="preserve"> </w:t>
      </w:r>
      <w:r w:rsidRPr="009057DB">
        <w:rPr>
          <w:sz w:val="22"/>
          <w:szCs w:val="22"/>
          <w:lang w:val="sr-Latn-ME"/>
        </w:rPr>
        <w:t xml:space="preserve">(definisana </w:t>
      </w:r>
      <w:r w:rsidR="00D85C4D" w:rsidRPr="009057DB">
        <w:rPr>
          <w:sz w:val="22"/>
          <w:szCs w:val="22"/>
          <w:lang w:val="sr-Latn-ME"/>
        </w:rPr>
        <w:t xml:space="preserve">kao tjelesna temperatura </w:t>
      </w:r>
      <w:r w:rsidRPr="009057DB">
        <w:rPr>
          <w:sz w:val="22"/>
          <w:szCs w:val="22"/>
          <w:lang w:val="sr-Latn-ME"/>
        </w:rPr>
        <w:t xml:space="preserve">≥ 37.8°C), kašalj, kratak dah, anosmija ili ageuzija) </w:t>
      </w:r>
      <w:r w:rsidR="00207FC2" w:rsidRPr="009057DB">
        <w:rPr>
          <w:sz w:val="22"/>
          <w:szCs w:val="22"/>
          <w:lang w:val="sr-Latn-ME"/>
        </w:rPr>
        <w:t xml:space="preserve">kod osoba koje nijesu imale dokaze </w:t>
      </w:r>
      <w:r w:rsidRPr="009057DB">
        <w:rPr>
          <w:sz w:val="22"/>
          <w:szCs w:val="22"/>
          <w:lang w:val="sr-Latn-ME"/>
        </w:rPr>
        <w:t>prethodn</w:t>
      </w:r>
      <w:r w:rsidR="00207FC2" w:rsidRPr="009057DB">
        <w:rPr>
          <w:sz w:val="22"/>
          <w:szCs w:val="22"/>
          <w:lang w:val="sr-Latn-ME"/>
        </w:rPr>
        <w:t>e</w:t>
      </w:r>
      <w:r w:rsidRPr="009057DB">
        <w:rPr>
          <w:sz w:val="22"/>
          <w:szCs w:val="22"/>
          <w:lang w:val="sr-Latn-ME"/>
        </w:rPr>
        <w:t xml:space="preserve"> </w:t>
      </w:r>
      <w:r w:rsidR="00207FC2" w:rsidRPr="009057DB">
        <w:rPr>
          <w:sz w:val="22"/>
          <w:szCs w:val="22"/>
          <w:lang w:val="sr-Latn-ME"/>
        </w:rPr>
        <w:t xml:space="preserve">infekcije </w:t>
      </w:r>
      <w:r w:rsidR="00092998" w:rsidRPr="009057DB">
        <w:rPr>
          <w:sz w:val="22"/>
          <w:szCs w:val="22"/>
          <w:lang w:val="sr-Latn-ME"/>
        </w:rPr>
        <w:t xml:space="preserve">virusom </w:t>
      </w:r>
      <w:r w:rsidRPr="009057DB">
        <w:rPr>
          <w:sz w:val="22"/>
          <w:szCs w:val="22"/>
          <w:lang w:val="sr-Latn-ME"/>
        </w:rPr>
        <w:t>SARS</w:t>
      </w:r>
      <w:r w:rsidRPr="009057DB">
        <w:rPr>
          <w:sz w:val="22"/>
          <w:szCs w:val="22"/>
          <w:lang w:val="sr-Latn-ME"/>
        </w:rPr>
        <w:noBreakHyphen/>
        <w:t>CoV</w:t>
      </w:r>
      <w:r w:rsidRPr="009057DB">
        <w:rPr>
          <w:sz w:val="22"/>
          <w:szCs w:val="22"/>
          <w:lang w:val="sr-Latn-ME"/>
        </w:rPr>
        <w:noBreakHyphen/>
        <w:t xml:space="preserve">2. Vakcina </w:t>
      </w:r>
      <w:r w:rsidR="006524FA" w:rsidRPr="006524FA">
        <w:rPr>
          <w:sz w:val="22"/>
          <w:szCs w:val="22"/>
          <w:lang w:val="sr-Latn-ME"/>
        </w:rPr>
        <w:t>Vaxzevria</w:t>
      </w:r>
      <w:r w:rsidR="007831AA">
        <w:rPr>
          <w:sz w:val="22"/>
          <w:szCs w:val="22"/>
          <w:lang w:val="sr-Latn-ME"/>
        </w:rPr>
        <w:t xml:space="preserve"> </w:t>
      </w:r>
      <w:r w:rsidRPr="009057DB">
        <w:rPr>
          <w:sz w:val="22"/>
          <w:szCs w:val="22"/>
          <w:lang w:val="sr-Latn-ME"/>
        </w:rPr>
        <w:t>značajno je smanjil</w:t>
      </w:r>
      <w:r w:rsidR="00D04CAD" w:rsidRPr="009057DB">
        <w:rPr>
          <w:sz w:val="22"/>
          <w:szCs w:val="22"/>
          <w:lang w:val="sr-Latn-ME"/>
        </w:rPr>
        <w:t>a</w:t>
      </w:r>
      <w:r w:rsidRPr="009057DB">
        <w:rPr>
          <w:sz w:val="22"/>
          <w:szCs w:val="22"/>
          <w:lang w:val="sr-Latn-ME"/>
        </w:rPr>
        <w:t xml:space="preserve"> </w:t>
      </w:r>
      <w:r w:rsidR="000D26DB" w:rsidRPr="009057DB">
        <w:rPr>
          <w:sz w:val="22"/>
          <w:szCs w:val="22"/>
          <w:lang w:val="sr-Latn-ME"/>
        </w:rPr>
        <w:t xml:space="preserve">učestalost </w:t>
      </w:r>
      <w:r w:rsidRPr="009057DB">
        <w:rPr>
          <w:sz w:val="22"/>
          <w:szCs w:val="22"/>
          <w:lang w:val="sr-Latn-ME"/>
        </w:rPr>
        <w:t>pojav</w:t>
      </w:r>
      <w:r w:rsidR="000D26DB" w:rsidRPr="009057DB">
        <w:rPr>
          <w:sz w:val="22"/>
          <w:szCs w:val="22"/>
          <w:lang w:val="sr-Latn-ME"/>
        </w:rPr>
        <w:t>e</w:t>
      </w:r>
      <w:r w:rsidRPr="009057DB">
        <w:rPr>
          <w:sz w:val="22"/>
          <w:szCs w:val="22"/>
          <w:lang w:val="sr-Latn-ME"/>
        </w:rPr>
        <w:t xml:space="preserve"> </w:t>
      </w:r>
      <w:r w:rsidR="00EB4473" w:rsidRPr="009057DB">
        <w:rPr>
          <w:sz w:val="22"/>
          <w:szCs w:val="22"/>
          <w:lang w:val="sr-Latn-ME"/>
        </w:rPr>
        <w:t xml:space="preserve">bolesti </w:t>
      </w:r>
      <w:r w:rsidRPr="009057DB">
        <w:rPr>
          <w:sz w:val="22"/>
          <w:szCs w:val="22"/>
          <w:lang w:val="sr-Latn-ME"/>
        </w:rPr>
        <w:t xml:space="preserve">COVID-19 u </w:t>
      </w:r>
      <w:r w:rsidR="003403C6" w:rsidRPr="009057DB">
        <w:rPr>
          <w:sz w:val="22"/>
          <w:szCs w:val="22"/>
          <w:lang w:val="sr-Latn-ME"/>
        </w:rPr>
        <w:t xml:space="preserve">odnosu na </w:t>
      </w:r>
      <w:r w:rsidRPr="009057DB">
        <w:rPr>
          <w:sz w:val="22"/>
          <w:szCs w:val="22"/>
          <w:lang w:val="sr-Latn-ME"/>
        </w:rPr>
        <w:t>kontroln</w:t>
      </w:r>
      <w:r w:rsidR="00DD5C9A" w:rsidRPr="009057DB">
        <w:rPr>
          <w:sz w:val="22"/>
          <w:szCs w:val="22"/>
          <w:lang w:val="sr-Latn-ME"/>
        </w:rPr>
        <w:t>u vakcinu</w:t>
      </w:r>
      <w:r w:rsidRPr="009057DB">
        <w:rPr>
          <w:sz w:val="22"/>
          <w:szCs w:val="22"/>
          <w:lang w:val="sr-Latn-ME"/>
        </w:rPr>
        <w:t xml:space="preserve"> (vid</w:t>
      </w:r>
      <w:r w:rsidR="00E231CF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>et</w:t>
      </w:r>
      <w:r w:rsidR="00E231CF" w:rsidRPr="009057DB">
        <w:rPr>
          <w:sz w:val="22"/>
          <w:szCs w:val="22"/>
          <w:lang w:val="sr-Latn-ME"/>
        </w:rPr>
        <w:t>i</w:t>
      </w:r>
      <w:r w:rsidRPr="009057DB">
        <w:rPr>
          <w:sz w:val="22"/>
          <w:szCs w:val="22"/>
          <w:lang w:val="sr-Latn-ME"/>
        </w:rPr>
        <w:t xml:space="preserve"> Tabelu </w:t>
      </w:r>
      <w:r w:rsidR="002C1463" w:rsidRPr="009057DB">
        <w:rPr>
          <w:sz w:val="22"/>
          <w:szCs w:val="22"/>
          <w:lang w:val="sr-Latn-ME"/>
        </w:rPr>
        <w:t>3</w:t>
      </w:r>
      <w:r w:rsidRPr="009057DB">
        <w:rPr>
          <w:sz w:val="22"/>
          <w:szCs w:val="22"/>
          <w:lang w:val="sr-Latn-ME"/>
        </w:rPr>
        <w:t>).</w:t>
      </w:r>
    </w:p>
    <w:p w14:paraId="0F0A96D0" w14:textId="508FFFF7" w:rsidR="009F6564" w:rsidRPr="009057DB" w:rsidRDefault="009F6564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F9C07C9" w14:textId="05DAFC44" w:rsidR="00912903" w:rsidRPr="009057DB" w:rsidRDefault="009F6564" w:rsidP="00376088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9057DB">
        <w:rPr>
          <w:b/>
          <w:bCs/>
          <w:sz w:val="22"/>
          <w:szCs w:val="22"/>
          <w:lang w:val="sr-Latn-ME"/>
        </w:rPr>
        <w:t xml:space="preserve">Tabela </w:t>
      </w:r>
      <w:r w:rsidR="00912903" w:rsidRPr="009057DB">
        <w:rPr>
          <w:b/>
          <w:bCs/>
          <w:sz w:val="22"/>
          <w:szCs w:val="22"/>
          <w:lang w:val="sr-Latn-ME"/>
        </w:rPr>
        <w:t>3</w:t>
      </w:r>
      <w:r w:rsidRPr="009057DB">
        <w:rPr>
          <w:b/>
          <w:bCs/>
          <w:sz w:val="22"/>
          <w:szCs w:val="22"/>
          <w:lang w:val="sr-Latn-ME"/>
        </w:rPr>
        <w:t xml:space="preserve">. Efikasnost vakcine </w:t>
      </w:r>
      <w:r w:rsidR="005F2E5E" w:rsidRPr="009057DB">
        <w:rPr>
          <w:b/>
          <w:bCs/>
          <w:color w:val="000000"/>
          <w:sz w:val="22"/>
          <w:szCs w:val="22"/>
          <w:shd w:val="clear" w:color="auto" w:fill="FFFFFF"/>
          <w:lang w:val="sr-Latn-ME"/>
        </w:rPr>
        <w:t>Vaxzevria</w:t>
      </w:r>
      <w:r w:rsidR="008448EC" w:rsidRPr="009057DB">
        <w:rPr>
          <w:b/>
          <w:bCs/>
          <w:color w:val="000000"/>
          <w:sz w:val="22"/>
          <w:szCs w:val="22"/>
          <w:shd w:val="clear" w:color="auto" w:fill="FFFFFF"/>
          <w:lang w:val="sr-Latn-ME"/>
        </w:rPr>
        <w:t xml:space="preserve"> </w:t>
      </w:r>
      <w:r w:rsidR="0095693B" w:rsidRPr="009057DB">
        <w:rPr>
          <w:b/>
          <w:bCs/>
          <w:sz w:val="22"/>
          <w:szCs w:val="22"/>
          <w:lang w:val="sr-Latn-ME"/>
        </w:rPr>
        <w:t xml:space="preserve">protiv bolesti </w:t>
      </w:r>
      <w:r w:rsidRPr="009057DB">
        <w:rPr>
          <w:b/>
          <w:bCs/>
          <w:sz w:val="22"/>
          <w:szCs w:val="22"/>
          <w:lang w:val="sr-Latn-ME"/>
        </w:rPr>
        <w:t>COVID-19</w:t>
      </w:r>
      <w:r w:rsidR="00912903" w:rsidRPr="009057DB">
        <w:rPr>
          <w:b/>
          <w:bCs/>
          <w:sz w:val="22"/>
          <w:szCs w:val="22"/>
          <w:vertAlign w:val="superscript"/>
          <w:lang w:val="sr-Latn-ME"/>
        </w:rPr>
        <w:t xml:space="preserve">  </w:t>
      </w:r>
      <w:r w:rsidR="00912903" w:rsidRPr="009057DB">
        <w:rPr>
          <w:b/>
          <w:bCs/>
          <w:sz w:val="22"/>
          <w:szCs w:val="22"/>
          <w:lang w:val="sr-Latn-ME"/>
        </w:rPr>
        <w:t>u ispitivanjima COV002 i COV003</w:t>
      </w:r>
      <w:r w:rsidR="00912903" w:rsidRPr="009057DB">
        <w:rPr>
          <w:b/>
          <w:bCs/>
          <w:sz w:val="22"/>
          <w:szCs w:val="22"/>
          <w:vertAlign w:val="superscript"/>
          <w:lang w:val="sr-Latn-ME"/>
        </w:rPr>
        <w:t>a</w:t>
      </w:r>
    </w:p>
    <w:p w14:paraId="244863DC" w14:textId="0FE36BE2" w:rsidR="009F6564" w:rsidRPr="009057DB" w:rsidRDefault="009F6564" w:rsidP="00376088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5"/>
        <w:gridCol w:w="1129"/>
        <w:gridCol w:w="1555"/>
        <w:gridCol w:w="1129"/>
        <w:gridCol w:w="1555"/>
        <w:gridCol w:w="1720"/>
      </w:tblGrid>
      <w:tr w:rsidR="009F6564" w:rsidRPr="009057DB" w14:paraId="1BD337C0" w14:textId="77777777" w:rsidTr="001004E8">
        <w:tc>
          <w:tcPr>
            <w:tcW w:w="1089" w:type="pct"/>
            <w:vMerge w:val="restart"/>
            <w:vAlign w:val="center"/>
          </w:tcPr>
          <w:p w14:paraId="082BAE8A" w14:textId="77777777" w:rsidR="009F6564" w:rsidRPr="009057DB" w:rsidRDefault="009F6564" w:rsidP="00376088">
            <w:pPr>
              <w:keepNext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r-Latn-ME" w:eastAsia="en-GB"/>
              </w:rPr>
            </w:pPr>
            <w:r w:rsidRPr="009057DB">
              <w:rPr>
                <w:b/>
                <w:bCs/>
                <w:sz w:val="22"/>
                <w:szCs w:val="22"/>
                <w:lang w:val="sr-Latn-ME" w:eastAsia="en-GB"/>
              </w:rPr>
              <w:t>Populacija</w:t>
            </w:r>
          </w:p>
        </w:tc>
        <w:tc>
          <w:tcPr>
            <w:tcW w:w="1481" w:type="pct"/>
            <w:gridSpan w:val="2"/>
            <w:vAlign w:val="center"/>
          </w:tcPr>
          <w:p w14:paraId="0ED39FC7" w14:textId="008655A5" w:rsidR="009F6564" w:rsidRPr="009057DB" w:rsidRDefault="005F2E5E" w:rsidP="00376088">
            <w:pPr>
              <w:keepNext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Latn-ME" w:eastAsia="en-GB"/>
              </w:rPr>
            </w:pPr>
            <w:r w:rsidRPr="009057DB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sr-Latn-ME"/>
              </w:rPr>
              <w:t>Vaxzevria</w:t>
            </w:r>
          </w:p>
        </w:tc>
        <w:tc>
          <w:tcPr>
            <w:tcW w:w="1481" w:type="pct"/>
            <w:gridSpan w:val="2"/>
            <w:vAlign w:val="center"/>
          </w:tcPr>
          <w:p w14:paraId="67A55F3F" w14:textId="77777777" w:rsidR="009F6564" w:rsidRPr="009057DB" w:rsidRDefault="009F6564" w:rsidP="00376088">
            <w:pPr>
              <w:keepNext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Latn-ME" w:eastAsia="en-GB"/>
              </w:rPr>
            </w:pPr>
            <w:r w:rsidRPr="009057DB">
              <w:rPr>
                <w:b/>
                <w:bCs/>
                <w:sz w:val="22"/>
                <w:szCs w:val="22"/>
                <w:lang w:val="sr-Latn-ME" w:eastAsia="en-GB"/>
              </w:rPr>
              <w:t>Kontrolna grupa</w:t>
            </w:r>
          </w:p>
        </w:tc>
        <w:tc>
          <w:tcPr>
            <w:tcW w:w="948" w:type="pct"/>
            <w:vMerge w:val="restart"/>
            <w:vAlign w:val="center"/>
          </w:tcPr>
          <w:p w14:paraId="4E43D871" w14:textId="77777777" w:rsidR="009F6564" w:rsidRPr="009057DB" w:rsidRDefault="009F6564" w:rsidP="00376088">
            <w:pPr>
              <w:keepNext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r-Latn-ME" w:eastAsia="en-GB"/>
              </w:rPr>
            </w:pPr>
            <w:r w:rsidRPr="009057DB">
              <w:rPr>
                <w:b/>
                <w:bCs/>
                <w:sz w:val="22"/>
                <w:szCs w:val="22"/>
                <w:lang w:val="sr-Latn-ME" w:eastAsia="en-GB"/>
              </w:rPr>
              <w:t>Efikasnost vakcine % (95% CI)</w:t>
            </w:r>
            <w:r w:rsidRPr="009057DB">
              <w:rPr>
                <w:b/>
                <w:bCs/>
                <w:sz w:val="22"/>
                <w:szCs w:val="22"/>
                <w:vertAlign w:val="superscript"/>
                <w:lang w:val="sr-Latn-ME" w:eastAsia="en-GB"/>
              </w:rPr>
              <w:t>b</w:t>
            </w:r>
          </w:p>
        </w:tc>
      </w:tr>
      <w:tr w:rsidR="009F6564" w:rsidRPr="009057DB" w14:paraId="0A6B13E6" w14:textId="77777777" w:rsidTr="001004E8">
        <w:tc>
          <w:tcPr>
            <w:tcW w:w="1089" w:type="pct"/>
            <w:vMerge/>
          </w:tcPr>
          <w:p w14:paraId="110E8C48" w14:textId="77777777" w:rsidR="009F6564" w:rsidRPr="009057DB" w:rsidRDefault="009F6564" w:rsidP="00376088">
            <w:pPr>
              <w:keepNext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r-Latn-ME" w:eastAsia="en-GB"/>
              </w:rPr>
            </w:pPr>
          </w:p>
        </w:tc>
        <w:tc>
          <w:tcPr>
            <w:tcW w:w="623" w:type="pct"/>
            <w:vAlign w:val="center"/>
          </w:tcPr>
          <w:p w14:paraId="76285D3A" w14:textId="77777777" w:rsidR="009F6564" w:rsidRPr="009057DB" w:rsidRDefault="009F6564" w:rsidP="00376088">
            <w:pPr>
              <w:keepNext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Latn-ME" w:eastAsia="en-GB"/>
              </w:rPr>
            </w:pPr>
            <w:r w:rsidRPr="009057DB">
              <w:rPr>
                <w:b/>
                <w:bCs/>
                <w:sz w:val="22"/>
                <w:szCs w:val="22"/>
                <w:lang w:val="sr-Latn-ME" w:eastAsia="en-GB"/>
              </w:rPr>
              <w:t>N</w:t>
            </w:r>
          </w:p>
        </w:tc>
        <w:tc>
          <w:tcPr>
            <w:tcW w:w="858" w:type="pct"/>
            <w:vAlign w:val="center"/>
          </w:tcPr>
          <w:p w14:paraId="058D6752" w14:textId="7AB84915" w:rsidR="009F6564" w:rsidRPr="009057DB" w:rsidRDefault="009F6564" w:rsidP="00376088">
            <w:pPr>
              <w:keepNext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Latn-ME" w:eastAsia="en-GB"/>
              </w:rPr>
            </w:pPr>
            <w:r w:rsidRPr="009057DB">
              <w:rPr>
                <w:b/>
                <w:bCs/>
                <w:sz w:val="22"/>
                <w:szCs w:val="22"/>
                <w:lang w:val="sr-Latn-ME" w:eastAsia="en-GB"/>
              </w:rPr>
              <w:t xml:space="preserve">Broj </w:t>
            </w:r>
            <w:r w:rsidR="00D516F0" w:rsidRPr="009057DB">
              <w:rPr>
                <w:b/>
                <w:bCs/>
                <w:sz w:val="22"/>
                <w:szCs w:val="22"/>
                <w:lang w:val="sr-Latn-ME" w:eastAsia="en-GB"/>
              </w:rPr>
              <w:t xml:space="preserve">slučajeva bolesti </w:t>
            </w:r>
            <w:r w:rsidRPr="009057DB">
              <w:rPr>
                <w:b/>
                <w:bCs/>
                <w:sz w:val="22"/>
                <w:szCs w:val="22"/>
                <w:lang w:val="sr-Latn-ME" w:eastAsia="en-GB"/>
              </w:rPr>
              <w:t>COVID-19, n (%)</w:t>
            </w:r>
          </w:p>
        </w:tc>
        <w:tc>
          <w:tcPr>
            <w:tcW w:w="623" w:type="pct"/>
            <w:vAlign w:val="center"/>
          </w:tcPr>
          <w:p w14:paraId="1CC161F9" w14:textId="77777777" w:rsidR="009F6564" w:rsidRPr="009057DB" w:rsidRDefault="009F6564" w:rsidP="00376088">
            <w:pPr>
              <w:keepNext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Latn-ME" w:eastAsia="en-GB"/>
              </w:rPr>
            </w:pPr>
            <w:r w:rsidRPr="009057DB">
              <w:rPr>
                <w:b/>
                <w:bCs/>
                <w:sz w:val="22"/>
                <w:szCs w:val="22"/>
                <w:lang w:val="sr-Latn-ME" w:eastAsia="en-GB"/>
              </w:rPr>
              <w:t>N</w:t>
            </w:r>
          </w:p>
        </w:tc>
        <w:tc>
          <w:tcPr>
            <w:tcW w:w="858" w:type="pct"/>
            <w:vAlign w:val="center"/>
          </w:tcPr>
          <w:p w14:paraId="41D8553D" w14:textId="0AD89209" w:rsidR="009F6564" w:rsidRPr="009057DB" w:rsidRDefault="009F6564" w:rsidP="00376088">
            <w:pPr>
              <w:keepNext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Latn-ME" w:eastAsia="en-GB"/>
              </w:rPr>
            </w:pPr>
            <w:r w:rsidRPr="009057DB">
              <w:rPr>
                <w:b/>
                <w:bCs/>
                <w:sz w:val="22"/>
                <w:szCs w:val="22"/>
                <w:lang w:val="sr-Latn-ME" w:eastAsia="en-GB"/>
              </w:rPr>
              <w:t xml:space="preserve">Broj </w:t>
            </w:r>
            <w:r w:rsidR="007F7E7D" w:rsidRPr="009057DB">
              <w:rPr>
                <w:b/>
                <w:bCs/>
                <w:sz w:val="22"/>
                <w:szCs w:val="22"/>
                <w:lang w:val="sr-Latn-ME" w:eastAsia="en-GB"/>
              </w:rPr>
              <w:t xml:space="preserve">slučajeva bolesti </w:t>
            </w:r>
            <w:r w:rsidRPr="009057DB">
              <w:rPr>
                <w:b/>
                <w:bCs/>
                <w:sz w:val="22"/>
                <w:szCs w:val="22"/>
                <w:lang w:val="sr-Latn-ME" w:eastAsia="en-GB"/>
              </w:rPr>
              <w:t>COVID-19, n (%)</w:t>
            </w:r>
          </w:p>
        </w:tc>
        <w:tc>
          <w:tcPr>
            <w:tcW w:w="948" w:type="pct"/>
            <w:vMerge/>
          </w:tcPr>
          <w:p w14:paraId="234ADF73" w14:textId="77777777" w:rsidR="009F6564" w:rsidRPr="009057DB" w:rsidRDefault="009F6564" w:rsidP="00376088">
            <w:pPr>
              <w:keepNext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en-GB"/>
              </w:rPr>
            </w:pPr>
          </w:p>
        </w:tc>
      </w:tr>
      <w:tr w:rsidR="009F6564" w:rsidRPr="009057DB" w14:paraId="65A577D1" w14:textId="77777777" w:rsidTr="001004E8">
        <w:tc>
          <w:tcPr>
            <w:tcW w:w="5000" w:type="pct"/>
            <w:gridSpan w:val="6"/>
            <w:vAlign w:val="center"/>
          </w:tcPr>
          <w:p w14:paraId="48E71F38" w14:textId="58F2054D" w:rsidR="009F6564" w:rsidRPr="009057DB" w:rsidRDefault="000648BC" w:rsidP="00376088">
            <w:pPr>
              <w:keepNext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en-GB"/>
              </w:rPr>
            </w:pPr>
            <w:r w:rsidRPr="009057DB">
              <w:rPr>
                <w:b/>
                <w:bCs/>
                <w:i/>
                <w:iCs/>
                <w:sz w:val="22"/>
                <w:szCs w:val="22"/>
                <w:lang w:val="sr-Latn-ME" w:eastAsia="en-GB"/>
              </w:rPr>
              <w:t>Predloženi r</w:t>
            </w:r>
            <w:r w:rsidR="009F6564" w:rsidRPr="009057DB">
              <w:rPr>
                <w:b/>
                <w:bCs/>
                <w:i/>
                <w:iCs/>
                <w:sz w:val="22"/>
                <w:szCs w:val="22"/>
                <w:lang w:val="sr-Latn-ME" w:eastAsia="en-GB"/>
              </w:rPr>
              <w:t xml:space="preserve">ežim </w:t>
            </w:r>
            <w:r w:rsidRPr="009057DB">
              <w:rPr>
                <w:b/>
                <w:bCs/>
                <w:i/>
                <w:iCs/>
                <w:sz w:val="22"/>
                <w:szCs w:val="22"/>
                <w:lang w:val="sr-Latn-ME" w:eastAsia="en-GB"/>
              </w:rPr>
              <w:t>vakcinacije</w:t>
            </w:r>
          </w:p>
        </w:tc>
      </w:tr>
      <w:tr w:rsidR="009F6564" w:rsidRPr="009057DB" w14:paraId="351B7641" w14:textId="77777777" w:rsidTr="001004E8">
        <w:tc>
          <w:tcPr>
            <w:tcW w:w="1089" w:type="pct"/>
            <w:vAlign w:val="center"/>
          </w:tcPr>
          <w:p w14:paraId="17F269EA" w14:textId="6737E426" w:rsidR="009F6564" w:rsidRPr="009057DB" w:rsidRDefault="009F6564" w:rsidP="00376088">
            <w:pPr>
              <w:keepNext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en-GB"/>
              </w:rPr>
            </w:pPr>
            <w:r w:rsidRPr="009057DB">
              <w:rPr>
                <w:sz w:val="22"/>
                <w:szCs w:val="22"/>
                <w:lang w:val="sr-Latn-ME" w:eastAsia="en-GB"/>
              </w:rPr>
              <w:t>4 – 12 ned</w:t>
            </w:r>
            <w:r w:rsidR="001004E8" w:rsidRPr="009057DB">
              <w:rPr>
                <w:sz w:val="22"/>
                <w:szCs w:val="22"/>
                <w:lang w:val="sr-Latn-ME" w:eastAsia="en-GB"/>
              </w:rPr>
              <w:t>j</w:t>
            </w:r>
            <w:r w:rsidRPr="009057DB">
              <w:rPr>
                <w:sz w:val="22"/>
                <w:szCs w:val="22"/>
                <w:lang w:val="sr-Latn-ME" w:eastAsia="en-GB"/>
              </w:rPr>
              <w:t>elja</w:t>
            </w:r>
          </w:p>
          <w:p w14:paraId="49D5F971" w14:textId="518FF815" w:rsidR="009F6564" w:rsidRPr="009057DB" w:rsidRDefault="009F6564" w:rsidP="00376088">
            <w:pPr>
              <w:keepNext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en-GB"/>
              </w:rPr>
            </w:pPr>
            <w:r w:rsidRPr="009057DB">
              <w:rPr>
                <w:sz w:val="22"/>
                <w:szCs w:val="22"/>
                <w:lang w:val="sr-Latn-ME" w:eastAsia="en-GB"/>
              </w:rPr>
              <w:t xml:space="preserve">(28 </w:t>
            </w:r>
            <w:r w:rsidR="00D43288" w:rsidRPr="009057DB">
              <w:rPr>
                <w:sz w:val="22"/>
                <w:szCs w:val="22"/>
                <w:lang w:val="sr-Latn-ME" w:eastAsia="en-GB"/>
              </w:rPr>
              <w:t xml:space="preserve">– </w:t>
            </w:r>
            <w:r w:rsidRPr="009057DB">
              <w:rPr>
                <w:sz w:val="22"/>
                <w:szCs w:val="22"/>
                <w:lang w:val="sr-Latn-ME" w:eastAsia="en-GB"/>
              </w:rPr>
              <w:t>84 dana)</w:t>
            </w:r>
          </w:p>
        </w:tc>
        <w:tc>
          <w:tcPr>
            <w:tcW w:w="623" w:type="pct"/>
            <w:vAlign w:val="center"/>
          </w:tcPr>
          <w:p w14:paraId="30CF502C" w14:textId="57C246A5" w:rsidR="009F6564" w:rsidRPr="009057DB" w:rsidRDefault="009F6564" w:rsidP="00376088">
            <w:pPr>
              <w:keepNext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en-GB"/>
              </w:rPr>
            </w:pPr>
            <w:r w:rsidRPr="009057DB">
              <w:rPr>
                <w:sz w:val="22"/>
                <w:szCs w:val="22"/>
                <w:lang w:val="sr-Latn-ME" w:eastAsia="en-GB"/>
              </w:rPr>
              <w:t>5258</w:t>
            </w:r>
          </w:p>
        </w:tc>
        <w:tc>
          <w:tcPr>
            <w:tcW w:w="858" w:type="pct"/>
            <w:vAlign w:val="center"/>
          </w:tcPr>
          <w:p w14:paraId="1C4385F2" w14:textId="77777777" w:rsidR="009F6564" w:rsidRPr="009057DB" w:rsidRDefault="009F6564" w:rsidP="00376088">
            <w:pPr>
              <w:keepNext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en-GB"/>
              </w:rPr>
            </w:pPr>
            <w:r w:rsidRPr="009057DB">
              <w:rPr>
                <w:sz w:val="22"/>
                <w:szCs w:val="22"/>
                <w:lang w:val="sr-Latn-ME" w:eastAsia="en-GB"/>
              </w:rPr>
              <w:t>64 (1,2)</w:t>
            </w:r>
          </w:p>
        </w:tc>
        <w:tc>
          <w:tcPr>
            <w:tcW w:w="623" w:type="pct"/>
            <w:vAlign w:val="center"/>
          </w:tcPr>
          <w:p w14:paraId="65766636" w14:textId="531D0274" w:rsidR="009F6564" w:rsidRPr="009057DB" w:rsidRDefault="009F6564" w:rsidP="00376088">
            <w:pPr>
              <w:keepNext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en-GB"/>
              </w:rPr>
            </w:pPr>
            <w:r w:rsidRPr="009057DB">
              <w:rPr>
                <w:sz w:val="22"/>
                <w:szCs w:val="22"/>
                <w:lang w:val="sr-Latn-ME" w:eastAsia="en-GB"/>
              </w:rPr>
              <w:t>5210</w:t>
            </w:r>
          </w:p>
        </w:tc>
        <w:tc>
          <w:tcPr>
            <w:tcW w:w="858" w:type="pct"/>
            <w:vAlign w:val="center"/>
          </w:tcPr>
          <w:p w14:paraId="0A3C0288" w14:textId="77777777" w:rsidR="009F6564" w:rsidRPr="009057DB" w:rsidRDefault="009F6564" w:rsidP="00376088">
            <w:pPr>
              <w:keepNext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en-GB"/>
              </w:rPr>
            </w:pPr>
            <w:r w:rsidRPr="009057DB">
              <w:rPr>
                <w:sz w:val="22"/>
                <w:szCs w:val="22"/>
                <w:lang w:val="sr-Latn-ME" w:eastAsia="en-GB"/>
              </w:rPr>
              <w:t>154 (3,0)</w:t>
            </w:r>
          </w:p>
        </w:tc>
        <w:tc>
          <w:tcPr>
            <w:tcW w:w="948" w:type="pct"/>
            <w:vAlign w:val="center"/>
          </w:tcPr>
          <w:p w14:paraId="3B39D7E0" w14:textId="1AF4062B" w:rsidR="009F6564" w:rsidRPr="009057DB" w:rsidRDefault="009F6564" w:rsidP="00376088">
            <w:pPr>
              <w:keepNext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ME" w:eastAsia="en-GB"/>
              </w:rPr>
            </w:pPr>
            <w:r w:rsidRPr="009057DB">
              <w:rPr>
                <w:sz w:val="22"/>
                <w:szCs w:val="22"/>
                <w:lang w:val="sr-Latn-ME" w:eastAsia="en-GB"/>
              </w:rPr>
              <w:t>59</w:t>
            </w:r>
            <w:r w:rsidR="00BB2609" w:rsidRPr="009057DB">
              <w:rPr>
                <w:sz w:val="22"/>
                <w:szCs w:val="22"/>
                <w:lang w:val="sr-Latn-ME" w:eastAsia="en-GB"/>
              </w:rPr>
              <w:t>,</w:t>
            </w:r>
            <w:r w:rsidRPr="009057DB">
              <w:rPr>
                <w:sz w:val="22"/>
                <w:szCs w:val="22"/>
                <w:lang w:val="sr-Latn-ME" w:eastAsia="en-GB"/>
              </w:rPr>
              <w:t>5</w:t>
            </w:r>
            <w:r w:rsidRPr="009057DB">
              <w:rPr>
                <w:sz w:val="22"/>
                <w:szCs w:val="22"/>
                <w:lang w:val="sr-Latn-ME" w:eastAsia="en-GB"/>
              </w:rPr>
              <w:br/>
              <w:t>(45,8; 69,7)</w:t>
            </w:r>
          </w:p>
        </w:tc>
      </w:tr>
    </w:tbl>
    <w:p w14:paraId="79947932" w14:textId="2AFB9300" w:rsidR="009F6564" w:rsidRPr="009057DB" w:rsidRDefault="009F6564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N = broj ispitanika koji je uključen u svak</w:t>
      </w:r>
      <w:r w:rsidR="00D43288" w:rsidRPr="009057DB">
        <w:rPr>
          <w:sz w:val="22"/>
          <w:szCs w:val="22"/>
          <w:lang w:val="sr-Latn-ME"/>
        </w:rPr>
        <w:t>u</w:t>
      </w:r>
      <w:r w:rsidRPr="009057DB">
        <w:rPr>
          <w:sz w:val="22"/>
          <w:szCs w:val="22"/>
          <w:lang w:val="sr-Latn-ME"/>
        </w:rPr>
        <w:t xml:space="preserve"> grup</w:t>
      </w:r>
      <w:r w:rsidR="00D43288" w:rsidRPr="009057DB">
        <w:rPr>
          <w:sz w:val="22"/>
          <w:szCs w:val="22"/>
          <w:lang w:val="sr-Latn-ME"/>
        </w:rPr>
        <w:t>u</w:t>
      </w:r>
      <w:r w:rsidRPr="009057DB">
        <w:rPr>
          <w:sz w:val="22"/>
          <w:szCs w:val="22"/>
          <w:lang w:val="sr-Latn-ME"/>
        </w:rPr>
        <w:t>; n = broj ispitanika sa potvrđenim događajem; CI = interval pouzdanosti;</w:t>
      </w:r>
    </w:p>
    <w:p w14:paraId="4FFA6E58" w14:textId="021D1089" w:rsidR="009F6564" w:rsidRPr="009057DB" w:rsidRDefault="009F6564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vertAlign w:val="superscript"/>
          <w:lang w:val="sr-Latn-ME"/>
        </w:rPr>
        <w:t>a</w:t>
      </w:r>
      <w:r w:rsidRPr="009057DB">
        <w:rPr>
          <w:sz w:val="22"/>
          <w:szCs w:val="22"/>
          <w:lang w:val="sr-Latn-ME"/>
        </w:rPr>
        <w:t xml:space="preserve"> Primarn</w:t>
      </w:r>
      <w:r w:rsidR="00CA5867" w:rsidRPr="009057DB">
        <w:rPr>
          <w:sz w:val="22"/>
          <w:szCs w:val="22"/>
          <w:lang w:val="sr-Latn-ME"/>
        </w:rPr>
        <w:t>a</w:t>
      </w:r>
      <w:r w:rsidRPr="009057DB">
        <w:rPr>
          <w:sz w:val="22"/>
          <w:szCs w:val="22"/>
          <w:lang w:val="sr-Latn-ME"/>
        </w:rPr>
        <w:t xml:space="preserve"> </w:t>
      </w:r>
      <w:r w:rsidR="00CA5867" w:rsidRPr="009057DB">
        <w:rPr>
          <w:sz w:val="22"/>
          <w:szCs w:val="22"/>
          <w:lang w:val="sr-Latn-ME"/>
        </w:rPr>
        <w:t xml:space="preserve">mjera </w:t>
      </w:r>
      <w:r w:rsidRPr="009057DB">
        <w:rPr>
          <w:sz w:val="22"/>
          <w:szCs w:val="22"/>
          <w:lang w:val="sr-Latn-ME"/>
        </w:rPr>
        <w:t>efikasnosti zasniva</w:t>
      </w:r>
      <w:r w:rsidR="008F0687" w:rsidRPr="009057DB">
        <w:rPr>
          <w:sz w:val="22"/>
          <w:szCs w:val="22"/>
          <w:lang w:val="sr-Latn-ME"/>
        </w:rPr>
        <w:t>la</w:t>
      </w:r>
      <w:r w:rsidRPr="009057DB">
        <w:rPr>
          <w:sz w:val="22"/>
          <w:szCs w:val="22"/>
          <w:lang w:val="sr-Latn-ME"/>
        </w:rPr>
        <w:t xml:space="preserve"> se na potvrđenim slučajevima </w:t>
      </w:r>
      <w:r w:rsidR="00467092" w:rsidRPr="009057DB">
        <w:rPr>
          <w:sz w:val="22"/>
          <w:szCs w:val="22"/>
          <w:lang w:val="sr-Latn-ME"/>
        </w:rPr>
        <w:t xml:space="preserve">bolesti </w:t>
      </w:r>
      <w:r w:rsidRPr="009057DB">
        <w:rPr>
          <w:sz w:val="22"/>
          <w:szCs w:val="22"/>
          <w:lang w:val="sr-Latn-ME"/>
        </w:rPr>
        <w:t xml:space="preserve">COVID-19 kod ispitanika starosti 18 i više godina i onima koji su </w:t>
      </w:r>
      <w:r w:rsidR="00885933" w:rsidRPr="009057DB">
        <w:rPr>
          <w:sz w:val="22"/>
          <w:szCs w:val="22"/>
          <w:lang w:val="sr-Latn-ME"/>
        </w:rPr>
        <w:t xml:space="preserve">na početku ispitivanja </w:t>
      </w:r>
      <w:r w:rsidRPr="009057DB">
        <w:rPr>
          <w:sz w:val="22"/>
          <w:szCs w:val="22"/>
          <w:lang w:val="sr-Latn-ME"/>
        </w:rPr>
        <w:t>bili seronegativni, koji su primili dv</w:t>
      </w:r>
      <w:r w:rsidR="001004E8" w:rsidRPr="009057DB">
        <w:rPr>
          <w:sz w:val="22"/>
          <w:szCs w:val="22"/>
          <w:lang w:val="sr-Latn-ME"/>
        </w:rPr>
        <w:t>ij</w:t>
      </w:r>
      <w:r w:rsidRPr="009057DB">
        <w:rPr>
          <w:sz w:val="22"/>
          <w:szCs w:val="22"/>
          <w:lang w:val="sr-Latn-ME"/>
        </w:rPr>
        <w:t xml:space="preserve">e doze </w:t>
      </w:r>
      <w:r w:rsidR="000B77C2" w:rsidRPr="009057DB">
        <w:rPr>
          <w:sz w:val="22"/>
          <w:szCs w:val="22"/>
          <w:lang w:val="sr-Latn-ME"/>
        </w:rPr>
        <w:t xml:space="preserve">vakcine </w:t>
      </w:r>
      <w:r w:rsidRPr="009057DB">
        <w:rPr>
          <w:sz w:val="22"/>
          <w:szCs w:val="22"/>
          <w:lang w:val="sr-Latn-ME"/>
        </w:rPr>
        <w:t xml:space="preserve">i </w:t>
      </w:r>
      <w:r w:rsidR="00C743E5" w:rsidRPr="009057DB">
        <w:rPr>
          <w:sz w:val="22"/>
          <w:szCs w:val="22"/>
          <w:lang w:val="sr-Latn-ME"/>
        </w:rPr>
        <w:t xml:space="preserve">koji su </w:t>
      </w:r>
      <w:r w:rsidRPr="009057DB">
        <w:rPr>
          <w:sz w:val="22"/>
          <w:szCs w:val="22"/>
          <w:lang w:val="sr-Latn-ME"/>
        </w:rPr>
        <w:t xml:space="preserve">bili u </w:t>
      </w:r>
      <w:r w:rsidR="004C4756" w:rsidRPr="009057DB">
        <w:rPr>
          <w:sz w:val="22"/>
          <w:szCs w:val="22"/>
          <w:lang w:val="sr-Latn-ME"/>
        </w:rPr>
        <w:t xml:space="preserve">ispitivanju </w:t>
      </w:r>
      <w:r w:rsidR="00BC7EB3" w:rsidRPr="009057DB">
        <w:rPr>
          <w:sz w:val="22"/>
          <w:szCs w:val="22"/>
          <w:lang w:val="sr-Latn-ME"/>
        </w:rPr>
        <w:t>≥</w:t>
      </w:r>
      <w:r w:rsidRPr="009057DB">
        <w:rPr>
          <w:sz w:val="22"/>
          <w:szCs w:val="22"/>
          <w:lang w:val="sr-Latn-ME"/>
        </w:rPr>
        <w:t>15 dana nakon pri</w:t>
      </w:r>
      <w:r w:rsidR="007C77A1" w:rsidRPr="009057DB">
        <w:rPr>
          <w:sz w:val="22"/>
          <w:szCs w:val="22"/>
          <w:lang w:val="sr-Latn-ME"/>
        </w:rPr>
        <w:t>mjene</w:t>
      </w:r>
      <w:r w:rsidRPr="009057DB">
        <w:rPr>
          <w:sz w:val="22"/>
          <w:szCs w:val="22"/>
          <w:lang w:val="sr-Latn-ME"/>
        </w:rPr>
        <w:t xml:space="preserve"> druge doze.</w:t>
      </w:r>
    </w:p>
    <w:p w14:paraId="5568177C" w14:textId="77777777" w:rsidR="009F6564" w:rsidRPr="009057DB" w:rsidRDefault="009F6564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vertAlign w:val="superscript"/>
          <w:lang w:val="sr-Latn-ME"/>
        </w:rPr>
        <w:t>b</w:t>
      </w:r>
      <w:r w:rsidRPr="009057DB">
        <w:rPr>
          <w:sz w:val="22"/>
          <w:szCs w:val="22"/>
          <w:lang w:val="sr-Latn-ME"/>
        </w:rPr>
        <w:t xml:space="preserve"> CI nije prilagođen za višestrukost.</w:t>
      </w:r>
    </w:p>
    <w:p w14:paraId="1559D102" w14:textId="77777777" w:rsidR="009F6564" w:rsidRPr="009057DB" w:rsidRDefault="009F6564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1B3EEDA" w14:textId="10433D2C" w:rsidR="009F6564" w:rsidRPr="009057DB" w:rsidRDefault="001C215F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lastRenderedPageBreak/>
        <w:t>Prema</w:t>
      </w:r>
      <w:r w:rsidR="00EC30BA" w:rsidRPr="009057DB">
        <w:rPr>
          <w:sz w:val="22"/>
          <w:szCs w:val="22"/>
          <w:lang w:val="sr-Latn-ME"/>
        </w:rPr>
        <w:t xml:space="preserve"> unaprijed određenoj analizi </w:t>
      </w:r>
      <w:r w:rsidR="00774C09" w:rsidRPr="009057DB">
        <w:rPr>
          <w:sz w:val="22"/>
          <w:szCs w:val="22"/>
          <w:lang w:val="sr-Latn-ME"/>
        </w:rPr>
        <w:t>e</w:t>
      </w:r>
      <w:r w:rsidR="009F6564" w:rsidRPr="009057DB">
        <w:rPr>
          <w:sz w:val="22"/>
          <w:szCs w:val="22"/>
          <w:lang w:val="sr-Latn-ME"/>
        </w:rPr>
        <w:t>fikasnost</w:t>
      </w:r>
      <w:r w:rsidR="00BC7EB3" w:rsidRPr="009057DB">
        <w:rPr>
          <w:sz w:val="22"/>
          <w:szCs w:val="22"/>
          <w:lang w:val="sr-Latn-ME"/>
        </w:rPr>
        <w:t>i</w:t>
      </w:r>
      <w:r w:rsidR="009F6564" w:rsidRPr="009057DB">
        <w:rPr>
          <w:sz w:val="22"/>
          <w:szCs w:val="22"/>
          <w:lang w:val="sr-Latn-ME"/>
        </w:rPr>
        <w:t xml:space="preserve"> vakcine kod ispitanika koji </w:t>
      </w:r>
      <w:r w:rsidR="005618BD" w:rsidRPr="009057DB">
        <w:rPr>
          <w:sz w:val="22"/>
          <w:szCs w:val="22"/>
          <w:lang w:val="sr-Latn-ME"/>
        </w:rPr>
        <w:t xml:space="preserve">su </w:t>
      </w:r>
      <w:r w:rsidR="009F6564" w:rsidRPr="009057DB">
        <w:rPr>
          <w:sz w:val="22"/>
          <w:szCs w:val="22"/>
          <w:lang w:val="sr-Latn-ME"/>
        </w:rPr>
        <w:t>prim</w:t>
      </w:r>
      <w:r w:rsidR="005618BD" w:rsidRPr="009057DB">
        <w:rPr>
          <w:sz w:val="22"/>
          <w:szCs w:val="22"/>
          <w:lang w:val="sr-Latn-ME"/>
        </w:rPr>
        <w:t>ili</w:t>
      </w:r>
      <w:r w:rsidR="009F6564" w:rsidRPr="009057DB">
        <w:rPr>
          <w:sz w:val="22"/>
          <w:szCs w:val="22"/>
          <w:lang w:val="sr-Latn-ME"/>
        </w:rPr>
        <w:t xml:space="preserve"> </w:t>
      </w:r>
      <w:r w:rsidR="00424E79" w:rsidRPr="009057DB">
        <w:rPr>
          <w:sz w:val="22"/>
          <w:szCs w:val="22"/>
          <w:lang w:val="sr-Latn-ME"/>
        </w:rPr>
        <w:t>dvije</w:t>
      </w:r>
      <w:r w:rsidR="009F6564" w:rsidRPr="009057DB">
        <w:rPr>
          <w:sz w:val="22"/>
          <w:szCs w:val="22"/>
          <w:lang w:val="sr-Latn-ME"/>
        </w:rPr>
        <w:t xml:space="preserve"> preporučene doze </w:t>
      </w:r>
      <w:r w:rsidR="006B7989" w:rsidRPr="009057DB">
        <w:rPr>
          <w:sz w:val="22"/>
          <w:szCs w:val="22"/>
          <w:lang w:val="sr-Latn-ME"/>
        </w:rPr>
        <w:t>prim</w:t>
      </w:r>
      <w:r w:rsidR="00404F47" w:rsidRPr="009057DB">
        <w:rPr>
          <w:sz w:val="22"/>
          <w:szCs w:val="22"/>
          <w:lang w:val="sr-Latn-ME"/>
        </w:rPr>
        <w:t>i</w:t>
      </w:r>
      <w:r w:rsidR="006B7989" w:rsidRPr="009057DB">
        <w:rPr>
          <w:sz w:val="22"/>
          <w:szCs w:val="22"/>
          <w:lang w:val="sr-Latn-ME"/>
        </w:rPr>
        <w:t xml:space="preserve">jenjene </w:t>
      </w:r>
      <w:r w:rsidR="009F6564" w:rsidRPr="009057DB">
        <w:rPr>
          <w:sz w:val="22"/>
          <w:szCs w:val="22"/>
          <w:lang w:val="sr-Latn-ME"/>
        </w:rPr>
        <w:t>sa bilo kojim intervalom (u rasponu od 3 do 23 ned</w:t>
      </w:r>
      <w:r w:rsidR="00154620" w:rsidRPr="009057DB">
        <w:rPr>
          <w:sz w:val="22"/>
          <w:szCs w:val="22"/>
          <w:lang w:val="sr-Latn-ME"/>
        </w:rPr>
        <w:t>j</w:t>
      </w:r>
      <w:r w:rsidR="009F6564" w:rsidRPr="009057DB">
        <w:rPr>
          <w:sz w:val="22"/>
          <w:szCs w:val="22"/>
          <w:lang w:val="sr-Latn-ME"/>
        </w:rPr>
        <w:t>elje)</w:t>
      </w:r>
      <w:r w:rsidR="005F0B7B" w:rsidRPr="009057DB">
        <w:rPr>
          <w:sz w:val="22"/>
          <w:szCs w:val="22"/>
          <w:lang w:val="sr-Latn-ME"/>
        </w:rPr>
        <w:t xml:space="preserve"> </w:t>
      </w:r>
      <w:r w:rsidR="00471074" w:rsidRPr="009057DB">
        <w:rPr>
          <w:sz w:val="22"/>
          <w:szCs w:val="22"/>
          <w:lang w:val="sr-Latn-ME"/>
        </w:rPr>
        <w:t>iznosila</w:t>
      </w:r>
      <w:r w:rsidR="005F0B7B" w:rsidRPr="009057DB">
        <w:rPr>
          <w:sz w:val="22"/>
          <w:szCs w:val="22"/>
          <w:lang w:val="sr-Latn-ME"/>
        </w:rPr>
        <w:t xml:space="preserve"> je 62,6% (95% CI: 50,9; 71,5)</w:t>
      </w:r>
      <w:r w:rsidR="009F6564" w:rsidRPr="009057DB">
        <w:rPr>
          <w:sz w:val="22"/>
          <w:szCs w:val="22"/>
          <w:lang w:val="sr-Latn-ME"/>
        </w:rPr>
        <w:t xml:space="preserve">. </w:t>
      </w:r>
    </w:p>
    <w:p w14:paraId="5EDEF2B7" w14:textId="77777777" w:rsidR="009F6564" w:rsidRPr="009057DB" w:rsidRDefault="009F6564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A12484C" w14:textId="7666CE9F" w:rsidR="009F6564" w:rsidRPr="009057DB" w:rsidRDefault="00E956C8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Što se tiče hospitalizacij</w:t>
      </w:r>
      <w:r w:rsidR="0036206E" w:rsidRPr="009057DB">
        <w:rPr>
          <w:sz w:val="22"/>
          <w:szCs w:val="22"/>
          <w:lang w:val="sr-Latn-ME"/>
        </w:rPr>
        <w:t>a</w:t>
      </w:r>
      <w:r w:rsidRPr="009057DB">
        <w:rPr>
          <w:sz w:val="22"/>
          <w:szCs w:val="22"/>
          <w:lang w:val="sr-Latn-ME"/>
        </w:rPr>
        <w:t xml:space="preserve"> zbog bolesti </w:t>
      </w:r>
      <w:r w:rsidR="006804E0" w:rsidRPr="009057DB">
        <w:rPr>
          <w:sz w:val="22"/>
          <w:szCs w:val="22"/>
          <w:lang w:val="sr-Latn-ME"/>
        </w:rPr>
        <w:t xml:space="preserve">COVID-19 </w:t>
      </w:r>
      <w:r w:rsidR="009F6564" w:rsidRPr="009057DB">
        <w:rPr>
          <w:sz w:val="22"/>
          <w:szCs w:val="22"/>
          <w:lang w:val="sr-Latn-ME"/>
        </w:rPr>
        <w:t>(stepen ozbiljnosti ≥ 4, prema</w:t>
      </w:r>
      <w:r w:rsidR="0036206E" w:rsidRPr="009057DB">
        <w:rPr>
          <w:sz w:val="22"/>
          <w:szCs w:val="22"/>
          <w:lang w:val="sr-Latn-ME"/>
        </w:rPr>
        <w:t xml:space="preserve"> </w:t>
      </w:r>
      <w:r w:rsidR="000C1611" w:rsidRPr="009057DB">
        <w:rPr>
          <w:sz w:val="22"/>
          <w:szCs w:val="22"/>
          <w:lang w:val="sr-Latn-ME"/>
        </w:rPr>
        <w:t xml:space="preserve">klasifikaciji </w:t>
      </w:r>
      <w:r w:rsidR="00FC476B" w:rsidRPr="009057DB">
        <w:rPr>
          <w:sz w:val="22"/>
          <w:szCs w:val="22"/>
          <w:lang w:val="sr-Latn-ME"/>
        </w:rPr>
        <w:t>SZO</w:t>
      </w:r>
      <w:r w:rsidR="009F6564" w:rsidRPr="009057DB">
        <w:rPr>
          <w:sz w:val="22"/>
          <w:szCs w:val="22"/>
          <w:lang w:val="sr-Latn-ME"/>
        </w:rPr>
        <w:t xml:space="preserve">) </w:t>
      </w:r>
      <w:r w:rsidR="00FE2CC7" w:rsidRPr="009057DB">
        <w:rPr>
          <w:sz w:val="22"/>
          <w:szCs w:val="22"/>
          <w:lang w:val="sr-Latn-ME"/>
        </w:rPr>
        <w:t>nije zabilježen nijedan slučaj</w:t>
      </w:r>
      <w:r w:rsidR="0036206E" w:rsidRPr="009057DB">
        <w:rPr>
          <w:sz w:val="22"/>
          <w:szCs w:val="22"/>
          <w:lang w:val="sr-Latn-ME"/>
        </w:rPr>
        <w:t xml:space="preserve"> (0,0%; N=5258)</w:t>
      </w:r>
      <w:r w:rsidR="00FE2CC7" w:rsidRPr="009057DB">
        <w:rPr>
          <w:sz w:val="22"/>
          <w:szCs w:val="22"/>
          <w:lang w:val="sr-Latn-ME"/>
        </w:rPr>
        <w:t xml:space="preserve"> hospitalizacij</w:t>
      </w:r>
      <w:r w:rsidR="00B12D13" w:rsidRPr="009057DB">
        <w:rPr>
          <w:sz w:val="22"/>
          <w:szCs w:val="22"/>
          <w:lang w:val="sr-Latn-ME"/>
        </w:rPr>
        <w:t>e</w:t>
      </w:r>
      <w:r w:rsidR="00FE2CC7" w:rsidRPr="009057DB">
        <w:rPr>
          <w:sz w:val="22"/>
          <w:szCs w:val="22"/>
          <w:lang w:val="sr-Latn-ME"/>
        </w:rPr>
        <w:t xml:space="preserve"> </w:t>
      </w:r>
      <w:r w:rsidR="00B12D13" w:rsidRPr="009057DB">
        <w:rPr>
          <w:sz w:val="22"/>
          <w:szCs w:val="22"/>
          <w:lang w:val="sr-Latn-ME"/>
        </w:rPr>
        <w:t xml:space="preserve">zbog bolesti </w:t>
      </w:r>
      <w:r w:rsidR="0014769F" w:rsidRPr="009057DB">
        <w:rPr>
          <w:sz w:val="22"/>
          <w:szCs w:val="22"/>
          <w:lang w:val="sr-Latn-ME"/>
        </w:rPr>
        <w:t xml:space="preserve">COVID-19 kod ispitanika </w:t>
      </w:r>
      <w:r w:rsidR="00102672" w:rsidRPr="009057DB">
        <w:rPr>
          <w:sz w:val="22"/>
          <w:szCs w:val="22"/>
          <w:lang w:val="sr-Latn-ME"/>
        </w:rPr>
        <w:t xml:space="preserve">koji su </w:t>
      </w:r>
      <w:r w:rsidR="009F6564" w:rsidRPr="009057DB">
        <w:rPr>
          <w:sz w:val="22"/>
          <w:szCs w:val="22"/>
          <w:lang w:val="sr-Latn-ME"/>
        </w:rPr>
        <w:t>prim</w:t>
      </w:r>
      <w:r w:rsidR="00102672" w:rsidRPr="009057DB">
        <w:rPr>
          <w:sz w:val="22"/>
          <w:szCs w:val="22"/>
          <w:lang w:val="sr-Latn-ME"/>
        </w:rPr>
        <w:t>ili</w:t>
      </w:r>
      <w:r w:rsidR="009F6564" w:rsidRPr="009057DB">
        <w:rPr>
          <w:sz w:val="22"/>
          <w:szCs w:val="22"/>
          <w:lang w:val="sr-Latn-ME"/>
        </w:rPr>
        <w:t xml:space="preserve"> d</w:t>
      </w:r>
      <w:r w:rsidR="00C523E6" w:rsidRPr="009057DB">
        <w:rPr>
          <w:sz w:val="22"/>
          <w:szCs w:val="22"/>
          <w:lang w:val="sr-Latn-ME"/>
        </w:rPr>
        <w:t>vij</w:t>
      </w:r>
      <w:r w:rsidR="009F6564" w:rsidRPr="009057DB">
        <w:rPr>
          <w:sz w:val="22"/>
          <w:szCs w:val="22"/>
          <w:lang w:val="sr-Latn-ME"/>
        </w:rPr>
        <w:t xml:space="preserve">e doze vakcine </w:t>
      </w:r>
      <w:r w:rsidR="006A4259" w:rsidRPr="009057DB">
        <w:rPr>
          <w:color w:val="000000"/>
          <w:sz w:val="22"/>
          <w:szCs w:val="22"/>
          <w:shd w:val="clear" w:color="auto" w:fill="FFFFFF"/>
          <w:lang w:val="sr-Latn-ME"/>
        </w:rPr>
        <w:t>Vaxzevria</w:t>
      </w:r>
      <w:r w:rsidR="008448EC" w:rsidRPr="009057DB">
        <w:rPr>
          <w:color w:val="000000"/>
          <w:sz w:val="22"/>
          <w:szCs w:val="22"/>
          <w:shd w:val="clear" w:color="auto" w:fill="FFFFFF"/>
          <w:lang w:val="sr-Latn-ME"/>
        </w:rPr>
        <w:t xml:space="preserve"> </w:t>
      </w:r>
      <w:r w:rsidR="009F6564" w:rsidRPr="009057DB">
        <w:rPr>
          <w:sz w:val="22"/>
          <w:szCs w:val="22"/>
          <w:lang w:val="sr-Latn-ME"/>
        </w:rPr>
        <w:t xml:space="preserve">(≥15 dana nakon </w:t>
      </w:r>
      <w:r w:rsidR="002B60F7" w:rsidRPr="009057DB">
        <w:rPr>
          <w:sz w:val="22"/>
          <w:szCs w:val="22"/>
          <w:lang w:val="sr-Latn-ME"/>
        </w:rPr>
        <w:t>2.</w:t>
      </w:r>
      <w:r w:rsidR="009F6564" w:rsidRPr="009057DB">
        <w:rPr>
          <w:sz w:val="22"/>
          <w:szCs w:val="22"/>
          <w:lang w:val="sr-Latn-ME"/>
        </w:rPr>
        <w:t xml:space="preserve"> doze) u poređenju </w:t>
      </w:r>
      <w:r w:rsidR="00ED1E08" w:rsidRPr="009057DB">
        <w:rPr>
          <w:sz w:val="22"/>
          <w:szCs w:val="22"/>
          <w:lang w:val="sr-Latn-ME"/>
        </w:rPr>
        <w:t>sa</w:t>
      </w:r>
      <w:r w:rsidR="009F6564" w:rsidRPr="009057DB">
        <w:rPr>
          <w:sz w:val="22"/>
          <w:szCs w:val="22"/>
          <w:lang w:val="sr-Latn-ME"/>
        </w:rPr>
        <w:t xml:space="preserve"> 8 </w:t>
      </w:r>
      <w:r w:rsidR="00ED1E08" w:rsidRPr="009057DB">
        <w:rPr>
          <w:sz w:val="22"/>
          <w:szCs w:val="22"/>
          <w:lang w:val="sr-Latn-ME"/>
        </w:rPr>
        <w:t xml:space="preserve">slučajeva </w:t>
      </w:r>
      <w:r w:rsidR="009F6564" w:rsidRPr="009057DB">
        <w:rPr>
          <w:sz w:val="22"/>
          <w:szCs w:val="22"/>
          <w:lang w:val="sr-Latn-ME"/>
        </w:rPr>
        <w:t>(0</w:t>
      </w:r>
      <w:r w:rsidR="00BB1486" w:rsidRPr="009057DB">
        <w:rPr>
          <w:sz w:val="22"/>
          <w:szCs w:val="22"/>
          <w:lang w:val="sr-Latn-ME"/>
        </w:rPr>
        <w:t>,</w:t>
      </w:r>
      <w:r w:rsidR="009F6564" w:rsidRPr="009057DB">
        <w:rPr>
          <w:sz w:val="22"/>
          <w:szCs w:val="22"/>
          <w:lang w:val="sr-Latn-ME"/>
        </w:rPr>
        <w:t xml:space="preserve">2%; N=5210) </w:t>
      </w:r>
      <w:r w:rsidR="0044227A" w:rsidRPr="009057DB">
        <w:rPr>
          <w:sz w:val="22"/>
          <w:szCs w:val="22"/>
          <w:lang w:val="sr-Latn-ME"/>
        </w:rPr>
        <w:t xml:space="preserve">prijavljenih </w:t>
      </w:r>
      <w:r w:rsidR="009F6564" w:rsidRPr="009057DB">
        <w:rPr>
          <w:sz w:val="22"/>
          <w:szCs w:val="22"/>
          <w:lang w:val="sr-Latn-ME"/>
        </w:rPr>
        <w:t xml:space="preserve">u kontrolnoj grupi, uključujući jedan ozbiljan slučaj (stepen ozbiljnosti ≥ 6, prema </w:t>
      </w:r>
      <w:r w:rsidR="008455BE" w:rsidRPr="009057DB">
        <w:rPr>
          <w:sz w:val="22"/>
          <w:szCs w:val="22"/>
          <w:lang w:val="sr-Latn-ME"/>
        </w:rPr>
        <w:t xml:space="preserve">klasifikaciji </w:t>
      </w:r>
      <w:r w:rsidR="009F6564" w:rsidRPr="009057DB">
        <w:rPr>
          <w:sz w:val="22"/>
          <w:szCs w:val="22"/>
          <w:lang w:val="sr-Latn-ME"/>
        </w:rPr>
        <w:t>S</w:t>
      </w:r>
      <w:r w:rsidR="008455BE" w:rsidRPr="009057DB">
        <w:rPr>
          <w:sz w:val="22"/>
          <w:szCs w:val="22"/>
          <w:lang w:val="sr-Latn-ME"/>
        </w:rPr>
        <w:t>ZO</w:t>
      </w:r>
      <w:r w:rsidR="009F6564" w:rsidRPr="009057DB">
        <w:rPr>
          <w:sz w:val="22"/>
          <w:szCs w:val="22"/>
          <w:lang w:val="sr-Latn-ME"/>
        </w:rPr>
        <w:t xml:space="preserve">). </w:t>
      </w:r>
      <w:r w:rsidR="001A058F" w:rsidRPr="009057DB">
        <w:rPr>
          <w:sz w:val="22"/>
          <w:szCs w:val="22"/>
          <w:lang w:val="sr-Latn-ME"/>
        </w:rPr>
        <w:t xml:space="preserve">Među </w:t>
      </w:r>
      <w:r w:rsidR="009F6564" w:rsidRPr="009057DB">
        <w:rPr>
          <w:sz w:val="22"/>
          <w:szCs w:val="22"/>
          <w:lang w:val="sr-Latn-ME"/>
        </w:rPr>
        <w:t>svi</w:t>
      </w:r>
      <w:r w:rsidR="001A058F" w:rsidRPr="009057DB">
        <w:rPr>
          <w:sz w:val="22"/>
          <w:szCs w:val="22"/>
          <w:lang w:val="sr-Latn-ME"/>
        </w:rPr>
        <w:t>m</w:t>
      </w:r>
      <w:r w:rsidR="009F6564" w:rsidRPr="009057DB">
        <w:rPr>
          <w:sz w:val="22"/>
          <w:szCs w:val="22"/>
          <w:lang w:val="sr-Latn-ME"/>
        </w:rPr>
        <w:t xml:space="preserve"> ispitani</w:t>
      </w:r>
      <w:r w:rsidR="001A058F" w:rsidRPr="009057DB">
        <w:rPr>
          <w:sz w:val="22"/>
          <w:szCs w:val="22"/>
          <w:lang w:val="sr-Latn-ME"/>
        </w:rPr>
        <w:t>cima</w:t>
      </w:r>
      <w:r w:rsidR="009F6564" w:rsidRPr="009057DB">
        <w:rPr>
          <w:sz w:val="22"/>
          <w:szCs w:val="22"/>
          <w:lang w:val="sr-Latn-ME"/>
        </w:rPr>
        <w:t xml:space="preserve"> koji su primili najmanje jednu dozu, od 22</w:t>
      </w:r>
      <w:r w:rsidR="00FB0CA3" w:rsidRPr="009057DB">
        <w:rPr>
          <w:sz w:val="22"/>
          <w:szCs w:val="22"/>
          <w:lang w:val="sr-Latn-ME"/>
        </w:rPr>
        <w:t>.</w:t>
      </w:r>
      <w:r w:rsidR="009F6564" w:rsidRPr="009057DB">
        <w:rPr>
          <w:sz w:val="22"/>
          <w:szCs w:val="22"/>
          <w:lang w:val="sr-Latn-ME"/>
        </w:rPr>
        <w:t xml:space="preserve"> dana nakon </w:t>
      </w:r>
      <w:r w:rsidR="003C1479" w:rsidRPr="009057DB">
        <w:rPr>
          <w:sz w:val="22"/>
          <w:szCs w:val="22"/>
          <w:lang w:val="sr-Latn-ME"/>
        </w:rPr>
        <w:t>1.</w:t>
      </w:r>
      <w:r w:rsidR="009F6564" w:rsidRPr="009057DB">
        <w:rPr>
          <w:sz w:val="22"/>
          <w:szCs w:val="22"/>
          <w:lang w:val="sr-Latn-ME"/>
        </w:rPr>
        <w:t xml:space="preserve"> doze, nije zab</w:t>
      </w:r>
      <w:r w:rsidR="00865B8F" w:rsidRPr="009057DB">
        <w:rPr>
          <w:sz w:val="22"/>
          <w:szCs w:val="22"/>
          <w:lang w:val="sr-Latn-ME"/>
        </w:rPr>
        <w:t>i</w:t>
      </w:r>
      <w:r w:rsidR="009F6564" w:rsidRPr="009057DB">
        <w:rPr>
          <w:sz w:val="22"/>
          <w:szCs w:val="22"/>
          <w:lang w:val="sr-Latn-ME"/>
        </w:rPr>
        <w:t>l</w:t>
      </w:r>
      <w:r w:rsidR="00865B8F" w:rsidRPr="009057DB">
        <w:rPr>
          <w:sz w:val="22"/>
          <w:szCs w:val="22"/>
          <w:lang w:val="sr-Latn-ME"/>
        </w:rPr>
        <w:t>j</w:t>
      </w:r>
      <w:r w:rsidR="009F6564" w:rsidRPr="009057DB">
        <w:rPr>
          <w:sz w:val="22"/>
          <w:szCs w:val="22"/>
          <w:lang w:val="sr-Latn-ME"/>
        </w:rPr>
        <w:t xml:space="preserve">ežen </w:t>
      </w:r>
      <w:r w:rsidR="001161A7" w:rsidRPr="009057DB">
        <w:rPr>
          <w:sz w:val="22"/>
          <w:szCs w:val="22"/>
          <w:lang w:val="sr-Latn-ME"/>
        </w:rPr>
        <w:t xml:space="preserve">nijedan </w:t>
      </w:r>
      <w:r w:rsidR="009F6564" w:rsidRPr="009057DB">
        <w:rPr>
          <w:sz w:val="22"/>
          <w:szCs w:val="22"/>
          <w:lang w:val="sr-Latn-ME"/>
        </w:rPr>
        <w:t xml:space="preserve">slučaj (0.0%, N=8032) </w:t>
      </w:r>
      <w:r w:rsidR="00B82DDE" w:rsidRPr="009057DB">
        <w:rPr>
          <w:sz w:val="22"/>
          <w:szCs w:val="22"/>
          <w:lang w:val="sr-Latn-ME"/>
        </w:rPr>
        <w:t xml:space="preserve">hospitalizacije zbog bolesti </w:t>
      </w:r>
      <w:r w:rsidR="009F6564" w:rsidRPr="009057DB">
        <w:rPr>
          <w:sz w:val="22"/>
          <w:szCs w:val="22"/>
          <w:lang w:val="sr-Latn-ME"/>
        </w:rPr>
        <w:t>COVID-19</w:t>
      </w:r>
      <w:r w:rsidR="0036206E" w:rsidRPr="009057DB">
        <w:rPr>
          <w:sz w:val="22"/>
          <w:szCs w:val="22"/>
          <w:lang w:val="sr-Latn-ME"/>
        </w:rPr>
        <w:t xml:space="preserve"> </w:t>
      </w:r>
      <w:r w:rsidR="00427715" w:rsidRPr="009057DB">
        <w:rPr>
          <w:sz w:val="22"/>
          <w:szCs w:val="22"/>
          <w:lang w:val="sr-Latn-ME"/>
        </w:rPr>
        <w:t xml:space="preserve">kod ispitanika </w:t>
      </w:r>
      <w:r w:rsidR="00A73123" w:rsidRPr="009057DB">
        <w:rPr>
          <w:sz w:val="22"/>
          <w:szCs w:val="22"/>
          <w:lang w:val="sr-Latn-ME"/>
        </w:rPr>
        <w:t>koji su primili vakcinu</w:t>
      </w:r>
      <w:r w:rsidR="008448EC" w:rsidRPr="009057DB">
        <w:rPr>
          <w:sz w:val="22"/>
          <w:szCs w:val="22"/>
          <w:lang w:val="sr-Latn-ME"/>
        </w:rPr>
        <w:t xml:space="preserve"> </w:t>
      </w:r>
      <w:r w:rsidR="006A4259" w:rsidRPr="009057DB">
        <w:rPr>
          <w:color w:val="000000"/>
          <w:sz w:val="22"/>
          <w:szCs w:val="22"/>
          <w:shd w:val="clear" w:color="auto" w:fill="FFFFFF"/>
          <w:lang w:val="sr-Latn-ME"/>
        </w:rPr>
        <w:t>Vaxzevria</w:t>
      </w:r>
      <w:r w:rsidR="009F6564" w:rsidRPr="009057DB">
        <w:rPr>
          <w:sz w:val="22"/>
          <w:szCs w:val="22"/>
          <w:lang w:val="sr-Latn-ME"/>
        </w:rPr>
        <w:t xml:space="preserve">, u poređenju sa 14 </w:t>
      </w:r>
      <w:r w:rsidR="009406AF" w:rsidRPr="009057DB">
        <w:rPr>
          <w:sz w:val="22"/>
          <w:szCs w:val="22"/>
          <w:lang w:val="sr-Latn-ME"/>
        </w:rPr>
        <w:t xml:space="preserve">slučajeva </w:t>
      </w:r>
      <w:r w:rsidR="009F6564" w:rsidRPr="009057DB">
        <w:rPr>
          <w:sz w:val="22"/>
          <w:szCs w:val="22"/>
          <w:lang w:val="sr-Latn-ME"/>
        </w:rPr>
        <w:t xml:space="preserve">(0,2%, N=8026), </w:t>
      </w:r>
      <w:r w:rsidR="00CC4B8B" w:rsidRPr="009057DB">
        <w:rPr>
          <w:sz w:val="22"/>
          <w:szCs w:val="22"/>
          <w:lang w:val="sr-Latn-ME"/>
        </w:rPr>
        <w:t xml:space="preserve">prijavljenih </w:t>
      </w:r>
      <w:r w:rsidR="009F6564" w:rsidRPr="009057DB">
        <w:rPr>
          <w:sz w:val="22"/>
          <w:szCs w:val="22"/>
          <w:lang w:val="sr-Latn-ME"/>
        </w:rPr>
        <w:t>u kontrolnoj grupi, uključujući jedan slučaj sa fatalnim ishodom</w:t>
      </w:r>
      <w:r w:rsidR="007C6A2E" w:rsidRPr="009057DB">
        <w:rPr>
          <w:sz w:val="22"/>
          <w:szCs w:val="22"/>
          <w:lang w:val="sr-Latn-ME"/>
        </w:rPr>
        <w:t>.</w:t>
      </w:r>
      <w:r w:rsidR="009F6564" w:rsidRPr="009057DB">
        <w:rPr>
          <w:sz w:val="22"/>
          <w:szCs w:val="22"/>
          <w:lang w:val="sr-Latn-ME"/>
        </w:rPr>
        <w:t xml:space="preserve"> </w:t>
      </w:r>
    </w:p>
    <w:p w14:paraId="1A6C6214" w14:textId="77777777" w:rsidR="009F6564" w:rsidRPr="009057DB" w:rsidRDefault="009F6564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AFB6445" w14:textId="5226CC4A" w:rsidR="009F6564" w:rsidRPr="009057DB" w:rsidRDefault="00195B0A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Među i</w:t>
      </w:r>
      <w:r w:rsidR="009F6564" w:rsidRPr="009057DB">
        <w:rPr>
          <w:sz w:val="22"/>
          <w:szCs w:val="22"/>
          <w:lang w:val="sr-Latn-ME"/>
        </w:rPr>
        <w:t>spitanici</w:t>
      </w:r>
      <w:r w:rsidRPr="009057DB">
        <w:rPr>
          <w:sz w:val="22"/>
          <w:szCs w:val="22"/>
          <w:lang w:val="sr-Latn-ME"/>
        </w:rPr>
        <w:t>ma</w:t>
      </w:r>
      <w:r w:rsidR="009F6564" w:rsidRPr="009057DB">
        <w:rPr>
          <w:sz w:val="22"/>
          <w:szCs w:val="22"/>
          <w:lang w:val="sr-Latn-ME"/>
        </w:rPr>
        <w:t xml:space="preserve"> koji su imali jedan ili više komorbiditeta, efikasnost vakcine bila je 58,3 % </w:t>
      </w:r>
      <w:r w:rsidR="00912903" w:rsidRPr="009057DB">
        <w:rPr>
          <w:sz w:val="22"/>
          <w:szCs w:val="22"/>
          <w:lang w:val="sr-Latn-ME"/>
        </w:rPr>
        <w:t>(</w:t>
      </w:r>
      <w:r w:rsidR="009F6564" w:rsidRPr="009057DB">
        <w:rPr>
          <w:sz w:val="22"/>
          <w:szCs w:val="22"/>
          <w:lang w:val="sr-Latn-ME"/>
        </w:rPr>
        <w:t>95% CI: 33,6; 73,9</w:t>
      </w:r>
      <w:r w:rsidR="00912903" w:rsidRPr="009057DB">
        <w:rPr>
          <w:sz w:val="22"/>
          <w:szCs w:val="22"/>
          <w:lang w:val="sr-Latn-ME"/>
        </w:rPr>
        <w:t>)</w:t>
      </w:r>
      <w:r w:rsidR="009F6564" w:rsidRPr="009057DB">
        <w:rPr>
          <w:sz w:val="22"/>
          <w:szCs w:val="22"/>
          <w:lang w:val="sr-Latn-ME"/>
        </w:rPr>
        <w:t xml:space="preserve">; </w:t>
      </w:r>
      <w:r w:rsidR="008A2173" w:rsidRPr="009057DB">
        <w:rPr>
          <w:sz w:val="22"/>
          <w:szCs w:val="22"/>
          <w:lang w:val="sr-Latn-ME"/>
        </w:rPr>
        <w:t xml:space="preserve">uz </w:t>
      </w:r>
      <w:r w:rsidR="009F6564" w:rsidRPr="009057DB">
        <w:rPr>
          <w:sz w:val="22"/>
          <w:szCs w:val="22"/>
          <w:lang w:val="sr-Latn-ME"/>
        </w:rPr>
        <w:t xml:space="preserve">25 (1,2%) </w:t>
      </w:r>
      <w:r w:rsidR="00A21A64" w:rsidRPr="009057DB">
        <w:rPr>
          <w:sz w:val="22"/>
          <w:szCs w:val="22"/>
          <w:lang w:val="sr-Latn-ME"/>
        </w:rPr>
        <w:t xml:space="preserve">slučajeva </w:t>
      </w:r>
      <w:r w:rsidR="00EA555C" w:rsidRPr="009057DB">
        <w:rPr>
          <w:sz w:val="22"/>
          <w:szCs w:val="22"/>
          <w:lang w:val="sr-Latn-ME"/>
        </w:rPr>
        <w:t xml:space="preserve">u grupi </w:t>
      </w:r>
      <w:r w:rsidR="00A21A64" w:rsidRPr="009057DB">
        <w:rPr>
          <w:sz w:val="22"/>
          <w:szCs w:val="22"/>
          <w:lang w:val="sr-Latn-ME"/>
        </w:rPr>
        <w:t>koj</w:t>
      </w:r>
      <w:r w:rsidR="00EA555C" w:rsidRPr="009057DB">
        <w:rPr>
          <w:sz w:val="22"/>
          <w:szCs w:val="22"/>
          <w:lang w:val="sr-Latn-ME"/>
        </w:rPr>
        <w:t>a</w:t>
      </w:r>
      <w:r w:rsidR="00A21A64" w:rsidRPr="009057DB">
        <w:rPr>
          <w:sz w:val="22"/>
          <w:szCs w:val="22"/>
          <w:lang w:val="sr-Latn-ME"/>
        </w:rPr>
        <w:t xml:space="preserve"> </w:t>
      </w:r>
      <w:r w:rsidR="00EA555C" w:rsidRPr="009057DB">
        <w:rPr>
          <w:sz w:val="22"/>
          <w:szCs w:val="22"/>
          <w:lang w:val="sr-Latn-ME"/>
        </w:rPr>
        <w:t>je</w:t>
      </w:r>
      <w:r w:rsidR="00A21A64" w:rsidRPr="009057DB">
        <w:rPr>
          <w:sz w:val="22"/>
          <w:szCs w:val="22"/>
          <w:lang w:val="sr-Latn-ME"/>
        </w:rPr>
        <w:t xml:space="preserve"> primil</w:t>
      </w:r>
      <w:r w:rsidR="00366A77" w:rsidRPr="009057DB">
        <w:rPr>
          <w:sz w:val="22"/>
          <w:szCs w:val="22"/>
          <w:lang w:val="sr-Latn-ME"/>
        </w:rPr>
        <w:t>a</w:t>
      </w:r>
      <w:r w:rsidR="00A21A64" w:rsidRPr="009057DB">
        <w:rPr>
          <w:sz w:val="22"/>
          <w:szCs w:val="22"/>
          <w:lang w:val="sr-Latn-ME"/>
        </w:rPr>
        <w:t xml:space="preserve"> vakcinu </w:t>
      </w:r>
      <w:r w:rsidR="006A4259" w:rsidRPr="009057DB">
        <w:rPr>
          <w:color w:val="000000"/>
          <w:sz w:val="22"/>
          <w:szCs w:val="22"/>
          <w:shd w:val="clear" w:color="auto" w:fill="FFFFFF"/>
          <w:lang w:val="sr-Latn-ME"/>
        </w:rPr>
        <w:t>Vaxzevria</w:t>
      </w:r>
      <w:r w:rsidR="008448EC" w:rsidRPr="009057DB">
        <w:rPr>
          <w:color w:val="000000"/>
          <w:sz w:val="22"/>
          <w:szCs w:val="22"/>
          <w:shd w:val="clear" w:color="auto" w:fill="FFFFFF"/>
          <w:lang w:val="sr-Latn-ME"/>
        </w:rPr>
        <w:t xml:space="preserve"> </w:t>
      </w:r>
      <w:r w:rsidR="00580D5B" w:rsidRPr="009057DB">
        <w:rPr>
          <w:sz w:val="22"/>
          <w:szCs w:val="22"/>
          <w:lang w:val="sr-Latn-ME"/>
        </w:rPr>
        <w:t xml:space="preserve">(N=2068) </w:t>
      </w:r>
      <w:r w:rsidR="009F6564" w:rsidRPr="009057DB">
        <w:rPr>
          <w:sz w:val="22"/>
          <w:szCs w:val="22"/>
          <w:lang w:val="sr-Latn-ME"/>
        </w:rPr>
        <w:t xml:space="preserve">naspram 60 (2,9%) </w:t>
      </w:r>
      <w:r w:rsidR="00C91843" w:rsidRPr="009057DB">
        <w:rPr>
          <w:sz w:val="22"/>
          <w:szCs w:val="22"/>
          <w:lang w:val="sr-Latn-ME"/>
        </w:rPr>
        <w:t>slučaj</w:t>
      </w:r>
      <w:r w:rsidR="00A262E5" w:rsidRPr="009057DB">
        <w:rPr>
          <w:sz w:val="22"/>
          <w:szCs w:val="22"/>
          <w:lang w:val="sr-Latn-ME"/>
        </w:rPr>
        <w:t>e</w:t>
      </w:r>
      <w:r w:rsidR="00C91843" w:rsidRPr="009057DB">
        <w:rPr>
          <w:sz w:val="22"/>
          <w:szCs w:val="22"/>
          <w:lang w:val="sr-Latn-ME"/>
        </w:rPr>
        <w:t xml:space="preserve">va </w:t>
      </w:r>
      <w:r w:rsidR="00FD08B7" w:rsidRPr="009057DB">
        <w:rPr>
          <w:sz w:val="22"/>
          <w:szCs w:val="22"/>
          <w:lang w:val="sr-Latn-ME"/>
        </w:rPr>
        <w:t xml:space="preserve">COVID-19 </w:t>
      </w:r>
      <w:r w:rsidR="00C91843" w:rsidRPr="009057DB">
        <w:rPr>
          <w:sz w:val="22"/>
          <w:szCs w:val="22"/>
          <w:lang w:val="sr-Latn-ME"/>
        </w:rPr>
        <w:t>u</w:t>
      </w:r>
      <w:r w:rsidR="009F6564" w:rsidRPr="009057DB">
        <w:rPr>
          <w:sz w:val="22"/>
          <w:szCs w:val="22"/>
          <w:lang w:val="sr-Latn-ME"/>
        </w:rPr>
        <w:t xml:space="preserve"> kontrolnoj grupi (N=2040), redom</w:t>
      </w:r>
      <w:r w:rsidR="00302A9E" w:rsidRPr="009057DB">
        <w:rPr>
          <w:sz w:val="22"/>
          <w:szCs w:val="22"/>
          <w:lang w:val="sr-Latn-ME"/>
        </w:rPr>
        <w:t>.</w:t>
      </w:r>
      <w:r w:rsidR="009F6564" w:rsidRPr="009057DB">
        <w:rPr>
          <w:sz w:val="22"/>
          <w:szCs w:val="22"/>
          <w:lang w:val="sr-Latn-ME"/>
        </w:rPr>
        <w:t xml:space="preserve"> </w:t>
      </w:r>
      <w:r w:rsidR="00302A9E" w:rsidRPr="009057DB">
        <w:rPr>
          <w:sz w:val="22"/>
          <w:szCs w:val="22"/>
          <w:lang w:val="sr-Latn-ME"/>
        </w:rPr>
        <w:t xml:space="preserve">To </w:t>
      </w:r>
      <w:r w:rsidR="00132B64" w:rsidRPr="009057DB">
        <w:rPr>
          <w:sz w:val="22"/>
          <w:szCs w:val="22"/>
          <w:lang w:val="sr-Latn-ME"/>
        </w:rPr>
        <w:t xml:space="preserve">je </w:t>
      </w:r>
      <w:r w:rsidR="009F6564" w:rsidRPr="009057DB">
        <w:rPr>
          <w:sz w:val="22"/>
          <w:szCs w:val="22"/>
          <w:lang w:val="sr-Latn-ME"/>
        </w:rPr>
        <w:t>sličn</w:t>
      </w:r>
      <w:r w:rsidR="00BC7973" w:rsidRPr="009057DB">
        <w:rPr>
          <w:sz w:val="22"/>
          <w:szCs w:val="22"/>
          <w:lang w:val="sr-Latn-ME"/>
        </w:rPr>
        <w:t>o</w:t>
      </w:r>
      <w:r w:rsidR="009F6564" w:rsidRPr="009057DB">
        <w:rPr>
          <w:sz w:val="22"/>
          <w:szCs w:val="22"/>
          <w:lang w:val="sr-Latn-ME"/>
        </w:rPr>
        <w:t xml:space="preserve"> efikasno</w:t>
      </w:r>
      <w:r w:rsidR="00BC7973" w:rsidRPr="009057DB">
        <w:rPr>
          <w:sz w:val="22"/>
          <w:szCs w:val="22"/>
          <w:lang w:val="sr-Latn-ME"/>
        </w:rPr>
        <w:t>s</w:t>
      </w:r>
      <w:r w:rsidR="009F6564" w:rsidRPr="009057DB">
        <w:rPr>
          <w:sz w:val="22"/>
          <w:szCs w:val="22"/>
          <w:lang w:val="sr-Latn-ME"/>
        </w:rPr>
        <w:t>t</w:t>
      </w:r>
      <w:r w:rsidR="00BC7973" w:rsidRPr="009057DB">
        <w:rPr>
          <w:sz w:val="22"/>
          <w:szCs w:val="22"/>
          <w:lang w:val="sr-Latn-ME"/>
        </w:rPr>
        <w:t>i</w:t>
      </w:r>
      <w:r w:rsidR="009F6564" w:rsidRPr="009057DB">
        <w:rPr>
          <w:sz w:val="22"/>
          <w:szCs w:val="22"/>
          <w:lang w:val="sr-Latn-ME"/>
        </w:rPr>
        <w:t xml:space="preserve"> vakcine zab</w:t>
      </w:r>
      <w:r w:rsidR="007C6A2E" w:rsidRPr="009057DB">
        <w:rPr>
          <w:sz w:val="22"/>
          <w:szCs w:val="22"/>
          <w:lang w:val="sr-Latn-ME"/>
        </w:rPr>
        <w:t>i</w:t>
      </w:r>
      <w:r w:rsidR="009F6564" w:rsidRPr="009057DB">
        <w:rPr>
          <w:sz w:val="22"/>
          <w:szCs w:val="22"/>
          <w:lang w:val="sr-Latn-ME"/>
        </w:rPr>
        <w:t>l</w:t>
      </w:r>
      <w:r w:rsidR="007C6A2E" w:rsidRPr="009057DB">
        <w:rPr>
          <w:sz w:val="22"/>
          <w:szCs w:val="22"/>
          <w:lang w:val="sr-Latn-ME"/>
        </w:rPr>
        <w:t>j</w:t>
      </w:r>
      <w:r w:rsidR="009F6564" w:rsidRPr="009057DB">
        <w:rPr>
          <w:sz w:val="22"/>
          <w:szCs w:val="22"/>
          <w:lang w:val="sr-Latn-ME"/>
        </w:rPr>
        <w:t>ežen</w:t>
      </w:r>
      <w:r w:rsidR="00514EA2" w:rsidRPr="009057DB">
        <w:rPr>
          <w:sz w:val="22"/>
          <w:szCs w:val="22"/>
          <w:lang w:val="sr-Latn-ME"/>
        </w:rPr>
        <w:t>oj</w:t>
      </w:r>
      <w:r w:rsidR="009F6564" w:rsidRPr="009057DB">
        <w:rPr>
          <w:sz w:val="22"/>
          <w:szCs w:val="22"/>
          <w:lang w:val="sr-Latn-ME"/>
        </w:rPr>
        <w:t xml:space="preserve"> u ukupnoj populaciji. </w:t>
      </w:r>
    </w:p>
    <w:p w14:paraId="29427E17" w14:textId="77777777" w:rsidR="009F6564" w:rsidRPr="009057DB" w:rsidRDefault="009F6564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6EBF5B8" w14:textId="061F259B" w:rsidR="009F6564" w:rsidRPr="009057DB" w:rsidRDefault="009F6564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Dokazi pokazuju da zaštita počinje otprilike 3 ned</w:t>
      </w:r>
      <w:r w:rsidR="003C7874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>elje nakon prve doze vakcin</w:t>
      </w:r>
      <w:r w:rsidR="00912903" w:rsidRPr="009057DB">
        <w:rPr>
          <w:sz w:val="22"/>
          <w:szCs w:val="22"/>
          <w:lang w:val="sr-Latn-ME"/>
        </w:rPr>
        <w:t>e.</w:t>
      </w:r>
      <w:r w:rsidR="002C1463" w:rsidRPr="009057DB">
        <w:rPr>
          <w:sz w:val="22"/>
          <w:szCs w:val="22"/>
          <w:lang w:val="sr-Latn-ME"/>
        </w:rPr>
        <w:t xml:space="preserve"> </w:t>
      </w:r>
      <w:r w:rsidRPr="009057DB">
        <w:rPr>
          <w:sz w:val="22"/>
          <w:szCs w:val="22"/>
          <w:lang w:val="sr-Latn-ME"/>
        </w:rPr>
        <w:t xml:space="preserve">Drugu dozu treba dati 4 </w:t>
      </w:r>
      <w:r w:rsidR="007A4B31" w:rsidRPr="009057DB">
        <w:rPr>
          <w:sz w:val="22"/>
          <w:szCs w:val="22"/>
          <w:lang w:val="sr-Latn-ME"/>
        </w:rPr>
        <w:t>-</w:t>
      </w:r>
      <w:r w:rsidRPr="009057DB">
        <w:rPr>
          <w:sz w:val="22"/>
          <w:szCs w:val="22"/>
          <w:lang w:val="sr-Latn-ME"/>
        </w:rPr>
        <w:t>12 ned</w:t>
      </w:r>
      <w:r w:rsidR="003C7874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>elja nakon prve doze (vid</w:t>
      </w:r>
      <w:r w:rsidR="003C7874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>et</w:t>
      </w:r>
      <w:r w:rsidR="003C7874" w:rsidRPr="009057DB">
        <w:rPr>
          <w:sz w:val="22"/>
          <w:szCs w:val="22"/>
          <w:lang w:val="sr-Latn-ME"/>
        </w:rPr>
        <w:t>i</w:t>
      </w:r>
      <w:r w:rsidRPr="009057DB">
        <w:rPr>
          <w:sz w:val="22"/>
          <w:szCs w:val="22"/>
          <w:lang w:val="sr-Latn-ME"/>
        </w:rPr>
        <w:t xml:space="preserve"> </w:t>
      </w:r>
      <w:r w:rsidR="002C1463" w:rsidRPr="009057DB">
        <w:rPr>
          <w:sz w:val="22"/>
          <w:szCs w:val="22"/>
          <w:lang w:val="sr-Latn-ME"/>
        </w:rPr>
        <w:t xml:space="preserve">dio </w:t>
      </w:r>
      <w:r w:rsidRPr="009057DB">
        <w:rPr>
          <w:sz w:val="22"/>
          <w:szCs w:val="22"/>
          <w:lang w:val="sr-Latn-ME"/>
        </w:rPr>
        <w:t>4.4).</w:t>
      </w:r>
    </w:p>
    <w:p w14:paraId="73F26989" w14:textId="35C79422" w:rsidR="00A82BAD" w:rsidRPr="009057DB" w:rsidRDefault="00A82BAD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50E8AE3" w14:textId="77777777" w:rsidR="00A82BAD" w:rsidRPr="00E2485A" w:rsidRDefault="00A82BAD" w:rsidP="00A82BAD">
      <w:pPr>
        <w:tabs>
          <w:tab w:val="left" w:pos="284"/>
        </w:tabs>
        <w:jc w:val="both"/>
        <w:rPr>
          <w:sz w:val="22"/>
          <w:szCs w:val="22"/>
          <w:u w:val="single"/>
        </w:rPr>
      </w:pPr>
      <w:r w:rsidRPr="00E2485A">
        <w:rPr>
          <w:sz w:val="22"/>
          <w:szCs w:val="22"/>
          <w:u w:val="single"/>
        </w:rPr>
        <w:t xml:space="preserve">Imunogenost nakon </w:t>
      </w:r>
      <w:r w:rsidRPr="00E2485A">
        <w:rPr>
          <w:i/>
          <w:iCs/>
          <w:sz w:val="22"/>
          <w:szCs w:val="22"/>
          <w:u w:val="single"/>
        </w:rPr>
        <w:t>booster</w:t>
      </w:r>
      <w:r w:rsidRPr="00E2485A">
        <w:rPr>
          <w:sz w:val="22"/>
          <w:szCs w:val="22"/>
          <w:u w:val="single"/>
        </w:rPr>
        <w:t xml:space="preserve"> doze</w:t>
      </w:r>
    </w:p>
    <w:p w14:paraId="09F308C6" w14:textId="77777777" w:rsidR="00A82BAD" w:rsidRPr="009057DB" w:rsidRDefault="00A82BAD" w:rsidP="00A82BAD">
      <w:pPr>
        <w:tabs>
          <w:tab w:val="left" w:pos="284"/>
        </w:tabs>
        <w:jc w:val="both"/>
        <w:rPr>
          <w:sz w:val="22"/>
          <w:szCs w:val="22"/>
        </w:rPr>
      </w:pPr>
    </w:p>
    <w:p w14:paraId="4BA45365" w14:textId="63346249" w:rsidR="00A82BAD" w:rsidRPr="00E2485A" w:rsidRDefault="00A82BAD" w:rsidP="00A82BAD">
      <w:pPr>
        <w:tabs>
          <w:tab w:val="left" w:pos="284"/>
        </w:tabs>
        <w:jc w:val="both"/>
        <w:rPr>
          <w:i/>
          <w:iCs/>
          <w:sz w:val="22"/>
          <w:szCs w:val="22"/>
          <w:u w:val="single"/>
        </w:rPr>
      </w:pPr>
      <w:r w:rsidRPr="00E2485A">
        <w:rPr>
          <w:i/>
          <w:iCs/>
          <w:sz w:val="22"/>
          <w:szCs w:val="22"/>
          <w:u w:val="single"/>
        </w:rPr>
        <w:t xml:space="preserve">Studija D7220C00001, imunogenost nakon booster doze (treće doze) nakon primarne vakcinacije vakcinom Vaxzevria ili mRNA </w:t>
      </w:r>
      <w:r w:rsidR="006524FA" w:rsidRPr="00AA7B62">
        <w:rPr>
          <w:i/>
          <w:iCs/>
          <w:sz w:val="22"/>
          <w:szCs w:val="22"/>
          <w:u w:val="single"/>
        </w:rPr>
        <w:t>vakcinom</w:t>
      </w:r>
      <w:r w:rsidR="006524FA">
        <w:rPr>
          <w:i/>
          <w:iCs/>
          <w:sz w:val="22"/>
          <w:szCs w:val="22"/>
          <w:u w:val="single"/>
        </w:rPr>
        <w:t xml:space="preserve"> protiv</w:t>
      </w:r>
      <w:r w:rsidR="006524FA" w:rsidRPr="006524FA">
        <w:rPr>
          <w:i/>
          <w:iCs/>
          <w:sz w:val="22"/>
          <w:szCs w:val="22"/>
          <w:u w:val="single"/>
        </w:rPr>
        <w:t xml:space="preserve"> </w:t>
      </w:r>
      <w:r w:rsidRPr="00E2485A">
        <w:rPr>
          <w:i/>
          <w:iCs/>
          <w:sz w:val="22"/>
          <w:szCs w:val="22"/>
          <w:u w:val="single"/>
        </w:rPr>
        <w:t>COVID</w:t>
      </w:r>
      <w:r w:rsidR="006524FA">
        <w:rPr>
          <w:i/>
          <w:iCs/>
          <w:sz w:val="22"/>
          <w:szCs w:val="22"/>
          <w:u w:val="single"/>
        </w:rPr>
        <w:t>-</w:t>
      </w:r>
      <w:r w:rsidRPr="00E2485A">
        <w:rPr>
          <w:i/>
          <w:iCs/>
          <w:sz w:val="22"/>
          <w:szCs w:val="22"/>
          <w:u w:val="single"/>
        </w:rPr>
        <w:t xml:space="preserve">19 </w:t>
      </w:r>
    </w:p>
    <w:p w14:paraId="7A201DC2" w14:textId="77777777" w:rsidR="00A82BAD" w:rsidRPr="00E2485A" w:rsidRDefault="00A82BAD" w:rsidP="00A82BAD">
      <w:pPr>
        <w:tabs>
          <w:tab w:val="left" w:pos="284"/>
        </w:tabs>
        <w:jc w:val="both"/>
        <w:rPr>
          <w:sz w:val="22"/>
          <w:szCs w:val="22"/>
          <w:u w:val="single"/>
        </w:rPr>
      </w:pPr>
    </w:p>
    <w:p w14:paraId="3D229409" w14:textId="607A981B" w:rsidR="00A82BAD" w:rsidRPr="009057DB" w:rsidRDefault="00FF331F" w:rsidP="00A82BAD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Studija </w:t>
      </w:r>
      <w:r w:rsidR="00A82BAD" w:rsidRPr="009057DB">
        <w:rPr>
          <w:sz w:val="22"/>
          <w:szCs w:val="22"/>
        </w:rPr>
        <w:t xml:space="preserve">D7220C00001 je </w:t>
      </w:r>
      <w:r>
        <w:rPr>
          <w:sz w:val="22"/>
          <w:szCs w:val="22"/>
        </w:rPr>
        <w:t>djelimično dvostruko slijepa, aktivno kontrolisana studija faze</w:t>
      </w:r>
      <w:r w:rsidRPr="009057DB">
        <w:rPr>
          <w:sz w:val="22"/>
          <w:szCs w:val="22"/>
        </w:rPr>
        <w:t xml:space="preserve"> </w:t>
      </w:r>
      <w:r w:rsidR="00A82BAD" w:rsidRPr="009057DB">
        <w:rPr>
          <w:sz w:val="22"/>
          <w:szCs w:val="22"/>
        </w:rPr>
        <w:t>II/III u kojoj je u</w:t>
      </w:r>
      <w:r w:rsidR="00A82BAD" w:rsidRPr="009057DB">
        <w:rPr>
          <w:sz w:val="22"/>
          <w:szCs w:val="22"/>
          <w:lang w:val="sr-Latn-RS"/>
        </w:rPr>
        <w:t xml:space="preserve">čestvovalo </w:t>
      </w:r>
      <w:r w:rsidR="00A82BAD" w:rsidRPr="009057DB">
        <w:rPr>
          <w:sz w:val="22"/>
          <w:szCs w:val="22"/>
        </w:rPr>
        <w:t xml:space="preserve">367 </w:t>
      </w:r>
      <w:r w:rsidR="00FB5F4F">
        <w:rPr>
          <w:sz w:val="22"/>
          <w:szCs w:val="22"/>
        </w:rPr>
        <w:t>ispitanika</w:t>
      </w:r>
      <w:r w:rsidR="00A82BAD" w:rsidRPr="009057DB">
        <w:rPr>
          <w:sz w:val="22"/>
          <w:szCs w:val="22"/>
        </w:rPr>
        <w:t xml:space="preserve"> </w:t>
      </w:r>
      <w:r w:rsidR="00FB5F4F">
        <w:rPr>
          <w:sz w:val="22"/>
          <w:szCs w:val="22"/>
        </w:rPr>
        <w:t>uzrasta</w:t>
      </w:r>
      <w:r w:rsidR="00A82BAD" w:rsidRPr="009057DB">
        <w:rPr>
          <w:sz w:val="22"/>
          <w:szCs w:val="22"/>
        </w:rPr>
        <w:t xml:space="preserve"> ≥30 godina prethodno vakcinisanih vakcinom Vaxzevria i 322 </w:t>
      </w:r>
      <w:r w:rsidR="00FB5F4F">
        <w:rPr>
          <w:sz w:val="22"/>
          <w:szCs w:val="22"/>
        </w:rPr>
        <w:t>ispitanika uzrasta</w:t>
      </w:r>
      <w:r w:rsidR="00A82BAD" w:rsidRPr="009057DB">
        <w:rPr>
          <w:sz w:val="22"/>
          <w:szCs w:val="22"/>
        </w:rPr>
        <w:t xml:space="preserve"> ≥30 godina koji su prethodno vakcinisani mRNK vakcinom, a potom, nakon </w:t>
      </w:r>
      <w:r w:rsidR="006524FA">
        <w:rPr>
          <w:sz w:val="22"/>
          <w:szCs w:val="22"/>
        </w:rPr>
        <w:t xml:space="preserve">najmanje </w:t>
      </w:r>
      <w:r w:rsidR="00A82BAD" w:rsidRPr="009057DB">
        <w:rPr>
          <w:sz w:val="22"/>
          <w:szCs w:val="22"/>
        </w:rPr>
        <w:t>90 dana od primanja druge doze, primili su dodatnu, treću dozu vakcine Vaxzevria. Imunogenost je proc</w:t>
      </w:r>
      <w:r w:rsidR="00A47E55" w:rsidRPr="009057DB">
        <w:rPr>
          <w:sz w:val="22"/>
          <w:szCs w:val="22"/>
        </w:rPr>
        <w:t>ij</w:t>
      </w:r>
      <w:r w:rsidR="00A82BAD" w:rsidRPr="009057DB">
        <w:rPr>
          <w:sz w:val="22"/>
          <w:szCs w:val="22"/>
        </w:rPr>
        <w:t xml:space="preserve">enjena kod 342 </w:t>
      </w:r>
      <w:r w:rsidR="00FB5F4F">
        <w:rPr>
          <w:sz w:val="22"/>
          <w:szCs w:val="22"/>
        </w:rPr>
        <w:t>ispitanika</w:t>
      </w:r>
      <w:r w:rsidR="00A82BAD" w:rsidRPr="009057DB">
        <w:rPr>
          <w:sz w:val="22"/>
          <w:szCs w:val="22"/>
        </w:rPr>
        <w:t xml:space="preserve"> prethodno vakcinisani</w:t>
      </w:r>
      <w:r w:rsidR="00FB5F4F">
        <w:rPr>
          <w:sz w:val="22"/>
          <w:szCs w:val="22"/>
        </w:rPr>
        <w:t>h</w:t>
      </w:r>
      <w:r w:rsidR="00A82BAD" w:rsidRPr="009057DB">
        <w:rPr>
          <w:sz w:val="22"/>
          <w:szCs w:val="22"/>
        </w:rPr>
        <w:t xml:space="preserve"> vakcinom Vaxzevria i 294 </w:t>
      </w:r>
      <w:r w:rsidR="00FB5F4F">
        <w:rPr>
          <w:sz w:val="22"/>
          <w:szCs w:val="22"/>
        </w:rPr>
        <w:t>ispitanika</w:t>
      </w:r>
      <w:r w:rsidR="00A82BAD" w:rsidRPr="009057DB">
        <w:rPr>
          <w:sz w:val="22"/>
          <w:szCs w:val="22"/>
        </w:rPr>
        <w:t xml:space="preserve"> koji su prethodno vakcinisani mRNK vakcinom, od kojih su svi bili seronegativni na početku.</w:t>
      </w:r>
    </w:p>
    <w:p w14:paraId="72960125" w14:textId="77777777" w:rsidR="00A82BAD" w:rsidRPr="009057DB" w:rsidRDefault="00A82BAD" w:rsidP="00A82BAD">
      <w:pPr>
        <w:tabs>
          <w:tab w:val="left" w:pos="284"/>
        </w:tabs>
        <w:jc w:val="both"/>
        <w:rPr>
          <w:sz w:val="22"/>
          <w:szCs w:val="22"/>
        </w:rPr>
      </w:pPr>
    </w:p>
    <w:p w14:paraId="7FB6ED83" w14:textId="283CDA56" w:rsidR="00A82BAD" w:rsidRPr="009057DB" w:rsidRDefault="007438F5" w:rsidP="00A82BAD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A82BAD" w:rsidRPr="009057DB">
        <w:rPr>
          <w:sz w:val="22"/>
          <w:szCs w:val="22"/>
        </w:rPr>
        <w:t>fikasnost vakcine Vaxzevria prim</w:t>
      </w:r>
      <w:r w:rsidR="00A47E55" w:rsidRPr="009057DB">
        <w:rPr>
          <w:sz w:val="22"/>
          <w:szCs w:val="22"/>
        </w:rPr>
        <w:t>ij</w:t>
      </w:r>
      <w:r w:rsidR="00A82BAD" w:rsidRPr="009057DB">
        <w:rPr>
          <w:sz w:val="22"/>
          <w:szCs w:val="22"/>
        </w:rPr>
        <w:t>enjen</w:t>
      </w:r>
      <w:r>
        <w:rPr>
          <w:sz w:val="22"/>
          <w:szCs w:val="22"/>
        </w:rPr>
        <w:t>e</w:t>
      </w:r>
      <w:r w:rsidR="00A82BAD" w:rsidRPr="009057DB">
        <w:rPr>
          <w:sz w:val="22"/>
          <w:szCs w:val="22"/>
        </w:rPr>
        <w:t xml:space="preserve"> kao pojedinačna booster doza (treća doza) kod </w:t>
      </w:r>
      <w:r>
        <w:rPr>
          <w:sz w:val="22"/>
          <w:szCs w:val="22"/>
        </w:rPr>
        <w:t>ispitanika</w:t>
      </w:r>
      <w:r w:rsidR="00A82BAD" w:rsidRPr="009057DB">
        <w:rPr>
          <w:sz w:val="22"/>
          <w:szCs w:val="22"/>
        </w:rPr>
        <w:t xml:space="preserve"> koji su prethodno vakcinisani vakcinom Vaxzevria, dokazana je proc</w:t>
      </w:r>
      <w:r w:rsidR="00A47E55" w:rsidRPr="009057DB">
        <w:rPr>
          <w:sz w:val="22"/>
          <w:szCs w:val="22"/>
        </w:rPr>
        <w:t>j</w:t>
      </w:r>
      <w:r w:rsidR="00A82BAD" w:rsidRPr="009057DB">
        <w:rPr>
          <w:sz w:val="22"/>
          <w:szCs w:val="22"/>
        </w:rPr>
        <w:t xml:space="preserve">enom neinferiornosti imunog odgovora titra pseudoneutralizujućih </w:t>
      </w:r>
      <w:r w:rsidR="004420EB" w:rsidRPr="009057DB">
        <w:rPr>
          <w:sz w:val="22"/>
          <w:szCs w:val="22"/>
        </w:rPr>
        <w:t>antitijel</w:t>
      </w:r>
      <w:r w:rsidR="00A82BAD" w:rsidRPr="009057DB">
        <w:rPr>
          <w:sz w:val="22"/>
          <w:szCs w:val="22"/>
        </w:rPr>
        <w:t xml:space="preserve">a na originalni soj virusa u poređenju sa odgovorom izazvan primarnom vakcinacijom od 2 doze u podskupu uparenih </w:t>
      </w:r>
      <w:r>
        <w:rPr>
          <w:sz w:val="22"/>
          <w:szCs w:val="22"/>
        </w:rPr>
        <w:t>ispitanika</w:t>
      </w:r>
      <w:r w:rsidR="00A82BAD" w:rsidRPr="009057DB">
        <w:rPr>
          <w:sz w:val="22"/>
          <w:szCs w:val="22"/>
        </w:rPr>
        <w:t xml:space="preserve"> koji su učestvovali u studiji D8110C00001.</w:t>
      </w:r>
    </w:p>
    <w:p w14:paraId="27C2AB35" w14:textId="77777777" w:rsidR="00A82BAD" w:rsidRPr="009057DB" w:rsidRDefault="00A82BAD" w:rsidP="00A82BAD">
      <w:pPr>
        <w:tabs>
          <w:tab w:val="left" w:pos="284"/>
        </w:tabs>
        <w:jc w:val="both"/>
        <w:rPr>
          <w:sz w:val="22"/>
          <w:szCs w:val="22"/>
        </w:rPr>
      </w:pPr>
    </w:p>
    <w:p w14:paraId="722EEA64" w14:textId="51A3A9F0" w:rsidR="00A82BAD" w:rsidRPr="009057DB" w:rsidRDefault="00A82BAD" w:rsidP="007438F5">
      <w:pPr>
        <w:tabs>
          <w:tab w:val="left" w:pos="284"/>
        </w:tabs>
        <w:jc w:val="both"/>
        <w:rPr>
          <w:sz w:val="22"/>
          <w:szCs w:val="22"/>
        </w:rPr>
      </w:pPr>
      <w:r w:rsidRPr="009057DB">
        <w:rPr>
          <w:sz w:val="22"/>
          <w:szCs w:val="22"/>
        </w:rPr>
        <w:t xml:space="preserve">Neinferiornost za GMT </w:t>
      </w:r>
      <w:r w:rsidR="007438F5">
        <w:rPr>
          <w:sz w:val="22"/>
          <w:szCs w:val="22"/>
        </w:rPr>
        <w:t xml:space="preserve">(engl. </w:t>
      </w:r>
      <w:r w:rsidR="007438F5" w:rsidRPr="00E2485A">
        <w:rPr>
          <w:i/>
          <w:sz w:val="22"/>
          <w:szCs w:val="22"/>
        </w:rPr>
        <w:t>geometric mean neutralising antibody titre</w:t>
      </w:r>
      <w:r w:rsidR="007438F5" w:rsidRPr="007438F5">
        <w:rPr>
          <w:sz w:val="22"/>
          <w:szCs w:val="22"/>
        </w:rPr>
        <w:t>)</w:t>
      </w:r>
      <w:r w:rsidR="007438F5">
        <w:rPr>
          <w:sz w:val="22"/>
          <w:szCs w:val="22"/>
        </w:rPr>
        <w:t xml:space="preserve"> </w:t>
      </w:r>
      <w:r w:rsidRPr="009057DB">
        <w:rPr>
          <w:sz w:val="22"/>
          <w:szCs w:val="22"/>
        </w:rPr>
        <w:t>odnos je dokazana kada se uporede vr</w:t>
      </w:r>
      <w:r w:rsidR="00A47E55" w:rsidRPr="009057DB">
        <w:rPr>
          <w:sz w:val="22"/>
          <w:szCs w:val="22"/>
        </w:rPr>
        <w:t>ij</w:t>
      </w:r>
      <w:r w:rsidRPr="009057DB">
        <w:rPr>
          <w:sz w:val="22"/>
          <w:szCs w:val="22"/>
        </w:rPr>
        <w:t xml:space="preserve">ednosti titra pseudoneutralizujućih </w:t>
      </w:r>
      <w:r w:rsidR="004420EB" w:rsidRPr="009057DB">
        <w:rPr>
          <w:sz w:val="22"/>
          <w:szCs w:val="22"/>
        </w:rPr>
        <w:t>antitijel</w:t>
      </w:r>
      <w:r w:rsidRPr="009057DB">
        <w:rPr>
          <w:sz w:val="22"/>
          <w:szCs w:val="22"/>
        </w:rPr>
        <w:t>a nakon 28 dana od prim</w:t>
      </w:r>
      <w:r w:rsidR="00A47E55" w:rsidRPr="009057DB">
        <w:rPr>
          <w:sz w:val="22"/>
          <w:szCs w:val="22"/>
        </w:rPr>
        <w:t>j</w:t>
      </w:r>
      <w:r w:rsidRPr="009057DB">
        <w:rPr>
          <w:sz w:val="22"/>
          <w:szCs w:val="22"/>
        </w:rPr>
        <w:t>ene tre</w:t>
      </w:r>
      <w:r w:rsidRPr="009057DB">
        <w:rPr>
          <w:sz w:val="22"/>
          <w:szCs w:val="22"/>
          <w:lang w:val="sr-Latn-RS"/>
        </w:rPr>
        <w:t>će doze u odnosu na vr</w:t>
      </w:r>
      <w:r w:rsidR="00A47E55" w:rsidRPr="009057DB">
        <w:rPr>
          <w:sz w:val="22"/>
          <w:szCs w:val="22"/>
          <w:lang w:val="sr-Latn-RS"/>
        </w:rPr>
        <w:t>ij</w:t>
      </w:r>
      <w:r w:rsidRPr="009057DB">
        <w:rPr>
          <w:sz w:val="22"/>
          <w:szCs w:val="22"/>
          <w:lang w:val="sr-Latn-RS"/>
        </w:rPr>
        <w:t>ednost</w:t>
      </w:r>
      <w:r w:rsidRPr="009057DB">
        <w:rPr>
          <w:sz w:val="22"/>
          <w:szCs w:val="22"/>
        </w:rPr>
        <w:t xml:space="preserve"> titra </w:t>
      </w:r>
      <w:r w:rsidR="004420EB" w:rsidRPr="009057DB">
        <w:rPr>
          <w:sz w:val="22"/>
          <w:szCs w:val="22"/>
        </w:rPr>
        <w:t>antitijel</w:t>
      </w:r>
      <w:r w:rsidRPr="009057DB">
        <w:rPr>
          <w:sz w:val="22"/>
          <w:szCs w:val="22"/>
        </w:rPr>
        <w:t>a nakon 28 dana od primarne vakcinacije (vid</w:t>
      </w:r>
      <w:r w:rsidR="00A47E55" w:rsidRPr="009057DB">
        <w:rPr>
          <w:sz w:val="22"/>
          <w:szCs w:val="22"/>
        </w:rPr>
        <w:t>j</w:t>
      </w:r>
      <w:r w:rsidRPr="009057DB">
        <w:rPr>
          <w:sz w:val="22"/>
          <w:szCs w:val="22"/>
        </w:rPr>
        <w:t>eti tabelu 4).</w:t>
      </w:r>
    </w:p>
    <w:p w14:paraId="0CE2EBE0" w14:textId="77777777" w:rsidR="00A82BAD" w:rsidRPr="009057DB" w:rsidRDefault="00A82BAD" w:rsidP="00A82BAD">
      <w:pPr>
        <w:tabs>
          <w:tab w:val="left" w:pos="284"/>
        </w:tabs>
        <w:jc w:val="both"/>
        <w:rPr>
          <w:sz w:val="22"/>
          <w:szCs w:val="22"/>
        </w:rPr>
      </w:pPr>
    </w:p>
    <w:p w14:paraId="787FB96D" w14:textId="6FE8ED88" w:rsidR="00A82BAD" w:rsidRPr="009057DB" w:rsidRDefault="00A82BAD" w:rsidP="00A82BAD">
      <w:pPr>
        <w:tabs>
          <w:tab w:val="left" w:pos="284"/>
        </w:tabs>
        <w:jc w:val="both"/>
        <w:rPr>
          <w:sz w:val="22"/>
          <w:szCs w:val="22"/>
        </w:rPr>
      </w:pPr>
      <w:r w:rsidRPr="009057DB">
        <w:rPr>
          <w:sz w:val="22"/>
          <w:szCs w:val="22"/>
        </w:rPr>
        <w:t>Tabela 4. Vr</w:t>
      </w:r>
      <w:r w:rsidR="00A47E55" w:rsidRPr="009057DB">
        <w:rPr>
          <w:sz w:val="22"/>
          <w:szCs w:val="22"/>
        </w:rPr>
        <w:t>ij</w:t>
      </w:r>
      <w:r w:rsidRPr="009057DB">
        <w:rPr>
          <w:sz w:val="22"/>
          <w:szCs w:val="22"/>
        </w:rPr>
        <w:t xml:space="preserve">ednosti titra neutralizujućih </w:t>
      </w:r>
      <w:r w:rsidR="004420EB" w:rsidRPr="009057DB">
        <w:rPr>
          <w:sz w:val="22"/>
          <w:szCs w:val="22"/>
        </w:rPr>
        <w:t>antitijel</w:t>
      </w:r>
      <w:r w:rsidRPr="009057DB">
        <w:rPr>
          <w:sz w:val="22"/>
          <w:szCs w:val="22"/>
        </w:rPr>
        <w:t>a na orig</w:t>
      </w:r>
      <w:r w:rsidR="007438F5">
        <w:rPr>
          <w:sz w:val="22"/>
          <w:szCs w:val="22"/>
        </w:rPr>
        <w:t>ina</w:t>
      </w:r>
      <w:r w:rsidRPr="009057DB">
        <w:rPr>
          <w:sz w:val="22"/>
          <w:szCs w:val="22"/>
        </w:rPr>
        <w:t xml:space="preserve">lni soj virusa nakon treće doze vakcine Vaxzevria kod </w:t>
      </w:r>
      <w:r w:rsidR="007438F5">
        <w:rPr>
          <w:sz w:val="22"/>
          <w:szCs w:val="22"/>
        </w:rPr>
        <w:t>ispitanika</w:t>
      </w:r>
      <w:r w:rsidRPr="009057DB">
        <w:rPr>
          <w:sz w:val="22"/>
          <w:szCs w:val="22"/>
        </w:rPr>
        <w:t xml:space="preserve"> koji su prethodno vakcinisani vakcinom Vaxzevria</w:t>
      </w:r>
    </w:p>
    <w:p w14:paraId="56F98E9F" w14:textId="77777777" w:rsidR="00A82BAD" w:rsidRPr="009057DB" w:rsidRDefault="00A82BAD" w:rsidP="00A82BAD">
      <w:pPr>
        <w:tabs>
          <w:tab w:val="left" w:pos="284"/>
        </w:tabs>
        <w:jc w:val="both"/>
        <w:rPr>
          <w:sz w:val="22"/>
          <w:szCs w:val="22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&lt;&lt;Please Add a Table Title Here&gt;&gt;"/>
      </w:tblPr>
      <w:tblGrid>
        <w:gridCol w:w="1131"/>
        <w:gridCol w:w="2257"/>
        <w:gridCol w:w="1978"/>
        <w:gridCol w:w="1837"/>
        <w:gridCol w:w="1836"/>
      </w:tblGrid>
      <w:tr w:rsidR="00A82BAD" w:rsidRPr="009057DB" w14:paraId="7967F3F4" w14:textId="77777777" w:rsidTr="00626359">
        <w:trPr>
          <w:cantSplit/>
          <w:trHeight w:val="432"/>
        </w:trPr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145B3" w14:textId="77777777" w:rsidR="00A82BAD" w:rsidRPr="009057DB" w:rsidRDefault="00A82BAD" w:rsidP="00A82BAD">
            <w:pPr>
              <w:jc w:val="center"/>
              <w:rPr>
                <w:b/>
                <w:bCs/>
                <w:sz w:val="22"/>
                <w:szCs w:val="28"/>
                <w:lang w:val="en-GB"/>
              </w:rPr>
            </w:pPr>
          </w:p>
        </w:tc>
        <w:tc>
          <w:tcPr>
            <w:tcW w:w="24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3BB8FF" w14:textId="77777777" w:rsidR="00A82BAD" w:rsidRPr="009057DB" w:rsidRDefault="00A82BAD" w:rsidP="00A82BAD">
            <w:pPr>
              <w:jc w:val="center"/>
              <w:rPr>
                <w:sz w:val="22"/>
                <w:szCs w:val="28"/>
                <w:lang w:val="en-GB"/>
              </w:rPr>
            </w:pPr>
            <w:r w:rsidRPr="009057DB">
              <w:rPr>
                <w:b/>
                <w:bCs/>
                <w:sz w:val="22"/>
                <w:szCs w:val="28"/>
                <w:lang w:val="en-GB"/>
              </w:rPr>
              <w:t>28 dana nakon primarnog procesa vakcinacije vakcinom Vaxzevria</w:t>
            </w:r>
            <w:r w:rsidRPr="009057DB">
              <w:rPr>
                <w:b/>
                <w:bCs/>
                <w:sz w:val="22"/>
                <w:szCs w:val="28"/>
                <w:vertAlign w:val="superscript"/>
                <w:lang w:val="en-GB"/>
              </w:rPr>
              <w:t>a</w:t>
            </w:r>
            <w:r w:rsidRPr="009057DB">
              <w:rPr>
                <w:b/>
                <w:bCs/>
                <w:sz w:val="22"/>
                <w:szCs w:val="28"/>
                <w:lang w:val="en-GB"/>
              </w:rPr>
              <w:t xml:space="preserve"> </w:t>
            </w:r>
          </w:p>
        </w:tc>
        <w:tc>
          <w:tcPr>
            <w:tcW w:w="2103" w:type="dxa"/>
          </w:tcPr>
          <w:p w14:paraId="0534E7BB" w14:textId="77777777" w:rsidR="00A82BAD" w:rsidRPr="009057DB" w:rsidRDefault="00A82BAD" w:rsidP="00A82BAD">
            <w:pPr>
              <w:jc w:val="center"/>
              <w:rPr>
                <w:sz w:val="22"/>
                <w:szCs w:val="28"/>
                <w:lang w:val="en-GB"/>
              </w:rPr>
            </w:pPr>
            <w:r w:rsidRPr="009057DB">
              <w:rPr>
                <w:b/>
                <w:bCs/>
                <w:sz w:val="22"/>
                <w:szCs w:val="28"/>
                <w:lang w:val="en-GB"/>
              </w:rPr>
              <w:t>28 dana nakon treće doze</w:t>
            </w:r>
          </w:p>
        </w:tc>
        <w:tc>
          <w:tcPr>
            <w:tcW w:w="1952" w:type="dxa"/>
          </w:tcPr>
          <w:p w14:paraId="59AAA349" w14:textId="77777777" w:rsidR="00A82BAD" w:rsidRPr="009057DB" w:rsidRDefault="00A82BAD" w:rsidP="00A82BAD">
            <w:pPr>
              <w:jc w:val="center"/>
              <w:rPr>
                <w:b/>
                <w:bCs/>
                <w:sz w:val="22"/>
                <w:szCs w:val="28"/>
                <w:lang w:val="en-GB"/>
              </w:rPr>
            </w:pPr>
            <w:r w:rsidRPr="009057DB">
              <w:rPr>
                <w:b/>
                <w:bCs/>
                <w:sz w:val="22"/>
                <w:szCs w:val="28"/>
                <w:lang w:val="en-GB"/>
              </w:rPr>
              <w:t>GMT odnos</w:t>
            </w:r>
            <w:r w:rsidRPr="009057DB">
              <w:rPr>
                <w:b/>
                <w:bCs/>
                <w:sz w:val="22"/>
                <w:szCs w:val="28"/>
                <w:vertAlign w:val="superscript"/>
                <w:lang w:val="en-GB"/>
              </w:rPr>
              <w:t>b</w:t>
            </w:r>
          </w:p>
        </w:tc>
        <w:tc>
          <w:tcPr>
            <w:tcW w:w="1951" w:type="dxa"/>
          </w:tcPr>
          <w:p w14:paraId="024703C3" w14:textId="77777777" w:rsidR="00A82BAD" w:rsidRPr="009057DB" w:rsidRDefault="00A82BAD" w:rsidP="00A82BAD">
            <w:pPr>
              <w:jc w:val="center"/>
              <w:rPr>
                <w:b/>
                <w:bCs/>
                <w:sz w:val="22"/>
                <w:szCs w:val="28"/>
                <w:lang w:val="en-GB"/>
              </w:rPr>
            </w:pPr>
            <w:r w:rsidRPr="009057DB">
              <w:rPr>
                <w:b/>
                <w:bCs/>
                <w:sz w:val="22"/>
                <w:szCs w:val="28"/>
                <w:lang w:val="en-GB"/>
              </w:rPr>
              <w:t>Ispunjeni kriterijumi za neinferiornost (Da/Ne)</w:t>
            </w:r>
          </w:p>
        </w:tc>
      </w:tr>
      <w:tr w:rsidR="00A82BAD" w:rsidRPr="009057DB" w14:paraId="320691C6" w14:textId="77777777" w:rsidTr="00626359">
        <w:trPr>
          <w:cantSplit/>
          <w:trHeight w:val="432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</w:tcPr>
          <w:p w14:paraId="2406C69D" w14:textId="77777777" w:rsidR="00A82BAD" w:rsidRPr="009057DB" w:rsidRDefault="00A82BAD" w:rsidP="00A82BAD">
            <w:pPr>
              <w:jc w:val="center"/>
              <w:rPr>
                <w:sz w:val="22"/>
                <w:szCs w:val="28"/>
                <w:lang w:val="en-GB"/>
              </w:rPr>
            </w:pPr>
            <w:r w:rsidRPr="009057DB">
              <w:rPr>
                <w:sz w:val="22"/>
                <w:szCs w:val="28"/>
                <w:lang w:val="en-GB"/>
              </w:rPr>
              <w:t>n</w:t>
            </w:r>
          </w:p>
        </w:tc>
        <w:tc>
          <w:tcPr>
            <w:tcW w:w="2402" w:type="dxa"/>
            <w:tcBorders>
              <w:top w:val="single" w:sz="4" w:space="0" w:color="auto"/>
            </w:tcBorders>
            <w:shd w:val="clear" w:color="auto" w:fill="auto"/>
          </w:tcPr>
          <w:p w14:paraId="32FE3FE4" w14:textId="77777777" w:rsidR="00A82BAD" w:rsidRPr="009057DB" w:rsidRDefault="00A82BAD" w:rsidP="00A82BAD">
            <w:pPr>
              <w:jc w:val="center"/>
              <w:rPr>
                <w:sz w:val="22"/>
                <w:szCs w:val="28"/>
                <w:lang w:val="en-GB"/>
              </w:rPr>
            </w:pPr>
            <w:r w:rsidRPr="009057DB">
              <w:rPr>
                <w:sz w:val="22"/>
                <w:szCs w:val="28"/>
                <w:lang w:val="en-GB"/>
              </w:rPr>
              <w:t>508</w:t>
            </w:r>
          </w:p>
        </w:tc>
        <w:tc>
          <w:tcPr>
            <w:tcW w:w="2103" w:type="dxa"/>
          </w:tcPr>
          <w:p w14:paraId="5EE5D2E9" w14:textId="77777777" w:rsidR="00A82BAD" w:rsidRPr="009057DB" w:rsidRDefault="00A82BAD" w:rsidP="00A82BAD">
            <w:pPr>
              <w:jc w:val="center"/>
              <w:rPr>
                <w:sz w:val="22"/>
                <w:szCs w:val="28"/>
                <w:lang w:val="en-GB"/>
              </w:rPr>
            </w:pPr>
            <w:r w:rsidRPr="009057DB">
              <w:rPr>
                <w:sz w:val="22"/>
                <w:szCs w:val="28"/>
                <w:lang w:val="en-GB"/>
              </w:rPr>
              <w:t>327</w:t>
            </w:r>
          </w:p>
        </w:tc>
        <w:tc>
          <w:tcPr>
            <w:tcW w:w="1952" w:type="dxa"/>
          </w:tcPr>
          <w:p w14:paraId="31D9209E" w14:textId="77777777" w:rsidR="00A82BAD" w:rsidRPr="009057DB" w:rsidRDefault="00A82BAD" w:rsidP="00A82BAD">
            <w:pPr>
              <w:jc w:val="center"/>
              <w:rPr>
                <w:sz w:val="22"/>
                <w:szCs w:val="28"/>
                <w:lang w:val="en-GB"/>
              </w:rPr>
            </w:pPr>
            <w:r w:rsidRPr="009057DB">
              <w:rPr>
                <w:sz w:val="22"/>
                <w:szCs w:val="28"/>
                <w:lang w:val="en-GB"/>
              </w:rPr>
              <w:t>327/508</w:t>
            </w:r>
          </w:p>
        </w:tc>
        <w:tc>
          <w:tcPr>
            <w:tcW w:w="1951" w:type="dxa"/>
          </w:tcPr>
          <w:p w14:paraId="71C51D6B" w14:textId="77777777" w:rsidR="00A82BAD" w:rsidRPr="009057DB" w:rsidRDefault="00A82BAD" w:rsidP="00A82BAD">
            <w:pPr>
              <w:jc w:val="center"/>
              <w:rPr>
                <w:sz w:val="22"/>
                <w:szCs w:val="28"/>
                <w:lang w:val="en-GB"/>
              </w:rPr>
            </w:pPr>
          </w:p>
        </w:tc>
      </w:tr>
      <w:tr w:rsidR="00A82BAD" w:rsidRPr="009057DB" w14:paraId="4918FE64" w14:textId="77777777" w:rsidTr="00626359">
        <w:trPr>
          <w:cantSplit/>
          <w:trHeight w:val="432"/>
        </w:trPr>
        <w:tc>
          <w:tcPr>
            <w:tcW w:w="1196" w:type="dxa"/>
            <w:tcBorders>
              <w:left w:val="single" w:sz="4" w:space="0" w:color="auto"/>
            </w:tcBorders>
          </w:tcPr>
          <w:p w14:paraId="4113352B" w14:textId="77777777" w:rsidR="00A82BAD" w:rsidRPr="009057DB" w:rsidRDefault="00A82BAD" w:rsidP="00A82BAD">
            <w:pPr>
              <w:jc w:val="center"/>
              <w:rPr>
                <w:sz w:val="22"/>
                <w:szCs w:val="28"/>
                <w:lang w:val="en-GB"/>
              </w:rPr>
            </w:pPr>
            <w:r w:rsidRPr="009057DB">
              <w:rPr>
                <w:b/>
                <w:sz w:val="22"/>
                <w:szCs w:val="28"/>
                <w:lang w:val="en-GB"/>
              </w:rPr>
              <w:t>GMT</w:t>
            </w:r>
            <w:r w:rsidRPr="009057DB">
              <w:rPr>
                <w:b/>
                <w:sz w:val="22"/>
                <w:szCs w:val="28"/>
                <w:vertAlign w:val="superscript"/>
                <w:lang w:val="en-GB"/>
              </w:rPr>
              <w:t xml:space="preserve"> c</w:t>
            </w:r>
          </w:p>
        </w:tc>
        <w:tc>
          <w:tcPr>
            <w:tcW w:w="2402" w:type="dxa"/>
            <w:shd w:val="clear" w:color="auto" w:fill="auto"/>
          </w:tcPr>
          <w:p w14:paraId="18EB7D1A" w14:textId="77777777" w:rsidR="00A82BAD" w:rsidRPr="009057DB" w:rsidRDefault="00A82BAD" w:rsidP="00A82BAD">
            <w:pPr>
              <w:jc w:val="center"/>
              <w:rPr>
                <w:sz w:val="22"/>
                <w:szCs w:val="28"/>
                <w:lang w:val="en-GB"/>
              </w:rPr>
            </w:pPr>
            <w:r w:rsidRPr="009057DB">
              <w:rPr>
                <w:sz w:val="22"/>
                <w:szCs w:val="28"/>
                <w:lang w:val="en-GB"/>
              </w:rPr>
              <w:t>242.80</w:t>
            </w:r>
          </w:p>
        </w:tc>
        <w:tc>
          <w:tcPr>
            <w:tcW w:w="2103" w:type="dxa"/>
          </w:tcPr>
          <w:p w14:paraId="1D2B170E" w14:textId="77777777" w:rsidR="00A82BAD" w:rsidRPr="009057DB" w:rsidRDefault="00A82BAD" w:rsidP="00A82BAD">
            <w:pPr>
              <w:jc w:val="center"/>
              <w:rPr>
                <w:sz w:val="22"/>
                <w:szCs w:val="28"/>
                <w:lang w:val="en-GB"/>
              </w:rPr>
            </w:pPr>
            <w:r w:rsidRPr="009057DB">
              <w:rPr>
                <w:sz w:val="22"/>
                <w:szCs w:val="28"/>
                <w:lang w:val="en-GB"/>
              </w:rPr>
              <w:t>248.89</w:t>
            </w:r>
          </w:p>
        </w:tc>
        <w:tc>
          <w:tcPr>
            <w:tcW w:w="1952" w:type="dxa"/>
          </w:tcPr>
          <w:p w14:paraId="192027F0" w14:textId="77777777" w:rsidR="00A82BAD" w:rsidRPr="009057DB" w:rsidRDefault="00A82BAD" w:rsidP="00A82BAD">
            <w:pPr>
              <w:jc w:val="center"/>
              <w:rPr>
                <w:sz w:val="22"/>
                <w:szCs w:val="28"/>
                <w:lang w:val="en-GB"/>
              </w:rPr>
            </w:pPr>
            <w:r w:rsidRPr="009057DB">
              <w:rPr>
                <w:sz w:val="22"/>
                <w:szCs w:val="28"/>
                <w:lang w:val="en-GB"/>
              </w:rPr>
              <w:t>1.03</w:t>
            </w:r>
          </w:p>
        </w:tc>
        <w:tc>
          <w:tcPr>
            <w:tcW w:w="1951" w:type="dxa"/>
          </w:tcPr>
          <w:p w14:paraId="01A8F058" w14:textId="77777777" w:rsidR="00A82BAD" w:rsidRPr="009057DB" w:rsidRDefault="00A82BAD" w:rsidP="00A82BAD">
            <w:pPr>
              <w:jc w:val="center"/>
              <w:rPr>
                <w:sz w:val="22"/>
                <w:szCs w:val="28"/>
                <w:lang w:val="en-GB"/>
              </w:rPr>
            </w:pPr>
            <w:r w:rsidRPr="009057DB">
              <w:rPr>
                <w:sz w:val="22"/>
                <w:szCs w:val="28"/>
                <w:lang w:val="en-GB"/>
              </w:rPr>
              <w:t>Da</w:t>
            </w:r>
            <w:r w:rsidRPr="009057DB">
              <w:rPr>
                <w:sz w:val="22"/>
                <w:szCs w:val="28"/>
                <w:vertAlign w:val="superscript"/>
                <w:lang w:val="en-GB"/>
              </w:rPr>
              <w:t>d</w:t>
            </w:r>
          </w:p>
        </w:tc>
      </w:tr>
      <w:tr w:rsidR="00A82BAD" w:rsidRPr="009057DB" w14:paraId="7DA65A6E" w14:textId="77777777" w:rsidTr="00626359">
        <w:trPr>
          <w:cantSplit/>
          <w:trHeight w:val="432"/>
        </w:trPr>
        <w:tc>
          <w:tcPr>
            <w:tcW w:w="1196" w:type="dxa"/>
            <w:tcBorders>
              <w:left w:val="single" w:sz="4" w:space="0" w:color="auto"/>
            </w:tcBorders>
          </w:tcPr>
          <w:p w14:paraId="5EE4126D" w14:textId="77777777" w:rsidR="00A82BAD" w:rsidRPr="009057DB" w:rsidRDefault="00A82BAD" w:rsidP="00A82BAD">
            <w:pPr>
              <w:jc w:val="center"/>
              <w:rPr>
                <w:sz w:val="22"/>
                <w:szCs w:val="28"/>
                <w:lang w:val="en-GB"/>
              </w:rPr>
            </w:pPr>
            <w:r w:rsidRPr="009057DB">
              <w:rPr>
                <w:sz w:val="22"/>
                <w:szCs w:val="28"/>
                <w:lang w:val="en-GB"/>
              </w:rPr>
              <w:t>(95% CI)</w:t>
            </w:r>
          </w:p>
        </w:tc>
        <w:tc>
          <w:tcPr>
            <w:tcW w:w="2402" w:type="dxa"/>
            <w:shd w:val="clear" w:color="auto" w:fill="auto"/>
          </w:tcPr>
          <w:p w14:paraId="6EA3CB91" w14:textId="77777777" w:rsidR="00A82BAD" w:rsidRPr="009057DB" w:rsidRDefault="00A82BAD" w:rsidP="00A82BAD">
            <w:pPr>
              <w:jc w:val="center"/>
              <w:rPr>
                <w:sz w:val="22"/>
                <w:szCs w:val="28"/>
                <w:lang w:val="en-GB"/>
              </w:rPr>
            </w:pPr>
            <w:r w:rsidRPr="009057DB">
              <w:rPr>
                <w:sz w:val="22"/>
                <w:szCs w:val="28"/>
                <w:lang w:val="en-GB"/>
              </w:rPr>
              <w:t>(224.82, 262.23)</w:t>
            </w:r>
          </w:p>
        </w:tc>
        <w:tc>
          <w:tcPr>
            <w:tcW w:w="2103" w:type="dxa"/>
          </w:tcPr>
          <w:p w14:paraId="1CC57011" w14:textId="77777777" w:rsidR="00A82BAD" w:rsidRPr="009057DB" w:rsidRDefault="00A82BAD" w:rsidP="00A82BAD">
            <w:pPr>
              <w:jc w:val="center"/>
              <w:rPr>
                <w:sz w:val="22"/>
                <w:szCs w:val="28"/>
                <w:lang w:val="en-GB"/>
              </w:rPr>
            </w:pPr>
            <w:r w:rsidRPr="009057DB">
              <w:rPr>
                <w:sz w:val="22"/>
                <w:szCs w:val="28"/>
                <w:lang w:val="en-GB"/>
              </w:rPr>
              <w:t>(229.53, 269.89)</w:t>
            </w:r>
          </w:p>
        </w:tc>
        <w:tc>
          <w:tcPr>
            <w:tcW w:w="1952" w:type="dxa"/>
          </w:tcPr>
          <w:p w14:paraId="5D68EF5A" w14:textId="77777777" w:rsidR="00A82BAD" w:rsidRPr="009057DB" w:rsidRDefault="00A82BAD" w:rsidP="00A82BAD">
            <w:pPr>
              <w:jc w:val="center"/>
              <w:rPr>
                <w:sz w:val="22"/>
                <w:szCs w:val="28"/>
                <w:lang w:val="en-GB"/>
              </w:rPr>
            </w:pPr>
            <w:r w:rsidRPr="009057DB">
              <w:rPr>
                <w:sz w:val="22"/>
                <w:szCs w:val="28"/>
                <w:lang w:val="en-GB"/>
              </w:rPr>
              <w:t>(0.92, 1.15)</w:t>
            </w:r>
          </w:p>
        </w:tc>
        <w:tc>
          <w:tcPr>
            <w:tcW w:w="1951" w:type="dxa"/>
          </w:tcPr>
          <w:p w14:paraId="1DB32BDC" w14:textId="77777777" w:rsidR="00A82BAD" w:rsidRPr="009057DB" w:rsidRDefault="00A82BAD" w:rsidP="00A82BAD">
            <w:pPr>
              <w:jc w:val="center"/>
              <w:rPr>
                <w:sz w:val="22"/>
                <w:szCs w:val="28"/>
                <w:lang w:val="en-GB"/>
              </w:rPr>
            </w:pPr>
          </w:p>
        </w:tc>
      </w:tr>
    </w:tbl>
    <w:p w14:paraId="71E8210C" w14:textId="421DAD6F" w:rsidR="00A82BAD" w:rsidRPr="009057DB" w:rsidRDefault="00A82BAD" w:rsidP="00A82BAD">
      <w:pPr>
        <w:tabs>
          <w:tab w:val="left" w:pos="284"/>
        </w:tabs>
        <w:jc w:val="both"/>
        <w:rPr>
          <w:sz w:val="22"/>
          <w:szCs w:val="22"/>
        </w:rPr>
      </w:pPr>
      <w:r w:rsidRPr="009057DB">
        <w:rPr>
          <w:sz w:val="22"/>
          <w:szCs w:val="22"/>
        </w:rPr>
        <w:t xml:space="preserve">n = Broj </w:t>
      </w:r>
      <w:r w:rsidR="007438F5">
        <w:rPr>
          <w:sz w:val="22"/>
          <w:szCs w:val="22"/>
        </w:rPr>
        <w:t>ispitanika</w:t>
      </w:r>
      <w:r w:rsidRPr="009057DB">
        <w:rPr>
          <w:sz w:val="22"/>
          <w:szCs w:val="22"/>
        </w:rPr>
        <w:t xml:space="preserve"> u analizi; GMT = geometrijsk</w:t>
      </w:r>
      <w:r w:rsidR="007438F5">
        <w:rPr>
          <w:sz w:val="22"/>
          <w:szCs w:val="22"/>
        </w:rPr>
        <w:t>a</w:t>
      </w:r>
      <w:r w:rsidRPr="009057DB">
        <w:rPr>
          <w:sz w:val="22"/>
          <w:szCs w:val="22"/>
        </w:rPr>
        <w:t xml:space="preserve"> srednj</w:t>
      </w:r>
      <w:r w:rsidR="007438F5">
        <w:rPr>
          <w:sz w:val="22"/>
          <w:szCs w:val="22"/>
        </w:rPr>
        <w:t>a vrijednost</w:t>
      </w:r>
      <w:r w:rsidRPr="009057DB">
        <w:rPr>
          <w:sz w:val="22"/>
          <w:szCs w:val="22"/>
        </w:rPr>
        <w:t xml:space="preserve"> tit</w:t>
      </w:r>
      <w:r w:rsidR="007438F5">
        <w:rPr>
          <w:sz w:val="22"/>
          <w:szCs w:val="22"/>
        </w:rPr>
        <w:t>ra</w:t>
      </w:r>
      <w:r w:rsidRPr="009057DB">
        <w:rPr>
          <w:sz w:val="22"/>
          <w:szCs w:val="22"/>
        </w:rPr>
        <w:t xml:space="preserve"> neutralizujućih </w:t>
      </w:r>
      <w:r w:rsidR="004420EB" w:rsidRPr="009057DB">
        <w:rPr>
          <w:sz w:val="22"/>
          <w:szCs w:val="22"/>
        </w:rPr>
        <w:t>antitijel</w:t>
      </w:r>
      <w:r w:rsidRPr="009057DB">
        <w:rPr>
          <w:sz w:val="22"/>
          <w:szCs w:val="22"/>
        </w:rPr>
        <w:t xml:space="preserve">a; CI = interval pouzdanosti; </w:t>
      </w:r>
    </w:p>
    <w:p w14:paraId="7148C98F" w14:textId="0793620E" w:rsidR="00A82BAD" w:rsidRPr="009057DB" w:rsidRDefault="00A82BAD" w:rsidP="00A82BAD">
      <w:pPr>
        <w:tabs>
          <w:tab w:val="left" w:pos="284"/>
        </w:tabs>
        <w:jc w:val="both"/>
        <w:rPr>
          <w:sz w:val="22"/>
          <w:szCs w:val="22"/>
        </w:rPr>
      </w:pPr>
      <w:r w:rsidRPr="009057DB">
        <w:rPr>
          <w:sz w:val="22"/>
          <w:szCs w:val="22"/>
        </w:rPr>
        <w:lastRenderedPageBreak/>
        <w:t xml:space="preserve">a. Zasnovano na analizama </w:t>
      </w:r>
      <w:r w:rsidR="007438F5">
        <w:rPr>
          <w:sz w:val="22"/>
          <w:szCs w:val="22"/>
        </w:rPr>
        <w:t>iz kohorte uparenih ispitanika</w:t>
      </w:r>
      <w:r w:rsidRPr="009057DB">
        <w:rPr>
          <w:sz w:val="22"/>
          <w:szCs w:val="22"/>
        </w:rPr>
        <w:t xml:space="preserve"> u studiji D8110C00001</w:t>
      </w:r>
    </w:p>
    <w:p w14:paraId="10696B10" w14:textId="3C2567B0" w:rsidR="00A82BAD" w:rsidRPr="009057DB" w:rsidRDefault="00A82BAD" w:rsidP="00A82BAD">
      <w:pPr>
        <w:tabs>
          <w:tab w:val="left" w:pos="284"/>
        </w:tabs>
        <w:jc w:val="both"/>
        <w:rPr>
          <w:sz w:val="22"/>
          <w:szCs w:val="22"/>
        </w:rPr>
      </w:pPr>
      <w:r w:rsidRPr="009057DB">
        <w:rPr>
          <w:sz w:val="22"/>
          <w:szCs w:val="22"/>
        </w:rPr>
        <w:t xml:space="preserve">b. GMT 28 dana nakon dopunske doze </w:t>
      </w:r>
      <w:r w:rsidR="007438F5">
        <w:rPr>
          <w:sz w:val="22"/>
          <w:szCs w:val="22"/>
        </w:rPr>
        <w:t>u odnosu na</w:t>
      </w:r>
      <w:r w:rsidRPr="009057DB">
        <w:rPr>
          <w:sz w:val="22"/>
          <w:szCs w:val="22"/>
        </w:rPr>
        <w:t xml:space="preserve"> GMT 28 dana nakon </w:t>
      </w:r>
      <w:r w:rsidR="007438F5">
        <w:rPr>
          <w:sz w:val="22"/>
          <w:szCs w:val="22"/>
        </w:rPr>
        <w:t xml:space="preserve">primjene </w:t>
      </w:r>
      <w:r w:rsidRPr="009057DB">
        <w:rPr>
          <w:sz w:val="22"/>
          <w:szCs w:val="22"/>
        </w:rPr>
        <w:t>druge doze primarne vakcinacije</w:t>
      </w:r>
    </w:p>
    <w:p w14:paraId="373CFEE2" w14:textId="5747EEF5" w:rsidR="00A82BAD" w:rsidRPr="009057DB" w:rsidRDefault="00A82BAD" w:rsidP="00A82BAD">
      <w:pPr>
        <w:tabs>
          <w:tab w:val="left" w:pos="284"/>
        </w:tabs>
        <w:jc w:val="both"/>
        <w:rPr>
          <w:sz w:val="22"/>
          <w:szCs w:val="22"/>
        </w:rPr>
      </w:pPr>
      <w:r w:rsidRPr="009057DB">
        <w:rPr>
          <w:sz w:val="22"/>
          <w:szCs w:val="22"/>
        </w:rPr>
        <w:t>c. Prijavljeni rezultati su prilagođeni korišćenjem ANCOVA modela uključujući termine sa fiksnim efektom za period pos</w:t>
      </w:r>
      <w:r w:rsidR="007438F5">
        <w:rPr>
          <w:sz w:val="22"/>
          <w:szCs w:val="22"/>
        </w:rPr>
        <w:t>j</w:t>
      </w:r>
      <w:r w:rsidRPr="009057DB">
        <w:rPr>
          <w:sz w:val="22"/>
          <w:szCs w:val="22"/>
        </w:rPr>
        <w:t>ete, vr</w:t>
      </w:r>
      <w:r w:rsidR="00A47E55" w:rsidRPr="009057DB">
        <w:rPr>
          <w:sz w:val="22"/>
          <w:szCs w:val="22"/>
        </w:rPr>
        <w:t>ij</w:t>
      </w:r>
      <w:r w:rsidRPr="009057DB">
        <w:rPr>
          <w:sz w:val="22"/>
          <w:szCs w:val="22"/>
        </w:rPr>
        <w:t>eme od prethodne vakcinacije (za booster, tre</w:t>
      </w:r>
      <w:r w:rsidRPr="009057DB">
        <w:rPr>
          <w:sz w:val="22"/>
          <w:szCs w:val="22"/>
          <w:lang w:val="sr-Latn-RS"/>
        </w:rPr>
        <w:t>ću</w:t>
      </w:r>
      <w:r w:rsidRPr="009057DB">
        <w:rPr>
          <w:sz w:val="22"/>
          <w:szCs w:val="22"/>
        </w:rPr>
        <w:t xml:space="preserve"> dozu), osnovne komorbiditete, pol, starost i slučajni efekat subjekta.</w:t>
      </w:r>
    </w:p>
    <w:p w14:paraId="3A0AF52D" w14:textId="0207920C" w:rsidR="00A82BAD" w:rsidRDefault="00A82BAD" w:rsidP="00A82BAD">
      <w:pPr>
        <w:tabs>
          <w:tab w:val="left" w:pos="284"/>
        </w:tabs>
        <w:jc w:val="both"/>
        <w:rPr>
          <w:sz w:val="22"/>
          <w:szCs w:val="22"/>
        </w:rPr>
      </w:pPr>
      <w:r w:rsidRPr="009057DB">
        <w:rPr>
          <w:sz w:val="22"/>
          <w:szCs w:val="22"/>
        </w:rPr>
        <w:t xml:space="preserve">d. Neinferiornost je pokazana ako je donja granica dvostranog CI od 95% </w:t>
      </w:r>
      <w:r w:rsidR="006524FA">
        <w:rPr>
          <w:sz w:val="22"/>
          <w:szCs w:val="22"/>
        </w:rPr>
        <w:t xml:space="preserve">za </w:t>
      </w:r>
      <w:r w:rsidRPr="009057DB">
        <w:rPr>
          <w:sz w:val="22"/>
          <w:szCs w:val="22"/>
        </w:rPr>
        <w:t>GMT odnos poredbene grupe i referentne grupe &gt;</w:t>
      </w:r>
      <w:r w:rsidR="007438F5">
        <w:rPr>
          <w:sz w:val="22"/>
          <w:szCs w:val="22"/>
        </w:rPr>
        <w:t xml:space="preserve"> </w:t>
      </w:r>
      <w:r w:rsidRPr="009057DB">
        <w:rPr>
          <w:sz w:val="22"/>
          <w:szCs w:val="22"/>
        </w:rPr>
        <w:t>0,67</w:t>
      </w:r>
    </w:p>
    <w:p w14:paraId="3E972EB6" w14:textId="77777777" w:rsidR="007438F5" w:rsidRPr="009057DB" w:rsidRDefault="007438F5" w:rsidP="00A82BAD">
      <w:pPr>
        <w:tabs>
          <w:tab w:val="left" w:pos="284"/>
        </w:tabs>
        <w:jc w:val="both"/>
        <w:rPr>
          <w:sz w:val="22"/>
          <w:szCs w:val="22"/>
        </w:rPr>
      </w:pPr>
    </w:p>
    <w:p w14:paraId="516C875A" w14:textId="20468631" w:rsidR="00A82BAD" w:rsidRPr="009057DB" w:rsidRDefault="00A82BAD" w:rsidP="00A82BAD">
      <w:pPr>
        <w:tabs>
          <w:tab w:val="left" w:pos="284"/>
        </w:tabs>
        <w:jc w:val="both"/>
        <w:rPr>
          <w:sz w:val="22"/>
          <w:szCs w:val="22"/>
        </w:rPr>
      </w:pPr>
      <w:r w:rsidRPr="009057DB">
        <w:rPr>
          <w:sz w:val="22"/>
          <w:szCs w:val="22"/>
        </w:rPr>
        <w:t xml:space="preserve">Takođe se pokazalo da je vakcina Vaxzevria efikasna u izazivanju odgovora </w:t>
      </w:r>
      <w:r w:rsidR="004420EB" w:rsidRPr="009057DB">
        <w:rPr>
          <w:sz w:val="22"/>
          <w:szCs w:val="22"/>
        </w:rPr>
        <w:t>antitijel</w:t>
      </w:r>
      <w:r w:rsidRPr="009057DB">
        <w:rPr>
          <w:sz w:val="22"/>
          <w:szCs w:val="22"/>
        </w:rPr>
        <w:t xml:space="preserve">a kod </w:t>
      </w:r>
      <w:r w:rsidR="006524FA">
        <w:rPr>
          <w:sz w:val="22"/>
          <w:szCs w:val="22"/>
        </w:rPr>
        <w:t>ispitanika</w:t>
      </w:r>
      <w:r w:rsidRPr="009057DB">
        <w:rPr>
          <w:sz w:val="22"/>
          <w:szCs w:val="22"/>
        </w:rPr>
        <w:t xml:space="preserve"> koji su prethodno primili primarnu vakcinaciju mRNA vakcinom. Kod ovih </w:t>
      </w:r>
      <w:r w:rsidR="0083575D">
        <w:rPr>
          <w:sz w:val="22"/>
          <w:szCs w:val="22"/>
        </w:rPr>
        <w:t>ispitanika</w:t>
      </w:r>
      <w:r w:rsidRPr="009057DB">
        <w:rPr>
          <w:sz w:val="22"/>
          <w:szCs w:val="22"/>
        </w:rPr>
        <w:t>, jedna dodatna doza (booster doza) vakcine Vaxzevria je rezult</w:t>
      </w:r>
      <w:r w:rsidR="007438F5">
        <w:rPr>
          <w:sz w:val="22"/>
          <w:szCs w:val="22"/>
        </w:rPr>
        <w:t>ovala</w:t>
      </w:r>
      <w:r w:rsidRPr="009057DB">
        <w:rPr>
          <w:sz w:val="22"/>
          <w:szCs w:val="22"/>
        </w:rPr>
        <w:t xml:space="preserve"> povećanim humoralnim odgovor</w:t>
      </w:r>
      <w:r w:rsidR="006524FA">
        <w:rPr>
          <w:sz w:val="22"/>
          <w:szCs w:val="22"/>
        </w:rPr>
        <w:t>om</w:t>
      </w:r>
      <w:r w:rsidRPr="009057DB">
        <w:rPr>
          <w:sz w:val="22"/>
          <w:szCs w:val="22"/>
        </w:rPr>
        <w:t xml:space="preserve">, sa povećanjem </w:t>
      </w:r>
      <w:r w:rsidR="0083575D">
        <w:rPr>
          <w:sz w:val="22"/>
          <w:szCs w:val="22"/>
        </w:rPr>
        <w:t>srednje geometrijske vrijednosti titra neutralizujućih antitijela protiv originalnog soja virusa</w:t>
      </w:r>
      <w:r w:rsidRPr="009057DB">
        <w:rPr>
          <w:sz w:val="22"/>
          <w:szCs w:val="22"/>
        </w:rPr>
        <w:t xml:space="preserve"> (GMFR) </w:t>
      </w:r>
      <w:r w:rsidR="0083575D">
        <w:rPr>
          <w:sz w:val="22"/>
          <w:szCs w:val="22"/>
        </w:rPr>
        <w:t>za</w:t>
      </w:r>
      <w:r w:rsidRPr="009057DB">
        <w:rPr>
          <w:sz w:val="22"/>
          <w:szCs w:val="22"/>
        </w:rPr>
        <w:t xml:space="preserve"> 3,77 </w:t>
      </w:r>
      <w:r w:rsidR="0083575D">
        <w:rPr>
          <w:sz w:val="22"/>
          <w:szCs w:val="22"/>
        </w:rPr>
        <w:t xml:space="preserve">puta </w:t>
      </w:r>
      <w:r w:rsidRPr="009057DB">
        <w:rPr>
          <w:sz w:val="22"/>
          <w:szCs w:val="22"/>
        </w:rPr>
        <w:t>(95% CI: 3,26, 4,37) od perioda pr</w:t>
      </w:r>
      <w:r w:rsidR="00A47E55" w:rsidRPr="009057DB">
        <w:rPr>
          <w:sz w:val="22"/>
          <w:szCs w:val="22"/>
        </w:rPr>
        <w:t>ij</w:t>
      </w:r>
      <w:r w:rsidRPr="009057DB">
        <w:rPr>
          <w:sz w:val="22"/>
          <w:szCs w:val="22"/>
        </w:rPr>
        <w:t xml:space="preserve">e davanja </w:t>
      </w:r>
      <w:r w:rsidRPr="009057DB">
        <w:rPr>
          <w:i/>
          <w:iCs/>
          <w:sz w:val="22"/>
          <w:szCs w:val="22"/>
        </w:rPr>
        <w:t xml:space="preserve">booster </w:t>
      </w:r>
      <w:r w:rsidRPr="009057DB">
        <w:rPr>
          <w:sz w:val="22"/>
          <w:szCs w:val="22"/>
        </w:rPr>
        <w:t xml:space="preserve">doze do 28 dana nakon </w:t>
      </w:r>
      <w:r w:rsidRPr="009057DB">
        <w:rPr>
          <w:i/>
          <w:iCs/>
          <w:sz w:val="22"/>
          <w:szCs w:val="22"/>
        </w:rPr>
        <w:t xml:space="preserve">booster </w:t>
      </w:r>
      <w:r w:rsidRPr="009057DB">
        <w:rPr>
          <w:sz w:val="22"/>
          <w:szCs w:val="22"/>
        </w:rPr>
        <w:t>doze.</w:t>
      </w:r>
    </w:p>
    <w:p w14:paraId="4B9176E3" w14:textId="77777777" w:rsidR="00A82BAD" w:rsidRPr="009057DB" w:rsidRDefault="00A82BAD" w:rsidP="00A82BAD">
      <w:pPr>
        <w:tabs>
          <w:tab w:val="left" w:pos="284"/>
        </w:tabs>
        <w:jc w:val="both"/>
        <w:rPr>
          <w:sz w:val="22"/>
          <w:szCs w:val="22"/>
        </w:rPr>
      </w:pPr>
    </w:p>
    <w:p w14:paraId="448AB90A" w14:textId="77777777" w:rsidR="00A82BAD" w:rsidRPr="009057DB" w:rsidRDefault="00A82BAD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53E8AFB" w14:textId="77777777" w:rsidR="009F6564" w:rsidRPr="009057DB" w:rsidRDefault="009F6564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B6691D4" w14:textId="08417F79" w:rsidR="009F6564" w:rsidRPr="009057DB" w:rsidRDefault="009F6564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9057DB">
        <w:rPr>
          <w:sz w:val="22"/>
          <w:szCs w:val="22"/>
          <w:u w:val="single"/>
          <w:lang w:val="sr-Latn-ME"/>
        </w:rPr>
        <w:t>Starija populacija</w:t>
      </w:r>
    </w:p>
    <w:p w14:paraId="53C3F18A" w14:textId="1F1617E5" w:rsidR="00912903" w:rsidRPr="009057DB" w:rsidRDefault="00912903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08F55945" w14:textId="5F414C9B" w:rsidR="009F6564" w:rsidRPr="009057DB" w:rsidRDefault="00912903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 xml:space="preserve">U ispitivanju D8110C00001 </w:t>
      </w:r>
      <w:r w:rsidR="002C1463" w:rsidRPr="009057DB">
        <w:rPr>
          <w:sz w:val="22"/>
          <w:szCs w:val="22"/>
          <w:lang w:val="sr-Latn-ME"/>
        </w:rPr>
        <w:t>se pr</w:t>
      </w:r>
      <w:r w:rsidRPr="009057DB">
        <w:rPr>
          <w:sz w:val="22"/>
          <w:szCs w:val="22"/>
          <w:lang w:val="sr-Latn-ME"/>
        </w:rPr>
        <w:t xml:space="preserve">ocjenjivala </w:t>
      </w:r>
      <w:r w:rsidR="00F9328C" w:rsidRPr="009057DB">
        <w:rPr>
          <w:sz w:val="22"/>
          <w:szCs w:val="22"/>
          <w:lang w:val="sr-Latn-ME"/>
        </w:rPr>
        <w:t>efikasnost</w:t>
      </w:r>
      <w:r w:rsidRPr="009057DB">
        <w:rPr>
          <w:sz w:val="22"/>
          <w:szCs w:val="22"/>
          <w:lang w:val="sr-Latn-ME"/>
        </w:rPr>
        <w:t xml:space="preserve"> vakcine Vaxzevria kod 5508 osoba </w:t>
      </w:r>
      <w:r w:rsidR="002C1463" w:rsidRPr="009057DB">
        <w:rPr>
          <w:sz w:val="22"/>
          <w:szCs w:val="22"/>
          <w:lang w:val="sr-Latn-ME"/>
        </w:rPr>
        <w:t>starosti</w:t>
      </w:r>
      <w:r w:rsidRPr="009057DB">
        <w:rPr>
          <w:sz w:val="22"/>
          <w:szCs w:val="22"/>
          <w:lang w:val="sr-Latn-ME"/>
        </w:rPr>
        <w:t xml:space="preserve"> ≥ 65 godina, od kojih je njih 3696 primilo vakcinu Vaxzevria, a njih 1812 placebo. </w:t>
      </w:r>
      <w:r w:rsidR="002C1463" w:rsidRPr="009057DB">
        <w:rPr>
          <w:sz w:val="22"/>
          <w:szCs w:val="22"/>
          <w:lang w:val="sr-Latn-ME"/>
        </w:rPr>
        <w:t xml:space="preserve">Efikasnost </w:t>
      </w:r>
      <w:r w:rsidRPr="009057DB">
        <w:rPr>
          <w:sz w:val="22"/>
          <w:szCs w:val="22"/>
          <w:lang w:val="sr-Latn-ME"/>
        </w:rPr>
        <w:t>vakcine Vaxzevria kod starijih ispitanika (≥ 65 godina) odgovarala je onoj kod mlađih odraslih ispitanika (18 – 64 godine).</w:t>
      </w:r>
    </w:p>
    <w:p w14:paraId="0D1590D0" w14:textId="77777777" w:rsidR="00033DF6" w:rsidRPr="009057DB" w:rsidRDefault="00033DF6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3E17E32C" w14:textId="32F8C7CB" w:rsidR="009F6564" w:rsidRPr="009057DB" w:rsidRDefault="009F6564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9057DB">
        <w:rPr>
          <w:sz w:val="22"/>
          <w:szCs w:val="22"/>
          <w:u w:val="single"/>
          <w:lang w:val="sr-Latn-ME"/>
        </w:rPr>
        <w:t>Pedi</w:t>
      </w:r>
      <w:r w:rsidR="00AE3157" w:rsidRPr="009057DB">
        <w:rPr>
          <w:sz w:val="22"/>
          <w:szCs w:val="22"/>
          <w:u w:val="single"/>
          <w:lang w:val="sr-Latn-ME"/>
        </w:rPr>
        <w:t>j</w:t>
      </w:r>
      <w:r w:rsidRPr="009057DB">
        <w:rPr>
          <w:sz w:val="22"/>
          <w:szCs w:val="22"/>
          <w:u w:val="single"/>
          <w:lang w:val="sr-Latn-ME"/>
        </w:rPr>
        <w:t>atrijska populacija</w:t>
      </w:r>
    </w:p>
    <w:p w14:paraId="3572F09E" w14:textId="77777777" w:rsidR="009F6564" w:rsidRPr="009057DB" w:rsidRDefault="009F6564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1585AAE1" w14:textId="44518640" w:rsidR="009F6564" w:rsidRPr="009057DB" w:rsidRDefault="009F6564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Evropska Agencija za l</w:t>
      </w:r>
      <w:r w:rsidR="001B3F34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 xml:space="preserve">ekove odložila je obavezu </w:t>
      </w:r>
      <w:r w:rsidR="000E5934" w:rsidRPr="009057DB">
        <w:rPr>
          <w:sz w:val="22"/>
          <w:szCs w:val="22"/>
          <w:lang w:val="sr-Latn-ME"/>
        </w:rPr>
        <w:t xml:space="preserve">podnošenja </w:t>
      </w:r>
      <w:r w:rsidRPr="009057DB">
        <w:rPr>
          <w:sz w:val="22"/>
          <w:szCs w:val="22"/>
          <w:lang w:val="sr-Latn-ME"/>
        </w:rPr>
        <w:t>rezultat</w:t>
      </w:r>
      <w:r w:rsidR="00B02858" w:rsidRPr="009057DB">
        <w:rPr>
          <w:sz w:val="22"/>
          <w:szCs w:val="22"/>
          <w:lang w:val="sr-Latn-ME"/>
        </w:rPr>
        <w:t>a</w:t>
      </w:r>
      <w:r w:rsidRPr="009057DB">
        <w:rPr>
          <w:sz w:val="22"/>
          <w:szCs w:val="22"/>
          <w:lang w:val="sr-Latn-ME"/>
        </w:rPr>
        <w:t xml:space="preserve"> </w:t>
      </w:r>
      <w:r w:rsidR="007660C9" w:rsidRPr="009057DB">
        <w:rPr>
          <w:sz w:val="22"/>
          <w:szCs w:val="22"/>
          <w:lang w:val="sr-Latn-ME"/>
        </w:rPr>
        <w:t xml:space="preserve">ispitivanja </w:t>
      </w:r>
      <w:r w:rsidR="00942C35" w:rsidRPr="009057DB">
        <w:rPr>
          <w:sz w:val="22"/>
          <w:szCs w:val="22"/>
          <w:lang w:val="sr-Latn-ME"/>
        </w:rPr>
        <w:t xml:space="preserve">vakcine </w:t>
      </w:r>
      <w:r w:rsidR="006A4259" w:rsidRPr="009057DB">
        <w:rPr>
          <w:color w:val="000000"/>
          <w:sz w:val="22"/>
          <w:szCs w:val="22"/>
          <w:shd w:val="clear" w:color="auto" w:fill="FFFFFF"/>
          <w:lang w:val="sr-Latn-ME"/>
        </w:rPr>
        <w:t>Vaxzevria</w:t>
      </w:r>
      <w:r w:rsidR="008448EC" w:rsidRPr="009057DB">
        <w:rPr>
          <w:color w:val="000000"/>
          <w:sz w:val="22"/>
          <w:szCs w:val="22"/>
          <w:shd w:val="clear" w:color="auto" w:fill="FFFFFF"/>
          <w:lang w:val="sr-Latn-ME"/>
        </w:rPr>
        <w:t xml:space="preserve"> </w:t>
      </w:r>
      <w:r w:rsidRPr="009057DB">
        <w:rPr>
          <w:sz w:val="22"/>
          <w:szCs w:val="22"/>
          <w:lang w:val="sr-Latn-ME"/>
        </w:rPr>
        <w:t xml:space="preserve">u jednoj ili više podrupa pedijatrijske populacije u prevenciji </w:t>
      </w:r>
      <w:r w:rsidR="00FA4D4F" w:rsidRPr="009057DB">
        <w:rPr>
          <w:sz w:val="22"/>
          <w:szCs w:val="22"/>
          <w:lang w:val="sr-Latn-ME"/>
        </w:rPr>
        <w:t xml:space="preserve">bolesti </w:t>
      </w:r>
      <w:r w:rsidRPr="009057DB">
        <w:rPr>
          <w:sz w:val="22"/>
          <w:szCs w:val="22"/>
          <w:lang w:val="sr-Latn-ME"/>
        </w:rPr>
        <w:t>COVID-19 (vid</w:t>
      </w:r>
      <w:r w:rsidR="00FA4D4F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>et</w:t>
      </w:r>
      <w:r w:rsidR="00FA4D4F" w:rsidRPr="009057DB">
        <w:rPr>
          <w:sz w:val="22"/>
          <w:szCs w:val="22"/>
          <w:lang w:val="sr-Latn-ME"/>
        </w:rPr>
        <w:t>i</w:t>
      </w:r>
      <w:r w:rsidRPr="009057DB">
        <w:rPr>
          <w:sz w:val="22"/>
          <w:szCs w:val="22"/>
          <w:lang w:val="sr-Latn-ME"/>
        </w:rPr>
        <w:t xml:space="preserve"> </w:t>
      </w:r>
      <w:r w:rsidR="00FE084A" w:rsidRPr="009057DB">
        <w:rPr>
          <w:sz w:val="22"/>
          <w:szCs w:val="22"/>
          <w:lang w:val="sr-Latn-ME"/>
        </w:rPr>
        <w:t>dio</w:t>
      </w:r>
      <w:r w:rsidRPr="009057DB">
        <w:rPr>
          <w:sz w:val="22"/>
          <w:szCs w:val="22"/>
          <w:lang w:val="sr-Latn-ME"/>
        </w:rPr>
        <w:t xml:space="preserve"> 4.2</w:t>
      </w:r>
      <w:r w:rsidR="00766CC8" w:rsidRPr="009057DB">
        <w:rPr>
          <w:sz w:val="22"/>
          <w:szCs w:val="22"/>
          <w:lang w:val="sr-Latn-ME"/>
        </w:rPr>
        <w:t>.</w:t>
      </w:r>
      <w:r w:rsidRPr="009057DB">
        <w:rPr>
          <w:sz w:val="22"/>
          <w:szCs w:val="22"/>
          <w:lang w:val="sr-Latn-ME"/>
        </w:rPr>
        <w:t xml:space="preserve"> za informacije o upotrebi u pedijatrijskoj populaciji). </w:t>
      </w:r>
    </w:p>
    <w:p w14:paraId="43F9262C" w14:textId="77777777" w:rsidR="009F6564" w:rsidRPr="009057DB" w:rsidRDefault="009F6564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83A34CF" w14:textId="77777777" w:rsidR="009F6564" w:rsidRPr="009057DB" w:rsidRDefault="009F6564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9057DB">
        <w:rPr>
          <w:sz w:val="22"/>
          <w:szCs w:val="22"/>
          <w:u w:val="single"/>
          <w:lang w:val="sr-Latn-ME"/>
        </w:rPr>
        <w:t>Uslovna dozvola</w:t>
      </w:r>
    </w:p>
    <w:p w14:paraId="7C08C655" w14:textId="77777777" w:rsidR="009F6564" w:rsidRPr="009057DB" w:rsidRDefault="009F6564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7ADA29C" w14:textId="15BF1DDE" w:rsidR="009F6564" w:rsidRPr="009057DB" w:rsidRDefault="009F6564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Ovaj l</w:t>
      </w:r>
      <w:r w:rsidR="00651700" w:rsidRPr="009057DB">
        <w:rPr>
          <w:sz w:val="22"/>
          <w:szCs w:val="22"/>
          <w:lang w:val="sr-Latn-ME"/>
        </w:rPr>
        <w:t>ij</w:t>
      </w:r>
      <w:r w:rsidRPr="009057DB">
        <w:rPr>
          <w:sz w:val="22"/>
          <w:szCs w:val="22"/>
          <w:lang w:val="sr-Latn-ME"/>
        </w:rPr>
        <w:t xml:space="preserve">ek </w:t>
      </w:r>
      <w:r w:rsidR="00651700" w:rsidRPr="009057DB">
        <w:rPr>
          <w:sz w:val="22"/>
          <w:szCs w:val="22"/>
          <w:lang w:val="sr-Latn-ME"/>
        </w:rPr>
        <w:t xml:space="preserve">je odobren </w:t>
      </w:r>
      <w:r w:rsidR="001A3EE0" w:rsidRPr="009057DB">
        <w:rPr>
          <w:sz w:val="22"/>
          <w:szCs w:val="22"/>
          <w:lang w:val="sr-Latn-ME"/>
        </w:rPr>
        <w:t xml:space="preserve">postupkom </w:t>
      </w:r>
      <w:r w:rsidR="00F31CB2" w:rsidRPr="009057DB">
        <w:rPr>
          <w:sz w:val="22"/>
          <w:szCs w:val="22"/>
          <w:lang w:val="sr-Latn-ME"/>
        </w:rPr>
        <w:t>tzv. „u</w:t>
      </w:r>
      <w:r w:rsidRPr="009057DB">
        <w:rPr>
          <w:sz w:val="22"/>
          <w:szCs w:val="22"/>
          <w:lang w:val="sr-Latn-ME"/>
        </w:rPr>
        <w:t>slovn</w:t>
      </w:r>
      <w:r w:rsidR="00F31CB2" w:rsidRPr="009057DB">
        <w:rPr>
          <w:sz w:val="22"/>
          <w:szCs w:val="22"/>
          <w:lang w:val="sr-Latn-ME"/>
        </w:rPr>
        <w:t>e</w:t>
      </w:r>
      <w:r w:rsidRPr="009057DB">
        <w:rPr>
          <w:sz w:val="22"/>
          <w:szCs w:val="22"/>
          <w:lang w:val="sr-Latn-ME"/>
        </w:rPr>
        <w:t xml:space="preserve"> dozvol</w:t>
      </w:r>
      <w:r w:rsidR="00766CC8" w:rsidRPr="009057DB">
        <w:rPr>
          <w:sz w:val="22"/>
          <w:szCs w:val="22"/>
          <w:lang w:val="sr-Latn-ME"/>
        </w:rPr>
        <w:t>e</w:t>
      </w:r>
      <w:r w:rsidR="00F31CB2" w:rsidRPr="009057DB">
        <w:rPr>
          <w:sz w:val="22"/>
          <w:szCs w:val="22"/>
          <w:lang w:val="sr-Latn-ME"/>
        </w:rPr>
        <w:t>“</w:t>
      </w:r>
      <w:r w:rsidRPr="009057DB">
        <w:rPr>
          <w:sz w:val="22"/>
          <w:szCs w:val="22"/>
          <w:lang w:val="sr-Latn-ME"/>
        </w:rPr>
        <w:t xml:space="preserve">. </w:t>
      </w:r>
      <w:r w:rsidR="00FC1058" w:rsidRPr="009057DB">
        <w:rPr>
          <w:sz w:val="22"/>
          <w:szCs w:val="22"/>
          <w:lang w:val="sr-Latn-ME"/>
        </w:rPr>
        <w:t>T</w:t>
      </w:r>
      <w:r w:rsidRPr="009057DB">
        <w:rPr>
          <w:sz w:val="22"/>
          <w:szCs w:val="22"/>
          <w:lang w:val="sr-Latn-ME"/>
        </w:rPr>
        <w:t xml:space="preserve">o znači da se </w:t>
      </w:r>
      <w:r w:rsidR="009A54BB" w:rsidRPr="009057DB">
        <w:rPr>
          <w:sz w:val="22"/>
          <w:szCs w:val="22"/>
          <w:lang w:val="sr-Latn-ME"/>
        </w:rPr>
        <w:t xml:space="preserve">očekuju </w:t>
      </w:r>
      <w:r w:rsidR="00A3624E" w:rsidRPr="009057DB">
        <w:rPr>
          <w:sz w:val="22"/>
          <w:szCs w:val="22"/>
          <w:lang w:val="sr-Latn-ME"/>
        </w:rPr>
        <w:t xml:space="preserve">dodatni podaci </w:t>
      </w:r>
      <w:r w:rsidRPr="009057DB">
        <w:rPr>
          <w:sz w:val="22"/>
          <w:szCs w:val="22"/>
          <w:lang w:val="sr-Latn-ME"/>
        </w:rPr>
        <w:t>o ovom l</w:t>
      </w:r>
      <w:r w:rsidR="009A54BB" w:rsidRPr="009057DB">
        <w:rPr>
          <w:sz w:val="22"/>
          <w:szCs w:val="22"/>
          <w:lang w:val="sr-Latn-ME"/>
        </w:rPr>
        <w:t>ij</w:t>
      </w:r>
      <w:r w:rsidRPr="009057DB">
        <w:rPr>
          <w:sz w:val="22"/>
          <w:szCs w:val="22"/>
          <w:lang w:val="sr-Latn-ME"/>
        </w:rPr>
        <w:t xml:space="preserve">eku. </w:t>
      </w:r>
    </w:p>
    <w:p w14:paraId="6D3C17F6" w14:textId="79DF8282" w:rsidR="009F6564" w:rsidRPr="009057DB" w:rsidRDefault="008845BB" w:rsidP="00376088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Institut za ljekove i medicinska sredstva</w:t>
      </w:r>
      <w:r w:rsidR="009F6564" w:rsidRPr="009057DB">
        <w:rPr>
          <w:sz w:val="22"/>
          <w:szCs w:val="22"/>
          <w:lang w:val="sr-Latn-ME"/>
        </w:rPr>
        <w:t xml:space="preserve"> </w:t>
      </w:r>
      <w:r w:rsidR="00EA7856" w:rsidRPr="009057DB">
        <w:rPr>
          <w:sz w:val="22"/>
          <w:szCs w:val="22"/>
          <w:lang w:val="sr-Latn-ME"/>
        </w:rPr>
        <w:t xml:space="preserve">će barem jednom godišnje </w:t>
      </w:r>
      <w:r w:rsidR="009F6564" w:rsidRPr="009057DB">
        <w:rPr>
          <w:sz w:val="22"/>
          <w:szCs w:val="22"/>
          <w:lang w:val="sr-Latn-ME"/>
        </w:rPr>
        <w:t>pr</w:t>
      </w:r>
      <w:r w:rsidR="00EA7856" w:rsidRPr="009057DB">
        <w:rPr>
          <w:sz w:val="22"/>
          <w:szCs w:val="22"/>
          <w:lang w:val="sr-Latn-ME"/>
        </w:rPr>
        <w:t>ocjenjivati</w:t>
      </w:r>
      <w:r w:rsidR="009F6564" w:rsidRPr="009057DB">
        <w:rPr>
          <w:sz w:val="22"/>
          <w:szCs w:val="22"/>
          <w:lang w:val="sr-Latn-ME"/>
        </w:rPr>
        <w:t xml:space="preserve"> nove informacije o ovom l</w:t>
      </w:r>
      <w:r w:rsidR="00651E2F" w:rsidRPr="009057DB">
        <w:rPr>
          <w:sz w:val="22"/>
          <w:szCs w:val="22"/>
          <w:lang w:val="sr-Latn-ME"/>
        </w:rPr>
        <w:t>ij</w:t>
      </w:r>
      <w:r w:rsidR="009F6564" w:rsidRPr="009057DB">
        <w:rPr>
          <w:sz w:val="22"/>
          <w:szCs w:val="22"/>
          <w:lang w:val="sr-Latn-ME"/>
        </w:rPr>
        <w:t xml:space="preserve">eku i </w:t>
      </w:r>
      <w:r w:rsidR="00FF2013" w:rsidRPr="009057DB">
        <w:rPr>
          <w:sz w:val="22"/>
          <w:szCs w:val="22"/>
          <w:lang w:val="sr-Latn-ME"/>
        </w:rPr>
        <w:t xml:space="preserve">tekst sažetka karakteristika lijeka </w:t>
      </w:r>
      <w:r w:rsidR="008537DD" w:rsidRPr="009057DB">
        <w:rPr>
          <w:sz w:val="22"/>
          <w:szCs w:val="22"/>
          <w:lang w:val="sr-Latn-ME"/>
        </w:rPr>
        <w:t xml:space="preserve">će se </w:t>
      </w:r>
      <w:r w:rsidR="009F6564" w:rsidRPr="009057DB">
        <w:rPr>
          <w:sz w:val="22"/>
          <w:szCs w:val="22"/>
          <w:lang w:val="sr-Latn-ME"/>
        </w:rPr>
        <w:t>ažurira</w:t>
      </w:r>
      <w:r w:rsidR="008537DD" w:rsidRPr="009057DB">
        <w:rPr>
          <w:sz w:val="22"/>
          <w:szCs w:val="22"/>
          <w:lang w:val="sr-Latn-ME"/>
        </w:rPr>
        <w:t>ti</w:t>
      </w:r>
      <w:r w:rsidR="009F6564" w:rsidRPr="009057DB">
        <w:rPr>
          <w:sz w:val="22"/>
          <w:szCs w:val="22"/>
          <w:lang w:val="sr-Latn-ME"/>
        </w:rPr>
        <w:t xml:space="preserve"> </w:t>
      </w:r>
      <w:r w:rsidR="008537DD" w:rsidRPr="009057DB">
        <w:rPr>
          <w:sz w:val="22"/>
          <w:szCs w:val="22"/>
          <w:lang w:val="sr-Latn-ME"/>
        </w:rPr>
        <w:t>po potrebi.</w:t>
      </w:r>
    </w:p>
    <w:p w14:paraId="58FC494F" w14:textId="77777777" w:rsidR="002E37A5" w:rsidRPr="009057DB" w:rsidRDefault="002E37A5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19533D0" w14:textId="6B60D08A" w:rsidR="0072020E" w:rsidRPr="009057DB" w:rsidRDefault="0072020E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057DB">
        <w:rPr>
          <w:b/>
          <w:bCs/>
          <w:sz w:val="22"/>
          <w:szCs w:val="22"/>
          <w:lang w:val="sr-Latn-ME"/>
        </w:rPr>
        <w:t xml:space="preserve">5.2. </w:t>
      </w:r>
      <w:r w:rsidR="00480FB1" w:rsidRPr="009057DB">
        <w:rPr>
          <w:b/>
          <w:bCs/>
          <w:sz w:val="22"/>
          <w:szCs w:val="22"/>
          <w:lang w:val="sr-Latn-ME"/>
        </w:rPr>
        <w:tab/>
      </w:r>
      <w:r w:rsidRPr="009057DB">
        <w:rPr>
          <w:b/>
          <w:bCs/>
          <w:sz w:val="22"/>
          <w:szCs w:val="22"/>
          <w:lang w:val="sr-Latn-ME"/>
        </w:rPr>
        <w:t>Farmakokinetički podaci</w:t>
      </w:r>
      <w:r w:rsidR="003A7059" w:rsidRPr="009057DB">
        <w:rPr>
          <w:b/>
          <w:bCs/>
          <w:sz w:val="22"/>
          <w:szCs w:val="22"/>
          <w:lang w:val="sr-Latn-ME"/>
        </w:rPr>
        <w:t xml:space="preserve"> </w:t>
      </w:r>
    </w:p>
    <w:p w14:paraId="7C2D29A7" w14:textId="6BA3DEAE" w:rsidR="00AC42FD" w:rsidRPr="009057DB" w:rsidRDefault="00AC42FD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8A2B286" w14:textId="0E9EAE77" w:rsidR="00AC42FD" w:rsidRPr="009057DB" w:rsidRDefault="00AC42FD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Nije primjen</w:t>
      </w:r>
      <w:r w:rsidR="00CF1F73" w:rsidRPr="009057DB">
        <w:rPr>
          <w:sz w:val="22"/>
          <w:szCs w:val="22"/>
          <w:lang w:val="sr-Latn-ME"/>
        </w:rPr>
        <w:t>l</w:t>
      </w:r>
      <w:r w:rsidRPr="009057DB">
        <w:rPr>
          <w:sz w:val="22"/>
          <w:szCs w:val="22"/>
          <w:lang w:val="sr-Latn-ME"/>
        </w:rPr>
        <w:t>jivo.</w:t>
      </w:r>
    </w:p>
    <w:p w14:paraId="33F1A3C8" w14:textId="77777777" w:rsidR="0072020E" w:rsidRPr="009057DB" w:rsidRDefault="0072020E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824F4BD" w14:textId="5E3F11F3" w:rsidR="0072020E" w:rsidRPr="009057DB" w:rsidRDefault="0072020E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057DB">
        <w:rPr>
          <w:b/>
          <w:bCs/>
          <w:sz w:val="22"/>
          <w:szCs w:val="22"/>
          <w:lang w:val="sr-Latn-ME"/>
        </w:rPr>
        <w:t xml:space="preserve">5.3. </w:t>
      </w:r>
      <w:r w:rsidR="00480FB1" w:rsidRPr="009057DB">
        <w:rPr>
          <w:b/>
          <w:bCs/>
          <w:sz w:val="22"/>
          <w:szCs w:val="22"/>
          <w:lang w:val="sr-Latn-ME"/>
        </w:rPr>
        <w:tab/>
      </w:r>
      <w:r w:rsidRPr="009057DB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34A0892B" w14:textId="0DBB140F" w:rsidR="00FB0122" w:rsidRPr="009057DB" w:rsidRDefault="00FB0122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CFD4A54" w14:textId="7A91F2BC" w:rsidR="00FB0122" w:rsidRPr="009057DB" w:rsidRDefault="00FB0122" w:rsidP="0037608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 xml:space="preserve">U </w:t>
      </w:r>
      <w:r w:rsidR="008234CE" w:rsidRPr="009057DB">
        <w:rPr>
          <w:sz w:val="22"/>
          <w:szCs w:val="22"/>
          <w:lang w:val="sr-Latn-ME"/>
        </w:rPr>
        <w:t>ispitivanju toksičnosti</w:t>
      </w:r>
      <w:r w:rsidRPr="009057DB">
        <w:rPr>
          <w:sz w:val="22"/>
          <w:szCs w:val="22"/>
          <w:lang w:val="sr-Latn-ME"/>
        </w:rPr>
        <w:t xml:space="preserve"> sa ponovljenom dozom kod miš</w:t>
      </w:r>
      <w:r w:rsidR="00A95DCF" w:rsidRPr="009057DB">
        <w:rPr>
          <w:sz w:val="22"/>
          <w:szCs w:val="22"/>
          <w:lang w:val="sr-Latn-ME"/>
        </w:rPr>
        <w:t>ev</w:t>
      </w:r>
      <w:r w:rsidRPr="009057DB">
        <w:rPr>
          <w:sz w:val="22"/>
          <w:szCs w:val="22"/>
          <w:lang w:val="sr-Latn-ME"/>
        </w:rPr>
        <w:t xml:space="preserve">a, </w:t>
      </w:r>
      <w:r w:rsidR="008448EC" w:rsidRPr="009057DB">
        <w:rPr>
          <w:sz w:val="22"/>
          <w:szCs w:val="22"/>
          <w:lang w:val="sr-Latn-ME"/>
        </w:rPr>
        <w:t>i.m.</w:t>
      </w:r>
      <w:r w:rsidRPr="009057DB">
        <w:rPr>
          <w:sz w:val="22"/>
          <w:szCs w:val="22"/>
          <w:lang w:val="sr-Latn-ME"/>
        </w:rPr>
        <w:t xml:space="preserve"> primjena </w:t>
      </w:r>
      <w:r w:rsidR="00A95DCF" w:rsidRPr="009057DB">
        <w:rPr>
          <w:sz w:val="22"/>
          <w:szCs w:val="22"/>
          <w:lang w:val="sr-Latn-ME"/>
        </w:rPr>
        <w:t xml:space="preserve">vakcine </w:t>
      </w:r>
      <w:r w:rsidRPr="009057DB">
        <w:rPr>
          <w:sz w:val="22"/>
          <w:szCs w:val="22"/>
          <w:lang w:val="sr-Latn-ME"/>
        </w:rPr>
        <w:t xml:space="preserve">Vaxzevria </w:t>
      </w:r>
      <w:r w:rsidR="008234CE" w:rsidRPr="009057DB">
        <w:rPr>
          <w:sz w:val="22"/>
          <w:szCs w:val="22"/>
          <w:lang w:val="sr-Latn-ME"/>
        </w:rPr>
        <w:t>s</w:t>
      </w:r>
      <w:r w:rsidRPr="009057DB">
        <w:rPr>
          <w:sz w:val="22"/>
          <w:szCs w:val="22"/>
          <w:lang w:val="sr-Latn-ME"/>
        </w:rPr>
        <w:t xml:space="preserve">e dobro </w:t>
      </w:r>
      <w:r w:rsidR="008234CE" w:rsidRPr="009057DB">
        <w:rPr>
          <w:sz w:val="22"/>
          <w:szCs w:val="22"/>
          <w:lang w:val="sr-Latn-ME"/>
        </w:rPr>
        <w:t>podnosila</w:t>
      </w:r>
      <w:r w:rsidRPr="009057DB">
        <w:rPr>
          <w:sz w:val="22"/>
          <w:szCs w:val="22"/>
          <w:lang w:val="sr-Latn-ME"/>
        </w:rPr>
        <w:t xml:space="preserve">. </w:t>
      </w:r>
      <w:r w:rsidR="008234CE" w:rsidRPr="009057DB">
        <w:rPr>
          <w:sz w:val="22"/>
          <w:szCs w:val="22"/>
          <w:lang w:val="sr-Latn-ME"/>
        </w:rPr>
        <w:t>Uočena je</w:t>
      </w:r>
      <w:r w:rsidRPr="009057DB">
        <w:rPr>
          <w:sz w:val="22"/>
          <w:szCs w:val="22"/>
          <w:lang w:val="sr-Latn-ME"/>
        </w:rPr>
        <w:t xml:space="preserve"> neželjena, kombinovana i/ili monocelularna inflamacija ćelij</w:t>
      </w:r>
      <w:r w:rsidR="008234CE" w:rsidRPr="009057DB">
        <w:rPr>
          <w:sz w:val="22"/>
          <w:szCs w:val="22"/>
          <w:lang w:val="sr-Latn-ME"/>
        </w:rPr>
        <w:t>a</w:t>
      </w:r>
      <w:r w:rsidRPr="009057DB">
        <w:rPr>
          <w:sz w:val="22"/>
          <w:szCs w:val="22"/>
          <w:lang w:val="sr-Latn-ME"/>
        </w:rPr>
        <w:t xml:space="preserve"> u po</w:t>
      </w:r>
      <w:r w:rsidR="003E7B99" w:rsidRPr="009057DB">
        <w:rPr>
          <w:sz w:val="22"/>
          <w:szCs w:val="22"/>
          <w:lang w:val="sr-Latn-ME"/>
        </w:rPr>
        <w:t>t</w:t>
      </w:r>
      <w:r w:rsidRPr="009057DB">
        <w:rPr>
          <w:sz w:val="22"/>
          <w:szCs w:val="22"/>
          <w:lang w:val="sr-Latn-ME"/>
        </w:rPr>
        <w:t>kožnom tkivu i skeletnim mišićima na mjestu primjene</w:t>
      </w:r>
      <w:r w:rsidR="003E7B99" w:rsidRPr="009057DB">
        <w:rPr>
          <w:sz w:val="22"/>
          <w:szCs w:val="22"/>
          <w:lang w:val="sr-Latn-ME"/>
        </w:rPr>
        <w:t xml:space="preserve"> i susjednom ishijadičnom nervu</w:t>
      </w:r>
      <w:r w:rsidR="00A95DCF" w:rsidRPr="009057DB">
        <w:rPr>
          <w:sz w:val="22"/>
          <w:szCs w:val="22"/>
          <w:lang w:val="sr-Latn-ME"/>
        </w:rPr>
        <w:t>,</w:t>
      </w:r>
      <w:r w:rsidR="003E7B99" w:rsidRPr="009057DB">
        <w:rPr>
          <w:sz w:val="22"/>
          <w:szCs w:val="22"/>
          <w:lang w:val="sr-Latn-ME"/>
        </w:rPr>
        <w:t xml:space="preserve"> u s</w:t>
      </w:r>
      <w:r w:rsidR="00A95DCF" w:rsidRPr="009057DB">
        <w:rPr>
          <w:sz w:val="22"/>
          <w:szCs w:val="22"/>
          <w:lang w:val="sr-Latn-ME"/>
        </w:rPr>
        <w:t>k</w:t>
      </w:r>
      <w:r w:rsidR="003E7B99" w:rsidRPr="009057DB">
        <w:rPr>
          <w:sz w:val="22"/>
          <w:szCs w:val="22"/>
          <w:lang w:val="sr-Latn-ME"/>
        </w:rPr>
        <w:t xml:space="preserve">ladu sa očekivanim nalazima nakon </w:t>
      </w:r>
      <w:r w:rsidR="008448EC" w:rsidRPr="009057DB">
        <w:rPr>
          <w:sz w:val="22"/>
          <w:szCs w:val="22"/>
          <w:lang w:val="sr-Latn-ME"/>
        </w:rPr>
        <w:t>i.m.</w:t>
      </w:r>
      <w:r w:rsidR="003E7B99" w:rsidRPr="009057DB">
        <w:rPr>
          <w:sz w:val="22"/>
          <w:szCs w:val="22"/>
          <w:lang w:val="sr-Latn-ME"/>
        </w:rPr>
        <w:t xml:space="preserve"> injek</w:t>
      </w:r>
      <w:r w:rsidR="008234CE" w:rsidRPr="009057DB">
        <w:rPr>
          <w:sz w:val="22"/>
          <w:szCs w:val="22"/>
          <w:lang w:val="sr-Latn-ME"/>
        </w:rPr>
        <w:t>cije</w:t>
      </w:r>
      <w:r w:rsidR="003E7B99" w:rsidRPr="009057DB">
        <w:rPr>
          <w:sz w:val="22"/>
          <w:szCs w:val="22"/>
          <w:lang w:val="sr-Latn-ME"/>
        </w:rPr>
        <w:t xml:space="preserve"> vakcine.</w:t>
      </w:r>
    </w:p>
    <w:p w14:paraId="25D9AD3E" w14:textId="1EA1CC7A" w:rsidR="003E7B99" w:rsidRPr="009057DB" w:rsidRDefault="003E7B99" w:rsidP="0037608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Nije bilo nalaza na mjestu primjene ili ishijadičnom nervu na kraj</w:t>
      </w:r>
      <w:r w:rsidR="00A95DCF" w:rsidRPr="009057DB">
        <w:rPr>
          <w:sz w:val="22"/>
          <w:szCs w:val="22"/>
          <w:lang w:val="sr-Latn-ME"/>
        </w:rPr>
        <w:t>u</w:t>
      </w:r>
      <w:r w:rsidRPr="009057DB">
        <w:rPr>
          <w:sz w:val="22"/>
          <w:szCs w:val="22"/>
          <w:lang w:val="sr-Latn-ME"/>
        </w:rPr>
        <w:t xml:space="preserve"> perioda oporavka, ukazujući na potpuni oporavak od </w:t>
      </w:r>
      <w:r w:rsidR="00A95DCF" w:rsidRPr="009057DB">
        <w:rPr>
          <w:sz w:val="22"/>
          <w:szCs w:val="22"/>
          <w:lang w:val="sr-Latn-ME"/>
        </w:rPr>
        <w:t xml:space="preserve">inflamacije uzrokovane vakcinom </w:t>
      </w:r>
      <w:r w:rsidRPr="009057DB">
        <w:rPr>
          <w:sz w:val="22"/>
          <w:szCs w:val="22"/>
          <w:lang w:val="sr-Latn-ME"/>
        </w:rPr>
        <w:t>Vaxzervia</w:t>
      </w:r>
      <w:r w:rsidR="00440E42" w:rsidRPr="009057DB">
        <w:rPr>
          <w:sz w:val="22"/>
          <w:szCs w:val="22"/>
          <w:lang w:val="sr-Latn-ME"/>
        </w:rPr>
        <w:t>.</w:t>
      </w:r>
    </w:p>
    <w:p w14:paraId="1CCDE2A2" w14:textId="77777777" w:rsidR="00836B35" w:rsidRPr="009057DB" w:rsidRDefault="00836B35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C9A300E" w14:textId="0F7622B5" w:rsidR="00466CDE" w:rsidRPr="009057DB" w:rsidRDefault="00466CDE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9057DB">
        <w:rPr>
          <w:sz w:val="22"/>
          <w:szCs w:val="22"/>
          <w:u w:val="single"/>
          <w:lang w:val="sr-Latn-ME"/>
        </w:rPr>
        <w:t>Genotoksičn</w:t>
      </w:r>
      <w:r w:rsidR="008261BD" w:rsidRPr="009057DB">
        <w:rPr>
          <w:sz w:val="22"/>
          <w:szCs w:val="22"/>
          <w:u w:val="single"/>
          <w:lang w:val="sr-Latn-ME"/>
        </w:rPr>
        <w:t>o</w:t>
      </w:r>
      <w:r w:rsidRPr="009057DB">
        <w:rPr>
          <w:sz w:val="22"/>
          <w:szCs w:val="22"/>
          <w:u w:val="single"/>
          <w:lang w:val="sr-Latn-ME"/>
        </w:rPr>
        <w:t>st/Karcinogenost</w:t>
      </w:r>
    </w:p>
    <w:p w14:paraId="52326B77" w14:textId="77777777" w:rsidR="00466CDE" w:rsidRPr="009057DB" w:rsidRDefault="00466CDE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351A106" w14:textId="06982B9B" w:rsidR="00466CDE" w:rsidRPr="009057DB" w:rsidRDefault="004D482A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 xml:space="preserve">Ispitivanja </w:t>
      </w:r>
      <w:r w:rsidR="00466CDE" w:rsidRPr="009057DB">
        <w:rPr>
          <w:sz w:val="22"/>
          <w:szCs w:val="22"/>
          <w:lang w:val="sr-Latn-ME"/>
        </w:rPr>
        <w:t>genotoksičnosti i karcinogenosti ni</w:t>
      </w:r>
      <w:r w:rsidR="008261BD" w:rsidRPr="009057DB">
        <w:rPr>
          <w:sz w:val="22"/>
          <w:szCs w:val="22"/>
          <w:lang w:val="sr-Latn-ME"/>
        </w:rPr>
        <w:t>je</w:t>
      </w:r>
      <w:r w:rsidR="00466CDE" w:rsidRPr="009057DB">
        <w:rPr>
          <w:sz w:val="22"/>
          <w:szCs w:val="22"/>
          <w:lang w:val="sr-Latn-ME"/>
        </w:rPr>
        <w:t>su sproveden</w:t>
      </w:r>
      <w:r w:rsidRPr="009057DB">
        <w:rPr>
          <w:sz w:val="22"/>
          <w:szCs w:val="22"/>
          <w:lang w:val="sr-Latn-ME"/>
        </w:rPr>
        <w:t>a</w:t>
      </w:r>
      <w:r w:rsidR="00466CDE" w:rsidRPr="009057DB">
        <w:rPr>
          <w:sz w:val="22"/>
          <w:szCs w:val="22"/>
          <w:lang w:val="sr-Latn-ME"/>
        </w:rPr>
        <w:t xml:space="preserve">. Ne očekuje se da </w:t>
      </w:r>
      <w:r w:rsidR="00D54D49" w:rsidRPr="009057DB">
        <w:rPr>
          <w:sz w:val="22"/>
          <w:szCs w:val="22"/>
          <w:lang w:val="sr-Latn-ME"/>
        </w:rPr>
        <w:t xml:space="preserve">bi </w:t>
      </w:r>
      <w:r w:rsidR="00466CDE" w:rsidRPr="009057DB">
        <w:rPr>
          <w:sz w:val="22"/>
          <w:szCs w:val="22"/>
          <w:lang w:val="sr-Latn-ME"/>
        </w:rPr>
        <w:t>kompone</w:t>
      </w:r>
      <w:r w:rsidR="00FE084A" w:rsidRPr="009057DB">
        <w:rPr>
          <w:sz w:val="22"/>
          <w:szCs w:val="22"/>
          <w:lang w:val="sr-Latn-ME"/>
        </w:rPr>
        <w:t>n</w:t>
      </w:r>
      <w:r w:rsidR="00466CDE" w:rsidRPr="009057DB">
        <w:rPr>
          <w:sz w:val="22"/>
          <w:szCs w:val="22"/>
          <w:lang w:val="sr-Latn-ME"/>
        </w:rPr>
        <w:t xml:space="preserve">te vakcine </w:t>
      </w:r>
      <w:r w:rsidR="00D54D49" w:rsidRPr="009057DB">
        <w:rPr>
          <w:sz w:val="22"/>
          <w:szCs w:val="22"/>
          <w:lang w:val="sr-Latn-ME"/>
        </w:rPr>
        <w:t xml:space="preserve">mogle da </w:t>
      </w:r>
      <w:r w:rsidR="00466CDE" w:rsidRPr="009057DB">
        <w:rPr>
          <w:sz w:val="22"/>
          <w:szCs w:val="22"/>
          <w:lang w:val="sr-Latn-ME"/>
        </w:rPr>
        <w:t xml:space="preserve">imaju genotoksični potencijal. </w:t>
      </w:r>
    </w:p>
    <w:p w14:paraId="1D9B597E" w14:textId="77777777" w:rsidR="00466CDE" w:rsidRPr="009057DB" w:rsidRDefault="00466CDE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BC5096B" w14:textId="556E3672" w:rsidR="00466CDE" w:rsidRPr="009057DB" w:rsidRDefault="00466CDE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9057DB">
        <w:rPr>
          <w:sz w:val="22"/>
          <w:szCs w:val="22"/>
          <w:u w:val="single"/>
          <w:lang w:val="sr-Latn-ME"/>
        </w:rPr>
        <w:t>Reproduktivna toksičnost</w:t>
      </w:r>
    </w:p>
    <w:p w14:paraId="01073520" w14:textId="77777777" w:rsidR="00466CDE" w:rsidRPr="009057DB" w:rsidRDefault="00466CDE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2E12761F" w14:textId="4A2DC7D8" w:rsidR="00BE75DE" w:rsidRPr="009057DB" w:rsidRDefault="00BE75DE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 xml:space="preserve">U </w:t>
      </w:r>
      <w:r w:rsidR="008234CE" w:rsidRPr="009057DB">
        <w:rPr>
          <w:sz w:val="22"/>
          <w:szCs w:val="22"/>
          <w:lang w:val="sr-Latn-ME"/>
        </w:rPr>
        <w:t>ispitivanju</w:t>
      </w:r>
      <w:r w:rsidRPr="009057DB">
        <w:rPr>
          <w:sz w:val="22"/>
          <w:szCs w:val="22"/>
          <w:lang w:val="sr-Latn-ME"/>
        </w:rPr>
        <w:t xml:space="preserve"> reproduktivn</w:t>
      </w:r>
      <w:r w:rsidR="008234CE" w:rsidRPr="009057DB">
        <w:rPr>
          <w:sz w:val="22"/>
          <w:szCs w:val="22"/>
          <w:lang w:val="sr-Latn-ME"/>
        </w:rPr>
        <w:t>e</w:t>
      </w:r>
      <w:r w:rsidRPr="009057DB">
        <w:rPr>
          <w:sz w:val="22"/>
          <w:szCs w:val="22"/>
          <w:lang w:val="sr-Latn-ME"/>
        </w:rPr>
        <w:t xml:space="preserve"> i razvoj</w:t>
      </w:r>
      <w:r w:rsidR="008234CE" w:rsidRPr="009057DB">
        <w:rPr>
          <w:sz w:val="22"/>
          <w:szCs w:val="22"/>
          <w:lang w:val="sr-Latn-ME"/>
        </w:rPr>
        <w:t>ne toksičnosti</w:t>
      </w:r>
      <w:r w:rsidRPr="009057DB">
        <w:rPr>
          <w:sz w:val="22"/>
          <w:szCs w:val="22"/>
          <w:lang w:val="sr-Latn-ME"/>
        </w:rPr>
        <w:t xml:space="preserve">, </w:t>
      </w:r>
      <w:r w:rsidR="008234CE" w:rsidRPr="009057DB">
        <w:rPr>
          <w:sz w:val="22"/>
          <w:szCs w:val="22"/>
          <w:lang w:val="sr-Latn-ME"/>
        </w:rPr>
        <w:t xml:space="preserve">vakcina </w:t>
      </w:r>
      <w:r w:rsidRPr="009057DB">
        <w:rPr>
          <w:sz w:val="22"/>
          <w:szCs w:val="22"/>
          <w:lang w:val="sr-Latn-ME"/>
        </w:rPr>
        <w:t>Vaxzevria nije i</w:t>
      </w:r>
      <w:r w:rsidR="008234CE" w:rsidRPr="009057DB">
        <w:rPr>
          <w:sz w:val="22"/>
          <w:szCs w:val="22"/>
          <w:lang w:val="sr-Latn-ME"/>
        </w:rPr>
        <w:t>zaz</w:t>
      </w:r>
      <w:r w:rsidRPr="009057DB">
        <w:rPr>
          <w:sz w:val="22"/>
          <w:szCs w:val="22"/>
          <w:lang w:val="sr-Latn-ME"/>
        </w:rPr>
        <w:t xml:space="preserve">vala toksičnost </w:t>
      </w:r>
      <w:r w:rsidR="008234CE" w:rsidRPr="009057DB">
        <w:rPr>
          <w:sz w:val="22"/>
          <w:szCs w:val="22"/>
          <w:lang w:val="sr-Latn-ME"/>
        </w:rPr>
        <w:t>z</w:t>
      </w:r>
      <w:r w:rsidRPr="009057DB">
        <w:rPr>
          <w:sz w:val="22"/>
          <w:szCs w:val="22"/>
          <w:lang w:val="sr-Latn-ME"/>
        </w:rPr>
        <w:t xml:space="preserve">a majku niti razvoj ploda, </w:t>
      </w:r>
      <w:r w:rsidR="00ED37B5" w:rsidRPr="009057DB">
        <w:rPr>
          <w:sz w:val="22"/>
          <w:szCs w:val="22"/>
          <w:lang w:val="sr-Latn-ME"/>
        </w:rPr>
        <w:t>to</w:t>
      </w:r>
      <w:r w:rsidRPr="009057DB">
        <w:rPr>
          <w:sz w:val="22"/>
          <w:szCs w:val="22"/>
          <w:lang w:val="sr-Latn-ME"/>
        </w:rPr>
        <w:t>kom izloženosti majke u periodu prije parenja, gestacije i</w:t>
      </w:r>
      <w:r w:rsidR="00ED37B5" w:rsidRPr="009057DB">
        <w:rPr>
          <w:sz w:val="22"/>
          <w:szCs w:val="22"/>
          <w:lang w:val="sr-Latn-ME"/>
        </w:rPr>
        <w:t>li</w:t>
      </w:r>
      <w:r w:rsidRPr="009057DB">
        <w:rPr>
          <w:sz w:val="22"/>
          <w:szCs w:val="22"/>
          <w:lang w:val="sr-Latn-ME"/>
        </w:rPr>
        <w:t xml:space="preserve"> perioda dojenja. </w:t>
      </w:r>
    </w:p>
    <w:p w14:paraId="217C30E1" w14:textId="0E15E425" w:rsidR="00396DFD" w:rsidRPr="009057DB" w:rsidRDefault="00BE75DE" w:rsidP="00376088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U ovoj studiji, vakcina je izazvala pojavu detektabilnih</w:t>
      </w:r>
      <w:r w:rsidRPr="009057DB">
        <w:rPr>
          <w:noProof/>
          <w:sz w:val="22"/>
          <w:szCs w:val="22"/>
          <w:lang w:val="sr-Latn-ME"/>
        </w:rPr>
        <w:t xml:space="preserve"> anti-SARS-CoV-2 S-gl</w:t>
      </w:r>
      <w:r w:rsidR="00ED37B5" w:rsidRPr="009057DB">
        <w:rPr>
          <w:noProof/>
          <w:sz w:val="22"/>
          <w:szCs w:val="22"/>
          <w:lang w:val="sr-Latn-ME"/>
        </w:rPr>
        <w:t>ik</w:t>
      </w:r>
      <w:r w:rsidRPr="009057DB">
        <w:rPr>
          <w:noProof/>
          <w:sz w:val="22"/>
          <w:szCs w:val="22"/>
          <w:lang w:val="sr-Latn-ME"/>
        </w:rPr>
        <w:t>oprotein majčinih antitijela koja su prenijeta</w:t>
      </w:r>
      <w:r w:rsidR="00ED37B5" w:rsidRPr="009057DB">
        <w:rPr>
          <w:noProof/>
          <w:sz w:val="22"/>
          <w:szCs w:val="22"/>
          <w:lang w:val="sr-Latn-ME"/>
        </w:rPr>
        <w:t xml:space="preserve"> </w:t>
      </w:r>
      <w:r w:rsidRPr="009057DB">
        <w:rPr>
          <w:noProof/>
          <w:sz w:val="22"/>
          <w:szCs w:val="22"/>
          <w:lang w:val="sr-Latn-ME"/>
        </w:rPr>
        <w:t xml:space="preserve">na fetuse </w:t>
      </w:r>
      <w:r w:rsidR="007F1EBF" w:rsidRPr="009057DB">
        <w:rPr>
          <w:noProof/>
          <w:sz w:val="22"/>
          <w:szCs w:val="22"/>
          <w:lang w:val="sr-Latn-ME"/>
        </w:rPr>
        <w:t>i</w:t>
      </w:r>
      <w:r w:rsidRPr="009057DB">
        <w:rPr>
          <w:noProof/>
          <w:sz w:val="22"/>
          <w:szCs w:val="22"/>
          <w:lang w:val="sr-Latn-ME"/>
        </w:rPr>
        <w:t xml:space="preserve"> na mladunčad, što ukazuje na </w:t>
      </w:r>
      <w:r w:rsidR="007F1EBF" w:rsidRPr="009057DB">
        <w:rPr>
          <w:noProof/>
          <w:sz w:val="22"/>
          <w:szCs w:val="22"/>
          <w:lang w:val="sr-Latn-ME"/>
        </w:rPr>
        <w:t xml:space="preserve">placentni i laktacijski </w:t>
      </w:r>
      <w:r w:rsidRPr="009057DB">
        <w:rPr>
          <w:noProof/>
          <w:sz w:val="22"/>
          <w:szCs w:val="22"/>
          <w:lang w:val="sr-Latn-ME"/>
        </w:rPr>
        <w:t>tran</w:t>
      </w:r>
      <w:r w:rsidR="00ED37B5" w:rsidRPr="009057DB">
        <w:rPr>
          <w:noProof/>
          <w:sz w:val="22"/>
          <w:szCs w:val="22"/>
          <w:lang w:val="sr-Latn-ME"/>
        </w:rPr>
        <w:t>s</w:t>
      </w:r>
      <w:r w:rsidRPr="009057DB">
        <w:rPr>
          <w:noProof/>
          <w:sz w:val="22"/>
          <w:szCs w:val="22"/>
          <w:lang w:val="sr-Latn-ME"/>
        </w:rPr>
        <w:t>fer antitijela</w:t>
      </w:r>
      <w:r w:rsidR="007F1EBF" w:rsidRPr="009057DB">
        <w:rPr>
          <w:noProof/>
          <w:sz w:val="22"/>
          <w:szCs w:val="22"/>
          <w:lang w:val="sr-Latn-ME"/>
        </w:rPr>
        <w:t xml:space="preserve">. </w:t>
      </w:r>
      <w:r w:rsidR="00ED37B5" w:rsidRPr="009057DB">
        <w:rPr>
          <w:noProof/>
          <w:sz w:val="22"/>
          <w:szCs w:val="22"/>
          <w:lang w:val="sr-Latn-ME"/>
        </w:rPr>
        <w:t>Nema dostupnih podataka o izlučivanju same vakcine Vaxzevria u mlijeko.</w:t>
      </w:r>
    </w:p>
    <w:p w14:paraId="78DE1D67" w14:textId="77777777" w:rsidR="00EF3FA2" w:rsidRPr="009057DB" w:rsidRDefault="00EF3FA2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4A892E8" w14:textId="1C7CDB9A" w:rsidR="00A60699" w:rsidRPr="009057DB" w:rsidRDefault="00A60699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D016674" w14:textId="709C8506" w:rsidR="005F4FAB" w:rsidRPr="009057DB" w:rsidRDefault="005F4FAB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FA82121" w14:textId="77777777" w:rsidR="005F4FAB" w:rsidRPr="009057DB" w:rsidRDefault="005F4FAB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46BDAEA" w14:textId="7D8AE60E" w:rsidR="0072020E" w:rsidRPr="009057DB" w:rsidRDefault="0072020E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057DB">
        <w:rPr>
          <w:b/>
          <w:bCs/>
          <w:sz w:val="22"/>
          <w:szCs w:val="22"/>
          <w:lang w:val="sr-Latn-ME"/>
        </w:rPr>
        <w:t xml:space="preserve">6. </w:t>
      </w:r>
      <w:r w:rsidR="00480FB1" w:rsidRPr="009057DB">
        <w:rPr>
          <w:b/>
          <w:bCs/>
          <w:sz w:val="22"/>
          <w:szCs w:val="22"/>
          <w:lang w:val="sr-Latn-ME"/>
        </w:rPr>
        <w:tab/>
      </w:r>
      <w:r w:rsidRPr="009057DB">
        <w:rPr>
          <w:b/>
          <w:bCs/>
          <w:sz w:val="22"/>
          <w:szCs w:val="22"/>
          <w:lang w:val="sr-Latn-ME"/>
        </w:rPr>
        <w:t>FARMACEUTSKI PODACI</w:t>
      </w:r>
    </w:p>
    <w:p w14:paraId="28BA1F2C" w14:textId="77777777" w:rsidR="00836B35" w:rsidRPr="009057DB" w:rsidRDefault="00836B35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74A9E80" w14:textId="77777777" w:rsidR="0072020E" w:rsidRPr="009057DB" w:rsidRDefault="0072020E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057DB">
        <w:rPr>
          <w:b/>
          <w:bCs/>
          <w:sz w:val="22"/>
          <w:szCs w:val="22"/>
          <w:lang w:val="sr-Latn-ME"/>
        </w:rPr>
        <w:t xml:space="preserve">6.1. </w:t>
      </w:r>
      <w:r w:rsidR="00480FB1" w:rsidRPr="009057DB">
        <w:rPr>
          <w:b/>
          <w:bCs/>
          <w:sz w:val="22"/>
          <w:szCs w:val="22"/>
          <w:lang w:val="sr-Latn-ME"/>
        </w:rPr>
        <w:tab/>
      </w:r>
      <w:r w:rsidRPr="009057DB">
        <w:rPr>
          <w:b/>
          <w:bCs/>
          <w:sz w:val="22"/>
          <w:szCs w:val="22"/>
          <w:lang w:val="sr-Latn-ME"/>
        </w:rPr>
        <w:t>Lista pomoćnih supstanci</w:t>
      </w:r>
      <w:r w:rsidR="002E0135" w:rsidRPr="009057DB">
        <w:rPr>
          <w:b/>
          <w:bCs/>
          <w:sz w:val="22"/>
          <w:szCs w:val="22"/>
          <w:lang w:val="sr-Latn-ME"/>
        </w:rPr>
        <w:t xml:space="preserve"> (ekscipijenasa)</w:t>
      </w:r>
    </w:p>
    <w:p w14:paraId="54AF3ADD" w14:textId="39AC8940" w:rsidR="0072020E" w:rsidRPr="009057DB" w:rsidRDefault="0072020E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8C3A4B4" w14:textId="77777777" w:rsidR="00E14058" w:rsidRPr="009057DB" w:rsidRDefault="00E14058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L-Histidin</w:t>
      </w:r>
    </w:p>
    <w:p w14:paraId="04928F05" w14:textId="77777777" w:rsidR="00E14058" w:rsidRPr="009057DB" w:rsidRDefault="00E14058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L-Histidin hidrohlorid monohidrat</w:t>
      </w:r>
    </w:p>
    <w:p w14:paraId="05856F96" w14:textId="77777777" w:rsidR="00E14058" w:rsidRPr="009057DB" w:rsidRDefault="00E14058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Magnezijum hlorid heksahidrat</w:t>
      </w:r>
    </w:p>
    <w:p w14:paraId="6B168CE1" w14:textId="77777777" w:rsidR="00E14058" w:rsidRPr="009057DB" w:rsidRDefault="00E14058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Polisorbat 80 (E 433)</w:t>
      </w:r>
    </w:p>
    <w:p w14:paraId="5B278734" w14:textId="77777777" w:rsidR="00E14058" w:rsidRPr="009057DB" w:rsidRDefault="00E14058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Etanol</w:t>
      </w:r>
    </w:p>
    <w:p w14:paraId="167AAC49" w14:textId="77777777" w:rsidR="00E14058" w:rsidRPr="009057DB" w:rsidRDefault="00E14058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Saharoza</w:t>
      </w:r>
    </w:p>
    <w:p w14:paraId="7B30308D" w14:textId="77777777" w:rsidR="00E14058" w:rsidRPr="009057DB" w:rsidRDefault="00E14058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Natrijum hlorid</w:t>
      </w:r>
    </w:p>
    <w:p w14:paraId="02C38EBB" w14:textId="77777777" w:rsidR="00E14058" w:rsidRPr="009057DB" w:rsidRDefault="00E14058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Dinatrijum edetat (dihidrat)</w:t>
      </w:r>
    </w:p>
    <w:p w14:paraId="2B1A4022" w14:textId="4606C19A" w:rsidR="00E14058" w:rsidRPr="009057DB" w:rsidRDefault="00E14058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 xml:space="preserve">Voda za </w:t>
      </w:r>
      <w:r w:rsidR="00AD5E77" w:rsidRPr="009057DB">
        <w:rPr>
          <w:sz w:val="22"/>
          <w:szCs w:val="22"/>
          <w:lang w:val="sr-Latn-ME"/>
        </w:rPr>
        <w:t>injekcije</w:t>
      </w:r>
    </w:p>
    <w:p w14:paraId="0E5C6D49" w14:textId="77777777" w:rsidR="00E14058" w:rsidRPr="009057DB" w:rsidRDefault="00E14058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1720A1F" w14:textId="77777777" w:rsidR="0072020E" w:rsidRPr="009057DB" w:rsidRDefault="0072020E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057DB">
        <w:rPr>
          <w:b/>
          <w:bCs/>
          <w:sz w:val="22"/>
          <w:szCs w:val="22"/>
          <w:lang w:val="sr-Latn-ME"/>
        </w:rPr>
        <w:t xml:space="preserve">6.2. </w:t>
      </w:r>
      <w:r w:rsidR="00480FB1" w:rsidRPr="009057DB">
        <w:rPr>
          <w:b/>
          <w:bCs/>
          <w:sz w:val="22"/>
          <w:szCs w:val="22"/>
          <w:lang w:val="sr-Latn-ME"/>
        </w:rPr>
        <w:tab/>
      </w:r>
      <w:r w:rsidRPr="009057DB">
        <w:rPr>
          <w:b/>
          <w:bCs/>
          <w:sz w:val="22"/>
          <w:szCs w:val="22"/>
          <w:lang w:val="sr-Latn-ME"/>
        </w:rPr>
        <w:t>Inkompatibilnost</w:t>
      </w:r>
      <w:r w:rsidR="002846DB" w:rsidRPr="009057DB">
        <w:rPr>
          <w:b/>
          <w:bCs/>
          <w:sz w:val="22"/>
          <w:szCs w:val="22"/>
          <w:lang w:val="sr-Latn-ME"/>
        </w:rPr>
        <w:t>i</w:t>
      </w:r>
    </w:p>
    <w:p w14:paraId="6EFB3F4B" w14:textId="317F4B7E" w:rsidR="0072020E" w:rsidRPr="009057DB" w:rsidRDefault="0072020E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D0803CF" w14:textId="7AC3F483" w:rsidR="00730368" w:rsidRPr="009057DB" w:rsidRDefault="00730368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 xml:space="preserve">Ova </w:t>
      </w:r>
      <w:r w:rsidR="006F7832" w:rsidRPr="009057DB">
        <w:rPr>
          <w:sz w:val="22"/>
          <w:szCs w:val="22"/>
          <w:lang w:val="sr-Latn-ME"/>
        </w:rPr>
        <w:t xml:space="preserve">vakcina </w:t>
      </w:r>
      <w:r w:rsidRPr="009057DB">
        <w:rPr>
          <w:sz w:val="22"/>
          <w:szCs w:val="22"/>
          <w:lang w:val="sr-Latn-ME"/>
        </w:rPr>
        <w:t>ne smije da se miješa ili ra</w:t>
      </w:r>
      <w:r w:rsidR="00E82520" w:rsidRPr="009057DB">
        <w:rPr>
          <w:sz w:val="22"/>
          <w:szCs w:val="22"/>
          <w:lang w:val="sr-Latn-ME"/>
        </w:rPr>
        <w:t>zblažuje</w:t>
      </w:r>
      <w:r w:rsidRPr="009057DB">
        <w:rPr>
          <w:sz w:val="22"/>
          <w:szCs w:val="22"/>
          <w:lang w:val="sr-Latn-ME"/>
        </w:rPr>
        <w:t xml:space="preserve"> sa drugim ljekovima. </w:t>
      </w:r>
    </w:p>
    <w:p w14:paraId="7B7FFFC7" w14:textId="77777777" w:rsidR="00954393" w:rsidRPr="009057DB" w:rsidRDefault="00954393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7B82000" w14:textId="77777777" w:rsidR="0072020E" w:rsidRPr="009057DB" w:rsidRDefault="0072020E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057DB">
        <w:rPr>
          <w:b/>
          <w:bCs/>
          <w:sz w:val="22"/>
          <w:szCs w:val="22"/>
          <w:lang w:val="sr-Latn-ME"/>
        </w:rPr>
        <w:t>6.3.</w:t>
      </w:r>
      <w:r w:rsidR="00C05DF8" w:rsidRPr="009057DB">
        <w:rPr>
          <w:b/>
          <w:bCs/>
          <w:sz w:val="22"/>
          <w:szCs w:val="22"/>
          <w:lang w:val="sr-Latn-ME"/>
        </w:rPr>
        <w:t xml:space="preserve"> </w:t>
      </w:r>
      <w:r w:rsidR="00480FB1" w:rsidRPr="009057DB">
        <w:rPr>
          <w:b/>
          <w:bCs/>
          <w:sz w:val="22"/>
          <w:szCs w:val="22"/>
          <w:lang w:val="sr-Latn-ME"/>
        </w:rPr>
        <w:tab/>
      </w:r>
      <w:r w:rsidRPr="009057DB">
        <w:rPr>
          <w:b/>
          <w:bCs/>
          <w:sz w:val="22"/>
          <w:szCs w:val="22"/>
          <w:lang w:val="sr-Latn-ME"/>
        </w:rPr>
        <w:t>Rok upotrebe</w:t>
      </w:r>
    </w:p>
    <w:p w14:paraId="2DB06E4D" w14:textId="601F7B29" w:rsidR="0072020E" w:rsidRPr="009057DB" w:rsidRDefault="0072020E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6992034" w14:textId="77777777" w:rsidR="00C564C3" w:rsidRPr="009057DB" w:rsidRDefault="00C564C3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9057DB">
        <w:rPr>
          <w:sz w:val="22"/>
          <w:szCs w:val="22"/>
          <w:u w:val="single"/>
          <w:lang w:val="sr-Latn-ME"/>
        </w:rPr>
        <w:t>Neotvorena bočica</w:t>
      </w:r>
    </w:p>
    <w:p w14:paraId="0B753213" w14:textId="45F1FAB4" w:rsidR="00C564C3" w:rsidRPr="009057DB" w:rsidRDefault="005A1B78" w:rsidP="00376088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9</w:t>
      </w:r>
      <w:r w:rsidR="00C564C3" w:rsidRPr="009057DB">
        <w:rPr>
          <w:sz w:val="22"/>
          <w:szCs w:val="22"/>
          <w:lang w:val="sr-Latn-ME"/>
        </w:rPr>
        <w:t xml:space="preserve"> m</w:t>
      </w:r>
      <w:r w:rsidR="00577D3B" w:rsidRPr="009057DB">
        <w:rPr>
          <w:sz w:val="22"/>
          <w:szCs w:val="22"/>
          <w:lang w:val="sr-Latn-ME"/>
        </w:rPr>
        <w:t>j</w:t>
      </w:r>
      <w:r w:rsidR="00C564C3" w:rsidRPr="009057DB">
        <w:rPr>
          <w:sz w:val="22"/>
          <w:szCs w:val="22"/>
          <w:lang w:val="sr-Latn-ME"/>
        </w:rPr>
        <w:t xml:space="preserve">eseci kada se čuva u frižideru </w:t>
      </w:r>
      <w:r w:rsidR="00C564C3" w:rsidRPr="009057DB">
        <w:rPr>
          <w:noProof/>
          <w:sz w:val="22"/>
          <w:szCs w:val="22"/>
          <w:lang w:val="sr-Latn-ME"/>
        </w:rPr>
        <w:t>(2°C – 8°C)</w:t>
      </w:r>
      <w:r w:rsidR="00AD5E77" w:rsidRPr="009057DB">
        <w:rPr>
          <w:noProof/>
          <w:sz w:val="22"/>
          <w:szCs w:val="22"/>
          <w:lang w:val="sr-Latn-ME"/>
        </w:rPr>
        <w:t>.</w:t>
      </w:r>
    </w:p>
    <w:p w14:paraId="54FD8C9A" w14:textId="1E07E5BC" w:rsidR="0084222E" w:rsidRPr="009057DB" w:rsidRDefault="0084222E" w:rsidP="00376088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30052574" w14:textId="77FA5121" w:rsidR="0084222E" w:rsidRPr="009057DB" w:rsidRDefault="0084222E" w:rsidP="00376088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9057DB">
        <w:rPr>
          <w:noProof/>
          <w:sz w:val="22"/>
          <w:szCs w:val="22"/>
          <w:lang w:val="sr-Latn-ME"/>
        </w:rPr>
        <w:t>Sledeće informacije namijenjene su isključivo kao vodič zdravstvenim radnicima samo u slučaju nepredviđenih privremenih temperaturnih odstupanja. To nijesu preporučeni uslovi čuvanja i transporta.</w:t>
      </w:r>
    </w:p>
    <w:p w14:paraId="2A0ECBCF" w14:textId="6434C0CB" w:rsidR="00C564C3" w:rsidRPr="009057DB" w:rsidRDefault="00C564C3" w:rsidP="00376088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09639155" w14:textId="16CD916F" w:rsidR="0084222E" w:rsidRPr="009057DB" w:rsidRDefault="0084222E" w:rsidP="00376088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9057DB">
        <w:rPr>
          <w:noProof/>
          <w:sz w:val="22"/>
          <w:szCs w:val="22"/>
          <w:lang w:val="sr-Latn-ME"/>
        </w:rPr>
        <w:t>Rok upotrebe neotvorenih bočica uključuje sledeća nepredviđena odstupanja od uslova čuvanja u hladnom lancu (2°C – 8°C) za jednokratni period od:</w:t>
      </w:r>
    </w:p>
    <w:p w14:paraId="4BCB0DB2" w14:textId="396F3789" w:rsidR="0084222E" w:rsidRPr="009057DB" w:rsidRDefault="0084222E" w:rsidP="00376088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9057DB">
        <w:rPr>
          <w:noProof/>
          <w:sz w:val="22"/>
          <w:szCs w:val="22"/>
          <w:lang w:val="sr-Latn-ME"/>
        </w:rPr>
        <w:t>-</w:t>
      </w:r>
      <w:r w:rsidRPr="009057DB">
        <w:rPr>
          <w:noProof/>
          <w:sz w:val="22"/>
          <w:szCs w:val="22"/>
          <w:lang w:val="sr-Latn-ME"/>
        </w:rPr>
        <w:tab/>
        <w:t>12 sati do najviše 30°C</w:t>
      </w:r>
    </w:p>
    <w:p w14:paraId="47D938C2" w14:textId="1F820C89" w:rsidR="0084222E" w:rsidRPr="009057DB" w:rsidRDefault="0084222E" w:rsidP="00376088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9057DB">
        <w:rPr>
          <w:noProof/>
          <w:sz w:val="22"/>
          <w:szCs w:val="22"/>
          <w:lang w:val="sr-Latn-ME"/>
        </w:rPr>
        <w:t>-</w:t>
      </w:r>
      <w:r w:rsidRPr="009057DB">
        <w:rPr>
          <w:noProof/>
          <w:sz w:val="22"/>
          <w:szCs w:val="22"/>
          <w:lang w:val="sr-Latn-ME"/>
        </w:rPr>
        <w:tab/>
        <w:t>72 sati do najmanje -3°C</w:t>
      </w:r>
    </w:p>
    <w:p w14:paraId="7363552C" w14:textId="77777777" w:rsidR="0084222E" w:rsidRPr="009057DB" w:rsidRDefault="0084222E" w:rsidP="00376088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44C76C00" w14:textId="42CC1A4E" w:rsidR="0084222E" w:rsidRPr="009057DB" w:rsidRDefault="0084222E" w:rsidP="00376088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9057DB">
        <w:rPr>
          <w:noProof/>
          <w:sz w:val="22"/>
          <w:szCs w:val="22"/>
          <w:lang w:val="sr-Latn-ME"/>
        </w:rPr>
        <w:t xml:space="preserve">Nakon temperaturnog odstupanja </w:t>
      </w:r>
      <w:r w:rsidR="00607CEE" w:rsidRPr="009057DB">
        <w:rPr>
          <w:noProof/>
          <w:sz w:val="22"/>
          <w:szCs w:val="22"/>
          <w:lang w:val="sr-Latn-ME"/>
        </w:rPr>
        <w:t>neotvoren</w:t>
      </w:r>
      <w:r w:rsidR="00294E6C" w:rsidRPr="009057DB">
        <w:rPr>
          <w:noProof/>
          <w:sz w:val="22"/>
          <w:szCs w:val="22"/>
          <w:lang w:val="sr-Latn-ME"/>
        </w:rPr>
        <w:t>e</w:t>
      </w:r>
      <w:r w:rsidR="00607CEE" w:rsidRPr="009057DB">
        <w:rPr>
          <w:noProof/>
          <w:sz w:val="22"/>
          <w:szCs w:val="22"/>
          <w:lang w:val="sr-Latn-ME"/>
        </w:rPr>
        <w:t xml:space="preserve"> bočic</w:t>
      </w:r>
      <w:r w:rsidR="00294E6C" w:rsidRPr="009057DB">
        <w:rPr>
          <w:noProof/>
          <w:sz w:val="22"/>
          <w:szCs w:val="22"/>
          <w:lang w:val="sr-Latn-ME"/>
        </w:rPr>
        <w:t>e</w:t>
      </w:r>
      <w:r w:rsidRPr="009057DB">
        <w:rPr>
          <w:noProof/>
          <w:sz w:val="22"/>
          <w:szCs w:val="22"/>
          <w:lang w:val="sr-Latn-ME"/>
        </w:rPr>
        <w:t xml:space="preserve"> treba uvijek vratiti u uslove čuvanja hladnog lanca (2°C – 8°C).</w:t>
      </w:r>
    </w:p>
    <w:p w14:paraId="31870EF2" w14:textId="77777777" w:rsidR="0084222E" w:rsidRPr="009057DB" w:rsidRDefault="0084222E" w:rsidP="00376088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56D52820" w14:textId="1D98EB48" w:rsidR="0084222E" w:rsidRPr="009057DB" w:rsidRDefault="0084222E" w:rsidP="00376088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9057DB">
        <w:rPr>
          <w:noProof/>
          <w:sz w:val="22"/>
          <w:szCs w:val="22"/>
          <w:lang w:val="sr-Latn-ME"/>
        </w:rPr>
        <w:t xml:space="preserve">Pojava temperaturnog odstupanja kod neotvorenih bočica ne </w:t>
      </w:r>
      <w:r w:rsidR="00294E6C" w:rsidRPr="009057DB">
        <w:rPr>
          <w:noProof/>
          <w:sz w:val="22"/>
          <w:szCs w:val="22"/>
          <w:lang w:val="sr-Latn-ME"/>
        </w:rPr>
        <w:t xml:space="preserve">utiče </w:t>
      </w:r>
      <w:r w:rsidRPr="009057DB">
        <w:rPr>
          <w:noProof/>
          <w:sz w:val="22"/>
          <w:szCs w:val="22"/>
          <w:lang w:val="sr-Latn-ME"/>
        </w:rPr>
        <w:t>na to kako bočice treba čuvati nakon prvog otvaranja (prvo uvođenje igle u bočicu).</w:t>
      </w:r>
    </w:p>
    <w:p w14:paraId="3B260688" w14:textId="77777777" w:rsidR="00FD08B7" w:rsidRPr="009057DB" w:rsidRDefault="00FD08B7" w:rsidP="00376088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14AD93ED" w14:textId="77777777" w:rsidR="00C564C3" w:rsidRPr="009057DB" w:rsidRDefault="00C564C3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9057DB">
        <w:rPr>
          <w:noProof/>
          <w:sz w:val="22"/>
          <w:szCs w:val="22"/>
          <w:u w:val="single"/>
          <w:lang w:val="sr-Latn-ME"/>
        </w:rPr>
        <w:t>Otvorena bočica</w:t>
      </w:r>
    </w:p>
    <w:p w14:paraId="6210A8C3" w14:textId="185C62A9" w:rsidR="00C564C3" w:rsidRPr="009057DB" w:rsidRDefault="00C564C3" w:rsidP="00376088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 xml:space="preserve">Dokazana je hemijska i fizička stabilnost </w:t>
      </w:r>
      <w:r w:rsidR="0027645E" w:rsidRPr="009057DB">
        <w:rPr>
          <w:sz w:val="22"/>
          <w:szCs w:val="22"/>
          <w:lang w:val="sr-Latn-ME"/>
        </w:rPr>
        <w:t xml:space="preserve">vakcine </w:t>
      </w:r>
      <w:r w:rsidR="00276261" w:rsidRPr="009057DB">
        <w:rPr>
          <w:sz w:val="22"/>
          <w:szCs w:val="22"/>
          <w:lang w:val="sr-Latn-ME"/>
        </w:rPr>
        <w:t>tokom</w:t>
      </w:r>
      <w:r w:rsidR="00FD08B7" w:rsidRPr="009057DB">
        <w:rPr>
          <w:sz w:val="22"/>
          <w:szCs w:val="22"/>
          <w:lang w:val="sr-Latn-ME"/>
        </w:rPr>
        <w:t xml:space="preserve"> 6 sati kada se čuva na temperaturi do </w:t>
      </w:r>
      <w:r w:rsidR="00FD08B7" w:rsidRPr="009057DB">
        <w:rPr>
          <w:noProof/>
          <w:sz w:val="22"/>
          <w:szCs w:val="22"/>
          <w:lang w:val="sr-Latn-ME"/>
        </w:rPr>
        <w:t xml:space="preserve">30°C, </w:t>
      </w:r>
      <w:r w:rsidR="00B476FF" w:rsidRPr="009057DB">
        <w:rPr>
          <w:noProof/>
          <w:sz w:val="22"/>
          <w:szCs w:val="22"/>
          <w:lang w:val="sr-Latn-ME"/>
        </w:rPr>
        <w:t xml:space="preserve">odnosno </w:t>
      </w:r>
      <w:r w:rsidR="00FD08B7" w:rsidRPr="009057DB">
        <w:rPr>
          <w:noProof/>
          <w:sz w:val="22"/>
          <w:szCs w:val="22"/>
          <w:lang w:val="sr-Latn-ME"/>
        </w:rPr>
        <w:t xml:space="preserve">u roku od 48 sati kada se čuva </w:t>
      </w:r>
      <w:r w:rsidR="00B476FF" w:rsidRPr="009057DB">
        <w:rPr>
          <w:noProof/>
          <w:sz w:val="22"/>
          <w:szCs w:val="22"/>
          <w:lang w:val="sr-Latn-ME"/>
        </w:rPr>
        <w:t xml:space="preserve">u frižideru </w:t>
      </w:r>
      <w:r w:rsidR="00FD08B7" w:rsidRPr="009057DB">
        <w:rPr>
          <w:noProof/>
          <w:sz w:val="22"/>
          <w:szCs w:val="22"/>
          <w:lang w:val="sr-Latn-ME"/>
        </w:rPr>
        <w:t>na temperaturi od 2°C – 8°C</w:t>
      </w:r>
      <w:r w:rsidR="00B476FF" w:rsidRPr="009057DB">
        <w:rPr>
          <w:sz w:val="22"/>
          <w:szCs w:val="22"/>
          <w:lang w:val="sr-Latn-ME"/>
        </w:rPr>
        <w:t xml:space="preserve">. </w:t>
      </w:r>
      <w:r w:rsidRPr="009057DB">
        <w:rPr>
          <w:noProof/>
          <w:sz w:val="22"/>
          <w:szCs w:val="22"/>
          <w:lang w:val="sr-Latn-ME"/>
        </w:rPr>
        <w:t xml:space="preserve">Nakon </w:t>
      </w:r>
      <w:r w:rsidR="00BA3824" w:rsidRPr="009057DB">
        <w:rPr>
          <w:noProof/>
          <w:sz w:val="22"/>
          <w:szCs w:val="22"/>
          <w:lang w:val="sr-Latn-ME"/>
        </w:rPr>
        <w:t>tog</w:t>
      </w:r>
      <w:r w:rsidRPr="009057DB">
        <w:rPr>
          <w:noProof/>
          <w:sz w:val="22"/>
          <w:szCs w:val="22"/>
          <w:lang w:val="sr-Latn-ME"/>
        </w:rPr>
        <w:t xml:space="preserve"> perioda, </w:t>
      </w:r>
      <w:r w:rsidR="00B476FF" w:rsidRPr="009057DB">
        <w:rPr>
          <w:noProof/>
          <w:sz w:val="22"/>
          <w:szCs w:val="22"/>
          <w:lang w:val="sr-Latn-ME"/>
        </w:rPr>
        <w:t xml:space="preserve">bočica </w:t>
      </w:r>
      <w:r w:rsidRPr="009057DB">
        <w:rPr>
          <w:noProof/>
          <w:sz w:val="22"/>
          <w:szCs w:val="22"/>
          <w:lang w:val="sr-Latn-ME"/>
        </w:rPr>
        <w:t xml:space="preserve">se mora baciti. </w:t>
      </w:r>
      <w:r w:rsidR="00B476FF" w:rsidRPr="009057DB">
        <w:rPr>
          <w:noProof/>
          <w:sz w:val="22"/>
          <w:szCs w:val="22"/>
          <w:lang w:val="sr-Latn-ME"/>
        </w:rPr>
        <w:t>Nakon čuvanja van frižidera, bočica se n</w:t>
      </w:r>
      <w:r w:rsidRPr="009057DB">
        <w:rPr>
          <w:noProof/>
          <w:sz w:val="22"/>
          <w:szCs w:val="22"/>
          <w:lang w:val="sr-Latn-ME"/>
        </w:rPr>
        <w:t xml:space="preserve">e </w:t>
      </w:r>
      <w:r w:rsidR="00E6760D" w:rsidRPr="009057DB">
        <w:rPr>
          <w:noProof/>
          <w:sz w:val="22"/>
          <w:szCs w:val="22"/>
          <w:lang w:val="sr-Latn-ME"/>
        </w:rPr>
        <w:t xml:space="preserve">smije </w:t>
      </w:r>
      <w:r w:rsidRPr="009057DB">
        <w:rPr>
          <w:noProof/>
          <w:sz w:val="22"/>
          <w:szCs w:val="22"/>
          <w:lang w:val="sr-Latn-ME"/>
        </w:rPr>
        <w:t>vraćati u frižider</w:t>
      </w:r>
      <w:r w:rsidR="00FD08B7" w:rsidRPr="009057DB">
        <w:rPr>
          <w:noProof/>
          <w:sz w:val="22"/>
          <w:szCs w:val="22"/>
          <w:lang w:val="sr-Latn-ME"/>
        </w:rPr>
        <w:t>.</w:t>
      </w:r>
      <w:r w:rsidRPr="009057DB">
        <w:rPr>
          <w:noProof/>
          <w:sz w:val="22"/>
          <w:szCs w:val="22"/>
          <w:lang w:val="sr-Latn-ME"/>
        </w:rPr>
        <w:t xml:space="preserve"> </w:t>
      </w:r>
    </w:p>
    <w:p w14:paraId="34272D7D" w14:textId="23B84988" w:rsidR="00C564C3" w:rsidRPr="009057DB" w:rsidRDefault="00FD08B7" w:rsidP="00376088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9057DB">
        <w:rPr>
          <w:noProof/>
          <w:sz w:val="22"/>
          <w:szCs w:val="22"/>
          <w:lang w:val="sr-Latn-ME"/>
        </w:rPr>
        <w:t xml:space="preserve"> </w:t>
      </w:r>
    </w:p>
    <w:p w14:paraId="56C27B10" w14:textId="460F2011" w:rsidR="00390448" w:rsidRPr="009057DB" w:rsidRDefault="00B476FF" w:rsidP="00376088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9057DB">
        <w:rPr>
          <w:noProof/>
          <w:sz w:val="22"/>
          <w:szCs w:val="22"/>
          <w:lang w:val="sr-Latn-ME"/>
        </w:rPr>
        <w:t>Kao alternativa, o</w:t>
      </w:r>
      <w:r w:rsidR="00FD08B7" w:rsidRPr="009057DB">
        <w:rPr>
          <w:noProof/>
          <w:sz w:val="22"/>
          <w:szCs w:val="22"/>
          <w:lang w:val="sr-Latn-ME"/>
        </w:rPr>
        <w:t xml:space="preserve">tvorena bočica se može čuvati u frižideru na temperaturi 2°C </w:t>
      </w:r>
      <w:r w:rsidRPr="009057DB">
        <w:rPr>
          <w:noProof/>
          <w:sz w:val="22"/>
          <w:szCs w:val="22"/>
          <w:lang w:val="sr-Latn-ME"/>
        </w:rPr>
        <w:t>-</w:t>
      </w:r>
      <w:r w:rsidR="00FD08B7" w:rsidRPr="009057DB">
        <w:rPr>
          <w:noProof/>
          <w:sz w:val="22"/>
          <w:szCs w:val="22"/>
          <w:lang w:val="sr-Latn-ME"/>
        </w:rPr>
        <w:t xml:space="preserve"> 8°C</w:t>
      </w:r>
      <w:r w:rsidRPr="009057DB">
        <w:rPr>
          <w:noProof/>
          <w:sz w:val="22"/>
          <w:szCs w:val="22"/>
          <w:lang w:val="sr-Latn-ME"/>
        </w:rPr>
        <w:t xml:space="preserve"> tokom najviše</w:t>
      </w:r>
      <w:r w:rsidR="00752A2F" w:rsidRPr="009057DB">
        <w:rPr>
          <w:noProof/>
          <w:sz w:val="22"/>
          <w:szCs w:val="22"/>
          <w:lang w:val="sr-Latn-ME"/>
        </w:rPr>
        <w:t xml:space="preserve"> 48 sati</w:t>
      </w:r>
      <w:r w:rsidRPr="009057DB">
        <w:rPr>
          <w:noProof/>
          <w:sz w:val="22"/>
          <w:szCs w:val="22"/>
          <w:lang w:val="sr-Latn-ME"/>
        </w:rPr>
        <w:t>,</w:t>
      </w:r>
      <w:r w:rsidR="00752A2F" w:rsidRPr="009057DB">
        <w:rPr>
          <w:noProof/>
          <w:sz w:val="22"/>
          <w:szCs w:val="22"/>
          <w:lang w:val="sr-Latn-ME"/>
        </w:rPr>
        <w:t xml:space="preserve"> ukoliko je odmah vraćena u frižider nakon svakog </w:t>
      </w:r>
      <w:r w:rsidRPr="009057DB">
        <w:rPr>
          <w:noProof/>
          <w:sz w:val="22"/>
          <w:szCs w:val="22"/>
          <w:lang w:val="sr-Latn-ME"/>
        </w:rPr>
        <w:t>uvođenja</w:t>
      </w:r>
      <w:r w:rsidR="00BB1DCA" w:rsidRPr="009057DB">
        <w:rPr>
          <w:noProof/>
          <w:sz w:val="22"/>
          <w:szCs w:val="22"/>
          <w:lang w:val="sr-Latn-ME"/>
        </w:rPr>
        <w:t xml:space="preserve"> igl</w:t>
      </w:r>
      <w:r w:rsidRPr="009057DB">
        <w:rPr>
          <w:noProof/>
          <w:sz w:val="22"/>
          <w:szCs w:val="22"/>
          <w:lang w:val="sr-Latn-ME"/>
        </w:rPr>
        <w:t>e</w:t>
      </w:r>
      <w:r w:rsidR="00BB1DCA" w:rsidRPr="009057DB">
        <w:rPr>
          <w:noProof/>
          <w:sz w:val="22"/>
          <w:szCs w:val="22"/>
          <w:lang w:val="sr-Latn-ME"/>
        </w:rPr>
        <w:t>.</w:t>
      </w:r>
    </w:p>
    <w:p w14:paraId="558936BD" w14:textId="77777777" w:rsidR="00B476FF" w:rsidRPr="009057DB" w:rsidRDefault="00B476FF" w:rsidP="00376088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5E08D66C" w14:textId="6FCE629F" w:rsidR="00C564C3" w:rsidRPr="009057DB" w:rsidRDefault="00C564C3" w:rsidP="00376088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9057DB">
        <w:rPr>
          <w:noProof/>
          <w:sz w:val="22"/>
          <w:szCs w:val="22"/>
          <w:lang w:val="sr-Latn-ME"/>
        </w:rPr>
        <w:t>Sa mikrobiološke tačke gledišta, nakon prvog otvaranja, vakcinu treba odmah upotr</w:t>
      </w:r>
      <w:r w:rsidR="00C04EDA" w:rsidRPr="009057DB">
        <w:rPr>
          <w:noProof/>
          <w:sz w:val="22"/>
          <w:szCs w:val="22"/>
          <w:lang w:val="sr-Latn-ME"/>
        </w:rPr>
        <w:t>ij</w:t>
      </w:r>
      <w:r w:rsidRPr="009057DB">
        <w:rPr>
          <w:noProof/>
          <w:sz w:val="22"/>
          <w:szCs w:val="22"/>
          <w:lang w:val="sr-Latn-ME"/>
        </w:rPr>
        <w:t>ebiti. Ako se vakcina ne iskoristi odmah, vr</w:t>
      </w:r>
      <w:r w:rsidR="00C04EDA" w:rsidRPr="009057DB">
        <w:rPr>
          <w:noProof/>
          <w:sz w:val="22"/>
          <w:szCs w:val="22"/>
          <w:lang w:val="sr-Latn-ME"/>
        </w:rPr>
        <w:t>ij</w:t>
      </w:r>
      <w:r w:rsidRPr="009057DB">
        <w:rPr>
          <w:noProof/>
          <w:sz w:val="22"/>
          <w:szCs w:val="22"/>
          <w:lang w:val="sr-Latn-ME"/>
        </w:rPr>
        <w:t>eme i uslovi čuvanja tokom upotrebe su odgovornost korisnika.</w:t>
      </w:r>
    </w:p>
    <w:p w14:paraId="32C4B47A" w14:textId="77777777" w:rsidR="00C564C3" w:rsidRPr="009057DB" w:rsidRDefault="00C564C3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48452B1" w14:textId="77777777" w:rsidR="0072020E" w:rsidRPr="009057DB" w:rsidRDefault="0072020E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057DB">
        <w:rPr>
          <w:b/>
          <w:bCs/>
          <w:sz w:val="22"/>
          <w:szCs w:val="22"/>
          <w:lang w:val="sr-Latn-ME"/>
        </w:rPr>
        <w:t xml:space="preserve">6.4. </w:t>
      </w:r>
      <w:r w:rsidR="00480FB1" w:rsidRPr="009057DB">
        <w:rPr>
          <w:b/>
          <w:bCs/>
          <w:sz w:val="22"/>
          <w:szCs w:val="22"/>
          <w:lang w:val="sr-Latn-ME"/>
        </w:rPr>
        <w:tab/>
      </w:r>
      <w:r w:rsidRPr="009057DB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9057DB">
        <w:rPr>
          <w:b/>
          <w:bCs/>
          <w:sz w:val="22"/>
          <w:szCs w:val="22"/>
          <w:lang w:val="sr-Latn-ME"/>
        </w:rPr>
        <w:t xml:space="preserve"> lijeka</w:t>
      </w:r>
    </w:p>
    <w:p w14:paraId="43653E85" w14:textId="003548C0" w:rsidR="00EC2532" w:rsidRPr="009057DB" w:rsidRDefault="00EC2532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EC824AA" w14:textId="77777777" w:rsidR="002C33D4" w:rsidRPr="009057DB" w:rsidRDefault="002C33D4" w:rsidP="00376088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 xml:space="preserve">Čuvati u frižideru </w:t>
      </w:r>
      <w:r w:rsidRPr="009057DB">
        <w:rPr>
          <w:noProof/>
          <w:sz w:val="22"/>
          <w:szCs w:val="22"/>
          <w:lang w:val="sr-Latn-ME"/>
        </w:rPr>
        <w:t>(</w:t>
      </w:r>
      <w:bookmarkStart w:id="3" w:name="_Hlk61948963"/>
      <w:r w:rsidRPr="009057DB">
        <w:rPr>
          <w:noProof/>
          <w:sz w:val="22"/>
          <w:szCs w:val="22"/>
          <w:lang w:val="sr-Latn-ME"/>
        </w:rPr>
        <w:t>2°C – 8°C</w:t>
      </w:r>
      <w:bookmarkEnd w:id="3"/>
      <w:r w:rsidRPr="009057DB">
        <w:rPr>
          <w:noProof/>
          <w:sz w:val="22"/>
          <w:szCs w:val="22"/>
          <w:lang w:val="sr-Latn-ME"/>
        </w:rPr>
        <w:t>).</w:t>
      </w:r>
    </w:p>
    <w:p w14:paraId="3F33838C" w14:textId="77777777" w:rsidR="002C33D4" w:rsidRPr="009057DB" w:rsidRDefault="002C33D4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Ne zamrzavati.</w:t>
      </w:r>
    </w:p>
    <w:p w14:paraId="364A5A04" w14:textId="145ED218" w:rsidR="002C33D4" w:rsidRPr="009057DB" w:rsidRDefault="002C33D4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Čuvati bočice u kartonskoj kutiji radi zaštite od sv</w:t>
      </w:r>
      <w:r w:rsidR="00CC14F8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 xml:space="preserve">etlosti. </w:t>
      </w:r>
    </w:p>
    <w:p w14:paraId="5D6C2238" w14:textId="77777777" w:rsidR="002C33D4" w:rsidRPr="009057DB" w:rsidRDefault="002C33D4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7F43E3F" w14:textId="5EB21398" w:rsidR="002C33D4" w:rsidRPr="009057DB" w:rsidRDefault="002C33D4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Za uslove čuvanja nakon prvog otvaranja l</w:t>
      </w:r>
      <w:r w:rsidR="00CC14F8" w:rsidRPr="009057DB">
        <w:rPr>
          <w:sz w:val="22"/>
          <w:szCs w:val="22"/>
          <w:lang w:val="sr-Latn-ME"/>
        </w:rPr>
        <w:t>ij</w:t>
      </w:r>
      <w:r w:rsidRPr="009057DB">
        <w:rPr>
          <w:sz w:val="22"/>
          <w:szCs w:val="22"/>
          <w:lang w:val="sr-Latn-ME"/>
        </w:rPr>
        <w:t>eka, vid</w:t>
      </w:r>
      <w:r w:rsidR="00CC14F8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 xml:space="preserve">eti </w:t>
      </w:r>
      <w:r w:rsidR="009C32CA" w:rsidRPr="009057DB">
        <w:rPr>
          <w:sz w:val="22"/>
          <w:szCs w:val="22"/>
          <w:lang w:val="sr-Latn-ME"/>
        </w:rPr>
        <w:t xml:space="preserve">dio </w:t>
      </w:r>
      <w:r w:rsidRPr="009057DB">
        <w:rPr>
          <w:sz w:val="22"/>
          <w:szCs w:val="22"/>
          <w:lang w:val="sr-Latn-ME"/>
        </w:rPr>
        <w:t xml:space="preserve">6.3. </w:t>
      </w:r>
    </w:p>
    <w:p w14:paraId="17349DDB" w14:textId="77777777" w:rsidR="002C33D4" w:rsidRPr="009057DB" w:rsidRDefault="002C33D4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0AF1F01" w14:textId="77777777" w:rsidR="005F4FAB" w:rsidRPr="009057DB" w:rsidRDefault="005F4FAB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E1C5593" w14:textId="60D4D9A9" w:rsidR="0072020E" w:rsidRPr="009057DB" w:rsidRDefault="0072020E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057DB">
        <w:rPr>
          <w:b/>
          <w:bCs/>
          <w:sz w:val="22"/>
          <w:szCs w:val="22"/>
          <w:lang w:val="sr-Latn-ME"/>
        </w:rPr>
        <w:t xml:space="preserve">6.5. </w:t>
      </w:r>
      <w:r w:rsidR="00480FB1" w:rsidRPr="009057DB">
        <w:rPr>
          <w:b/>
          <w:bCs/>
          <w:sz w:val="22"/>
          <w:szCs w:val="22"/>
          <w:lang w:val="sr-Latn-ME"/>
        </w:rPr>
        <w:tab/>
      </w:r>
      <w:r w:rsidR="002846DB" w:rsidRPr="009057DB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9057DB">
        <w:rPr>
          <w:b/>
          <w:bCs/>
          <w:sz w:val="22"/>
          <w:szCs w:val="22"/>
          <w:lang w:val="sr-Latn-ME"/>
        </w:rPr>
        <w:t>pakovanja</w:t>
      </w:r>
      <w:r w:rsidR="00C06864" w:rsidRPr="009057DB">
        <w:rPr>
          <w:b/>
          <w:bCs/>
          <w:sz w:val="22"/>
          <w:szCs w:val="22"/>
          <w:lang w:val="sr-Latn-ME"/>
        </w:rPr>
        <w:t xml:space="preserve"> </w:t>
      </w:r>
    </w:p>
    <w:p w14:paraId="6259D80D" w14:textId="77777777" w:rsidR="00607CEE" w:rsidRPr="009057DB" w:rsidRDefault="00607CEE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1B4A20D" w14:textId="2A5EC073" w:rsidR="00B6625A" w:rsidRPr="009057DB" w:rsidRDefault="008534E7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9057DB">
        <w:rPr>
          <w:sz w:val="22"/>
          <w:szCs w:val="22"/>
          <w:u w:val="single"/>
          <w:lang w:val="sr-Latn-ME"/>
        </w:rPr>
        <w:t>Više</w:t>
      </w:r>
      <w:r w:rsidR="00B6625A" w:rsidRPr="009057DB">
        <w:rPr>
          <w:sz w:val="22"/>
          <w:szCs w:val="22"/>
          <w:u w:val="single"/>
          <w:lang w:val="sr-Latn-ME"/>
        </w:rPr>
        <w:t>dozna bočica</w:t>
      </w:r>
    </w:p>
    <w:p w14:paraId="59B994E1" w14:textId="77777777" w:rsidR="00B6625A" w:rsidRPr="009057DB" w:rsidRDefault="00B6625A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3F915281" w14:textId="77777777" w:rsidR="00B6625A" w:rsidRPr="009057DB" w:rsidRDefault="00B6625A" w:rsidP="00376088">
      <w:pPr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  <w:r w:rsidRPr="009057DB">
        <w:rPr>
          <w:i/>
          <w:iCs/>
          <w:sz w:val="22"/>
          <w:szCs w:val="22"/>
          <w:lang w:val="sr-Latn-ME"/>
        </w:rPr>
        <w:t>8-dozna bočica</w:t>
      </w:r>
    </w:p>
    <w:p w14:paraId="451705BD" w14:textId="3D5DFFCE" w:rsidR="00B6625A" w:rsidRPr="009057DB" w:rsidRDefault="00B6625A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 xml:space="preserve">4 </w:t>
      </w:r>
      <w:r w:rsidR="009D02E9" w:rsidRPr="009057DB">
        <w:rPr>
          <w:sz w:val="22"/>
          <w:szCs w:val="22"/>
          <w:lang w:val="sr-Latn-ME"/>
        </w:rPr>
        <w:t xml:space="preserve">ml </w:t>
      </w:r>
      <w:r w:rsidRPr="009057DB">
        <w:rPr>
          <w:sz w:val="22"/>
          <w:szCs w:val="22"/>
          <w:lang w:val="sr-Latn-ME"/>
        </w:rPr>
        <w:t xml:space="preserve">suspenzije u 8-doznoj </w:t>
      </w:r>
      <w:r w:rsidR="009D02E9" w:rsidRPr="009057DB">
        <w:rPr>
          <w:sz w:val="22"/>
          <w:szCs w:val="22"/>
          <w:lang w:val="sr-Latn-ME"/>
        </w:rPr>
        <w:t xml:space="preserve">bočici </w:t>
      </w:r>
      <w:r w:rsidRPr="009057DB">
        <w:rPr>
          <w:sz w:val="22"/>
          <w:szCs w:val="22"/>
          <w:lang w:val="sr-Latn-ME"/>
        </w:rPr>
        <w:t xml:space="preserve">(od </w:t>
      </w:r>
      <w:r w:rsidR="00DB2926" w:rsidRPr="009057DB">
        <w:rPr>
          <w:sz w:val="22"/>
          <w:szCs w:val="22"/>
          <w:lang w:val="sr-Latn-ME"/>
        </w:rPr>
        <w:t xml:space="preserve">prozirnog </w:t>
      </w:r>
      <w:r w:rsidRPr="009057DB">
        <w:rPr>
          <w:sz w:val="22"/>
          <w:szCs w:val="22"/>
          <w:lang w:val="sr-Latn-ME"/>
        </w:rPr>
        <w:t xml:space="preserve">stakla tipa 1) </w:t>
      </w:r>
      <w:r w:rsidR="00013BBF" w:rsidRPr="009057DB">
        <w:rPr>
          <w:sz w:val="22"/>
          <w:szCs w:val="22"/>
          <w:lang w:val="sr-Latn-ME"/>
        </w:rPr>
        <w:t xml:space="preserve">zatvorenoj </w:t>
      </w:r>
      <w:r w:rsidRPr="009057DB">
        <w:rPr>
          <w:sz w:val="22"/>
          <w:szCs w:val="22"/>
          <w:lang w:val="sr-Latn-ME"/>
        </w:rPr>
        <w:t>sa čepom (elastomernim sa aluminij</w:t>
      </w:r>
      <w:r w:rsidR="009D02E9" w:rsidRPr="009057DB">
        <w:rPr>
          <w:sz w:val="22"/>
          <w:szCs w:val="22"/>
          <w:lang w:val="sr-Latn-ME"/>
        </w:rPr>
        <w:t>um</w:t>
      </w:r>
      <w:r w:rsidRPr="009057DB">
        <w:rPr>
          <w:sz w:val="22"/>
          <w:szCs w:val="22"/>
          <w:lang w:val="sr-Latn-ME"/>
        </w:rPr>
        <w:t>skim</w:t>
      </w:r>
      <w:r w:rsidR="009D02E9" w:rsidRPr="009057DB">
        <w:rPr>
          <w:sz w:val="22"/>
          <w:szCs w:val="22"/>
          <w:lang w:val="sr-Latn-ME"/>
        </w:rPr>
        <w:t xml:space="preserve"> </w:t>
      </w:r>
      <w:r w:rsidR="00B00955" w:rsidRPr="009057DB">
        <w:rPr>
          <w:sz w:val="22"/>
          <w:szCs w:val="22"/>
          <w:lang w:val="sr-Latn-ME"/>
        </w:rPr>
        <w:t>prstenom</w:t>
      </w:r>
      <w:r w:rsidRPr="009057DB">
        <w:rPr>
          <w:sz w:val="22"/>
          <w:szCs w:val="22"/>
          <w:lang w:val="sr-Latn-ME"/>
        </w:rPr>
        <w:t xml:space="preserve">). </w:t>
      </w:r>
      <w:r w:rsidR="00E350ED" w:rsidRPr="009057DB">
        <w:rPr>
          <w:sz w:val="22"/>
          <w:szCs w:val="22"/>
          <w:lang w:val="sr-Latn-ME"/>
        </w:rPr>
        <w:t xml:space="preserve">Jedna </w:t>
      </w:r>
      <w:r w:rsidRPr="009057DB">
        <w:rPr>
          <w:sz w:val="22"/>
          <w:szCs w:val="22"/>
          <w:lang w:val="sr-Latn-ME"/>
        </w:rPr>
        <w:t xml:space="preserve">bočica sadrži 8 doza od 0,5 </w:t>
      </w:r>
      <w:r w:rsidR="009D02E9" w:rsidRPr="009057DB">
        <w:rPr>
          <w:sz w:val="22"/>
          <w:szCs w:val="22"/>
          <w:lang w:val="sr-Latn-ME"/>
        </w:rPr>
        <w:t>ml</w:t>
      </w:r>
      <w:r w:rsidRPr="009057DB">
        <w:rPr>
          <w:sz w:val="22"/>
          <w:szCs w:val="22"/>
          <w:lang w:val="sr-Latn-ME"/>
        </w:rPr>
        <w:t xml:space="preserve">. Pakovanje sadrži 10 </w:t>
      </w:r>
      <w:r w:rsidR="00851BB3" w:rsidRPr="009057DB">
        <w:rPr>
          <w:sz w:val="22"/>
          <w:szCs w:val="22"/>
          <w:lang w:val="sr-Latn-ME"/>
        </w:rPr>
        <w:t>više</w:t>
      </w:r>
      <w:r w:rsidRPr="009057DB">
        <w:rPr>
          <w:sz w:val="22"/>
          <w:szCs w:val="22"/>
          <w:lang w:val="sr-Latn-ME"/>
        </w:rPr>
        <w:t xml:space="preserve">doznih bočica. </w:t>
      </w:r>
    </w:p>
    <w:p w14:paraId="1F440C90" w14:textId="77777777" w:rsidR="00B6625A" w:rsidRPr="009057DB" w:rsidRDefault="00B6625A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0A2AF2E" w14:textId="77777777" w:rsidR="00B6625A" w:rsidRPr="009057DB" w:rsidRDefault="00B6625A" w:rsidP="00376088">
      <w:pPr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  <w:r w:rsidRPr="009057DB">
        <w:rPr>
          <w:i/>
          <w:iCs/>
          <w:sz w:val="22"/>
          <w:szCs w:val="22"/>
          <w:lang w:val="sr-Latn-ME"/>
        </w:rPr>
        <w:t>10-dozna bočica</w:t>
      </w:r>
    </w:p>
    <w:p w14:paraId="4C273A66" w14:textId="70A6994A" w:rsidR="00B6625A" w:rsidRPr="009057DB" w:rsidRDefault="00B57C80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5</w:t>
      </w:r>
      <w:r w:rsidR="00B6625A" w:rsidRPr="009057DB">
        <w:rPr>
          <w:sz w:val="22"/>
          <w:szCs w:val="22"/>
          <w:lang w:val="sr-Latn-ME"/>
        </w:rPr>
        <w:t xml:space="preserve"> </w:t>
      </w:r>
      <w:r w:rsidR="009D02E9" w:rsidRPr="009057DB">
        <w:rPr>
          <w:sz w:val="22"/>
          <w:szCs w:val="22"/>
          <w:lang w:val="sr-Latn-ME"/>
        </w:rPr>
        <w:t xml:space="preserve">ml </w:t>
      </w:r>
      <w:r w:rsidR="00B6625A" w:rsidRPr="009057DB">
        <w:rPr>
          <w:sz w:val="22"/>
          <w:szCs w:val="22"/>
          <w:lang w:val="sr-Latn-ME"/>
        </w:rPr>
        <w:t xml:space="preserve">suspenzije u 10-doznoj bočici (od </w:t>
      </w:r>
      <w:r w:rsidR="00DB2926" w:rsidRPr="009057DB">
        <w:rPr>
          <w:sz w:val="22"/>
          <w:szCs w:val="22"/>
          <w:lang w:val="sr-Latn-ME"/>
        </w:rPr>
        <w:t xml:space="preserve">prozirnog </w:t>
      </w:r>
      <w:r w:rsidR="00B6625A" w:rsidRPr="009057DB">
        <w:rPr>
          <w:sz w:val="22"/>
          <w:szCs w:val="22"/>
          <w:lang w:val="sr-Latn-ME"/>
        </w:rPr>
        <w:t xml:space="preserve">stakla tipa 1) </w:t>
      </w:r>
      <w:r w:rsidR="00013BBF" w:rsidRPr="009057DB">
        <w:rPr>
          <w:sz w:val="22"/>
          <w:szCs w:val="22"/>
          <w:lang w:val="sr-Latn-ME"/>
        </w:rPr>
        <w:t xml:space="preserve">zatvorenoj </w:t>
      </w:r>
      <w:r w:rsidR="00B6625A" w:rsidRPr="009057DB">
        <w:rPr>
          <w:sz w:val="22"/>
          <w:szCs w:val="22"/>
          <w:lang w:val="sr-Latn-ME"/>
        </w:rPr>
        <w:t>sa čepom (elastomernim sa aluminij</w:t>
      </w:r>
      <w:r w:rsidR="009D02E9" w:rsidRPr="009057DB">
        <w:rPr>
          <w:sz w:val="22"/>
          <w:szCs w:val="22"/>
          <w:lang w:val="sr-Latn-ME"/>
        </w:rPr>
        <w:t>um</w:t>
      </w:r>
      <w:r w:rsidR="00B6625A" w:rsidRPr="009057DB">
        <w:rPr>
          <w:sz w:val="22"/>
          <w:szCs w:val="22"/>
          <w:lang w:val="sr-Latn-ME"/>
        </w:rPr>
        <w:t>skim</w:t>
      </w:r>
      <w:r w:rsidR="009D02E9" w:rsidRPr="009057DB">
        <w:rPr>
          <w:sz w:val="22"/>
          <w:szCs w:val="22"/>
          <w:lang w:val="sr-Latn-ME"/>
        </w:rPr>
        <w:t xml:space="preserve"> </w:t>
      </w:r>
      <w:r w:rsidR="00B00955" w:rsidRPr="009057DB">
        <w:rPr>
          <w:sz w:val="22"/>
          <w:szCs w:val="22"/>
          <w:lang w:val="sr-Latn-ME"/>
        </w:rPr>
        <w:t>prstenom</w:t>
      </w:r>
      <w:r w:rsidR="00B6625A" w:rsidRPr="009057DB">
        <w:rPr>
          <w:sz w:val="22"/>
          <w:szCs w:val="22"/>
          <w:lang w:val="sr-Latn-ME"/>
        </w:rPr>
        <w:t xml:space="preserve">). </w:t>
      </w:r>
      <w:r w:rsidR="00B33817" w:rsidRPr="009057DB">
        <w:rPr>
          <w:sz w:val="22"/>
          <w:szCs w:val="22"/>
          <w:lang w:val="sr-Latn-ME"/>
        </w:rPr>
        <w:t xml:space="preserve">Jedna </w:t>
      </w:r>
      <w:r w:rsidR="00B6625A" w:rsidRPr="009057DB">
        <w:rPr>
          <w:sz w:val="22"/>
          <w:szCs w:val="22"/>
          <w:lang w:val="sr-Latn-ME"/>
        </w:rPr>
        <w:t>bočica sadrži 10 doza od 0,5 m</w:t>
      </w:r>
      <w:r w:rsidR="009D02E9" w:rsidRPr="009057DB">
        <w:rPr>
          <w:sz w:val="22"/>
          <w:szCs w:val="22"/>
          <w:lang w:val="sr-Latn-ME"/>
        </w:rPr>
        <w:t>l</w:t>
      </w:r>
      <w:r w:rsidR="00B6625A" w:rsidRPr="009057DB">
        <w:rPr>
          <w:sz w:val="22"/>
          <w:szCs w:val="22"/>
          <w:lang w:val="sr-Latn-ME"/>
        </w:rPr>
        <w:t xml:space="preserve">. Pakovanje sadrži 10 </w:t>
      </w:r>
      <w:r w:rsidR="003A53C0" w:rsidRPr="009057DB">
        <w:rPr>
          <w:sz w:val="22"/>
          <w:szCs w:val="22"/>
          <w:lang w:val="sr-Latn-ME"/>
        </w:rPr>
        <w:t>više</w:t>
      </w:r>
      <w:r w:rsidR="00B6625A" w:rsidRPr="009057DB">
        <w:rPr>
          <w:sz w:val="22"/>
          <w:szCs w:val="22"/>
          <w:lang w:val="sr-Latn-ME"/>
        </w:rPr>
        <w:t>doznih bočica.</w:t>
      </w:r>
    </w:p>
    <w:p w14:paraId="2F2BB137" w14:textId="77777777" w:rsidR="00B6625A" w:rsidRPr="009057DB" w:rsidRDefault="00B6625A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CD46575" w14:textId="77777777" w:rsidR="002846DB" w:rsidRPr="009057DB" w:rsidRDefault="0072020E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057DB">
        <w:rPr>
          <w:b/>
          <w:bCs/>
          <w:sz w:val="22"/>
          <w:szCs w:val="22"/>
          <w:lang w:val="sr-Latn-ME"/>
        </w:rPr>
        <w:t xml:space="preserve">6.6. </w:t>
      </w:r>
      <w:r w:rsidR="00480FB1" w:rsidRPr="009057DB">
        <w:rPr>
          <w:b/>
          <w:bCs/>
          <w:sz w:val="22"/>
          <w:szCs w:val="22"/>
          <w:lang w:val="sr-Latn-ME"/>
        </w:rPr>
        <w:tab/>
      </w:r>
      <w:r w:rsidRPr="009057DB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9057DB">
        <w:rPr>
          <w:b/>
          <w:bCs/>
          <w:sz w:val="22"/>
          <w:szCs w:val="22"/>
          <w:lang w:val="sr-Latn-ME"/>
        </w:rPr>
        <w:t xml:space="preserve"> </w:t>
      </w:r>
      <w:r w:rsidR="00310F03" w:rsidRPr="009057DB">
        <w:rPr>
          <w:b/>
          <w:bCs/>
          <w:sz w:val="22"/>
          <w:szCs w:val="22"/>
          <w:lang w:val="sr-Latn-ME"/>
        </w:rPr>
        <w:t>(i druga uputs</w:t>
      </w:r>
      <w:r w:rsidR="004109FA" w:rsidRPr="009057DB">
        <w:rPr>
          <w:b/>
          <w:bCs/>
          <w:sz w:val="22"/>
          <w:szCs w:val="22"/>
          <w:lang w:val="sr-Latn-ME"/>
        </w:rPr>
        <w:t>t</w:t>
      </w:r>
      <w:r w:rsidR="00310F03" w:rsidRPr="009057DB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1B450675" w14:textId="77777777" w:rsidR="00B66A70" w:rsidRPr="009057DB" w:rsidRDefault="00B66A70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3CBC5A7" w14:textId="578B8685" w:rsidR="00EF1E44" w:rsidRPr="009057DB" w:rsidRDefault="00EF1E44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9057DB">
        <w:rPr>
          <w:sz w:val="22"/>
          <w:szCs w:val="22"/>
          <w:u w:val="single"/>
          <w:lang w:val="sr-Latn-ME"/>
        </w:rPr>
        <w:t>Upu</w:t>
      </w:r>
      <w:r w:rsidR="00FF5BC3" w:rsidRPr="009057DB">
        <w:rPr>
          <w:sz w:val="22"/>
          <w:szCs w:val="22"/>
          <w:u w:val="single"/>
          <w:lang w:val="sr-Latn-ME"/>
        </w:rPr>
        <w:t>t</w:t>
      </w:r>
      <w:r w:rsidRPr="009057DB">
        <w:rPr>
          <w:sz w:val="22"/>
          <w:szCs w:val="22"/>
          <w:u w:val="single"/>
          <w:lang w:val="sr-Latn-ME"/>
        </w:rPr>
        <w:t>stvo za rukovanje i prim</w:t>
      </w:r>
      <w:r w:rsidR="00FF5BC3" w:rsidRPr="009057DB">
        <w:rPr>
          <w:sz w:val="22"/>
          <w:szCs w:val="22"/>
          <w:u w:val="single"/>
          <w:lang w:val="sr-Latn-ME"/>
        </w:rPr>
        <w:t>j</w:t>
      </w:r>
      <w:r w:rsidRPr="009057DB">
        <w:rPr>
          <w:sz w:val="22"/>
          <w:szCs w:val="22"/>
          <w:u w:val="single"/>
          <w:lang w:val="sr-Latn-ME"/>
        </w:rPr>
        <w:t>enu</w:t>
      </w:r>
    </w:p>
    <w:p w14:paraId="6B6A9B2A" w14:textId="77777777" w:rsidR="00EF1E44" w:rsidRPr="009057DB" w:rsidRDefault="00EF1E44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3CF9211" w14:textId="7D5CEAB4" w:rsidR="00EF1E44" w:rsidRPr="009057DB" w:rsidRDefault="00634699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Ovom v</w:t>
      </w:r>
      <w:r w:rsidR="00EF1E44" w:rsidRPr="009057DB">
        <w:rPr>
          <w:sz w:val="22"/>
          <w:szCs w:val="22"/>
          <w:lang w:val="sr-Latn-ME"/>
        </w:rPr>
        <w:t>akcinom treba da rukuje zdra</w:t>
      </w:r>
      <w:r w:rsidR="00FE5FCA" w:rsidRPr="009057DB">
        <w:rPr>
          <w:sz w:val="22"/>
          <w:szCs w:val="22"/>
          <w:lang w:val="sr-Latn-ME"/>
        </w:rPr>
        <w:t>v</w:t>
      </w:r>
      <w:r w:rsidR="00EF1E44" w:rsidRPr="009057DB">
        <w:rPr>
          <w:sz w:val="22"/>
          <w:szCs w:val="22"/>
          <w:lang w:val="sr-Latn-ME"/>
        </w:rPr>
        <w:t>stveni radnik</w:t>
      </w:r>
      <w:r w:rsidR="004A0075" w:rsidRPr="009057DB">
        <w:rPr>
          <w:sz w:val="22"/>
          <w:szCs w:val="22"/>
          <w:lang w:val="sr-Latn-ME"/>
        </w:rPr>
        <w:t xml:space="preserve"> </w:t>
      </w:r>
      <w:r w:rsidR="00684250" w:rsidRPr="009057DB">
        <w:rPr>
          <w:sz w:val="22"/>
          <w:szCs w:val="22"/>
          <w:lang w:val="sr-Latn-ME"/>
        </w:rPr>
        <w:t>primjenjujući</w:t>
      </w:r>
      <w:r w:rsidR="00FE5FCA" w:rsidRPr="009057DB">
        <w:rPr>
          <w:sz w:val="22"/>
          <w:szCs w:val="22"/>
          <w:lang w:val="sr-Latn-ME"/>
        </w:rPr>
        <w:t xml:space="preserve"> </w:t>
      </w:r>
      <w:r w:rsidR="00EF1E44" w:rsidRPr="009057DB">
        <w:rPr>
          <w:sz w:val="22"/>
          <w:szCs w:val="22"/>
          <w:lang w:val="sr-Latn-ME"/>
        </w:rPr>
        <w:t>aseptičn</w:t>
      </w:r>
      <w:r w:rsidR="00684250" w:rsidRPr="009057DB">
        <w:rPr>
          <w:sz w:val="22"/>
          <w:szCs w:val="22"/>
          <w:lang w:val="sr-Latn-ME"/>
        </w:rPr>
        <w:t>u</w:t>
      </w:r>
      <w:r w:rsidR="00EF1E44" w:rsidRPr="009057DB">
        <w:rPr>
          <w:sz w:val="22"/>
          <w:szCs w:val="22"/>
          <w:lang w:val="sr-Latn-ME"/>
        </w:rPr>
        <w:t xml:space="preserve"> tehnik</w:t>
      </w:r>
      <w:r w:rsidR="00684250" w:rsidRPr="009057DB">
        <w:rPr>
          <w:sz w:val="22"/>
          <w:szCs w:val="22"/>
          <w:lang w:val="sr-Latn-ME"/>
        </w:rPr>
        <w:t>u</w:t>
      </w:r>
      <w:r w:rsidR="00EF1E44" w:rsidRPr="009057DB">
        <w:rPr>
          <w:sz w:val="22"/>
          <w:szCs w:val="22"/>
          <w:lang w:val="sr-Latn-ME"/>
        </w:rPr>
        <w:t xml:space="preserve"> kako bi se osigurala sterilnost svake doze.</w:t>
      </w:r>
    </w:p>
    <w:p w14:paraId="7D238118" w14:textId="77777777" w:rsidR="00EF1E44" w:rsidRPr="009057DB" w:rsidRDefault="00EF1E44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 xml:space="preserve"> </w:t>
      </w:r>
    </w:p>
    <w:p w14:paraId="561C7DB6" w14:textId="22FB3FBB" w:rsidR="00EF1E44" w:rsidRPr="009057DB" w:rsidRDefault="00A56FA4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V</w:t>
      </w:r>
      <w:r w:rsidR="00EF1E44" w:rsidRPr="009057DB">
        <w:rPr>
          <w:sz w:val="22"/>
          <w:szCs w:val="22"/>
          <w:lang w:val="sr-Latn-ME"/>
        </w:rPr>
        <w:t>akcin</w:t>
      </w:r>
      <w:r w:rsidR="00D5369E" w:rsidRPr="009057DB">
        <w:rPr>
          <w:sz w:val="22"/>
          <w:szCs w:val="22"/>
          <w:lang w:val="sr-Latn-ME"/>
        </w:rPr>
        <w:t>a</w:t>
      </w:r>
      <w:r w:rsidR="00EF1E44" w:rsidRPr="009057DB">
        <w:rPr>
          <w:sz w:val="22"/>
          <w:szCs w:val="22"/>
          <w:lang w:val="sr-Latn-ME"/>
        </w:rPr>
        <w:t xml:space="preserve"> </w:t>
      </w:r>
      <w:r w:rsidRPr="009057DB">
        <w:rPr>
          <w:sz w:val="22"/>
          <w:szCs w:val="22"/>
          <w:lang w:val="sr-Latn-ME"/>
        </w:rPr>
        <w:t xml:space="preserve">se ne smije upotrijebiti </w:t>
      </w:r>
      <w:r w:rsidR="00EF1E44" w:rsidRPr="009057DB">
        <w:rPr>
          <w:sz w:val="22"/>
          <w:szCs w:val="22"/>
          <w:lang w:val="sr-Latn-ME"/>
        </w:rPr>
        <w:t>nakon isteka roka upotrebe navedenog na nal</w:t>
      </w:r>
      <w:r w:rsidR="000F43D9" w:rsidRPr="009057DB">
        <w:rPr>
          <w:sz w:val="22"/>
          <w:szCs w:val="22"/>
          <w:lang w:val="sr-Latn-ME"/>
        </w:rPr>
        <w:t>j</w:t>
      </w:r>
      <w:r w:rsidR="00EF1E44" w:rsidRPr="009057DB">
        <w:rPr>
          <w:sz w:val="22"/>
          <w:szCs w:val="22"/>
          <w:lang w:val="sr-Latn-ME"/>
        </w:rPr>
        <w:t xml:space="preserve">epnici </w:t>
      </w:r>
      <w:r w:rsidR="00D5369E" w:rsidRPr="009057DB">
        <w:rPr>
          <w:sz w:val="22"/>
          <w:szCs w:val="22"/>
          <w:lang w:val="sr-Latn-ME"/>
        </w:rPr>
        <w:t xml:space="preserve">iza oznake </w:t>
      </w:r>
      <w:r w:rsidR="00791403" w:rsidRPr="009057DB">
        <w:rPr>
          <w:sz w:val="22"/>
          <w:szCs w:val="22"/>
          <w:lang w:val="sr-Latn-ME"/>
        </w:rPr>
        <w:t>„EXP“</w:t>
      </w:r>
      <w:r w:rsidR="00EF1E44" w:rsidRPr="009057DB">
        <w:rPr>
          <w:sz w:val="22"/>
          <w:szCs w:val="22"/>
          <w:lang w:val="sr-Latn-ME"/>
        </w:rPr>
        <w:t xml:space="preserve">. </w:t>
      </w:r>
    </w:p>
    <w:p w14:paraId="0A00CB73" w14:textId="77777777" w:rsidR="005422AC" w:rsidRPr="009057DB" w:rsidRDefault="005422AC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E0FA309" w14:textId="629F07F2" w:rsidR="00EF1E44" w:rsidRPr="009057DB" w:rsidRDefault="00EF1E44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Neotvoren</w:t>
      </w:r>
      <w:r w:rsidR="00B15989" w:rsidRPr="009057DB">
        <w:rPr>
          <w:sz w:val="22"/>
          <w:szCs w:val="22"/>
          <w:lang w:val="sr-Latn-ME"/>
        </w:rPr>
        <w:t>u</w:t>
      </w:r>
      <w:r w:rsidRPr="009057DB">
        <w:rPr>
          <w:sz w:val="22"/>
          <w:szCs w:val="22"/>
          <w:lang w:val="sr-Latn-ME"/>
        </w:rPr>
        <w:t xml:space="preserve"> </w:t>
      </w:r>
      <w:r w:rsidR="00A11E47" w:rsidRPr="009057DB">
        <w:rPr>
          <w:sz w:val="22"/>
          <w:szCs w:val="22"/>
          <w:lang w:val="sr-Latn-ME"/>
        </w:rPr>
        <w:t>više</w:t>
      </w:r>
      <w:r w:rsidRPr="009057DB">
        <w:rPr>
          <w:sz w:val="22"/>
          <w:szCs w:val="22"/>
          <w:lang w:val="sr-Latn-ME"/>
        </w:rPr>
        <w:t>dozn</w:t>
      </w:r>
      <w:r w:rsidR="00B15989" w:rsidRPr="009057DB">
        <w:rPr>
          <w:sz w:val="22"/>
          <w:szCs w:val="22"/>
          <w:lang w:val="sr-Latn-ME"/>
        </w:rPr>
        <w:t>u</w:t>
      </w:r>
      <w:r w:rsidRPr="009057DB">
        <w:rPr>
          <w:sz w:val="22"/>
          <w:szCs w:val="22"/>
          <w:lang w:val="sr-Latn-ME"/>
        </w:rPr>
        <w:t xml:space="preserve"> bočic</w:t>
      </w:r>
      <w:r w:rsidR="00B15989" w:rsidRPr="009057DB">
        <w:rPr>
          <w:sz w:val="22"/>
          <w:szCs w:val="22"/>
          <w:lang w:val="sr-Latn-ME"/>
        </w:rPr>
        <w:t>u</w:t>
      </w:r>
      <w:r w:rsidRPr="009057DB">
        <w:rPr>
          <w:sz w:val="22"/>
          <w:szCs w:val="22"/>
          <w:lang w:val="sr-Latn-ME"/>
        </w:rPr>
        <w:t xml:space="preserve"> </w:t>
      </w:r>
      <w:r w:rsidR="005422AC" w:rsidRPr="009057DB">
        <w:rPr>
          <w:sz w:val="22"/>
          <w:szCs w:val="22"/>
          <w:lang w:val="sr-Latn-ME"/>
        </w:rPr>
        <w:t xml:space="preserve">treba </w:t>
      </w:r>
      <w:r w:rsidRPr="009057DB">
        <w:rPr>
          <w:sz w:val="22"/>
          <w:szCs w:val="22"/>
          <w:lang w:val="sr-Latn-ME"/>
        </w:rPr>
        <w:t>čuva</w:t>
      </w:r>
      <w:r w:rsidR="00F32966" w:rsidRPr="009057DB">
        <w:rPr>
          <w:sz w:val="22"/>
          <w:szCs w:val="22"/>
          <w:lang w:val="sr-Latn-ME"/>
        </w:rPr>
        <w:t>ti</w:t>
      </w:r>
      <w:r w:rsidR="00FE5FCA" w:rsidRPr="009057DB">
        <w:rPr>
          <w:sz w:val="22"/>
          <w:szCs w:val="22"/>
          <w:lang w:val="sr-Latn-ME"/>
        </w:rPr>
        <w:t xml:space="preserve"> </w:t>
      </w:r>
      <w:r w:rsidRPr="009057DB">
        <w:rPr>
          <w:sz w:val="22"/>
          <w:szCs w:val="22"/>
          <w:lang w:val="sr-Latn-ME"/>
        </w:rPr>
        <w:t xml:space="preserve">u frižideru </w:t>
      </w:r>
      <w:r w:rsidRPr="009057DB">
        <w:rPr>
          <w:noProof/>
          <w:sz w:val="22"/>
          <w:szCs w:val="22"/>
          <w:lang w:val="sr-Latn-ME"/>
        </w:rPr>
        <w:t xml:space="preserve">(2°C – 8°C). </w:t>
      </w:r>
      <w:r w:rsidRPr="009057DB">
        <w:rPr>
          <w:sz w:val="22"/>
          <w:szCs w:val="22"/>
          <w:lang w:val="sr-Latn-ME"/>
        </w:rPr>
        <w:t xml:space="preserve">Ne zamrzavati. </w:t>
      </w:r>
    </w:p>
    <w:p w14:paraId="58EE43AB" w14:textId="77777777" w:rsidR="00EF1E44" w:rsidRPr="009057DB" w:rsidRDefault="00EF1E44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7A6E830" w14:textId="421A1170" w:rsidR="00EF1E44" w:rsidRPr="009057DB" w:rsidRDefault="00EF1E44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 xml:space="preserve">Čuvati bočice u </w:t>
      </w:r>
      <w:r w:rsidR="00AB323B" w:rsidRPr="009057DB">
        <w:rPr>
          <w:sz w:val="22"/>
          <w:szCs w:val="22"/>
          <w:lang w:val="sr-Latn-ME"/>
        </w:rPr>
        <w:t xml:space="preserve">spoljašnjem pakovanju </w:t>
      </w:r>
      <w:r w:rsidRPr="009057DB">
        <w:rPr>
          <w:sz w:val="22"/>
          <w:szCs w:val="22"/>
          <w:lang w:val="sr-Latn-ME"/>
        </w:rPr>
        <w:t>radi zaštite od sv</w:t>
      </w:r>
      <w:r w:rsidR="008B65BB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 xml:space="preserve">etlosti. </w:t>
      </w:r>
    </w:p>
    <w:p w14:paraId="692656F2" w14:textId="77777777" w:rsidR="00EF1E44" w:rsidRPr="009057DB" w:rsidRDefault="00EF1E44" w:rsidP="00376088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7EE27620" w14:textId="092347D0" w:rsidR="00EF1E44" w:rsidRPr="009057DB" w:rsidRDefault="00420AB9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Prije primjene v</w:t>
      </w:r>
      <w:r w:rsidR="00EF1E44" w:rsidRPr="009057DB">
        <w:rPr>
          <w:sz w:val="22"/>
          <w:szCs w:val="22"/>
          <w:lang w:val="sr-Latn-ME"/>
        </w:rPr>
        <w:t xml:space="preserve">akcinu treba vizuelno pregledati kako bi se </w:t>
      </w:r>
      <w:r w:rsidR="006360BB" w:rsidRPr="009057DB">
        <w:rPr>
          <w:sz w:val="22"/>
          <w:szCs w:val="22"/>
          <w:lang w:val="sr-Latn-ME"/>
        </w:rPr>
        <w:t xml:space="preserve">isključila </w:t>
      </w:r>
      <w:r w:rsidR="006C45AC" w:rsidRPr="009057DB">
        <w:rPr>
          <w:sz w:val="22"/>
          <w:szCs w:val="22"/>
          <w:lang w:val="sr-Latn-ME"/>
        </w:rPr>
        <w:t xml:space="preserve">prisutnost vidljivih </w:t>
      </w:r>
      <w:r w:rsidR="00EF1E44" w:rsidRPr="009057DB">
        <w:rPr>
          <w:sz w:val="22"/>
          <w:szCs w:val="22"/>
          <w:lang w:val="sr-Latn-ME"/>
        </w:rPr>
        <w:t>čestic</w:t>
      </w:r>
      <w:r w:rsidR="009D2FFF" w:rsidRPr="009057DB">
        <w:rPr>
          <w:sz w:val="22"/>
          <w:szCs w:val="22"/>
          <w:lang w:val="sr-Latn-ME"/>
        </w:rPr>
        <w:t>a</w:t>
      </w:r>
      <w:r w:rsidR="00EF1E44" w:rsidRPr="009057DB">
        <w:rPr>
          <w:sz w:val="22"/>
          <w:szCs w:val="22"/>
          <w:lang w:val="sr-Latn-ME"/>
        </w:rPr>
        <w:t xml:space="preserve"> i prom</w:t>
      </w:r>
      <w:r w:rsidR="00AE543F" w:rsidRPr="009057DB">
        <w:rPr>
          <w:sz w:val="22"/>
          <w:szCs w:val="22"/>
          <w:lang w:val="sr-Latn-ME"/>
        </w:rPr>
        <w:t>j</w:t>
      </w:r>
      <w:r w:rsidR="00EF1E44" w:rsidRPr="009057DB">
        <w:rPr>
          <w:sz w:val="22"/>
          <w:szCs w:val="22"/>
          <w:lang w:val="sr-Latn-ME"/>
        </w:rPr>
        <w:t xml:space="preserve">ena boje. </w:t>
      </w:r>
      <w:r w:rsidR="00284D37" w:rsidRPr="009057DB">
        <w:rPr>
          <w:sz w:val="22"/>
          <w:szCs w:val="22"/>
          <w:lang w:val="sr-Latn-ME"/>
        </w:rPr>
        <w:t xml:space="preserve">Vakcina </w:t>
      </w:r>
      <w:r w:rsidR="006A4259" w:rsidRPr="009057DB">
        <w:rPr>
          <w:color w:val="000000"/>
          <w:sz w:val="22"/>
          <w:szCs w:val="22"/>
          <w:shd w:val="clear" w:color="auto" w:fill="FFFFFF"/>
          <w:lang w:val="sr-Latn-ME"/>
        </w:rPr>
        <w:t>Vaxzevria</w:t>
      </w:r>
      <w:r w:rsidR="00333532" w:rsidRPr="009057DB">
        <w:rPr>
          <w:color w:val="000000"/>
          <w:sz w:val="22"/>
          <w:szCs w:val="22"/>
          <w:shd w:val="clear" w:color="auto" w:fill="FFFFFF"/>
          <w:lang w:val="sr-Latn-ME"/>
        </w:rPr>
        <w:t xml:space="preserve"> </w:t>
      </w:r>
      <w:r w:rsidR="007A4B4A" w:rsidRPr="009057DB">
        <w:rPr>
          <w:sz w:val="22"/>
          <w:szCs w:val="22"/>
          <w:lang w:val="sr-Latn-ME"/>
        </w:rPr>
        <w:t xml:space="preserve">je </w:t>
      </w:r>
      <w:r w:rsidR="00EF1E44" w:rsidRPr="009057DB">
        <w:rPr>
          <w:sz w:val="22"/>
          <w:szCs w:val="22"/>
          <w:lang w:val="sr-Latn-ME"/>
        </w:rPr>
        <w:t>bezbojna do blago smeđ</w:t>
      </w:r>
      <w:r w:rsidR="00B97D8A" w:rsidRPr="009057DB">
        <w:rPr>
          <w:sz w:val="22"/>
          <w:szCs w:val="22"/>
          <w:lang w:val="sr-Latn-ME"/>
        </w:rPr>
        <w:t>a</w:t>
      </w:r>
      <w:r w:rsidR="00EF1E44" w:rsidRPr="009057DB">
        <w:rPr>
          <w:sz w:val="22"/>
          <w:szCs w:val="22"/>
          <w:lang w:val="sr-Latn-ME"/>
        </w:rPr>
        <w:t>, bistra do blago opalesce</w:t>
      </w:r>
      <w:r w:rsidR="00B97D8A" w:rsidRPr="009057DB">
        <w:rPr>
          <w:sz w:val="22"/>
          <w:szCs w:val="22"/>
          <w:lang w:val="sr-Latn-ME"/>
        </w:rPr>
        <w:t>n</w:t>
      </w:r>
      <w:r w:rsidR="00EF1E44" w:rsidRPr="009057DB">
        <w:rPr>
          <w:sz w:val="22"/>
          <w:szCs w:val="22"/>
          <w:lang w:val="sr-Latn-ME"/>
        </w:rPr>
        <w:t xml:space="preserve">tna suspenzija. </w:t>
      </w:r>
      <w:r w:rsidR="00900084" w:rsidRPr="009057DB">
        <w:rPr>
          <w:sz w:val="22"/>
          <w:szCs w:val="22"/>
          <w:lang w:val="sr-Latn-ME"/>
        </w:rPr>
        <w:t>B</w:t>
      </w:r>
      <w:r w:rsidR="00EF1E44" w:rsidRPr="009057DB">
        <w:rPr>
          <w:sz w:val="22"/>
          <w:szCs w:val="22"/>
          <w:lang w:val="sr-Latn-ME"/>
        </w:rPr>
        <w:t>očic</w:t>
      </w:r>
      <w:r w:rsidR="00900084" w:rsidRPr="009057DB">
        <w:rPr>
          <w:sz w:val="22"/>
          <w:szCs w:val="22"/>
          <w:lang w:val="sr-Latn-ME"/>
        </w:rPr>
        <w:t>a se mora baciti</w:t>
      </w:r>
      <w:r w:rsidR="00EF1E44" w:rsidRPr="009057DB">
        <w:rPr>
          <w:sz w:val="22"/>
          <w:szCs w:val="22"/>
          <w:lang w:val="sr-Latn-ME"/>
        </w:rPr>
        <w:t xml:space="preserve"> ako </w:t>
      </w:r>
      <w:r w:rsidR="00900084" w:rsidRPr="009057DB">
        <w:rPr>
          <w:sz w:val="22"/>
          <w:szCs w:val="22"/>
          <w:lang w:val="sr-Latn-ME"/>
        </w:rPr>
        <w:t xml:space="preserve">je suspenzija </w:t>
      </w:r>
      <w:r w:rsidR="00EF1E44" w:rsidRPr="009057DB">
        <w:rPr>
          <w:sz w:val="22"/>
          <w:szCs w:val="22"/>
          <w:lang w:val="sr-Latn-ME"/>
        </w:rPr>
        <w:t>prom</w:t>
      </w:r>
      <w:r w:rsidR="00913479" w:rsidRPr="009057DB">
        <w:rPr>
          <w:sz w:val="22"/>
          <w:szCs w:val="22"/>
          <w:lang w:val="sr-Latn-ME"/>
        </w:rPr>
        <w:t>i</w:t>
      </w:r>
      <w:r w:rsidR="00AE543F" w:rsidRPr="009057DB">
        <w:rPr>
          <w:sz w:val="22"/>
          <w:szCs w:val="22"/>
          <w:lang w:val="sr-Latn-ME"/>
        </w:rPr>
        <w:t>j</w:t>
      </w:r>
      <w:r w:rsidR="00EF1E44" w:rsidRPr="009057DB">
        <w:rPr>
          <w:sz w:val="22"/>
          <w:szCs w:val="22"/>
          <w:lang w:val="sr-Latn-ME"/>
        </w:rPr>
        <w:t>en</w:t>
      </w:r>
      <w:r w:rsidR="00900084" w:rsidRPr="009057DB">
        <w:rPr>
          <w:sz w:val="22"/>
          <w:szCs w:val="22"/>
          <w:lang w:val="sr-Latn-ME"/>
        </w:rPr>
        <w:t>ila</w:t>
      </w:r>
      <w:r w:rsidR="00EF1E44" w:rsidRPr="009057DB">
        <w:rPr>
          <w:sz w:val="22"/>
          <w:szCs w:val="22"/>
          <w:lang w:val="sr-Latn-ME"/>
        </w:rPr>
        <w:t xml:space="preserve"> boj</w:t>
      </w:r>
      <w:r w:rsidR="00900084" w:rsidRPr="009057DB">
        <w:rPr>
          <w:sz w:val="22"/>
          <w:szCs w:val="22"/>
          <w:lang w:val="sr-Latn-ME"/>
        </w:rPr>
        <w:t>u</w:t>
      </w:r>
      <w:r w:rsidR="00EF1E44" w:rsidRPr="009057DB">
        <w:rPr>
          <w:sz w:val="22"/>
          <w:szCs w:val="22"/>
          <w:lang w:val="sr-Latn-ME"/>
        </w:rPr>
        <w:t xml:space="preserve"> ili </w:t>
      </w:r>
      <w:r w:rsidR="000E72D3" w:rsidRPr="009057DB">
        <w:rPr>
          <w:sz w:val="22"/>
          <w:szCs w:val="22"/>
          <w:lang w:val="sr-Latn-ME"/>
        </w:rPr>
        <w:t xml:space="preserve">ako se opaze </w:t>
      </w:r>
      <w:r w:rsidR="00A4050F" w:rsidRPr="009057DB">
        <w:rPr>
          <w:sz w:val="22"/>
          <w:szCs w:val="22"/>
          <w:lang w:val="sr-Latn-ME"/>
        </w:rPr>
        <w:t xml:space="preserve">vidljive </w:t>
      </w:r>
      <w:r w:rsidR="00EF1E44" w:rsidRPr="009057DB">
        <w:rPr>
          <w:sz w:val="22"/>
          <w:szCs w:val="22"/>
          <w:lang w:val="sr-Latn-ME"/>
        </w:rPr>
        <w:t xml:space="preserve">čestice. Ne </w:t>
      </w:r>
      <w:r w:rsidR="00AE33D9" w:rsidRPr="009057DB">
        <w:rPr>
          <w:sz w:val="22"/>
          <w:szCs w:val="22"/>
          <w:lang w:val="sr-Latn-ME"/>
        </w:rPr>
        <w:t xml:space="preserve">smije se tresti. </w:t>
      </w:r>
      <w:r w:rsidR="000F0143" w:rsidRPr="009057DB">
        <w:rPr>
          <w:sz w:val="22"/>
          <w:szCs w:val="22"/>
          <w:lang w:val="sr-Latn-ME"/>
        </w:rPr>
        <w:t>Suspenzija se ne smije razblaživati.</w:t>
      </w:r>
      <w:r w:rsidR="00EF1E44" w:rsidRPr="009057DB">
        <w:rPr>
          <w:sz w:val="22"/>
          <w:szCs w:val="22"/>
          <w:lang w:val="sr-Latn-ME"/>
        </w:rPr>
        <w:t xml:space="preserve"> </w:t>
      </w:r>
    </w:p>
    <w:p w14:paraId="50DA9F43" w14:textId="77777777" w:rsidR="00EF1E44" w:rsidRPr="009057DB" w:rsidRDefault="00EF1E44" w:rsidP="00376088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6E1CAE12" w14:textId="0D5BF1B8" w:rsidR="00EF1E44" w:rsidRPr="009057DB" w:rsidRDefault="00EF1E44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 xml:space="preserve">Vakcina </w:t>
      </w:r>
      <w:r w:rsidR="00BE5C9B" w:rsidRPr="009057DB">
        <w:rPr>
          <w:sz w:val="22"/>
          <w:szCs w:val="22"/>
          <w:lang w:val="sr-Latn-ME"/>
        </w:rPr>
        <w:t xml:space="preserve">se </w:t>
      </w:r>
      <w:r w:rsidRPr="009057DB">
        <w:rPr>
          <w:sz w:val="22"/>
          <w:szCs w:val="22"/>
          <w:lang w:val="sr-Latn-ME"/>
        </w:rPr>
        <w:t xml:space="preserve">ne </w:t>
      </w:r>
      <w:r w:rsidR="00BE5C9B" w:rsidRPr="009057DB">
        <w:rPr>
          <w:sz w:val="22"/>
          <w:szCs w:val="22"/>
          <w:lang w:val="sr-Latn-ME"/>
        </w:rPr>
        <w:t xml:space="preserve">smije </w:t>
      </w:r>
      <w:r w:rsidRPr="009057DB">
        <w:rPr>
          <w:sz w:val="22"/>
          <w:szCs w:val="22"/>
          <w:lang w:val="sr-Latn-ME"/>
        </w:rPr>
        <w:t>m</w:t>
      </w:r>
      <w:r w:rsidR="00FF15F7" w:rsidRPr="009057DB">
        <w:rPr>
          <w:sz w:val="22"/>
          <w:szCs w:val="22"/>
          <w:lang w:val="sr-Latn-ME"/>
        </w:rPr>
        <w:t>ij</w:t>
      </w:r>
      <w:r w:rsidRPr="009057DB">
        <w:rPr>
          <w:sz w:val="22"/>
          <w:szCs w:val="22"/>
          <w:lang w:val="sr-Latn-ME"/>
        </w:rPr>
        <w:t>eša</w:t>
      </w:r>
      <w:r w:rsidR="00BE5C9B" w:rsidRPr="009057DB">
        <w:rPr>
          <w:sz w:val="22"/>
          <w:szCs w:val="22"/>
          <w:lang w:val="sr-Latn-ME"/>
        </w:rPr>
        <w:t>ti</w:t>
      </w:r>
      <w:r w:rsidRPr="009057DB">
        <w:rPr>
          <w:sz w:val="22"/>
          <w:szCs w:val="22"/>
          <w:lang w:val="sr-Latn-ME"/>
        </w:rPr>
        <w:t xml:space="preserve"> u ist</w:t>
      </w:r>
      <w:r w:rsidR="00BE5C9B" w:rsidRPr="009057DB">
        <w:rPr>
          <w:sz w:val="22"/>
          <w:szCs w:val="22"/>
          <w:lang w:val="sr-Latn-ME"/>
        </w:rPr>
        <w:t>om</w:t>
      </w:r>
      <w:r w:rsidRPr="009057DB">
        <w:rPr>
          <w:sz w:val="22"/>
          <w:szCs w:val="22"/>
          <w:lang w:val="sr-Latn-ME"/>
        </w:rPr>
        <w:t xml:space="preserve"> špric</w:t>
      </w:r>
      <w:r w:rsidR="00BE5C9B" w:rsidRPr="009057DB">
        <w:rPr>
          <w:sz w:val="22"/>
          <w:szCs w:val="22"/>
          <w:lang w:val="sr-Latn-ME"/>
        </w:rPr>
        <w:t>u</w:t>
      </w:r>
      <w:r w:rsidR="00FD3DCD" w:rsidRPr="009057DB">
        <w:rPr>
          <w:sz w:val="22"/>
          <w:szCs w:val="22"/>
          <w:lang w:val="sr-Latn-ME"/>
        </w:rPr>
        <w:t xml:space="preserve"> ni</w:t>
      </w:r>
      <w:r w:rsidRPr="009057DB">
        <w:rPr>
          <w:sz w:val="22"/>
          <w:szCs w:val="22"/>
          <w:lang w:val="sr-Latn-ME"/>
        </w:rPr>
        <w:t xml:space="preserve"> sa </w:t>
      </w:r>
      <w:r w:rsidR="00FD3DCD" w:rsidRPr="009057DB">
        <w:rPr>
          <w:sz w:val="22"/>
          <w:szCs w:val="22"/>
          <w:lang w:val="sr-Latn-ME"/>
        </w:rPr>
        <w:t xml:space="preserve">jednom </w:t>
      </w:r>
      <w:r w:rsidRPr="009057DB">
        <w:rPr>
          <w:sz w:val="22"/>
          <w:szCs w:val="22"/>
          <w:lang w:val="sr-Latn-ME"/>
        </w:rPr>
        <w:t>drugom vakcinom ili l</w:t>
      </w:r>
      <w:r w:rsidR="00FF15F7" w:rsidRPr="009057DB">
        <w:rPr>
          <w:sz w:val="22"/>
          <w:szCs w:val="22"/>
          <w:lang w:val="sr-Latn-ME"/>
        </w:rPr>
        <w:t>ij</w:t>
      </w:r>
      <w:r w:rsidRPr="009057DB">
        <w:rPr>
          <w:sz w:val="22"/>
          <w:szCs w:val="22"/>
          <w:lang w:val="sr-Latn-ME"/>
        </w:rPr>
        <w:t xml:space="preserve">ekom. </w:t>
      </w:r>
    </w:p>
    <w:p w14:paraId="5D4ED57C" w14:textId="77777777" w:rsidR="00EF1E44" w:rsidRPr="009057DB" w:rsidRDefault="00EF1E44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460D415" w14:textId="7EE8EACF" w:rsidR="00EF1E44" w:rsidRPr="009057DB" w:rsidRDefault="00EF1E44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Vakcin</w:t>
      </w:r>
      <w:r w:rsidR="004B7278" w:rsidRPr="009057DB">
        <w:rPr>
          <w:sz w:val="22"/>
          <w:szCs w:val="22"/>
          <w:lang w:val="sr-Latn-ME"/>
        </w:rPr>
        <w:t>isanje</w:t>
      </w:r>
      <w:r w:rsidRPr="009057DB">
        <w:rPr>
          <w:sz w:val="22"/>
          <w:szCs w:val="22"/>
          <w:lang w:val="sr-Latn-ME"/>
        </w:rPr>
        <w:t xml:space="preserve"> vakcinom </w:t>
      </w:r>
      <w:r w:rsidR="006A4259" w:rsidRPr="009057DB">
        <w:rPr>
          <w:color w:val="000000"/>
          <w:sz w:val="22"/>
          <w:szCs w:val="22"/>
          <w:shd w:val="clear" w:color="auto" w:fill="FFFFFF"/>
          <w:lang w:val="sr-Latn-ME"/>
        </w:rPr>
        <w:t>Vaxzevria</w:t>
      </w:r>
      <w:r w:rsidR="00991309" w:rsidRPr="009057DB">
        <w:rPr>
          <w:color w:val="000000"/>
          <w:sz w:val="22"/>
          <w:szCs w:val="22"/>
          <w:shd w:val="clear" w:color="auto" w:fill="FFFFFF"/>
          <w:lang w:val="sr-Latn-ME"/>
        </w:rPr>
        <w:t xml:space="preserve"> </w:t>
      </w:r>
      <w:r w:rsidRPr="009057DB">
        <w:rPr>
          <w:sz w:val="22"/>
          <w:szCs w:val="22"/>
          <w:lang w:val="sr-Latn-ME"/>
        </w:rPr>
        <w:t xml:space="preserve">sastoji se od </w:t>
      </w:r>
      <w:r w:rsidR="00410C10" w:rsidRPr="009057DB">
        <w:rPr>
          <w:sz w:val="22"/>
          <w:szCs w:val="22"/>
          <w:lang w:val="sr-Latn-ME"/>
        </w:rPr>
        <w:t xml:space="preserve">primjene </w:t>
      </w:r>
      <w:r w:rsidRPr="009057DB">
        <w:rPr>
          <w:sz w:val="22"/>
          <w:szCs w:val="22"/>
          <w:lang w:val="sr-Latn-ME"/>
        </w:rPr>
        <w:t>dv</w:t>
      </w:r>
      <w:r w:rsidR="00FF15F7" w:rsidRPr="009057DB">
        <w:rPr>
          <w:sz w:val="22"/>
          <w:szCs w:val="22"/>
          <w:lang w:val="sr-Latn-ME"/>
        </w:rPr>
        <w:t>ij</w:t>
      </w:r>
      <w:r w:rsidRPr="009057DB">
        <w:rPr>
          <w:sz w:val="22"/>
          <w:szCs w:val="22"/>
          <w:lang w:val="sr-Latn-ME"/>
        </w:rPr>
        <w:t xml:space="preserve">e </w:t>
      </w:r>
      <w:r w:rsidR="00C313C3" w:rsidRPr="009057DB">
        <w:rPr>
          <w:sz w:val="22"/>
          <w:szCs w:val="22"/>
          <w:lang w:val="sr-Latn-ME"/>
        </w:rPr>
        <w:t xml:space="preserve">zasebne </w:t>
      </w:r>
      <w:r w:rsidRPr="009057DB">
        <w:rPr>
          <w:sz w:val="22"/>
          <w:szCs w:val="22"/>
          <w:lang w:val="sr-Latn-ME"/>
        </w:rPr>
        <w:t>doze</w:t>
      </w:r>
      <w:r w:rsidR="00F93A7A" w:rsidRPr="009057DB">
        <w:rPr>
          <w:sz w:val="22"/>
          <w:szCs w:val="22"/>
          <w:lang w:val="sr-Latn-ME"/>
        </w:rPr>
        <w:t>, svaka</w:t>
      </w:r>
      <w:r w:rsidRPr="009057DB">
        <w:rPr>
          <w:sz w:val="22"/>
          <w:szCs w:val="22"/>
          <w:lang w:val="sr-Latn-ME"/>
        </w:rPr>
        <w:t xml:space="preserve"> od 0,5 </w:t>
      </w:r>
      <w:r w:rsidR="00913479" w:rsidRPr="009057DB">
        <w:rPr>
          <w:sz w:val="22"/>
          <w:szCs w:val="22"/>
          <w:lang w:val="sr-Latn-ME"/>
        </w:rPr>
        <w:t>ml</w:t>
      </w:r>
      <w:r w:rsidRPr="009057DB">
        <w:rPr>
          <w:sz w:val="22"/>
          <w:szCs w:val="22"/>
          <w:lang w:val="sr-Latn-ME"/>
        </w:rPr>
        <w:t>. Drug</w:t>
      </w:r>
      <w:r w:rsidR="00D567FE" w:rsidRPr="009057DB">
        <w:rPr>
          <w:sz w:val="22"/>
          <w:szCs w:val="22"/>
          <w:lang w:val="sr-Latn-ME"/>
        </w:rPr>
        <w:t>u</w:t>
      </w:r>
      <w:r w:rsidRPr="009057DB">
        <w:rPr>
          <w:sz w:val="22"/>
          <w:szCs w:val="22"/>
          <w:lang w:val="sr-Latn-ME"/>
        </w:rPr>
        <w:t xml:space="preserve"> doz</w:t>
      </w:r>
      <w:r w:rsidR="00D567FE" w:rsidRPr="009057DB">
        <w:rPr>
          <w:sz w:val="22"/>
          <w:szCs w:val="22"/>
          <w:lang w:val="sr-Latn-ME"/>
        </w:rPr>
        <w:t>u</w:t>
      </w:r>
      <w:r w:rsidRPr="009057DB">
        <w:rPr>
          <w:sz w:val="22"/>
          <w:szCs w:val="22"/>
          <w:lang w:val="sr-Latn-ME"/>
        </w:rPr>
        <w:t xml:space="preserve"> treba prim</w:t>
      </w:r>
      <w:r w:rsidR="00913479" w:rsidRPr="009057DB">
        <w:rPr>
          <w:sz w:val="22"/>
          <w:szCs w:val="22"/>
          <w:lang w:val="sr-Latn-ME"/>
        </w:rPr>
        <w:t>i</w:t>
      </w:r>
      <w:r w:rsidR="00FF15F7" w:rsidRPr="009057DB">
        <w:rPr>
          <w:sz w:val="22"/>
          <w:szCs w:val="22"/>
          <w:lang w:val="sr-Latn-ME"/>
        </w:rPr>
        <w:t>j</w:t>
      </w:r>
      <w:r w:rsidRPr="009057DB">
        <w:rPr>
          <w:sz w:val="22"/>
          <w:szCs w:val="22"/>
          <w:lang w:val="sr-Latn-ME"/>
        </w:rPr>
        <w:t xml:space="preserve">eniti </w:t>
      </w:r>
      <w:r w:rsidR="00F04FE5" w:rsidRPr="009057DB">
        <w:rPr>
          <w:sz w:val="22"/>
          <w:szCs w:val="22"/>
          <w:lang w:val="sr-Latn-ME"/>
        </w:rPr>
        <w:t xml:space="preserve">u periodu </w:t>
      </w:r>
      <w:r w:rsidR="00913479" w:rsidRPr="009057DB">
        <w:rPr>
          <w:sz w:val="22"/>
          <w:szCs w:val="22"/>
          <w:lang w:val="sr-Latn-ME"/>
        </w:rPr>
        <w:t xml:space="preserve">od </w:t>
      </w:r>
      <w:r w:rsidRPr="009057DB">
        <w:rPr>
          <w:sz w:val="22"/>
          <w:szCs w:val="22"/>
          <w:lang w:val="sr-Latn-ME"/>
        </w:rPr>
        <w:t xml:space="preserve">4 </w:t>
      </w:r>
      <w:r w:rsidR="0075202F" w:rsidRPr="009057DB">
        <w:rPr>
          <w:sz w:val="22"/>
          <w:szCs w:val="22"/>
          <w:lang w:val="sr-Latn-ME"/>
        </w:rPr>
        <w:t>-</w:t>
      </w:r>
      <w:r w:rsidRPr="009057DB">
        <w:rPr>
          <w:sz w:val="22"/>
          <w:szCs w:val="22"/>
          <w:lang w:val="sr-Latn-ME"/>
        </w:rPr>
        <w:t xml:space="preserve"> 12 </w:t>
      </w:r>
      <w:r w:rsidR="00991309" w:rsidRPr="009057DB">
        <w:rPr>
          <w:sz w:val="22"/>
          <w:szCs w:val="22"/>
          <w:lang w:val="sr-Latn-ME"/>
        </w:rPr>
        <w:t xml:space="preserve">nedjelja </w:t>
      </w:r>
      <w:r w:rsidRPr="009057DB">
        <w:rPr>
          <w:sz w:val="22"/>
          <w:szCs w:val="22"/>
          <w:lang w:val="sr-Latn-ME"/>
        </w:rPr>
        <w:t>nakon prve doze. Osobe koje su primile prvu dozu vakcine</w:t>
      </w:r>
      <w:r w:rsidR="006A4259" w:rsidRPr="009057DB">
        <w:rPr>
          <w:color w:val="000000"/>
          <w:sz w:val="22"/>
          <w:szCs w:val="22"/>
          <w:shd w:val="clear" w:color="auto" w:fill="FFFFFF"/>
          <w:lang w:val="sr-Latn-ME"/>
        </w:rPr>
        <w:t>Vaxzevria</w:t>
      </w:r>
      <w:r w:rsidRPr="009057DB">
        <w:rPr>
          <w:sz w:val="22"/>
          <w:szCs w:val="22"/>
          <w:lang w:val="sr-Latn-ME"/>
        </w:rPr>
        <w:t>, treba da prime</w:t>
      </w:r>
      <w:r w:rsidR="00307A90" w:rsidRPr="009057DB">
        <w:rPr>
          <w:sz w:val="22"/>
          <w:szCs w:val="22"/>
          <w:lang w:val="sr-Latn-ME"/>
        </w:rPr>
        <w:t xml:space="preserve"> i drugu dozu iste vakcine </w:t>
      </w:r>
      <w:r w:rsidR="005616AA" w:rsidRPr="009057DB">
        <w:rPr>
          <w:sz w:val="22"/>
          <w:szCs w:val="22"/>
          <w:lang w:val="sr-Latn-ME"/>
        </w:rPr>
        <w:t xml:space="preserve">da bi završile </w:t>
      </w:r>
      <w:r w:rsidRPr="009057DB">
        <w:rPr>
          <w:sz w:val="22"/>
          <w:szCs w:val="22"/>
          <w:lang w:val="sr-Latn-ME"/>
        </w:rPr>
        <w:t xml:space="preserve">vakcinaciju. </w:t>
      </w:r>
    </w:p>
    <w:p w14:paraId="01B501E6" w14:textId="77777777" w:rsidR="00EF1E44" w:rsidRPr="009057DB" w:rsidRDefault="00EF1E44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81686FC" w14:textId="63E303E6" w:rsidR="00EF1E44" w:rsidRPr="009057DB" w:rsidRDefault="00EF1E44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 xml:space="preserve">Svaka doza vakcine od 0,5 </w:t>
      </w:r>
      <w:r w:rsidR="00913479" w:rsidRPr="009057DB">
        <w:rPr>
          <w:sz w:val="22"/>
          <w:szCs w:val="22"/>
          <w:lang w:val="sr-Latn-ME"/>
        </w:rPr>
        <w:t xml:space="preserve">ml </w:t>
      </w:r>
      <w:r w:rsidRPr="009057DB">
        <w:rPr>
          <w:sz w:val="22"/>
          <w:szCs w:val="22"/>
          <w:lang w:val="sr-Latn-ME"/>
        </w:rPr>
        <w:t xml:space="preserve">se uvlači u špric za injekciju </w:t>
      </w:r>
      <w:r w:rsidR="00F93946" w:rsidRPr="009057DB">
        <w:rPr>
          <w:sz w:val="22"/>
          <w:szCs w:val="22"/>
          <w:lang w:val="sr-Latn-ME"/>
        </w:rPr>
        <w:t xml:space="preserve">za </w:t>
      </w:r>
      <w:r w:rsidRPr="009057DB">
        <w:rPr>
          <w:sz w:val="22"/>
          <w:szCs w:val="22"/>
          <w:lang w:val="sr-Latn-ME"/>
        </w:rPr>
        <w:t>intramuskularn</w:t>
      </w:r>
      <w:r w:rsidR="00F93946" w:rsidRPr="009057DB">
        <w:rPr>
          <w:sz w:val="22"/>
          <w:szCs w:val="22"/>
          <w:lang w:val="sr-Latn-ME"/>
        </w:rPr>
        <w:t>u primjenu</w:t>
      </w:r>
      <w:r w:rsidRPr="009057DB">
        <w:rPr>
          <w:sz w:val="22"/>
          <w:szCs w:val="22"/>
          <w:lang w:val="sr-Latn-ME"/>
        </w:rPr>
        <w:t xml:space="preserve">, po mogućnosti u deltoidni mišić nadlaktice. </w:t>
      </w:r>
      <w:r w:rsidR="00D934DE" w:rsidRPr="009057DB">
        <w:rPr>
          <w:sz w:val="22"/>
          <w:szCs w:val="22"/>
          <w:lang w:val="sr-Latn-ME"/>
        </w:rPr>
        <w:t>K</w:t>
      </w:r>
      <w:r w:rsidR="00B41851" w:rsidRPr="009057DB">
        <w:rPr>
          <w:sz w:val="22"/>
          <w:szCs w:val="22"/>
          <w:lang w:val="sr-Latn-ME"/>
        </w:rPr>
        <w:t>ada je to moguće,</w:t>
      </w:r>
      <w:r w:rsidRPr="009057DB">
        <w:rPr>
          <w:sz w:val="22"/>
          <w:szCs w:val="22"/>
          <w:lang w:val="sr-Latn-ME"/>
        </w:rPr>
        <w:t xml:space="preserve"> </w:t>
      </w:r>
      <w:r w:rsidR="005C3BC9" w:rsidRPr="009057DB">
        <w:rPr>
          <w:sz w:val="22"/>
          <w:szCs w:val="22"/>
          <w:lang w:val="sr-Latn-ME"/>
        </w:rPr>
        <w:t xml:space="preserve">za primjenu upotrijebite </w:t>
      </w:r>
      <w:r w:rsidRPr="009057DB">
        <w:rPr>
          <w:sz w:val="22"/>
          <w:szCs w:val="22"/>
          <w:lang w:val="sr-Latn-ME"/>
        </w:rPr>
        <w:t>novu iglu</w:t>
      </w:r>
      <w:r w:rsidR="0039380B" w:rsidRPr="009057DB">
        <w:rPr>
          <w:sz w:val="22"/>
          <w:szCs w:val="22"/>
          <w:lang w:val="sr-Latn-ME"/>
        </w:rPr>
        <w:t>.</w:t>
      </w:r>
    </w:p>
    <w:p w14:paraId="33452E64" w14:textId="77777777" w:rsidR="00EF1E44" w:rsidRPr="009057DB" w:rsidRDefault="00EF1E44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0118FB1" w14:textId="3C13524D" w:rsidR="00EF1E44" w:rsidRPr="009057DB" w:rsidRDefault="00EF1E44" w:rsidP="00376088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 xml:space="preserve">Normalno je da </w:t>
      </w:r>
      <w:r w:rsidR="0088341B" w:rsidRPr="009057DB">
        <w:rPr>
          <w:sz w:val="22"/>
          <w:szCs w:val="22"/>
          <w:lang w:val="sr-Latn-ME"/>
        </w:rPr>
        <w:t xml:space="preserve">nakon izvlačenja poslednje doze </w:t>
      </w:r>
      <w:r w:rsidRPr="009057DB">
        <w:rPr>
          <w:sz w:val="22"/>
          <w:szCs w:val="22"/>
          <w:lang w:val="sr-Latn-ME"/>
        </w:rPr>
        <w:t xml:space="preserve">u bočici </w:t>
      </w:r>
      <w:r w:rsidR="00007186" w:rsidRPr="009057DB">
        <w:rPr>
          <w:sz w:val="22"/>
          <w:szCs w:val="22"/>
          <w:lang w:val="sr-Latn-ME"/>
        </w:rPr>
        <w:t>preostane malo tečnosti</w:t>
      </w:r>
      <w:r w:rsidRPr="009057DB">
        <w:rPr>
          <w:sz w:val="22"/>
          <w:szCs w:val="22"/>
          <w:lang w:val="sr-Latn-ME"/>
        </w:rPr>
        <w:t xml:space="preserve">. </w:t>
      </w:r>
      <w:r w:rsidR="009F4503" w:rsidRPr="009057DB">
        <w:rPr>
          <w:bCs/>
          <w:sz w:val="22"/>
          <w:szCs w:val="22"/>
          <w:lang w:val="sr-Latn-ME"/>
        </w:rPr>
        <w:t xml:space="preserve">Svaka bočica sadrži više vakcine kako bi se osiguralo izvlačenje 8 doza (bočica od 4 </w:t>
      </w:r>
      <w:r w:rsidR="00913479" w:rsidRPr="009057DB">
        <w:rPr>
          <w:bCs/>
          <w:sz w:val="22"/>
          <w:szCs w:val="22"/>
          <w:lang w:val="sr-Latn-ME"/>
        </w:rPr>
        <w:t>ml</w:t>
      </w:r>
      <w:r w:rsidR="009F4503" w:rsidRPr="009057DB">
        <w:rPr>
          <w:bCs/>
          <w:sz w:val="22"/>
          <w:szCs w:val="22"/>
          <w:lang w:val="sr-Latn-ME"/>
        </w:rPr>
        <w:t xml:space="preserve">) ili 10 doza (bočica od 5 </w:t>
      </w:r>
      <w:r w:rsidR="00913479" w:rsidRPr="009057DB">
        <w:rPr>
          <w:bCs/>
          <w:sz w:val="22"/>
          <w:szCs w:val="22"/>
          <w:lang w:val="sr-Latn-ME"/>
        </w:rPr>
        <w:t>ml</w:t>
      </w:r>
      <w:r w:rsidR="009F4503" w:rsidRPr="009057DB">
        <w:rPr>
          <w:bCs/>
          <w:sz w:val="22"/>
          <w:szCs w:val="22"/>
          <w:lang w:val="sr-Latn-ME"/>
        </w:rPr>
        <w:t xml:space="preserve">) od 0,5 </w:t>
      </w:r>
      <w:r w:rsidR="00913479" w:rsidRPr="009057DB">
        <w:rPr>
          <w:bCs/>
          <w:sz w:val="22"/>
          <w:szCs w:val="22"/>
          <w:lang w:val="sr-Latn-ME"/>
        </w:rPr>
        <w:t>ml</w:t>
      </w:r>
      <w:r w:rsidR="009F4503" w:rsidRPr="009057DB">
        <w:rPr>
          <w:bCs/>
          <w:sz w:val="22"/>
          <w:szCs w:val="22"/>
          <w:lang w:val="sr-Latn-ME"/>
        </w:rPr>
        <w:t>. Ne smije se u isti špric izvlačiti višak vakcine iz više različitih bočica. Neiskorišćena vakcina mora se baciti.</w:t>
      </w:r>
    </w:p>
    <w:p w14:paraId="4C4936BA" w14:textId="2FC566D9" w:rsidR="00752A2F" w:rsidRPr="009057DB" w:rsidRDefault="00752A2F" w:rsidP="00376088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2C4F45E5" w14:textId="3315052F" w:rsidR="00991309" w:rsidRPr="009057DB" w:rsidRDefault="00752A2F" w:rsidP="00376088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9057DB">
        <w:rPr>
          <w:bCs/>
          <w:sz w:val="22"/>
          <w:szCs w:val="22"/>
          <w:lang w:val="sr-Latn-ME"/>
        </w:rPr>
        <w:lastRenderedPageBreak/>
        <w:t xml:space="preserve">Od </w:t>
      </w:r>
      <w:r w:rsidR="00991309" w:rsidRPr="009057DB">
        <w:rPr>
          <w:bCs/>
          <w:sz w:val="22"/>
          <w:szCs w:val="22"/>
          <w:lang w:val="sr-Latn-ME"/>
        </w:rPr>
        <w:t xml:space="preserve">trenutka </w:t>
      </w:r>
      <w:r w:rsidRPr="009057DB">
        <w:rPr>
          <w:bCs/>
          <w:sz w:val="22"/>
          <w:szCs w:val="22"/>
          <w:lang w:val="sr-Latn-ME"/>
        </w:rPr>
        <w:t>otvaranja bočice (prv</w:t>
      </w:r>
      <w:r w:rsidR="00991309" w:rsidRPr="009057DB">
        <w:rPr>
          <w:bCs/>
          <w:sz w:val="22"/>
          <w:szCs w:val="22"/>
          <w:lang w:val="sr-Latn-ME"/>
        </w:rPr>
        <w:t>o uvođenje</w:t>
      </w:r>
      <w:r w:rsidRPr="009057DB">
        <w:rPr>
          <w:bCs/>
          <w:sz w:val="22"/>
          <w:szCs w:val="22"/>
          <w:lang w:val="sr-Latn-ME"/>
        </w:rPr>
        <w:t xml:space="preserve"> igle) </w:t>
      </w:r>
      <w:r w:rsidR="00991309" w:rsidRPr="009057DB">
        <w:rPr>
          <w:bCs/>
          <w:sz w:val="22"/>
          <w:szCs w:val="22"/>
          <w:lang w:val="sr-Latn-ME"/>
        </w:rPr>
        <w:t xml:space="preserve">vakcinu </w:t>
      </w:r>
      <w:r w:rsidRPr="009057DB">
        <w:rPr>
          <w:bCs/>
          <w:sz w:val="22"/>
          <w:szCs w:val="22"/>
          <w:lang w:val="sr-Latn-ME"/>
        </w:rPr>
        <w:t xml:space="preserve">treba iskoristiti u roku od 6 sati kada se čuva na temperaturi </w:t>
      </w:r>
      <w:r w:rsidR="00991309" w:rsidRPr="009057DB">
        <w:rPr>
          <w:bCs/>
          <w:sz w:val="22"/>
          <w:szCs w:val="22"/>
          <w:lang w:val="sr-Latn-ME"/>
        </w:rPr>
        <w:t>do</w:t>
      </w:r>
      <w:r w:rsidRPr="009057DB">
        <w:rPr>
          <w:bCs/>
          <w:sz w:val="22"/>
          <w:szCs w:val="22"/>
          <w:lang w:val="sr-Latn-ME"/>
        </w:rPr>
        <w:t xml:space="preserve"> </w:t>
      </w:r>
      <w:r w:rsidRPr="009057DB">
        <w:rPr>
          <w:noProof/>
          <w:sz w:val="22"/>
          <w:szCs w:val="22"/>
          <w:lang w:val="sr-Latn-ME"/>
        </w:rPr>
        <w:t xml:space="preserve">30°C. Nakon ovog vremena, bočica se mora baciti. Ne </w:t>
      </w:r>
      <w:r w:rsidR="00991309" w:rsidRPr="009057DB">
        <w:rPr>
          <w:noProof/>
          <w:sz w:val="22"/>
          <w:szCs w:val="22"/>
          <w:lang w:val="sr-Latn-ME"/>
        </w:rPr>
        <w:t xml:space="preserve">smije se </w:t>
      </w:r>
      <w:r w:rsidRPr="009057DB">
        <w:rPr>
          <w:noProof/>
          <w:sz w:val="22"/>
          <w:szCs w:val="22"/>
          <w:lang w:val="sr-Latn-ME"/>
        </w:rPr>
        <w:t xml:space="preserve">vraćati u frižider. </w:t>
      </w:r>
    </w:p>
    <w:p w14:paraId="5D355C59" w14:textId="77777777" w:rsidR="00991309" w:rsidRPr="009057DB" w:rsidRDefault="00991309" w:rsidP="00376088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327A579C" w14:textId="48749DB6" w:rsidR="00EF1E44" w:rsidRPr="009057DB" w:rsidRDefault="00752A2F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057DB">
        <w:rPr>
          <w:noProof/>
          <w:sz w:val="22"/>
          <w:szCs w:val="22"/>
          <w:lang w:val="sr-Latn-ME"/>
        </w:rPr>
        <w:t xml:space="preserve">Alternativno, otvorena bočica se može čuvati u frižideru (2°C – 8°C), maksimalno 48 sati, ukoliko se u istom trenutku vrati u frižider nakon svakog </w:t>
      </w:r>
      <w:r w:rsidR="00991309" w:rsidRPr="009057DB">
        <w:rPr>
          <w:noProof/>
          <w:sz w:val="22"/>
          <w:szCs w:val="22"/>
          <w:lang w:val="sr-Latn-ME"/>
        </w:rPr>
        <w:t>uvođenja</w:t>
      </w:r>
      <w:r w:rsidRPr="009057DB">
        <w:rPr>
          <w:noProof/>
          <w:sz w:val="22"/>
          <w:szCs w:val="22"/>
          <w:lang w:val="sr-Latn-ME"/>
        </w:rPr>
        <w:t xml:space="preserve"> igl</w:t>
      </w:r>
      <w:r w:rsidR="004C3A87" w:rsidRPr="009057DB">
        <w:rPr>
          <w:noProof/>
          <w:sz w:val="22"/>
          <w:szCs w:val="22"/>
          <w:lang w:val="sr-Latn-ME"/>
        </w:rPr>
        <w:t xml:space="preserve">e. </w:t>
      </w:r>
    </w:p>
    <w:p w14:paraId="0099DFA8" w14:textId="77777777" w:rsidR="00991309" w:rsidRPr="009057DB" w:rsidRDefault="00991309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1A7FBD9D" w14:textId="53EB2FE9" w:rsidR="00EF1E44" w:rsidRPr="009057DB" w:rsidRDefault="00EF1E44" w:rsidP="0037608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9057DB">
        <w:rPr>
          <w:sz w:val="22"/>
          <w:szCs w:val="22"/>
          <w:u w:val="single"/>
          <w:lang w:val="sr-Latn-ME"/>
        </w:rPr>
        <w:t>Odlaganje</w:t>
      </w:r>
    </w:p>
    <w:p w14:paraId="3199F485" w14:textId="77777777" w:rsidR="00EF1E44" w:rsidRPr="009057DB" w:rsidRDefault="00EF1E44" w:rsidP="003760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2157EE3" w14:textId="68D98222" w:rsidR="0072020E" w:rsidRPr="009057DB" w:rsidRDefault="00251BEE" w:rsidP="0037608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057DB">
        <w:rPr>
          <w:sz w:val="22"/>
          <w:szCs w:val="22"/>
          <w:lang w:val="sr-Latn-ME"/>
        </w:rPr>
        <w:t>N</w:t>
      </w:r>
      <w:r w:rsidR="00EF1E44" w:rsidRPr="009057DB">
        <w:rPr>
          <w:sz w:val="22"/>
          <w:szCs w:val="22"/>
          <w:lang w:val="sr-Latn-ME"/>
        </w:rPr>
        <w:t>eiskorišćena vakcina ili otpadni materi</w:t>
      </w:r>
      <w:r w:rsidR="00913479" w:rsidRPr="009057DB">
        <w:rPr>
          <w:sz w:val="22"/>
          <w:szCs w:val="22"/>
          <w:lang w:val="sr-Latn-ME"/>
        </w:rPr>
        <w:t>j</w:t>
      </w:r>
      <w:r w:rsidR="00EF1E44" w:rsidRPr="009057DB">
        <w:rPr>
          <w:sz w:val="22"/>
          <w:szCs w:val="22"/>
          <w:lang w:val="sr-Latn-ME"/>
        </w:rPr>
        <w:t xml:space="preserve">al mora se odložiti u skladu sa </w:t>
      </w:r>
      <w:r w:rsidR="00F06D0F" w:rsidRPr="009057DB">
        <w:rPr>
          <w:sz w:val="22"/>
          <w:szCs w:val="22"/>
          <w:lang w:val="sr-Latn-ME"/>
        </w:rPr>
        <w:t xml:space="preserve">važećim smjernicama za odlaganje </w:t>
      </w:r>
      <w:r w:rsidR="004C3A87" w:rsidRPr="009057DB">
        <w:rPr>
          <w:sz w:val="22"/>
          <w:szCs w:val="22"/>
          <w:lang w:val="sr-Latn-ME"/>
        </w:rPr>
        <w:t xml:space="preserve">farmaceutskog </w:t>
      </w:r>
      <w:r w:rsidR="008A53EB" w:rsidRPr="009057DB">
        <w:rPr>
          <w:sz w:val="22"/>
          <w:szCs w:val="22"/>
          <w:lang w:val="sr-Latn-ME"/>
        </w:rPr>
        <w:t>otpad</w:t>
      </w:r>
      <w:r w:rsidR="00913479" w:rsidRPr="009057DB">
        <w:rPr>
          <w:sz w:val="22"/>
          <w:szCs w:val="22"/>
          <w:lang w:val="sr-Latn-ME"/>
        </w:rPr>
        <w:t>a</w:t>
      </w:r>
      <w:r w:rsidR="00EF1E44" w:rsidRPr="009057DB">
        <w:rPr>
          <w:sz w:val="22"/>
          <w:szCs w:val="22"/>
          <w:lang w:val="sr-Latn-ME"/>
        </w:rPr>
        <w:t>.</w:t>
      </w:r>
    </w:p>
    <w:p w14:paraId="243C1A58" w14:textId="7B623A20" w:rsidR="000756EF" w:rsidRPr="009057DB" w:rsidRDefault="008A47B1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057DB">
        <w:rPr>
          <w:bCs/>
          <w:sz w:val="22"/>
          <w:szCs w:val="22"/>
          <w:lang w:val="sr-Latn-ME"/>
        </w:rPr>
        <w:t>U slučaju prosipanja</w:t>
      </w:r>
      <w:r w:rsidR="00226970" w:rsidRPr="009057DB">
        <w:rPr>
          <w:bCs/>
          <w:sz w:val="22"/>
          <w:szCs w:val="22"/>
          <w:lang w:val="sr-Latn-ME"/>
        </w:rPr>
        <w:t xml:space="preserve">, zahvaćene površine treba </w:t>
      </w:r>
      <w:r w:rsidR="005D020C" w:rsidRPr="009057DB">
        <w:rPr>
          <w:bCs/>
          <w:sz w:val="22"/>
          <w:szCs w:val="22"/>
          <w:lang w:val="sr-Latn-ME"/>
        </w:rPr>
        <w:t>dezinfikovati sredstvima</w:t>
      </w:r>
      <w:r w:rsidR="004C3A87" w:rsidRPr="009057DB">
        <w:rPr>
          <w:bCs/>
          <w:sz w:val="22"/>
          <w:szCs w:val="22"/>
          <w:lang w:val="sr-Latn-ME"/>
        </w:rPr>
        <w:t xml:space="preserve"> sa virucidnim dejstvom na adenoviruse. </w:t>
      </w:r>
      <w:r w:rsidR="005D020C" w:rsidRPr="009057DB">
        <w:rPr>
          <w:bCs/>
          <w:sz w:val="22"/>
          <w:szCs w:val="22"/>
          <w:lang w:val="sr-Latn-ME"/>
        </w:rPr>
        <w:t xml:space="preserve"> </w:t>
      </w:r>
    </w:p>
    <w:p w14:paraId="52C91CC9" w14:textId="470075B1" w:rsidR="005076C0" w:rsidRPr="009057DB" w:rsidRDefault="005076C0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7AFD0CD" w14:textId="77777777" w:rsidR="00EF3FA2" w:rsidRPr="009057DB" w:rsidRDefault="00EF3FA2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DB18FC6" w14:textId="0C423335" w:rsidR="00F8570A" w:rsidRPr="009057DB" w:rsidRDefault="0072020E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057DB">
        <w:rPr>
          <w:b/>
          <w:bCs/>
          <w:sz w:val="22"/>
          <w:szCs w:val="22"/>
          <w:lang w:val="sr-Latn-ME"/>
        </w:rPr>
        <w:t xml:space="preserve">7. </w:t>
      </w:r>
      <w:r w:rsidR="00480FB1" w:rsidRPr="009057DB">
        <w:rPr>
          <w:b/>
          <w:bCs/>
          <w:sz w:val="22"/>
          <w:szCs w:val="22"/>
          <w:lang w:val="sr-Latn-ME"/>
        </w:rPr>
        <w:tab/>
      </w:r>
      <w:r w:rsidRPr="009057DB">
        <w:rPr>
          <w:b/>
          <w:bCs/>
          <w:sz w:val="22"/>
          <w:szCs w:val="22"/>
          <w:lang w:val="sr-Latn-ME"/>
        </w:rPr>
        <w:t>NOSILAC DOZVOLE</w:t>
      </w:r>
      <w:r w:rsidR="00483928" w:rsidRPr="009057DB">
        <w:rPr>
          <w:b/>
          <w:bCs/>
          <w:sz w:val="22"/>
          <w:szCs w:val="22"/>
          <w:lang w:val="sr-Latn-ME"/>
        </w:rPr>
        <w:t xml:space="preserve"> </w:t>
      </w:r>
    </w:p>
    <w:p w14:paraId="2FE57972" w14:textId="77777777" w:rsidR="00C61BE0" w:rsidRPr="009057DB" w:rsidRDefault="00C61BE0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170CE14" w14:textId="375F6933" w:rsidR="00C37FD7" w:rsidRPr="009057DB" w:rsidRDefault="00D62F68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057DB">
        <w:rPr>
          <w:bCs/>
          <w:sz w:val="22"/>
          <w:szCs w:val="22"/>
          <w:lang w:val="sr-Latn-ME"/>
        </w:rPr>
        <w:t>Glosarij d.o.o.</w:t>
      </w:r>
    </w:p>
    <w:p w14:paraId="6253937B" w14:textId="32047251" w:rsidR="00D62F68" w:rsidRPr="009057DB" w:rsidRDefault="00D62F68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057DB">
        <w:rPr>
          <w:bCs/>
          <w:sz w:val="22"/>
          <w:szCs w:val="22"/>
          <w:lang w:val="sr-Latn-ME"/>
        </w:rPr>
        <w:t>Vojislavljevića 76, 81000 Podgorica, Crna Gora</w:t>
      </w:r>
    </w:p>
    <w:p w14:paraId="45316836" w14:textId="77777777" w:rsidR="00D62F68" w:rsidRPr="009057DB" w:rsidRDefault="00D62F68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2314DE1" w14:textId="77777777" w:rsidR="00A60699" w:rsidRPr="009057DB" w:rsidRDefault="00A60699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F9E8991" w14:textId="477DDA6C" w:rsidR="0072020E" w:rsidRPr="009057DB" w:rsidRDefault="0072020E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057DB">
        <w:rPr>
          <w:b/>
          <w:bCs/>
          <w:sz w:val="22"/>
          <w:szCs w:val="22"/>
          <w:lang w:val="sr-Latn-ME"/>
        </w:rPr>
        <w:t xml:space="preserve">8. </w:t>
      </w:r>
      <w:r w:rsidR="00480FB1" w:rsidRPr="009057DB">
        <w:rPr>
          <w:b/>
          <w:bCs/>
          <w:sz w:val="22"/>
          <w:szCs w:val="22"/>
          <w:lang w:val="sr-Latn-ME"/>
        </w:rPr>
        <w:tab/>
      </w:r>
      <w:r w:rsidRPr="009057DB">
        <w:rPr>
          <w:b/>
          <w:bCs/>
          <w:sz w:val="22"/>
          <w:szCs w:val="22"/>
          <w:lang w:val="sr-Latn-ME"/>
        </w:rPr>
        <w:t>BROJ DOZVOLE</w:t>
      </w:r>
      <w:r w:rsidR="008A6D43" w:rsidRPr="009057DB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70105145" w14:textId="77777777" w:rsidR="0072020E" w:rsidRPr="009057DB" w:rsidRDefault="0072020E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038B211" w14:textId="3B9DF6B9" w:rsidR="008F2DD2" w:rsidRPr="009057DB" w:rsidRDefault="008F2DD2" w:rsidP="00376088">
      <w:pPr>
        <w:tabs>
          <w:tab w:val="left" w:pos="540"/>
          <w:tab w:val="left" w:pos="569"/>
        </w:tabs>
        <w:jc w:val="both"/>
        <w:rPr>
          <w:color w:val="000000"/>
          <w:sz w:val="22"/>
          <w:szCs w:val="22"/>
          <w:shd w:val="clear" w:color="auto" w:fill="FFFFFF"/>
          <w:lang w:val="sr-Latn-ME"/>
        </w:rPr>
      </w:pPr>
      <w:r w:rsidRPr="009057DB">
        <w:rPr>
          <w:color w:val="000000"/>
          <w:sz w:val="22"/>
          <w:szCs w:val="22"/>
          <w:shd w:val="clear" w:color="auto" w:fill="FFFFFF"/>
          <w:lang w:val="sr-Latn-ME"/>
        </w:rPr>
        <w:t>Broj poslednje obnove dozvole:</w:t>
      </w:r>
    </w:p>
    <w:p w14:paraId="360EECDA" w14:textId="77777777" w:rsidR="008F2DD2" w:rsidRPr="009057DB" w:rsidRDefault="008F2DD2" w:rsidP="00376088">
      <w:pPr>
        <w:tabs>
          <w:tab w:val="left" w:pos="540"/>
          <w:tab w:val="left" w:pos="569"/>
        </w:tabs>
        <w:jc w:val="both"/>
        <w:rPr>
          <w:color w:val="000000"/>
          <w:sz w:val="22"/>
          <w:szCs w:val="22"/>
          <w:shd w:val="clear" w:color="auto" w:fill="FFFFFF"/>
          <w:lang w:val="sr-Latn-ME"/>
        </w:rPr>
      </w:pPr>
    </w:p>
    <w:p w14:paraId="388E5AD6" w14:textId="0F80CBB0" w:rsidR="00913479" w:rsidRPr="009057DB" w:rsidRDefault="006A4259" w:rsidP="0037608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057DB">
        <w:rPr>
          <w:color w:val="000000"/>
          <w:sz w:val="22"/>
          <w:szCs w:val="22"/>
          <w:shd w:val="clear" w:color="auto" w:fill="FFFFFF"/>
          <w:lang w:val="sr-Latn-ME"/>
        </w:rPr>
        <w:t>Vaxzevria</w:t>
      </w:r>
      <w:r w:rsidR="00913479" w:rsidRPr="009057DB">
        <w:rPr>
          <w:bCs/>
          <w:sz w:val="22"/>
          <w:szCs w:val="22"/>
          <w:lang w:val="sr-Latn-ME"/>
        </w:rPr>
        <w:t>, suspenzija za injekciju, bočica, staklena (8 doza od po 0.5 ml), 10 x 4 ml:</w:t>
      </w:r>
      <w:r w:rsidR="001B4D1F" w:rsidRPr="009057DB">
        <w:rPr>
          <w:sz w:val="22"/>
          <w:szCs w:val="22"/>
          <w:lang w:val="sr-Latn-ME"/>
        </w:rPr>
        <w:t xml:space="preserve"> </w:t>
      </w:r>
    </w:p>
    <w:p w14:paraId="5B12DBEE" w14:textId="33E133AD" w:rsidR="008F2DD2" w:rsidRPr="009057DB" w:rsidRDefault="000A48DC" w:rsidP="000A48DC">
      <w:pPr>
        <w:tabs>
          <w:tab w:val="left" w:pos="540"/>
        </w:tabs>
        <w:jc w:val="both"/>
        <w:rPr>
          <w:bCs/>
          <w:sz w:val="22"/>
          <w:szCs w:val="22"/>
          <w:lang w:val="sr-Latn-ME"/>
        </w:rPr>
      </w:pPr>
      <w:r w:rsidRPr="009057DB">
        <w:rPr>
          <w:bCs/>
          <w:sz w:val="22"/>
          <w:szCs w:val="22"/>
          <w:lang w:val="sr-Latn-ME"/>
        </w:rPr>
        <w:t>2030/22/1198 - 7851</w:t>
      </w:r>
    </w:p>
    <w:p w14:paraId="3D0ABCDA" w14:textId="1687CB17" w:rsidR="00F45F77" w:rsidRPr="009057DB" w:rsidRDefault="006A4259" w:rsidP="0037608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057DB">
        <w:rPr>
          <w:color w:val="000000"/>
          <w:sz w:val="22"/>
          <w:szCs w:val="22"/>
          <w:shd w:val="clear" w:color="auto" w:fill="FFFFFF"/>
          <w:lang w:val="sr-Latn-ME"/>
        </w:rPr>
        <w:t>Vaxzevria</w:t>
      </w:r>
      <w:r w:rsidR="008F2DD2" w:rsidRPr="009057DB">
        <w:rPr>
          <w:color w:val="000000"/>
          <w:sz w:val="22"/>
          <w:szCs w:val="22"/>
          <w:shd w:val="clear" w:color="auto" w:fill="FFFFFF"/>
          <w:lang w:val="sr-Latn-ME"/>
        </w:rPr>
        <w:t xml:space="preserve">, </w:t>
      </w:r>
      <w:r w:rsidR="00913479" w:rsidRPr="009057DB">
        <w:rPr>
          <w:bCs/>
          <w:sz w:val="22"/>
          <w:szCs w:val="22"/>
          <w:lang w:val="sr-Latn-ME"/>
        </w:rPr>
        <w:t>suspenzija za injekciju, bočica, staklena (10 doza od po 0.5 ml), 10 x 5 ml:</w:t>
      </w:r>
      <w:r w:rsidR="001B4D1F" w:rsidRPr="009057DB">
        <w:rPr>
          <w:sz w:val="22"/>
          <w:szCs w:val="22"/>
          <w:lang w:val="sr-Latn-ME"/>
        </w:rPr>
        <w:t xml:space="preserve"> </w:t>
      </w:r>
    </w:p>
    <w:p w14:paraId="7286EE32" w14:textId="0EFF952D" w:rsidR="000A48DC" w:rsidRPr="009057DB" w:rsidRDefault="000A48DC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057DB">
        <w:rPr>
          <w:bCs/>
          <w:sz w:val="22"/>
          <w:szCs w:val="22"/>
          <w:lang w:val="sr-Latn-ME"/>
        </w:rPr>
        <w:t>2030/22/1199 - 7860</w:t>
      </w:r>
    </w:p>
    <w:p w14:paraId="511E8548" w14:textId="11C61919" w:rsidR="00913479" w:rsidRPr="009057DB" w:rsidRDefault="00913479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7BD7D4A" w14:textId="77777777" w:rsidR="00E36B28" w:rsidRPr="009057DB" w:rsidRDefault="00E36B28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FFBC98A" w14:textId="77777777" w:rsidR="0072020E" w:rsidRPr="009057DB" w:rsidRDefault="0072020E" w:rsidP="003760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057DB">
        <w:rPr>
          <w:b/>
          <w:bCs/>
          <w:sz w:val="22"/>
          <w:szCs w:val="22"/>
          <w:lang w:val="sr-Latn-ME"/>
        </w:rPr>
        <w:t xml:space="preserve">9. </w:t>
      </w:r>
      <w:r w:rsidR="00480FB1" w:rsidRPr="009057DB">
        <w:rPr>
          <w:b/>
          <w:bCs/>
          <w:sz w:val="22"/>
          <w:szCs w:val="22"/>
          <w:lang w:val="sr-Latn-ME"/>
        </w:rPr>
        <w:tab/>
      </w:r>
      <w:r w:rsidRPr="009057DB">
        <w:rPr>
          <w:b/>
          <w:bCs/>
          <w:sz w:val="22"/>
          <w:szCs w:val="22"/>
          <w:lang w:val="sr-Latn-ME"/>
        </w:rPr>
        <w:t xml:space="preserve">DATUM </w:t>
      </w:r>
      <w:r w:rsidR="00C05DF8" w:rsidRPr="009057DB">
        <w:rPr>
          <w:b/>
          <w:bCs/>
          <w:sz w:val="22"/>
          <w:szCs w:val="22"/>
          <w:lang w:val="sr-Latn-ME"/>
        </w:rPr>
        <w:t xml:space="preserve">PRVE </w:t>
      </w:r>
      <w:r w:rsidR="008A6D43" w:rsidRPr="009057DB">
        <w:rPr>
          <w:b/>
          <w:bCs/>
          <w:sz w:val="22"/>
          <w:szCs w:val="22"/>
          <w:lang w:val="sr-Latn-ME"/>
        </w:rPr>
        <w:t>DOZVOLE</w:t>
      </w:r>
      <w:r w:rsidR="00C05DF8" w:rsidRPr="009057DB">
        <w:rPr>
          <w:b/>
          <w:bCs/>
          <w:sz w:val="22"/>
          <w:szCs w:val="22"/>
          <w:lang w:val="sr-Latn-ME"/>
        </w:rPr>
        <w:t>/OBNOVE DOZVOLE</w:t>
      </w:r>
      <w:r w:rsidR="008A6D43" w:rsidRPr="009057DB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596FA4DF" w14:textId="645BB16B" w:rsidR="0072020E" w:rsidRPr="009057DB" w:rsidRDefault="0072020E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4A20F66" w14:textId="09DF3872" w:rsidR="00913479" w:rsidRPr="009057DB" w:rsidRDefault="001649D3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057DB">
        <w:rPr>
          <w:color w:val="000000"/>
          <w:sz w:val="22"/>
          <w:szCs w:val="22"/>
          <w:shd w:val="clear" w:color="auto" w:fill="FFFFFF"/>
          <w:lang w:val="sr-Latn-ME"/>
        </w:rPr>
        <w:t>Datum prve dozvole</w:t>
      </w:r>
      <w:r w:rsidR="00913479" w:rsidRPr="009057DB">
        <w:rPr>
          <w:bCs/>
          <w:sz w:val="22"/>
          <w:szCs w:val="22"/>
          <w:lang w:val="sr-Latn-ME"/>
        </w:rPr>
        <w:t>:</w:t>
      </w:r>
      <w:r w:rsidR="001B4D1F" w:rsidRPr="009057DB">
        <w:rPr>
          <w:bCs/>
          <w:sz w:val="22"/>
          <w:szCs w:val="22"/>
          <w:lang w:val="sr-Latn-ME"/>
        </w:rPr>
        <w:t xml:space="preserve"> 05.03.2021. godine</w:t>
      </w:r>
    </w:p>
    <w:p w14:paraId="5B3DF9EF" w14:textId="3753CEB4" w:rsidR="001649D3" w:rsidRPr="009057DB" w:rsidRDefault="001649D3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057DB">
        <w:rPr>
          <w:bCs/>
          <w:sz w:val="22"/>
          <w:szCs w:val="22"/>
          <w:lang w:val="sr-Latn-ME"/>
        </w:rPr>
        <w:t xml:space="preserve">Datum poslednje obnove dozvole: </w:t>
      </w:r>
      <w:r w:rsidR="008F2DD2" w:rsidRPr="009057DB">
        <w:rPr>
          <w:bCs/>
          <w:sz w:val="22"/>
          <w:szCs w:val="22"/>
          <w:lang w:val="sr-Latn-ME"/>
        </w:rPr>
        <w:t>17.06.2022. godine</w:t>
      </w:r>
    </w:p>
    <w:p w14:paraId="2B14F4E0" w14:textId="3E3A48EA" w:rsidR="00836B35" w:rsidRPr="009057DB" w:rsidRDefault="00836B35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D0C19E3" w14:textId="77777777" w:rsidR="00E36B28" w:rsidRPr="009057DB" w:rsidRDefault="00E36B28" w:rsidP="003760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E03047F" w14:textId="77777777" w:rsidR="003F6A59" w:rsidRPr="009057DB" w:rsidRDefault="0072020E" w:rsidP="00376088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9057DB">
        <w:rPr>
          <w:b/>
          <w:bCs/>
          <w:sz w:val="22"/>
          <w:szCs w:val="22"/>
          <w:lang w:val="sr-Latn-ME"/>
        </w:rPr>
        <w:t xml:space="preserve">10. </w:t>
      </w:r>
      <w:r w:rsidR="00480FB1" w:rsidRPr="009057DB">
        <w:rPr>
          <w:b/>
          <w:bCs/>
          <w:sz w:val="22"/>
          <w:szCs w:val="22"/>
          <w:lang w:val="sr-Latn-ME"/>
        </w:rPr>
        <w:tab/>
      </w:r>
      <w:r w:rsidR="002846DB" w:rsidRPr="009057DB">
        <w:rPr>
          <w:b/>
          <w:bCs/>
          <w:sz w:val="22"/>
          <w:szCs w:val="22"/>
          <w:lang w:val="sr-Latn-ME"/>
        </w:rPr>
        <w:t>D</w:t>
      </w:r>
      <w:r w:rsidR="00EC2532" w:rsidRPr="009057DB">
        <w:rPr>
          <w:b/>
          <w:bCs/>
          <w:sz w:val="22"/>
          <w:szCs w:val="22"/>
          <w:lang w:val="sr-Latn-ME"/>
        </w:rPr>
        <w:t xml:space="preserve">ATUM REVIZIJE TEKSTA </w:t>
      </w:r>
    </w:p>
    <w:p w14:paraId="31EDAAEC" w14:textId="0A909165" w:rsidR="003F6A59" w:rsidRPr="009057DB" w:rsidRDefault="003F6A59" w:rsidP="00376088">
      <w:pPr>
        <w:jc w:val="both"/>
        <w:rPr>
          <w:sz w:val="22"/>
          <w:szCs w:val="22"/>
          <w:lang w:val="sr-Latn-ME"/>
        </w:rPr>
      </w:pPr>
    </w:p>
    <w:p w14:paraId="6726777A" w14:textId="34B15D6E" w:rsidR="005801C2" w:rsidRPr="00376088" w:rsidRDefault="00992A56" w:rsidP="00376088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Februar</w:t>
      </w:r>
      <w:bookmarkStart w:id="4" w:name="_GoBack"/>
      <w:bookmarkEnd w:id="4"/>
      <w:r w:rsidR="00A47E55" w:rsidRPr="009057DB">
        <w:rPr>
          <w:sz w:val="22"/>
          <w:szCs w:val="22"/>
          <w:lang w:val="sr-Latn-ME"/>
        </w:rPr>
        <w:t>, 2023</w:t>
      </w:r>
      <w:r w:rsidR="005F4FAB" w:rsidRPr="009057DB">
        <w:rPr>
          <w:sz w:val="22"/>
          <w:szCs w:val="22"/>
          <w:lang w:val="sr-Latn-ME"/>
        </w:rPr>
        <w:t xml:space="preserve"> godine</w:t>
      </w:r>
    </w:p>
    <w:sectPr w:rsidR="005801C2" w:rsidRPr="00376088" w:rsidSect="006B5404">
      <w:footerReference w:type="default" r:id="rId11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A3EE0" w14:textId="77777777" w:rsidR="00EE124E" w:rsidRDefault="00EE124E">
      <w:r>
        <w:separator/>
      </w:r>
    </w:p>
  </w:endnote>
  <w:endnote w:type="continuationSeparator" w:id="0">
    <w:p w14:paraId="3FD1DC11" w14:textId="77777777" w:rsidR="00EE124E" w:rsidRDefault="00EE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4A365" w14:textId="6C5CEBD5" w:rsidR="009104E8" w:rsidRPr="00B23F69" w:rsidRDefault="009104E8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992A56">
      <w:rPr>
        <w:noProof/>
        <w:sz w:val="22"/>
        <w:szCs w:val="22"/>
      </w:rPr>
      <w:t>14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992A56">
      <w:rPr>
        <w:noProof/>
        <w:sz w:val="22"/>
        <w:szCs w:val="22"/>
      </w:rPr>
      <w:t>16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2226B" w14:textId="77777777" w:rsidR="00EE124E" w:rsidRDefault="00EE124E">
      <w:r>
        <w:separator/>
      </w:r>
    </w:p>
  </w:footnote>
  <w:footnote w:type="continuationSeparator" w:id="0">
    <w:p w14:paraId="19F8F899" w14:textId="77777777" w:rsidR="00EE124E" w:rsidRDefault="00EE1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9663DA1"/>
    <w:multiLevelType w:val="hybridMultilevel"/>
    <w:tmpl w:val="7B8653E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7"/>
  </w:num>
  <w:num w:numId="10">
    <w:abstractNumId w:val="1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23F"/>
    <w:rsid w:val="00000528"/>
    <w:rsid w:val="00002053"/>
    <w:rsid w:val="00002351"/>
    <w:rsid w:val="00006FB3"/>
    <w:rsid w:val="00007186"/>
    <w:rsid w:val="00013BBF"/>
    <w:rsid w:val="00014438"/>
    <w:rsid w:val="00015FCA"/>
    <w:rsid w:val="000176CA"/>
    <w:rsid w:val="00017AAB"/>
    <w:rsid w:val="00020B19"/>
    <w:rsid w:val="00027364"/>
    <w:rsid w:val="000307FF"/>
    <w:rsid w:val="00030FA1"/>
    <w:rsid w:val="00032BF3"/>
    <w:rsid w:val="00032DDB"/>
    <w:rsid w:val="00033DF6"/>
    <w:rsid w:val="00036FA0"/>
    <w:rsid w:val="0003793F"/>
    <w:rsid w:val="00040266"/>
    <w:rsid w:val="000418EB"/>
    <w:rsid w:val="000451EB"/>
    <w:rsid w:val="00046F35"/>
    <w:rsid w:val="000476D7"/>
    <w:rsid w:val="00047B64"/>
    <w:rsid w:val="0005151D"/>
    <w:rsid w:val="00057E35"/>
    <w:rsid w:val="00060C81"/>
    <w:rsid w:val="000648BC"/>
    <w:rsid w:val="00066323"/>
    <w:rsid w:val="00072AFB"/>
    <w:rsid w:val="00074046"/>
    <w:rsid w:val="000745DD"/>
    <w:rsid w:val="000756EF"/>
    <w:rsid w:val="00076726"/>
    <w:rsid w:val="00080303"/>
    <w:rsid w:val="00085189"/>
    <w:rsid w:val="00092998"/>
    <w:rsid w:val="000A36E4"/>
    <w:rsid w:val="000A3F58"/>
    <w:rsid w:val="000A48DC"/>
    <w:rsid w:val="000A59AD"/>
    <w:rsid w:val="000B068A"/>
    <w:rsid w:val="000B3A69"/>
    <w:rsid w:val="000B77C2"/>
    <w:rsid w:val="000C06F8"/>
    <w:rsid w:val="000C1233"/>
    <w:rsid w:val="000C1611"/>
    <w:rsid w:val="000C6768"/>
    <w:rsid w:val="000D134C"/>
    <w:rsid w:val="000D2343"/>
    <w:rsid w:val="000D26DB"/>
    <w:rsid w:val="000D3449"/>
    <w:rsid w:val="000D425A"/>
    <w:rsid w:val="000D5346"/>
    <w:rsid w:val="000D60CC"/>
    <w:rsid w:val="000E2084"/>
    <w:rsid w:val="000E5934"/>
    <w:rsid w:val="000E68A8"/>
    <w:rsid w:val="000E6F55"/>
    <w:rsid w:val="000E72D3"/>
    <w:rsid w:val="000F0143"/>
    <w:rsid w:val="000F43D9"/>
    <w:rsid w:val="000F6EB1"/>
    <w:rsid w:val="000F71E8"/>
    <w:rsid w:val="000F77FA"/>
    <w:rsid w:val="001004E8"/>
    <w:rsid w:val="00100A46"/>
    <w:rsid w:val="00101E95"/>
    <w:rsid w:val="00102672"/>
    <w:rsid w:val="001054EA"/>
    <w:rsid w:val="00105755"/>
    <w:rsid w:val="00105B19"/>
    <w:rsid w:val="00106030"/>
    <w:rsid w:val="00107BF7"/>
    <w:rsid w:val="001161A7"/>
    <w:rsid w:val="0012225F"/>
    <w:rsid w:val="00122CA1"/>
    <w:rsid w:val="0012388C"/>
    <w:rsid w:val="001249C1"/>
    <w:rsid w:val="00126F53"/>
    <w:rsid w:val="00127A1F"/>
    <w:rsid w:val="00131E90"/>
    <w:rsid w:val="00132B64"/>
    <w:rsid w:val="00135192"/>
    <w:rsid w:val="001370F8"/>
    <w:rsid w:val="00143ED9"/>
    <w:rsid w:val="0014766D"/>
    <w:rsid w:val="0014769F"/>
    <w:rsid w:val="00147CEA"/>
    <w:rsid w:val="00152D4F"/>
    <w:rsid w:val="001536CC"/>
    <w:rsid w:val="00154620"/>
    <w:rsid w:val="00154E34"/>
    <w:rsid w:val="00157043"/>
    <w:rsid w:val="001604D1"/>
    <w:rsid w:val="001649D3"/>
    <w:rsid w:val="00181139"/>
    <w:rsid w:val="0018268F"/>
    <w:rsid w:val="001837F4"/>
    <w:rsid w:val="0018483D"/>
    <w:rsid w:val="00187077"/>
    <w:rsid w:val="00195B0A"/>
    <w:rsid w:val="001960BD"/>
    <w:rsid w:val="001972DB"/>
    <w:rsid w:val="00197C69"/>
    <w:rsid w:val="001A058F"/>
    <w:rsid w:val="001A3EE0"/>
    <w:rsid w:val="001A3FBA"/>
    <w:rsid w:val="001A5518"/>
    <w:rsid w:val="001A7A69"/>
    <w:rsid w:val="001A7B71"/>
    <w:rsid w:val="001B1C6A"/>
    <w:rsid w:val="001B3F34"/>
    <w:rsid w:val="001B4D1F"/>
    <w:rsid w:val="001B4F0A"/>
    <w:rsid w:val="001C05DB"/>
    <w:rsid w:val="001C1263"/>
    <w:rsid w:val="001C1417"/>
    <w:rsid w:val="001C215F"/>
    <w:rsid w:val="001C3073"/>
    <w:rsid w:val="001C7269"/>
    <w:rsid w:val="001D0BDB"/>
    <w:rsid w:val="001D36B1"/>
    <w:rsid w:val="001E21CC"/>
    <w:rsid w:val="001E390B"/>
    <w:rsid w:val="001E7BA0"/>
    <w:rsid w:val="001F1421"/>
    <w:rsid w:val="001F42D5"/>
    <w:rsid w:val="001F42FB"/>
    <w:rsid w:val="001F55EF"/>
    <w:rsid w:val="001F719A"/>
    <w:rsid w:val="001F7C56"/>
    <w:rsid w:val="002031B3"/>
    <w:rsid w:val="00204E44"/>
    <w:rsid w:val="00205D6D"/>
    <w:rsid w:val="00207FC2"/>
    <w:rsid w:val="0021050F"/>
    <w:rsid w:val="002152CB"/>
    <w:rsid w:val="00215931"/>
    <w:rsid w:val="002203D8"/>
    <w:rsid w:val="002208FB"/>
    <w:rsid w:val="00224C91"/>
    <w:rsid w:val="0022655B"/>
    <w:rsid w:val="00226970"/>
    <w:rsid w:val="00227BDB"/>
    <w:rsid w:val="00234CB1"/>
    <w:rsid w:val="002352F8"/>
    <w:rsid w:val="002355BE"/>
    <w:rsid w:val="002357B1"/>
    <w:rsid w:val="00246139"/>
    <w:rsid w:val="00247CB4"/>
    <w:rsid w:val="00250C09"/>
    <w:rsid w:val="002510A5"/>
    <w:rsid w:val="00251BEE"/>
    <w:rsid w:val="00254A0A"/>
    <w:rsid w:val="0026077B"/>
    <w:rsid w:val="0026576B"/>
    <w:rsid w:val="00266046"/>
    <w:rsid w:val="0026638C"/>
    <w:rsid w:val="00270642"/>
    <w:rsid w:val="00272776"/>
    <w:rsid w:val="002743FF"/>
    <w:rsid w:val="00276261"/>
    <w:rsid w:val="0027645E"/>
    <w:rsid w:val="00277549"/>
    <w:rsid w:val="002846DB"/>
    <w:rsid w:val="00284CCD"/>
    <w:rsid w:val="00284CF8"/>
    <w:rsid w:val="00284D37"/>
    <w:rsid w:val="00285828"/>
    <w:rsid w:val="00294E6C"/>
    <w:rsid w:val="002A2736"/>
    <w:rsid w:val="002A332C"/>
    <w:rsid w:val="002B1261"/>
    <w:rsid w:val="002B2CD5"/>
    <w:rsid w:val="002B45E6"/>
    <w:rsid w:val="002B60F7"/>
    <w:rsid w:val="002C1463"/>
    <w:rsid w:val="002C3355"/>
    <w:rsid w:val="002C33D4"/>
    <w:rsid w:val="002C6637"/>
    <w:rsid w:val="002C6E2E"/>
    <w:rsid w:val="002D32A0"/>
    <w:rsid w:val="002D433F"/>
    <w:rsid w:val="002D5DB7"/>
    <w:rsid w:val="002E0135"/>
    <w:rsid w:val="002E37A5"/>
    <w:rsid w:val="002E4B18"/>
    <w:rsid w:val="002F54BD"/>
    <w:rsid w:val="002F6DB8"/>
    <w:rsid w:val="00302A9E"/>
    <w:rsid w:val="00303B64"/>
    <w:rsid w:val="003041AC"/>
    <w:rsid w:val="00307A90"/>
    <w:rsid w:val="00310F03"/>
    <w:rsid w:val="003120A3"/>
    <w:rsid w:val="00312B8C"/>
    <w:rsid w:val="00314F6A"/>
    <w:rsid w:val="003176A8"/>
    <w:rsid w:val="00323CD1"/>
    <w:rsid w:val="003247D2"/>
    <w:rsid w:val="0032718D"/>
    <w:rsid w:val="00330FD7"/>
    <w:rsid w:val="00331637"/>
    <w:rsid w:val="003326CA"/>
    <w:rsid w:val="00332743"/>
    <w:rsid w:val="00332F93"/>
    <w:rsid w:val="00333532"/>
    <w:rsid w:val="00335E1E"/>
    <w:rsid w:val="0033699B"/>
    <w:rsid w:val="003403C6"/>
    <w:rsid w:val="00343168"/>
    <w:rsid w:val="003445C1"/>
    <w:rsid w:val="00346388"/>
    <w:rsid w:val="003504CA"/>
    <w:rsid w:val="00350AD3"/>
    <w:rsid w:val="00354533"/>
    <w:rsid w:val="00355B61"/>
    <w:rsid w:val="0036206E"/>
    <w:rsid w:val="00362686"/>
    <w:rsid w:val="00362970"/>
    <w:rsid w:val="003644AC"/>
    <w:rsid w:val="00366A77"/>
    <w:rsid w:val="00371150"/>
    <w:rsid w:val="00371510"/>
    <w:rsid w:val="0037282B"/>
    <w:rsid w:val="00376088"/>
    <w:rsid w:val="00377495"/>
    <w:rsid w:val="00381C80"/>
    <w:rsid w:val="003831FC"/>
    <w:rsid w:val="003849B0"/>
    <w:rsid w:val="00390448"/>
    <w:rsid w:val="00391291"/>
    <w:rsid w:val="0039329E"/>
    <w:rsid w:val="0039380B"/>
    <w:rsid w:val="00396203"/>
    <w:rsid w:val="00396DFD"/>
    <w:rsid w:val="003A11D0"/>
    <w:rsid w:val="003A15E8"/>
    <w:rsid w:val="003A2892"/>
    <w:rsid w:val="003A28F0"/>
    <w:rsid w:val="003A35C2"/>
    <w:rsid w:val="003A5283"/>
    <w:rsid w:val="003A53C0"/>
    <w:rsid w:val="003A64C1"/>
    <w:rsid w:val="003A7059"/>
    <w:rsid w:val="003B4BDC"/>
    <w:rsid w:val="003B7A36"/>
    <w:rsid w:val="003B7CCA"/>
    <w:rsid w:val="003C1479"/>
    <w:rsid w:val="003C17AB"/>
    <w:rsid w:val="003C7823"/>
    <w:rsid w:val="003C7874"/>
    <w:rsid w:val="003D1127"/>
    <w:rsid w:val="003D3631"/>
    <w:rsid w:val="003D4567"/>
    <w:rsid w:val="003E1DCC"/>
    <w:rsid w:val="003E3695"/>
    <w:rsid w:val="003E527E"/>
    <w:rsid w:val="003E6A82"/>
    <w:rsid w:val="003E7B99"/>
    <w:rsid w:val="003F11A1"/>
    <w:rsid w:val="003F5E7E"/>
    <w:rsid w:val="003F6A59"/>
    <w:rsid w:val="00400D42"/>
    <w:rsid w:val="0040292B"/>
    <w:rsid w:val="004044B8"/>
    <w:rsid w:val="00404F47"/>
    <w:rsid w:val="00404F69"/>
    <w:rsid w:val="004065C8"/>
    <w:rsid w:val="004109FA"/>
    <w:rsid w:val="00410C10"/>
    <w:rsid w:val="004116EE"/>
    <w:rsid w:val="00411B4B"/>
    <w:rsid w:val="004147AA"/>
    <w:rsid w:val="00415BEE"/>
    <w:rsid w:val="00415EC5"/>
    <w:rsid w:val="004170E2"/>
    <w:rsid w:val="004171A8"/>
    <w:rsid w:val="00420AB9"/>
    <w:rsid w:val="00422081"/>
    <w:rsid w:val="00424E79"/>
    <w:rsid w:val="00425081"/>
    <w:rsid w:val="00425626"/>
    <w:rsid w:val="00427715"/>
    <w:rsid w:val="00427F85"/>
    <w:rsid w:val="00431452"/>
    <w:rsid w:val="0043172B"/>
    <w:rsid w:val="00433D37"/>
    <w:rsid w:val="00435D30"/>
    <w:rsid w:val="00436F42"/>
    <w:rsid w:val="004378B4"/>
    <w:rsid w:val="00440E42"/>
    <w:rsid w:val="004420EB"/>
    <w:rsid w:val="0044227A"/>
    <w:rsid w:val="00451314"/>
    <w:rsid w:val="00452E9D"/>
    <w:rsid w:val="004534C7"/>
    <w:rsid w:val="004571DB"/>
    <w:rsid w:val="00462BFA"/>
    <w:rsid w:val="00464CA8"/>
    <w:rsid w:val="00466CDE"/>
    <w:rsid w:val="00467092"/>
    <w:rsid w:val="004671AA"/>
    <w:rsid w:val="004705CC"/>
    <w:rsid w:val="00471074"/>
    <w:rsid w:val="00480FB1"/>
    <w:rsid w:val="00483928"/>
    <w:rsid w:val="0048452B"/>
    <w:rsid w:val="00485DB5"/>
    <w:rsid w:val="00486DDB"/>
    <w:rsid w:val="00487516"/>
    <w:rsid w:val="0049135E"/>
    <w:rsid w:val="00491848"/>
    <w:rsid w:val="004933C2"/>
    <w:rsid w:val="004A0075"/>
    <w:rsid w:val="004A09CC"/>
    <w:rsid w:val="004A3EDA"/>
    <w:rsid w:val="004A5EC0"/>
    <w:rsid w:val="004B19CF"/>
    <w:rsid w:val="004B7278"/>
    <w:rsid w:val="004C331F"/>
    <w:rsid w:val="004C3A87"/>
    <w:rsid w:val="004C4756"/>
    <w:rsid w:val="004C548B"/>
    <w:rsid w:val="004C64F9"/>
    <w:rsid w:val="004C7206"/>
    <w:rsid w:val="004D1921"/>
    <w:rsid w:val="004D482A"/>
    <w:rsid w:val="004D562C"/>
    <w:rsid w:val="004D6103"/>
    <w:rsid w:val="004D74BE"/>
    <w:rsid w:val="004E06EC"/>
    <w:rsid w:val="004E3351"/>
    <w:rsid w:val="004E3BCE"/>
    <w:rsid w:val="004E515E"/>
    <w:rsid w:val="004E6AB3"/>
    <w:rsid w:val="004E70AD"/>
    <w:rsid w:val="004E7A8F"/>
    <w:rsid w:val="004F0E97"/>
    <w:rsid w:val="00501DD1"/>
    <w:rsid w:val="00501F81"/>
    <w:rsid w:val="0050560E"/>
    <w:rsid w:val="005076C0"/>
    <w:rsid w:val="00507E03"/>
    <w:rsid w:val="005126EB"/>
    <w:rsid w:val="00514EA2"/>
    <w:rsid w:val="00515C21"/>
    <w:rsid w:val="00521FB7"/>
    <w:rsid w:val="00526C3A"/>
    <w:rsid w:val="00530BD7"/>
    <w:rsid w:val="0053305E"/>
    <w:rsid w:val="0053313C"/>
    <w:rsid w:val="0054054A"/>
    <w:rsid w:val="00542077"/>
    <w:rsid w:val="005422AC"/>
    <w:rsid w:val="005453D5"/>
    <w:rsid w:val="00545CD2"/>
    <w:rsid w:val="005476F3"/>
    <w:rsid w:val="00553568"/>
    <w:rsid w:val="00553975"/>
    <w:rsid w:val="00554807"/>
    <w:rsid w:val="00554939"/>
    <w:rsid w:val="00554E53"/>
    <w:rsid w:val="00557186"/>
    <w:rsid w:val="005616AA"/>
    <w:rsid w:val="005618BD"/>
    <w:rsid w:val="00563181"/>
    <w:rsid w:val="005638B9"/>
    <w:rsid w:val="00564E44"/>
    <w:rsid w:val="00565B50"/>
    <w:rsid w:val="00566A6F"/>
    <w:rsid w:val="00567624"/>
    <w:rsid w:val="00570358"/>
    <w:rsid w:val="00572527"/>
    <w:rsid w:val="005733D9"/>
    <w:rsid w:val="00573E40"/>
    <w:rsid w:val="0057414C"/>
    <w:rsid w:val="00576348"/>
    <w:rsid w:val="0057769D"/>
    <w:rsid w:val="00577D3B"/>
    <w:rsid w:val="005801C2"/>
    <w:rsid w:val="00580D5B"/>
    <w:rsid w:val="00583889"/>
    <w:rsid w:val="0058505A"/>
    <w:rsid w:val="005876E8"/>
    <w:rsid w:val="00591908"/>
    <w:rsid w:val="005A0B2E"/>
    <w:rsid w:val="005A1B78"/>
    <w:rsid w:val="005A219E"/>
    <w:rsid w:val="005A23D2"/>
    <w:rsid w:val="005A36CB"/>
    <w:rsid w:val="005A442A"/>
    <w:rsid w:val="005A620C"/>
    <w:rsid w:val="005B4670"/>
    <w:rsid w:val="005B49B8"/>
    <w:rsid w:val="005B57A0"/>
    <w:rsid w:val="005C0741"/>
    <w:rsid w:val="005C0ABD"/>
    <w:rsid w:val="005C0EE6"/>
    <w:rsid w:val="005C3BC9"/>
    <w:rsid w:val="005C5EF4"/>
    <w:rsid w:val="005C5F5C"/>
    <w:rsid w:val="005C7D33"/>
    <w:rsid w:val="005D020C"/>
    <w:rsid w:val="005D23DD"/>
    <w:rsid w:val="005D36D3"/>
    <w:rsid w:val="005D3AE3"/>
    <w:rsid w:val="005D6E45"/>
    <w:rsid w:val="005E2E0B"/>
    <w:rsid w:val="005E43DA"/>
    <w:rsid w:val="005E44A4"/>
    <w:rsid w:val="005E6AA7"/>
    <w:rsid w:val="005E7A7D"/>
    <w:rsid w:val="005F0B7B"/>
    <w:rsid w:val="005F2E5E"/>
    <w:rsid w:val="005F3533"/>
    <w:rsid w:val="005F4FAB"/>
    <w:rsid w:val="005F6EC2"/>
    <w:rsid w:val="0060028A"/>
    <w:rsid w:val="00600A95"/>
    <w:rsid w:val="00601D8D"/>
    <w:rsid w:val="00602457"/>
    <w:rsid w:val="00607CEE"/>
    <w:rsid w:val="006206F9"/>
    <w:rsid w:val="00620C3E"/>
    <w:rsid w:val="00626359"/>
    <w:rsid w:val="006308E7"/>
    <w:rsid w:val="006313DD"/>
    <w:rsid w:val="00632877"/>
    <w:rsid w:val="00632B9A"/>
    <w:rsid w:val="00634699"/>
    <w:rsid w:val="006359FF"/>
    <w:rsid w:val="006360BB"/>
    <w:rsid w:val="00644FC3"/>
    <w:rsid w:val="00646789"/>
    <w:rsid w:val="00646BD1"/>
    <w:rsid w:val="00651700"/>
    <w:rsid w:val="00651A26"/>
    <w:rsid w:val="00651E2F"/>
    <w:rsid w:val="006524FA"/>
    <w:rsid w:val="0065615F"/>
    <w:rsid w:val="006561C2"/>
    <w:rsid w:val="006561CD"/>
    <w:rsid w:val="00661B94"/>
    <w:rsid w:val="00663A7F"/>
    <w:rsid w:val="00665EC8"/>
    <w:rsid w:val="0067096B"/>
    <w:rsid w:val="00671CB3"/>
    <w:rsid w:val="00674BAF"/>
    <w:rsid w:val="00677EC2"/>
    <w:rsid w:val="006804E0"/>
    <w:rsid w:val="00681DEC"/>
    <w:rsid w:val="00682200"/>
    <w:rsid w:val="00684250"/>
    <w:rsid w:val="00686BFB"/>
    <w:rsid w:val="0069044E"/>
    <w:rsid w:val="00692BF6"/>
    <w:rsid w:val="006959F9"/>
    <w:rsid w:val="00695D7A"/>
    <w:rsid w:val="00696B6D"/>
    <w:rsid w:val="006A0229"/>
    <w:rsid w:val="006A1497"/>
    <w:rsid w:val="006A257B"/>
    <w:rsid w:val="006A35EE"/>
    <w:rsid w:val="006A378E"/>
    <w:rsid w:val="006A4259"/>
    <w:rsid w:val="006B0BD1"/>
    <w:rsid w:val="006B1507"/>
    <w:rsid w:val="006B1C24"/>
    <w:rsid w:val="006B4D7D"/>
    <w:rsid w:val="006B4EFE"/>
    <w:rsid w:val="006B5404"/>
    <w:rsid w:val="006B7989"/>
    <w:rsid w:val="006C2F72"/>
    <w:rsid w:val="006C3634"/>
    <w:rsid w:val="006C45AC"/>
    <w:rsid w:val="006D20A5"/>
    <w:rsid w:val="006D274B"/>
    <w:rsid w:val="006D37BF"/>
    <w:rsid w:val="006D4BA0"/>
    <w:rsid w:val="006E320A"/>
    <w:rsid w:val="006E4A05"/>
    <w:rsid w:val="006F1934"/>
    <w:rsid w:val="006F1987"/>
    <w:rsid w:val="006F25E7"/>
    <w:rsid w:val="006F5004"/>
    <w:rsid w:val="006F51C5"/>
    <w:rsid w:val="006F7832"/>
    <w:rsid w:val="00700CD9"/>
    <w:rsid w:val="00702E22"/>
    <w:rsid w:val="0070556A"/>
    <w:rsid w:val="00711CCB"/>
    <w:rsid w:val="007121A4"/>
    <w:rsid w:val="00720179"/>
    <w:rsid w:val="0072020E"/>
    <w:rsid w:val="00727F82"/>
    <w:rsid w:val="00730368"/>
    <w:rsid w:val="007304BC"/>
    <w:rsid w:val="00731951"/>
    <w:rsid w:val="0073320C"/>
    <w:rsid w:val="00735C56"/>
    <w:rsid w:val="007438F5"/>
    <w:rsid w:val="00744C6F"/>
    <w:rsid w:val="00745117"/>
    <w:rsid w:val="00751279"/>
    <w:rsid w:val="0075202F"/>
    <w:rsid w:val="00752219"/>
    <w:rsid w:val="00752A2F"/>
    <w:rsid w:val="00753041"/>
    <w:rsid w:val="00755EA4"/>
    <w:rsid w:val="007567B2"/>
    <w:rsid w:val="007613B6"/>
    <w:rsid w:val="0076158A"/>
    <w:rsid w:val="00763D22"/>
    <w:rsid w:val="007642DD"/>
    <w:rsid w:val="007660C9"/>
    <w:rsid w:val="00766CC8"/>
    <w:rsid w:val="00774C09"/>
    <w:rsid w:val="00777377"/>
    <w:rsid w:val="0078089C"/>
    <w:rsid w:val="007809DF"/>
    <w:rsid w:val="007831AA"/>
    <w:rsid w:val="00786071"/>
    <w:rsid w:val="007862E2"/>
    <w:rsid w:val="0078682A"/>
    <w:rsid w:val="00791403"/>
    <w:rsid w:val="00792D8F"/>
    <w:rsid w:val="00794BFC"/>
    <w:rsid w:val="00797D0A"/>
    <w:rsid w:val="007A1694"/>
    <w:rsid w:val="007A1DDF"/>
    <w:rsid w:val="007A3ECB"/>
    <w:rsid w:val="007A496C"/>
    <w:rsid w:val="007A49D4"/>
    <w:rsid w:val="007A4B31"/>
    <w:rsid w:val="007A4B4A"/>
    <w:rsid w:val="007A6DEC"/>
    <w:rsid w:val="007B0532"/>
    <w:rsid w:val="007B21CE"/>
    <w:rsid w:val="007B2C42"/>
    <w:rsid w:val="007B50EE"/>
    <w:rsid w:val="007B67C7"/>
    <w:rsid w:val="007C1429"/>
    <w:rsid w:val="007C47A5"/>
    <w:rsid w:val="007C6A2E"/>
    <w:rsid w:val="007C6E1A"/>
    <w:rsid w:val="007C77A1"/>
    <w:rsid w:val="007D24CC"/>
    <w:rsid w:val="007D269F"/>
    <w:rsid w:val="007D3276"/>
    <w:rsid w:val="007D7BB3"/>
    <w:rsid w:val="007E5DA9"/>
    <w:rsid w:val="007E63B5"/>
    <w:rsid w:val="007F1EBF"/>
    <w:rsid w:val="007F32E2"/>
    <w:rsid w:val="007F49C7"/>
    <w:rsid w:val="007F7E7D"/>
    <w:rsid w:val="00804699"/>
    <w:rsid w:val="00807224"/>
    <w:rsid w:val="008079DF"/>
    <w:rsid w:val="008107B3"/>
    <w:rsid w:val="008234CE"/>
    <w:rsid w:val="00823E0C"/>
    <w:rsid w:val="00824AB9"/>
    <w:rsid w:val="00825578"/>
    <w:rsid w:val="008261BD"/>
    <w:rsid w:val="0083074E"/>
    <w:rsid w:val="0083575D"/>
    <w:rsid w:val="00836B35"/>
    <w:rsid w:val="00840B77"/>
    <w:rsid w:val="0084222E"/>
    <w:rsid w:val="00843BDE"/>
    <w:rsid w:val="008448EC"/>
    <w:rsid w:val="008453ED"/>
    <w:rsid w:val="008455BE"/>
    <w:rsid w:val="00846532"/>
    <w:rsid w:val="00847EA9"/>
    <w:rsid w:val="00851BB3"/>
    <w:rsid w:val="008534E7"/>
    <w:rsid w:val="008537DD"/>
    <w:rsid w:val="00855127"/>
    <w:rsid w:val="008627D4"/>
    <w:rsid w:val="00863F38"/>
    <w:rsid w:val="00865B8F"/>
    <w:rsid w:val="00866778"/>
    <w:rsid w:val="00867F23"/>
    <w:rsid w:val="00871C03"/>
    <w:rsid w:val="008731AB"/>
    <w:rsid w:val="0087588C"/>
    <w:rsid w:val="0088341B"/>
    <w:rsid w:val="00883ADA"/>
    <w:rsid w:val="008845BB"/>
    <w:rsid w:val="00885933"/>
    <w:rsid w:val="00886292"/>
    <w:rsid w:val="008915FD"/>
    <w:rsid w:val="008951DC"/>
    <w:rsid w:val="0089705C"/>
    <w:rsid w:val="008A0D31"/>
    <w:rsid w:val="008A2051"/>
    <w:rsid w:val="008A2173"/>
    <w:rsid w:val="008A47B1"/>
    <w:rsid w:val="008A53EB"/>
    <w:rsid w:val="008A6D43"/>
    <w:rsid w:val="008B491E"/>
    <w:rsid w:val="008B65BB"/>
    <w:rsid w:val="008C16F4"/>
    <w:rsid w:val="008C1A28"/>
    <w:rsid w:val="008C21CA"/>
    <w:rsid w:val="008C2E98"/>
    <w:rsid w:val="008C3A74"/>
    <w:rsid w:val="008D0A20"/>
    <w:rsid w:val="008D1961"/>
    <w:rsid w:val="008D3671"/>
    <w:rsid w:val="008E1860"/>
    <w:rsid w:val="008E49BD"/>
    <w:rsid w:val="008E53E9"/>
    <w:rsid w:val="008E5771"/>
    <w:rsid w:val="008F0687"/>
    <w:rsid w:val="008F2DD2"/>
    <w:rsid w:val="008F32FA"/>
    <w:rsid w:val="008F4ACF"/>
    <w:rsid w:val="008F515C"/>
    <w:rsid w:val="008F6379"/>
    <w:rsid w:val="008F7DC2"/>
    <w:rsid w:val="00900084"/>
    <w:rsid w:val="009057DB"/>
    <w:rsid w:val="009104E8"/>
    <w:rsid w:val="00912903"/>
    <w:rsid w:val="00913479"/>
    <w:rsid w:val="00916EE3"/>
    <w:rsid w:val="00917695"/>
    <w:rsid w:val="00924166"/>
    <w:rsid w:val="00924DFF"/>
    <w:rsid w:val="009253F9"/>
    <w:rsid w:val="00926D81"/>
    <w:rsid w:val="009406AF"/>
    <w:rsid w:val="00940B9B"/>
    <w:rsid w:val="00942A0F"/>
    <w:rsid w:val="00942C35"/>
    <w:rsid w:val="00944399"/>
    <w:rsid w:val="00944692"/>
    <w:rsid w:val="00946C00"/>
    <w:rsid w:val="009479F4"/>
    <w:rsid w:val="0095022A"/>
    <w:rsid w:val="00954393"/>
    <w:rsid w:val="00955F8B"/>
    <w:rsid w:val="0095676E"/>
    <w:rsid w:val="0095693B"/>
    <w:rsid w:val="00956983"/>
    <w:rsid w:val="009576ED"/>
    <w:rsid w:val="00963CF0"/>
    <w:rsid w:val="00964AC4"/>
    <w:rsid w:val="00964BB1"/>
    <w:rsid w:val="009711E4"/>
    <w:rsid w:val="009717BF"/>
    <w:rsid w:val="009727D3"/>
    <w:rsid w:val="009728F0"/>
    <w:rsid w:val="00973DB2"/>
    <w:rsid w:val="0097442B"/>
    <w:rsid w:val="009775D9"/>
    <w:rsid w:val="00991309"/>
    <w:rsid w:val="00992A56"/>
    <w:rsid w:val="00997175"/>
    <w:rsid w:val="009A08D3"/>
    <w:rsid w:val="009A1847"/>
    <w:rsid w:val="009A4AC3"/>
    <w:rsid w:val="009A4D0F"/>
    <w:rsid w:val="009A54BB"/>
    <w:rsid w:val="009A5B51"/>
    <w:rsid w:val="009A7FFB"/>
    <w:rsid w:val="009B062A"/>
    <w:rsid w:val="009B30DE"/>
    <w:rsid w:val="009B4852"/>
    <w:rsid w:val="009B6325"/>
    <w:rsid w:val="009C1AF0"/>
    <w:rsid w:val="009C32CA"/>
    <w:rsid w:val="009C3DAF"/>
    <w:rsid w:val="009D019A"/>
    <w:rsid w:val="009D02E9"/>
    <w:rsid w:val="009D2FFF"/>
    <w:rsid w:val="009E18CE"/>
    <w:rsid w:val="009E7C6F"/>
    <w:rsid w:val="009F1793"/>
    <w:rsid w:val="009F2D23"/>
    <w:rsid w:val="009F4503"/>
    <w:rsid w:val="009F61F3"/>
    <w:rsid w:val="009F6564"/>
    <w:rsid w:val="009F6A6E"/>
    <w:rsid w:val="009F7A4D"/>
    <w:rsid w:val="00A0075F"/>
    <w:rsid w:val="00A01D69"/>
    <w:rsid w:val="00A02335"/>
    <w:rsid w:val="00A0347B"/>
    <w:rsid w:val="00A0386A"/>
    <w:rsid w:val="00A0680E"/>
    <w:rsid w:val="00A11E47"/>
    <w:rsid w:val="00A21A64"/>
    <w:rsid w:val="00A224D1"/>
    <w:rsid w:val="00A2585A"/>
    <w:rsid w:val="00A262E5"/>
    <w:rsid w:val="00A27C8E"/>
    <w:rsid w:val="00A315DC"/>
    <w:rsid w:val="00A325D7"/>
    <w:rsid w:val="00A347A8"/>
    <w:rsid w:val="00A352D5"/>
    <w:rsid w:val="00A3624E"/>
    <w:rsid w:val="00A4050F"/>
    <w:rsid w:val="00A43C70"/>
    <w:rsid w:val="00A454FC"/>
    <w:rsid w:val="00A46C9A"/>
    <w:rsid w:val="00A46D02"/>
    <w:rsid w:val="00A47E55"/>
    <w:rsid w:val="00A50C36"/>
    <w:rsid w:val="00A53C39"/>
    <w:rsid w:val="00A56FA4"/>
    <w:rsid w:val="00A60699"/>
    <w:rsid w:val="00A618EA"/>
    <w:rsid w:val="00A619F3"/>
    <w:rsid w:val="00A6230B"/>
    <w:rsid w:val="00A62A73"/>
    <w:rsid w:val="00A62CBE"/>
    <w:rsid w:val="00A6525B"/>
    <w:rsid w:val="00A710DD"/>
    <w:rsid w:val="00A710E9"/>
    <w:rsid w:val="00A7243E"/>
    <w:rsid w:val="00A73123"/>
    <w:rsid w:val="00A76F8D"/>
    <w:rsid w:val="00A80A45"/>
    <w:rsid w:val="00A82BAD"/>
    <w:rsid w:val="00A832FD"/>
    <w:rsid w:val="00A834EA"/>
    <w:rsid w:val="00A86540"/>
    <w:rsid w:val="00A87FF6"/>
    <w:rsid w:val="00A95DCF"/>
    <w:rsid w:val="00AA0A3B"/>
    <w:rsid w:val="00AA2763"/>
    <w:rsid w:val="00AA33B6"/>
    <w:rsid w:val="00AA7FB7"/>
    <w:rsid w:val="00AB323B"/>
    <w:rsid w:val="00AB4354"/>
    <w:rsid w:val="00AB4AC1"/>
    <w:rsid w:val="00AB50CA"/>
    <w:rsid w:val="00AB6D64"/>
    <w:rsid w:val="00AC0642"/>
    <w:rsid w:val="00AC2C3D"/>
    <w:rsid w:val="00AC3501"/>
    <w:rsid w:val="00AC3868"/>
    <w:rsid w:val="00AC3CC6"/>
    <w:rsid w:val="00AC42FD"/>
    <w:rsid w:val="00AC53CE"/>
    <w:rsid w:val="00AC6CC0"/>
    <w:rsid w:val="00AD1CAA"/>
    <w:rsid w:val="00AD2193"/>
    <w:rsid w:val="00AD5E77"/>
    <w:rsid w:val="00AE2982"/>
    <w:rsid w:val="00AE3157"/>
    <w:rsid w:val="00AE33D9"/>
    <w:rsid w:val="00AE543F"/>
    <w:rsid w:val="00AF1875"/>
    <w:rsid w:val="00AF2AC7"/>
    <w:rsid w:val="00AF4B8D"/>
    <w:rsid w:val="00AF639D"/>
    <w:rsid w:val="00AF6E6B"/>
    <w:rsid w:val="00AF74CE"/>
    <w:rsid w:val="00AF7979"/>
    <w:rsid w:val="00AF7F2A"/>
    <w:rsid w:val="00B00955"/>
    <w:rsid w:val="00B00AF6"/>
    <w:rsid w:val="00B00C52"/>
    <w:rsid w:val="00B01A04"/>
    <w:rsid w:val="00B02858"/>
    <w:rsid w:val="00B0632E"/>
    <w:rsid w:val="00B12D13"/>
    <w:rsid w:val="00B15989"/>
    <w:rsid w:val="00B174D2"/>
    <w:rsid w:val="00B205E2"/>
    <w:rsid w:val="00B208DB"/>
    <w:rsid w:val="00B22E7F"/>
    <w:rsid w:val="00B231B6"/>
    <w:rsid w:val="00B23F69"/>
    <w:rsid w:val="00B26B3D"/>
    <w:rsid w:val="00B3338C"/>
    <w:rsid w:val="00B33817"/>
    <w:rsid w:val="00B40D03"/>
    <w:rsid w:val="00B4175B"/>
    <w:rsid w:val="00B41851"/>
    <w:rsid w:val="00B42CFC"/>
    <w:rsid w:val="00B43A1E"/>
    <w:rsid w:val="00B449A8"/>
    <w:rsid w:val="00B44B15"/>
    <w:rsid w:val="00B451E8"/>
    <w:rsid w:val="00B47398"/>
    <w:rsid w:val="00B476FF"/>
    <w:rsid w:val="00B56178"/>
    <w:rsid w:val="00B57B45"/>
    <w:rsid w:val="00B57C80"/>
    <w:rsid w:val="00B60619"/>
    <w:rsid w:val="00B616AA"/>
    <w:rsid w:val="00B639E1"/>
    <w:rsid w:val="00B64865"/>
    <w:rsid w:val="00B6625A"/>
    <w:rsid w:val="00B66A70"/>
    <w:rsid w:val="00B67366"/>
    <w:rsid w:val="00B709CC"/>
    <w:rsid w:val="00B75C46"/>
    <w:rsid w:val="00B7764C"/>
    <w:rsid w:val="00B77871"/>
    <w:rsid w:val="00B80EE1"/>
    <w:rsid w:val="00B81AE4"/>
    <w:rsid w:val="00B82DDE"/>
    <w:rsid w:val="00B84135"/>
    <w:rsid w:val="00B8415C"/>
    <w:rsid w:val="00B8426A"/>
    <w:rsid w:val="00B86048"/>
    <w:rsid w:val="00B86F19"/>
    <w:rsid w:val="00B873EC"/>
    <w:rsid w:val="00B92799"/>
    <w:rsid w:val="00B94722"/>
    <w:rsid w:val="00B97D8A"/>
    <w:rsid w:val="00BA3253"/>
    <w:rsid w:val="00BA3824"/>
    <w:rsid w:val="00BA4022"/>
    <w:rsid w:val="00BA459E"/>
    <w:rsid w:val="00BA4B48"/>
    <w:rsid w:val="00BB1486"/>
    <w:rsid w:val="00BB1DCA"/>
    <w:rsid w:val="00BB2609"/>
    <w:rsid w:val="00BB5A49"/>
    <w:rsid w:val="00BC12B2"/>
    <w:rsid w:val="00BC3BA8"/>
    <w:rsid w:val="00BC4EC9"/>
    <w:rsid w:val="00BC61CF"/>
    <w:rsid w:val="00BC6521"/>
    <w:rsid w:val="00BC7973"/>
    <w:rsid w:val="00BC7A42"/>
    <w:rsid w:val="00BC7EB3"/>
    <w:rsid w:val="00BD1A0E"/>
    <w:rsid w:val="00BD4A88"/>
    <w:rsid w:val="00BD6182"/>
    <w:rsid w:val="00BD6DD7"/>
    <w:rsid w:val="00BD72DE"/>
    <w:rsid w:val="00BE5C9B"/>
    <w:rsid w:val="00BE75DE"/>
    <w:rsid w:val="00BF072E"/>
    <w:rsid w:val="00BF2165"/>
    <w:rsid w:val="00C01237"/>
    <w:rsid w:val="00C04D34"/>
    <w:rsid w:val="00C04EDA"/>
    <w:rsid w:val="00C05DF8"/>
    <w:rsid w:val="00C06864"/>
    <w:rsid w:val="00C06EF9"/>
    <w:rsid w:val="00C10F54"/>
    <w:rsid w:val="00C1123D"/>
    <w:rsid w:val="00C20277"/>
    <w:rsid w:val="00C22BDE"/>
    <w:rsid w:val="00C23D8D"/>
    <w:rsid w:val="00C24F17"/>
    <w:rsid w:val="00C30A55"/>
    <w:rsid w:val="00C30F65"/>
    <w:rsid w:val="00C313C3"/>
    <w:rsid w:val="00C321EB"/>
    <w:rsid w:val="00C36C8E"/>
    <w:rsid w:val="00C37AA3"/>
    <w:rsid w:val="00C37FD7"/>
    <w:rsid w:val="00C41EC2"/>
    <w:rsid w:val="00C43419"/>
    <w:rsid w:val="00C44CF3"/>
    <w:rsid w:val="00C47A40"/>
    <w:rsid w:val="00C523E6"/>
    <w:rsid w:val="00C564C3"/>
    <w:rsid w:val="00C60A75"/>
    <w:rsid w:val="00C61BE0"/>
    <w:rsid w:val="00C62A87"/>
    <w:rsid w:val="00C63A09"/>
    <w:rsid w:val="00C63E82"/>
    <w:rsid w:val="00C6707E"/>
    <w:rsid w:val="00C70B0E"/>
    <w:rsid w:val="00C715DD"/>
    <w:rsid w:val="00C72D88"/>
    <w:rsid w:val="00C73E71"/>
    <w:rsid w:val="00C743E5"/>
    <w:rsid w:val="00C75471"/>
    <w:rsid w:val="00C759A5"/>
    <w:rsid w:val="00C76A79"/>
    <w:rsid w:val="00C773CA"/>
    <w:rsid w:val="00C8271A"/>
    <w:rsid w:val="00C83785"/>
    <w:rsid w:val="00C9022B"/>
    <w:rsid w:val="00C91843"/>
    <w:rsid w:val="00C9370F"/>
    <w:rsid w:val="00C9378A"/>
    <w:rsid w:val="00C940DA"/>
    <w:rsid w:val="00C94C0D"/>
    <w:rsid w:val="00CA1FEB"/>
    <w:rsid w:val="00CA398F"/>
    <w:rsid w:val="00CA5867"/>
    <w:rsid w:val="00CB1F02"/>
    <w:rsid w:val="00CB612B"/>
    <w:rsid w:val="00CC14F8"/>
    <w:rsid w:val="00CC4268"/>
    <w:rsid w:val="00CC4B8B"/>
    <w:rsid w:val="00CD4F85"/>
    <w:rsid w:val="00CD6F02"/>
    <w:rsid w:val="00CE0A2E"/>
    <w:rsid w:val="00CE230C"/>
    <w:rsid w:val="00CE246D"/>
    <w:rsid w:val="00CE4000"/>
    <w:rsid w:val="00CE4407"/>
    <w:rsid w:val="00CE4C5B"/>
    <w:rsid w:val="00CE7998"/>
    <w:rsid w:val="00CF07A0"/>
    <w:rsid w:val="00CF1F73"/>
    <w:rsid w:val="00CF3E03"/>
    <w:rsid w:val="00CF62AC"/>
    <w:rsid w:val="00D000F3"/>
    <w:rsid w:val="00D0082A"/>
    <w:rsid w:val="00D04CAD"/>
    <w:rsid w:val="00D06012"/>
    <w:rsid w:val="00D1204D"/>
    <w:rsid w:val="00D143BB"/>
    <w:rsid w:val="00D17F15"/>
    <w:rsid w:val="00D21455"/>
    <w:rsid w:val="00D3147A"/>
    <w:rsid w:val="00D326A3"/>
    <w:rsid w:val="00D356CC"/>
    <w:rsid w:val="00D36A33"/>
    <w:rsid w:val="00D43288"/>
    <w:rsid w:val="00D44222"/>
    <w:rsid w:val="00D47634"/>
    <w:rsid w:val="00D50B60"/>
    <w:rsid w:val="00D516F0"/>
    <w:rsid w:val="00D5369E"/>
    <w:rsid w:val="00D54D49"/>
    <w:rsid w:val="00D567FE"/>
    <w:rsid w:val="00D57144"/>
    <w:rsid w:val="00D57C1F"/>
    <w:rsid w:val="00D62F68"/>
    <w:rsid w:val="00D6409C"/>
    <w:rsid w:val="00D64D47"/>
    <w:rsid w:val="00D651E6"/>
    <w:rsid w:val="00D664C0"/>
    <w:rsid w:val="00D709B3"/>
    <w:rsid w:val="00D71E47"/>
    <w:rsid w:val="00D72150"/>
    <w:rsid w:val="00D73CEE"/>
    <w:rsid w:val="00D75AA1"/>
    <w:rsid w:val="00D84E84"/>
    <w:rsid w:val="00D852AF"/>
    <w:rsid w:val="00D85C4D"/>
    <w:rsid w:val="00D92C7C"/>
    <w:rsid w:val="00D934DE"/>
    <w:rsid w:val="00D97368"/>
    <w:rsid w:val="00DA01BC"/>
    <w:rsid w:val="00DA1E6E"/>
    <w:rsid w:val="00DA2ED6"/>
    <w:rsid w:val="00DA49E9"/>
    <w:rsid w:val="00DA5626"/>
    <w:rsid w:val="00DA57D5"/>
    <w:rsid w:val="00DB2926"/>
    <w:rsid w:val="00DB389B"/>
    <w:rsid w:val="00DB548A"/>
    <w:rsid w:val="00DB659C"/>
    <w:rsid w:val="00DB6E50"/>
    <w:rsid w:val="00DB76B8"/>
    <w:rsid w:val="00DB76D7"/>
    <w:rsid w:val="00DC2EA1"/>
    <w:rsid w:val="00DD0B18"/>
    <w:rsid w:val="00DD5C9A"/>
    <w:rsid w:val="00DD6AAF"/>
    <w:rsid w:val="00DE277A"/>
    <w:rsid w:val="00DE3F5C"/>
    <w:rsid w:val="00DF1D20"/>
    <w:rsid w:val="00E0503C"/>
    <w:rsid w:val="00E0597A"/>
    <w:rsid w:val="00E06713"/>
    <w:rsid w:val="00E0734F"/>
    <w:rsid w:val="00E10C24"/>
    <w:rsid w:val="00E134FB"/>
    <w:rsid w:val="00E14058"/>
    <w:rsid w:val="00E15A5E"/>
    <w:rsid w:val="00E15F50"/>
    <w:rsid w:val="00E16357"/>
    <w:rsid w:val="00E16C16"/>
    <w:rsid w:val="00E16D63"/>
    <w:rsid w:val="00E21324"/>
    <w:rsid w:val="00E215F4"/>
    <w:rsid w:val="00E231CF"/>
    <w:rsid w:val="00E23C10"/>
    <w:rsid w:val="00E246B9"/>
    <w:rsid w:val="00E2485A"/>
    <w:rsid w:val="00E276D8"/>
    <w:rsid w:val="00E277CE"/>
    <w:rsid w:val="00E27F00"/>
    <w:rsid w:val="00E31088"/>
    <w:rsid w:val="00E31FEA"/>
    <w:rsid w:val="00E327B1"/>
    <w:rsid w:val="00E350ED"/>
    <w:rsid w:val="00E36B28"/>
    <w:rsid w:val="00E37005"/>
    <w:rsid w:val="00E4021B"/>
    <w:rsid w:val="00E41576"/>
    <w:rsid w:val="00E42D9C"/>
    <w:rsid w:val="00E45169"/>
    <w:rsid w:val="00E45E97"/>
    <w:rsid w:val="00E47787"/>
    <w:rsid w:val="00E47C9A"/>
    <w:rsid w:val="00E51C30"/>
    <w:rsid w:val="00E55383"/>
    <w:rsid w:val="00E618A4"/>
    <w:rsid w:val="00E64180"/>
    <w:rsid w:val="00E64EED"/>
    <w:rsid w:val="00E6760D"/>
    <w:rsid w:val="00E7118D"/>
    <w:rsid w:val="00E71E43"/>
    <w:rsid w:val="00E74AEE"/>
    <w:rsid w:val="00E75C6A"/>
    <w:rsid w:val="00E75F08"/>
    <w:rsid w:val="00E77860"/>
    <w:rsid w:val="00E8048F"/>
    <w:rsid w:val="00E82520"/>
    <w:rsid w:val="00E82FDF"/>
    <w:rsid w:val="00E868E5"/>
    <w:rsid w:val="00E902BA"/>
    <w:rsid w:val="00E91E78"/>
    <w:rsid w:val="00E9237A"/>
    <w:rsid w:val="00E939FA"/>
    <w:rsid w:val="00E95103"/>
    <w:rsid w:val="00E956C8"/>
    <w:rsid w:val="00EA1831"/>
    <w:rsid w:val="00EA24CD"/>
    <w:rsid w:val="00EA5129"/>
    <w:rsid w:val="00EA555C"/>
    <w:rsid w:val="00EA5765"/>
    <w:rsid w:val="00EA7856"/>
    <w:rsid w:val="00EB3DD0"/>
    <w:rsid w:val="00EB4473"/>
    <w:rsid w:val="00EB4BD9"/>
    <w:rsid w:val="00EC092F"/>
    <w:rsid w:val="00EC10F8"/>
    <w:rsid w:val="00EC2532"/>
    <w:rsid w:val="00EC30BA"/>
    <w:rsid w:val="00EC479A"/>
    <w:rsid w:val="00EC5098"/>
    <w:rsid w:val="00ED1E08"/>
    <w:rsid w:val="00ED2581"/>
    <w:rsid w:val="00ED37B5"/>
    <w:rsid w:val="00ED7812"/>
    <w:rsid w:val="00EE124E"/>
    <w:rsid w:val="00EE329C"/>
    <w:rsid w:val="00EE39CC"/>
    <w:rsid w:val="00EE4784"/>
    <w:rsid w:val="00EE6D04"/>
    <w:rsid w:val="00EE7597"/>
    <w:rsid w:val="00EF0181"/>
    <w:rsid w:val="00EF0783"/>
    <w:rsid w:val="00EF1E44"/>
    <w:rsid w:val="00EF2FE8"/>
    <w:rsid w:val="00EF3B86"/>
    <w:rsid w:val="00EF3FA2"/>
    <w:rsid w:val="00EF5CBA"/>
    <w:rsid w:val="00F04FE5"/>
    <w:rsid w:val="00F06D0F"/>
    <w:rsid w:val="00F0759D"/>
    <w:rsid w:val="00F16ADF"/>
    <w:rsid w:val="00F317E9"/>
    <w:rsid w:val="00F31CB2"/>
    <w:rsid w:val="00F32966"/>
    <w:rsid w:val="00F33A00"/>
    <w:rsid w:val="00F34554"/>
    <w:rsid w:val="00F4079D"/>
    <w:rsid w:val="00F40D59"/>
    <w:rsid w:val="00F44714"/>
    <w:rsid w:val="00F45F77"/>
    <w:rsid w:val="00F470B7"/>
    <w:rsid w:val="00F5167F"/>
    <w:rsid w:val="00F51921"/>
    <w:rsid w:val="00F52258"/>
    <w:rsid w:val="00F53787"/>
    <w:rsid w:val="00F53982"/>
    <w:rsid w:val="00F5466A"/>
    <w:rsid w:val="00F56546"/>
    <w:rsid w:val="00F63EE4"/>
    <w:rsid w:val="00F7030D"/>
    <w:rsid w:val="00F753DD"/>
    <w:rsid w:val="00F7605F"/>
    <w:rsid w:val="00F77C1B"/>
    <w:rsid w:val="00F80F5F"/>
    <w:rsid w:val="00F82859"/>
    <w:rsid w:val="00F84A3E"/>
    <w:rsid w:val="00F8570A"/>
    <w:rsid w:val="00F86B4A"/>
    <w:rsid w:val="00F87226"/>
    <w:rsid w:val="00F9189A"/>
    <w:rsid w:val="00F91C7B"/>
    <w:rsid w:val="00F9328C"/>
    <w:rsid w:val="00F933AF"/>
    <w:rsid w:val="00F93946"/>
    <w:rsid w:val="00F93A7A"/>
    <w:rsid w:val="00F93EFF"/>
    <w:rsid w:val="00F9420F"/>
    <w:rsid w:val="00F95062"/>
    <w:rsid w:val="00F97CAF"/>
    <w:rsid w:val="00FA0703"/>
    <w:rsid w:val="00FA43D1"/>
    <w:rsid w:val="00FA4D4F"/>
    <w:rsid w:val="00FA7A08"/>
    <w:rsid w:val="00FB0122"/>
    <w:rsid w:val="00FB0CA3"/>
    <w:rsid w:val="00FB1040"/>
    <w:rsid w:val="00FB5F4F"/>
    <w:rsid w:val="00FB73F7"/>
    <w:rsid w:val="00FC1058"/>
    <w:rsid w:val="00FC476B"/>
    <w:rsid w:val="00FD08B7"/>
    <w:rsid w:val="00FD0FFE"/>
    <w:rsid w:val="00FD3618"/>
    <w:rsid w:val="00FD3DCD"/>
    <w:rsid w:val="00FD43E7"/>
    <w:rsid w:val="00FD499F"/>
    <w:rsid w:val="00FD61A1"/>
    <w:rsid w:val="00FD6A75"/>
    <w:rsid w:val="00FD6E53"/>
    <w:rsid w:val="00FE0577"/>
    <w:rsid w:val="00FE084A"/>
    <w:rsid w:val="00FE2CC7"/>
    <w:rsid w:val="00FE5A4F"/>
    <w:rsid w:val="00FE5FCA"/>
    <w:rsid w:val="00FE64CC"/>
    <w:rsid w:val="00FF15F7"/>
    <w:rsid w:val="00FF2013"/>
    <w:rsid w:val="00FF331F"/>
    <w:rsid w:val="00FF5BC3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84CC8E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table" w:styleId="TableGrid">
    <w:name w:val="Table Grid"/>
    <w:basedOn w:val="TableNormal"/>
    <w:rsid w:val="009F6564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54533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F7DC2"/>
    <w:pPr>
      <w:tabs>
        <w:tab w:val="left" w:pos="284"/>
      </w:tabs>
      <w:ind w:left="720"/>
      <w:contextualSpacing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0F48C-4F3B-41BD-A776-2CEB76A40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6323</Words>
  <Characters>36045</Characters>
  <Application>Microsoft Office Word</Application>
  <DocSecurity>0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42284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Aleksandra Ljumović</cp:lastModifiedBy>
  <cp:revision>3</cp:revision>
  <dcterms:created xsi:type="dcterms:W3CDTF">2023-02-01T07:51:00Z</dcterms:created>
  <dcterms:modified xsi:type="dcterms:W3CDTF">2023-02-01T07:52:00Z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