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E697D" w14:textId="450EEDB5" w:rsidR="00CC4573" w:rsidRPr="003B242C" w:rsidRDefault="00CC4573" w:rsidP="00CC4573">
      <w:pPr>
        <w:jc w:val="center"/>
        <w:rPr>
          <w:b/>
          <w:bCs/>
          <w:iCs/>
          <w:sz w:val="22"/>
          <w:szCs w:val="22"/>
          <w:u w:val="single"/>
          <w:lang w:val="sr-Latn-ME"/>
        </w:rPr>
      </w:pPr>
      <w:r w:rsidRPr="003B242C">
        <w:rPr>
          <w:b/>
          <w:bCs/>
          <w:iCs/>
          <w:sz w:val="22"/>
          <w:szCs w:val="22"/>
          <w:u w:val="single"/>
          <w:lang w:val="sr-Latn-ME"/>
        </w:rPr>
        <w:t>SAŽETAK KARAKTERISTIKA LIJEKA</w:t>
      </w:r>
    </w:p>
    <w:p w14:paraId="68C21AFC" w14:textId="77777777" w:rsidR="002F7637" w:rsidRPr="003B242C" w:rsidRDefault="002F7637" w:rsidP="00CC4573">
      <w:pPr>
        <w:jc w:val="center"/>
        <w:rPr>
          <w:b/>
          <w:bCs/>
          <w:iCs/>
          <w:sz w:val="22"/>
          <w:szCs w:val="22"/>
          <w:u w:val="single"/>
          <w:lang w:val="sr-Latn-ME"/>
        </w:rPr>
      </w:pPr>
    </w:p>
    <w:p w14:paraId="40C57960" w14:textId="77777777" w:rsidR="00596C07" w:rsidRPr="003B242C" w:rsidRDefault="00596C07" w:rsidP="00596C07">
      <w:pPr>
        <w:rPr>
          <w:b/>
          <w:bCs/>
          <w:iCs/>
          <w:sz w:val="22"/>
          <w:szCs w:val="22"/>
          <w:u w:val="single"/>
          <w:lang w:val="sr-Latn-ME"/>
        </w:rPr>
      </w:pPr>
    </w:p>
    <w:p w14:paraId="679BC08B" w14:textId="77777777" w:rsidR="00596C07" w:rsidRPr="003B242C" w:rsidRDefault="00596C07" w:rsidP="002510A5">
      <w:pPr>
        <w:jc w:val="center"/>
        <w:rPr>
          <w:b/>
          <w:bCs/>
          <w:iCs/>
          <w:sz w:val="22"/>
          <w:szCs w:val="22"/>
          <w:u w:val="single"/>
          <w:lang w:val="sr-Latn-ME"/>
        </w:rPr>
      </w:pPr>
    </w:p>
    <w:p w14:paraId="10585B32" w14:textId="77777777" w:rsidR="00596C07" w:rsidRPr="003B242C" w:rsidRDefault="00596C07" w:rsidP="002510A5">
      <w:pPr>
        <w:jc w:val="center"/>
        <w:rPr>
          <w:b/>
          <w:bCs/>
          <w:iCs/>
          <w:sz w:val="22"/>
          <w:szCs w:val="22"/>
          <w:u w:val="single"/>
          <w:lang w:val="sr-Latn-ME"/>
        </w:rPr>
      </w:pPr>
    </w:p>
    <w:p w14:paraId="46C277F5"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1.</w:t>
      </w:r>
      <w:r w:rsidRPr="004500D8">
        <w:rPr>
          <w:b/>
          <w:bCs/>
          <w:sz w:val="22"/>
          <w:szCs w:val="22"/>
          <w:lang w:val="sr-Latn-ME"/>
        </w:rPr>
        <w:tab/>
        <w:t>NAZIV LIJEKA</w:t>
      </w:r>
    </w:p>
    <w:p w14:paraId="2D80DB94" w14:textId="77777777" w:rsidR="00596C07" w:rsidRPr="004500D8" w:rsidRDefault="00596C07" w:rsidP="00596C07">
      <w:pPr>
        <w:rPr>
          <w:sz w:val="22"/>
          <w:szCs w:val="22"/>
          <w:lang w:val="sr-Latn-ME"/>
        </w:rPr>
      </w:pPr>
    </w:p>
    <w:p w14:paraId="437493FB" w14:textId="77777777" w:rsidR="00596C07" w:rsidRPr="004500D8" w:rsidRDefault="00596C07" w:rsidP="00596C07">
      <w:pPr>
        <w:widowControl w:val="0"/>
        <w:autoSpaceDE w:val="0"/>
        <w:autoSpaceDN w:val="0"/>
        <w:adjustRightInd w:val="0"/>
        <w:rPr>
          <w:color w:val="000000"/>
          <w:sz w:val="22"/>
          <w:szCs w:val="22"/>
          <w:lang w:val="sr-Latn-ME"/>
        </w:rPr>
      </w:pPr>
      <w:r w:rsidRPr="004500D8">
        <w:rPr>
          <w:color w:val="000000"/>
          <w:sz w:val="22"/>
          <w:szCs w:val="22"/>
          <w:lang w:val="sr-Latn-ME"/>
        </w:rPr>
        <w:t>Humira, 80 mg/0.8 ml, rastvor za injekciju u napunjenom injekcionom špricu</w:t>
      </w:r>
    </w:p>
    <w:p w14:paraId="6A5DEE81" w14:textId="77777777" w:rsidR="00596C07" w:rsidRPr="004500D8" w:rsidRDefault="00596C07" w:rsidP="00596C07">
      <w:pPr>
        <w:widowControl w:val="0"/>
        <w:autoSpaceDE w:val="0"/>
        <w:autoSpaceDN w:val="0"/>
        <w:adjustRightInd w:val="0"/>
        <w:rPr>
          <w:sz w:val="22"/>
          <w:szCs w:val="22"/>
          <w:lang w:val="sr-Latn-ME"/>
        </w:rPr>
      </w:pPr>
    </w:p>
    <w:p w14:paraId="3093C167" w14:textId="77777777" w:rsidR="00596C07" w:rsidRPr="004500D8" w:rsidRDefault="00596C07" w:rsidP="00596C07">
      <w:pPr>
        <w:rPr>
          <w:sz w:val="22"/>
          <w:szCs w:val="22"/>
          <w:lang w:val="sr-Latn-ME"/>
        </w:rPr>
      </w:pPr>
      <w:r w:rsidRPr="004500D8">
        <w:rPr>
          <w:sz w:val="22"/>
          <w:szCs w:val="22"/>
          <w:lang w:val="sr-Latn-ME"/>
        </w:rPr>
        <w:t>INN:</w:t>
      </w:r>
      <w:r w:rsidRPr="004500D8">
        <w:rPr>
          <w:i/>
          <w:sz w:val="22"/>
          <w:szCs w:val="22"/>
          <w:lang w:val="sr-Latn-ME"/>
        </w:rPr>
        <w:t xml:space="preserve"> adalimumab</w:t>
      </w:r>
    </w:p>
    <w:p w14:paraId="2F6F4D88" w14:textId="77777777" w:rsidR="00596C07" w:rsidRPr="004500D8" w:rsidRDefault="00596C07" w:rsidP="00596C07">
      <w:pPr>
        <w:rPr>
          <w:sz w:val="22"/>
          <w:szCs w:val="22"/>
          <w:lang w:val="sr-Latn-ME"/>
        </w:rPr>
      </w:pPr>
      <w:r w:rsidRPr="004500D8">
        <w:rPr>
          <w:bCs/>
          <w:sz w:val="22"/>
          <w:szCs w:val="22"/>
          <w:lang w:val="sr-Latn-ME"/>
        </w:rPr>
        <w:t xml:space="preserve"> </w:t>
      </w:r>
    </w:p>
    <w:p w14:paraId="5BFE2E53" w14:textId="77777777" w:rsidR="00596C07" w:rsidRPr="004500D8" w:rsidRDefault="00596C07" w:rsidP="00596C07">
      <w:pPr>
        <w:rPr>
          <w:bCs/>
          <w:sz w:val="22"/>
          <w:szCs w:val="22"/>
          <w:lang w:val="sr-Latn-ME"/>
        </w:rPr>
      </w:pPr>
    </w:p>
    <w:p w14:paraId="414410C7"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 xml:space="preserve">2. </w:t>
      </w:r>
      <w:r w:rsidRPr="004500D8">
        <w:rPr>
          <w:b/>
          <w:bCs/>
          <w:sz w:val="22"/>
          <w:szCs w:val="22"/>
          <w:lang w:val="sr-Latn-ME"/>
        </w:rPr>
        <w:tab/>
        <w:t>KVALITATIVNI I KVANTITATIVNI SASTAV</w:t>
      </w:r>
    </w:p>
    <w:p w14:paraId="6B4467F9" w14:textId="77777777" w:rsidR="00596C07" w:rsidRPr="004500D8" w:rsidRDefault="00596C07" w:rsidP="00596C07">
      <w:pPr>
        <w:rPr>
          <w:sz w:val="22"/>
          <w:szCs w:val="22"/>
          <w:lang w:val="sr-Latn-ME"/>
        </w:rPr>
      </w:pPr>
    </w:p>
    <w:p w14:paraId="3A55B8D0"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Svaki napunjeni injekcioni špric sa jednokratnom dozom od 0.8 ml sadrži 80 mg adalimumaba. </w:t>
      </w:r>
    </w:p>
    <w:p w14:paraId="059FD90F" w14:textId="77777777" w:rsidR="00596C07" w:rsidRPr="004500D8" w:rsidRDefault="00596C07" w:rsidP="00596C07">
      <w:pPr>
        <w:widowControl w:val="0"/>
        <w:autoSpaceDE w:val="0"/>
        <w:autoSpaceDN w:val="0"/>
        <w:adjustRightInd w:val="0"/>
        <w:ind w:left="567" w:hanging="567"/>
        <w:jc w:val="both"/>
        <w:rPr>
          <w:sz w:val="22"/>
          <w:szCs w:val="22"/>
          <w:lang w:val="sr-Latn-ME"/>
        </w:rPr>
      </w:pPr>
      <w:r w:rsidRPr="004500D8">
        <w:rPr>
          <w:sz w:val="22"/>
          <w:szCs w:val="22"/>
          <w:lang w:val="sr-Latn-ME"/>
        </w:rPr>
        <w:t xml:space="preserve"> </w:t>
      </w:r>
    </w:p>
    <w:p w14:paraId="6056D197"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Adalimumab je rekombinantno humano monoklonsko antitijelo, dobijeno iz ćelija jajnika kineskog hrčka. </w:t>
      </w:r>
    </w:p>
    <w:p w14:paraId="7DB37015" w14:textId="77777777" w:rsidR="00596C07" w:rsidRPr="004500D8" w:rsidRDefault="00596C07" w:rsidP="00596C07">
      <w:pPr>
        <w:widowControl w:val="0"/>
        <w:autoSpaceDE w:val="0"/>
        <w:autoSpaceDN w:val="0"/>
        <w:adjustRightInd w:val="0"/>
        <w:ind w:left="567" w:hanging="567"/>
        <w:jc w:val="both"/>
        <w:rPr>
          <w:sz w:val="22"/>
          <w:szCs w:val="22"/>
          <w:lang w:val="sr-Latn-ME"/>
        </w:rPr>
      </w:pPr>
      <w:r w:rsidRPr="004500D8">
        <w:rPr>
          <w:sz w:val="22"/>
          <w:szCs w:val="22"/>
          <w:lang w:val="sr-Latn-ME"/>
        </w:rPr>
        <w:t xml:space="preserve"> </w:t>
      </w:r>
    </w:p>
    <w:p w14:paraId="67DFDAD9" w14:textId="0F42533F" w:rsidR="00596C07" w:rsidRPr="004500D8" w:rsidRDefault="00596C07" w:rsidP="00596C07">
      <w:pPr>
        <w:widowControl w:val="0"/>
        <w:autoSpaceDE w:val="0"/>
        <w:autoSpaceDN w:val="0"/>
        <w:adjustRightInd w:val="0"/>
        <w:ind w:left="567" w:hanging="567"/>
        <w:jc w:val="both"/>
        <w:rPr>
          <w:sz w:val="22"/>
          <w:szCs w:val="22"/>
          <w:lang w:val="sr-Latn-ME"/>
        </w:rPr>
      </w:pPr>
      <w:r w:rsidRPr="004500D8">
        <w:rPr>
          <w:sz w:val="22"/>
          <w:szCs w:val="22"/>
          <w:lang w:val="sr-Latn-ME"/>
        </w:rPr>
        <w:t xml:space="preserve">Za kompletnu listu pomoćnih supstanci, vidjeti </w:t>
      </w:r>
      <w:r w:rsidR="00FF4BD0" w:rsidRPr="004500D8">
        <w:rPr>
          <w:sz w:val="22"/>
          <w:szCs w:val="22"/>
          <w:lang w:val="sr-Latn-ME"/>
        </w:rPr>
        <w:t xml:space="preserve">dio </w:t>
      </w:r>
      <w:r w:rsidRPr="004500D8">
        <w:rPr>
          <w:sz w:val="22"/>
          <w:szCs w:val="22"/>
          <w:lang w:val="sr-Latn-ME"/>
        </w:rPr>
        <w:t xml:space="preserve">6.1. </w:t>
      </w:r>
    </w:p>
    <w:p w14:paraId="11DBB58A" w14:textId="77777777" w:rsidR="00596C07" w:rsidRPr="004500D8" w:rsidRDefault="00596C07" w:rsidP="00596C07">
      <w:pPr>
        <w:rPr>
          <w:sz w:val="22"/>
          <w:szCs w:val="22"/>
          <w:lang w:val="sr-Latn-ME"/>
        </w:rPr>
      </w:pPr>
    </w:p>
    <w:p w14:paraId="34D02887" w14:textId="77777777" w:rsidR="00596C07" w:rsidRPr="004500D8" w:rsidRDefault="00596C07" w:rsidP="00596C07">
      <w:pPr>
        <w:rPr>
          <w:sz w:val="22"/>
          <w:szCs w:val="22"/>
          <w:lang w:val="sr-Latn-ME"/>
        </w:rPr>
      </w:pPr>
    </w:p>
    <w:p w14:paraId="30AFA221"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 xml:space="preserve">3. </w:t>
      </w:r>
      <w:r w:rsidRPr="004500D8">
        <w:rPr>
          <w:b/>
          <w:bCs/>
          <w:sz w:val="22"/>
          <w:szCs w:val="22"/>
          <w:lang w:val="sr-Latn-ME"/>
        </w:rPr>
        <w:tab/>
        <w:t>FARMACEUTSKI OBLIK</w:t>
      </w:r>
    </w:p>
    <w:p w14:paraId="5CEB92B8" w14:textId="77777777" w:rsidR="00596C07" w:rsidRPr="004500D8" w:rsidRDefault="00596C07" w:rsidP="00596C07">
      <w:pPr>
        <w:rPr>
          <w:bCs/>
          <w:sz w:val="22"/>
          <w:szCs w:val="22"/>
          <w:lang w:val="sr-Latn-ME"/>
        </w:rPr>
      </w:pPr>
    </w:p>
    <w:p w14:paraId="546888AA" w14:textId="77777777" w:rsidR="00596C07" w:rsidRPr="004500D8" w:rsidRDefault="00596C07" w:rsidP="00596C07">
      <w:pPr>
        <w:rPr>
          <w:bCs/>
          <w:sz w:val="22"/>
          <w:szCs w:val="22"/>
          <w:lang w:val="sr-Latn-ME"/>
        </w:rPr>
      </w:pPr>
      <w:r w:rsidRPr="004500D8">
        <w:rPr>
          <w:bCs/>
          <w:sz w:val="22"/>
          <w:szCs w:val="22"/>
          <w:lang w:val="sr-Latn-ME"/>
        </w:rPr>
        <w:t>Rastvor za injekciju u napunjenom injekcionom špricu.</w:t>
      </w:r>
    </w:p>
    <w:p w14:paraId="494FCA35" w14:textId="77777777" w:rsidR="00596C07" w:rsidRPr="004500D8" w:rsidRDefault="00596C07" w:rsidP="00596C07">
      <w:pPr>
        <w:rPr>
          <w:bCs/>
          <w:sz w:val="22"/>
          <w:szCs w:val="22"/>
          <w:lang w:val="sr-Latn-ME"/>
        </w:rPr>
      </w:pPr>
      <w:r w:rsidRPr="004500D8">
        <w:rPr>
          <w:bCs/>
          <w:sz w:val="22"/>
          <w:szCs w:val="22"/>
          <w:lang w:val="sr-Latn-ME"/>
        </w:rPr>
        <w:t>Bistri, bezbojni rastvor.</w:t>
      </w:r>
    </w:p>
    <w:p w14:paraId="150D350A" w14:textId="77777777" w:rsidR="00596C07" w:rsidRPr="004500D8" w:rsidRDefault="00596C07" w:rsidP="00596C07">
      <w:pPr>
        <w:rPr>
          <w:bCs/>
          <w:sz w:val="22"/>
          <w:szCs w:val="22"/>
          <w:lang w:val="sr-Latn-ME"/>
        </w:rPr>
      </w:pPr>
    </w:p>
    <w:p w14:paraId="36B875AF" w14:textId="77777777" w:rsidR="00596C07" w:rsidRPr="004500D8" w:rsidRDefault="00596C07" w:rsidP="00596C07">
      <w:pPr>
        <w:rPr>
          <w:bCs/>
          <w:sz w:val="22"/>
          <w:szCs w:val="22"/>
          <w:lang w:val="sr-Latn-ME"/>
        </w:rPr>
      </w:pPr>
    </w:p>
    <w:p w14:paraId="5D878520"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 xml:space="preserve">4. </w:t>
      </w:r>
      <w:r w:rsidRPr="004500D8">
        <w:rPr>
          <w:b/>
          <w:bCs/>
          <w:sz w:val="22"/>
          <w:szCs w:val="22"/>
          <w:lang w:val="sr-Latn-ME"/>
        </w:rPr>
        <w:tab/>
        <w:t>KLINIČKI PODACI</w:t>
      </w:r>
    </w:p>
    <w:p w14:paraId="330B1290" w14:textId="77777777" w:rsidR="00596C07" w:rsidRPr="004500D8" w:rsidRDefault="00596C07" w:rsidP="00596C07">
      <w:pPr>
        <w:tabs>
          <w:tab w:val="left" w:pos="540"/>
          <w:tab w:val="left" w:pos="569"/>
        </w:tabs>
        <w:rPr>
          <w:bCs/>
          <w:sz w:val="22"/>
          <w:szCs w:val="22"/>
          <w:lang w:val="sr-Latn-ME"/>
        </w:rPr>
      </w:pPr>
    </w:p>
    <w:p w14:paraId="4AD3F468"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 xml:space="preserve">4.1. </w:t>
      </w:r>
      <w:r w:rsidRPr="004500D8">
        <w:rPr>
          <w:b/>
          <w:bCs/>
          <w:sz w:val="22"/>
          <w:szCs w:val="22"/>
          <w:lang w:val="sr-Latn-ME"/>
        </w:rPr>
        <w:tab/>
        <w:t>Terapijske indikacije</w:t>
      </w:r>
    </w:p>
    <w:p w14:paraId="4054084E" w14:textId="77777777" w:rsidR="00596C07" w:rsidRPr="004500D8" w:rsidRDefault="00596C07" w:rsidP="00596C07">
      <w:pPr>
        <w:widowControl w:val="0"/>
        <w:autoSpaceDE w:val="0"/>
        <w:autoSpaceDN w:val="0"/>
        <w:adjustRightInd w:val="0"/>
        <w:jc w:val="both"/>
        <w:rPr>
          <w:sz w:val="22"/>
          <w:szCs w:val="22"/>
          <w:lang w:val="sr-Latn-ME"/>
        </w:rPr>
      </w:pPr>
    </w:p>
    <w:p w14:paraId="72CF7FF6" w14:textId="77777777" w:rsidR="00596C07" w:rsidRPr="004500D8" w:rsidRDefault="00596C07" w:rsidP="00596C07">
      <w:pPr>
        <w:widowControl w:val="0"/>
        <w:autoSpaceDE w:val="0"/>
        <w:autoSpaceDN w:val="0"/>
        <w:adjustRightInd w:val="0"/>
        <w:ind w:left="567" w:hanging="567"/>
        <w:jc w:val="both"/>
        <w:rPr>
          <w:sz w:val="22"/>
          <w:szCs w:val="22"/>
          <w:u w:val="single"/>
          <w:lang w:val="sr-Latn-ME"/>
        </w:rPr>
      </w:pPr>
      <w:r w:rsidRPr="004500D8">
        <w:rPr>
          <w:sz w:val="22"/>
          <w:szCs w:val="22"/>
          <w:u w:val="single"/>
          <w:lang w:val="sr-Latn-ME"/>
        </w:rPr>
        <w:t>Reumatoidni artritis</w:t>
      </w:r>
    </w:p>
    <w:p w14:paraId="1D6CE23A" w14:textId="77777777" w:rsidR="00596C07" w:rsidRPr="004500D8" w:rsidRDefault="00596C07" w:rsidP="00596C07">
      <w:pPr>
        <w:widowControl w:val="0"/>
        <w:autoSpaceDE w:val="0"/>
        <w:autoSpaceDN w:val="0"/>
        <w:adjustRightInd w:val="0"/>
        <w:ind w:left="567" w:hanging="567"/>
        <w:jc w:val="both"/>
        <w:rPr>
          <w:sz w:val="22"/>
          <w:szCs w:val="22"/>
          <w:u w:val="single"/>
          <w:lang w:val="sr-Latn-ME"/>
        </w:rPr>
      </w:pPr>
    </w:p>
    <w:p w14:paraId="752F873C"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Lijek Humira je, u kombinaciji sa metotreksatom, indikovan za:</w:t>
      </w:r>
    </w:p>
    <w:p w14:paraId="3B640388" w14:textId="77777777" w:rsidR="00596C07" w:rsidRPr="004500D8" w:rsidRDefault="00596C07" w:rsidP="00596C07">
      <w:pPr>
        <w:widowControl w:val="0"/>
        <w:autoSpaceDE w:val="0"/>
        <w:autoSpaceDN w:val="0"/>
        <w:adjustRightInd w:val="0"/>
        <w:ind w:left="567" w:hanging="567"/>
        <w:jc w:val="both"/>
        <w:rPr>
          <w:sz w:val="22"/>
          <w:szCs w:val="22"/>
          <w:u w:val="single"/>
          <w:lang w:val="sr-Latn-ME"/>
        </w:rPr>
      </w:pPr>
    </w:p>
    <w:p w14:paraId="06E84044" w14:textId="670964EA" w:rsidR="00596C07" w:rsidRPr="004500D8" w:rsidRDefault="00596C07" w:rsidP="002D19E9">
      <w:pPr>
        <w:widowControl w:val="0"/>
        <w:numPr>
          <w:ilvl w:val="0"/>
          <w:numId w:val="3"/>
        </w:numPr>
        <w:autoSpaceDE w:val="0"/>
        <w:autoSpaceDN w:val="0"/>
        <w:adjustRightInd w:val="0"/>
        <w:spacing w:after="160" w:line="259" w:lineRule="auto"/>
        <w:jc w:val="both"/>
        <w:rPr>
          <w:sz w:val="22"/>
          <w:szCs w:val="22"/>
          <w:lang w:val="sr-Latn-ME"/>
        </w:rPr>
      </w:pPr>
      <w:r w:rsidRPr="004500D8">
        <w:rPr>
          <w:sz w:val="22"/>
          <w:szCs w:val="22"/>
          <w:lang w:val="sr-Latn-ME"/>
        </w:rPr>
        <w:t>terapiju umjeren</w:t>
      </w:r>
      <w:r w:rsidR="007133B8" w:rsidRPr="004500D8">
        <w:rPr>
          <w:sz w:val="22"/>
          <w:szCs w:val="22"/>
          <w:lang w:val="sr-Latn-ME"/>
        </w:rPr>
        <w:t>o</w:t>
      </w:r>
      <w:r w:rsidRPr="004500D8">
        <w:rPr>
          <w:sz w:val="22"/>
          <w:szCs w:val="22"/>
          <w:lang w:val="sr-Latn-ME"/>
        </w:rPr>
        <w:t xml:space="preserve"> teškog do teškog, aktivnog reumatoidnog artritisa kod odraslih pacijenata kod kojih prethodnim liječenjem </w:t>
      </w:r>
      <w:r w:rsidRPr="004500D8">
        <w:rPr>
          <w:iCs/>
          <w:sz w:val="22"/>
          <w:szCs w:val="22"/>
          <w:lang w:val="sr-Latn-ME"/>
        </w:rPr>
        <w:t xml:space="preserve">antireumaticima </w:t>
      </w:r>
      <w:r w:rsidRPr="004500D8">
        <w:rPr>
          <w:sz w:val="22"/>
          <w:szCs w:val="22"/>
          <w:lang w:val="sr-Latn-ME"/>
        </w:rPr>
        <w:t xml:space="preserve">koji modifikuju tok bolesti, uključujući i </w:t>
      </w:r>
      <w:r w:rsidRPr="004500D8">
        <w:rPr>
          <w:iCs/>
          <w:sz w:val="22"/>
          <w:szCs w:val="22"/>
          <w:lang w:val="sr-Latn-ME"/>
        </w:rPr>
        <w:t>metotreksat,</w:t>
      </w:r>
      <w:r w:rsidRPr="004500D8">
        <w:rPr>
          <w:sz w:val="22"/>
          <w:szCs w:val="22"/>
          <w:lang w:val="sr-Latn-ME"/>
        </w:rPr>
        <w:t xml:space="preserve"> nije postignut zadovoljavajući odgovor; </w:t>
      </w:r>
    </w:p>
    <w:p w14:paraId="16F62B99" w14:textId="77777777" w:rsidR="00596C07" w:rsidRPr="004500D8" w:rsidRDefault="00596C07" w:rsidP="002D19E9">
      <w:pPr>
        <w:widowControl w:val="0"/>
        <w:numPr>
          <w:ilvl w:val="0"/>
          <w:numId w:val="3"/>
        </w:numPr>
        <w:autoSpaceDE w:val="0"/>
        <w:autoSpaceDN w:val="0"/>
        <w:adjustRightInd w:val="0"/>
        <w:spacing w:after="160" w:line="259" w:lineRule="auto"/>
        <w:jc w:val="both"/>
        <w:rPr>
          <w:sz w:val="22"/>
          <w:szCs w:val="22"/>
          <w:lang w:val="sr-Latn-ME"/>
        </w:rPr>
      </w:pPr>
      <w:r w:rsidRPr="004500D8">
        <w:rPr>
          <w:sz w:val="22"/>
          <w:szCs w:val="22"/>
          <w:lang w:val="sr-Latn-ME"/>
        </w:rPr>
        <w:t xml:space="preserve">terapiju teškog, aktivnog i progresivnog reumatoidnog artritisa kod odraslih pacijenata koji nisu prethodno liječeni </w:t>
      </w:r>
      <w:r w:rsidRPr="004500D8">
        <w:rPr>
          <w:iCs/>
          <w:sz w:val="22"/>
          <w:szCs w:val="22"/>
          <w:lang w:val="sr-Latn-ME"/>
        </w:rPr>
        <w:t xml:space="preserve">metotreksatom. </w:t>
      </w:r>
    </w:p>
    <w:p w14:paraId="7CF35D93" w14:textId="77777777" w:rsidR="00596C07" w:rsidRPr="004500D8" w:rsidRDefault="00596C07" w:rsidP="00596C07">
      <w:pPr>
        <w:widowControl w:val="0"/>
        <w:autoSpaceDE w:val="0"/>
        <w:autoSpaceDN w:val="0"/>
        <w:adjustRightInd w:val="0"/>
        <w:ind w:left="567" w:hanging="567"/>
        <w:jc w:val="both"/>
        <w:rPr>
          <w:sz w:val="22"/>
          <w:szCs w:val="22"/>
          <w:u w:val="single"/>
          <w:lang w:val="sr-Latn-ME"/>
        </w:rPr>
      </w:pPr>
    </w:p>
    <w:p w14:paraId="1F59DE2B" w14:textId="77777777" w:rsidR="00596C07" w:rsidRPr="004500D8" w:rsidRDefault="00596C07" w:rsidP="00596C07">
      <w:pPr>
        <w:widowControl w:val="0"/>
        <w:autoSpaceDE w:val="0"/>
        <w:autoSpaceDN w:val="0"/>
        <w:adjustRightInd w:val="0"/>
        <w:jc w:val="both"/>
        <w:rPr>
          <w:iCs/>
          <w:sz w:val="22"/>
          <w:szCs w:val="22"/>
          <w:lang w:val="sr-Latn-ME"/>
        </w:rPr>
      </w:pPr>
      <w:r w:rsidRPr="004500D8">
        <w:rPr>
          <w:iCs/>
          <w:sz w:val="22"/>
          <w:szCs w:val="22"/>
          <w:lang w:val="sr-Latn-ME"/>
        </w:rPr>
        <w:t xml:space="preserve">Lijek Humira se može dati kao monoterapija u slučajevima nepodnošenja metotreksata ili kada nastavak terapije metotreksatom nije prikladan. </w:t>
      </w:r>
    </w:p>
    <w:p w14:paraId="55ACE492" w14:textId="77777777" w:rsidR="00596C07" w:rsidRPr="004500D8" w:rsidRDefault="00596C07" w:rsidP="00596C07">
      <w:pPr>
        <w:widowControl w:val="0"/>
        <w:autoSpaceDE w:val="0"/>
        <w:autoSpaceDN w:val="0"/>
        <w:adjustRightInd w:val="0"/>
        <w:jc w:val="both"/>
        <w:rPr>
          <w:iCs/>
          <w:sz w:val="22"/>
          <w:szCs w:val="22"/>
          <w:lang w:val="sr-Latn-ME"/>
        </w:rPr>
      </w:pPr>
    </w:p>
    <w:p w14:paraId="64C9A3C8" w14:textId="77777777" w:rsidR="00596C07" w:rsidRPr="004500D8" w:rsidRDefault="00596C07" w:rsidP="00596C07">
      <w:pPr>
        <w:widowControl w:val="0"/>
        <w:autoSpaceDE w:val="0"/>
        <w:autoSpaceDN w:val="0"/>
        <w:adjustRightInd w:val="0"/>
        <w:jc w:val="both"/>
        <w:rPr>
          <w:sz w:val="22"/>
          <w:szCs w:val="22"/>
          <w:u w:val="single"/>
          <w:lang w:val="sr-Latn-ME"/>
        </w:rPr>
      </w:pPr>
      <w:r w:rsidRPr="004500D8">
        <w:rPr>
          <w:sz w:val="22"/>
          <w:szCs w:val="22"/>
          <w:lang w:val="sr-Latn-ME"/>
        </w:rPr>
        <w:t xml:space="preserve">Pokazalo se da lijek Humira smanjuje stopu progresije oštećenja zglobova na osnovu rendgenskih nalaza, te da poboljšava fizičku funkciju, kada se daje u kombinaciji sa </w:t>
      </w:r>
      <w:r w:rsidRPr="004500D8">
        <w:rPr>
          <w:iCs/>
          <w:sz w:val="22"/>
          <w:szCs w:val="22"/>
          <w:lang w:val="sr-Latn-ME"/>
        </w:rPr>
        <w:t xml:space="preserve">metotreksatom. </w:t>
      </w:r>
    </w:p>
    <w:p w14:paraId="269D1B55" w14:textId="77777777" w:rsidR="00596C07" w:rsidRPr="004500D8" w:rsidRDefault="00596C07" w:rsidP="00596C07">
      <w:pPr>
        <w:widowControl w:val="0"/>
        <w:autoSpaceDE w:val="0"/>
        <w:autoSpaceDN w:val="0"/>
        <w:adjustRightInd w:val="0"/>
        <w:jc w:val="both"/>
        <w:rPr>
          <w:sz w:val="22"/>
          <w:szCs w:val="22"/>
          <w:lang w:val="sr-Latn-ME"/>
        </w:rPr>
      </w:pPr>
    </w:p>
    <w:p w14:paraId="742E4007" w14:textId="77777777" w:rsidR="00596C07" w:rsidRPr="004500D8" w:rsidRDefault="00596C07" w:rsidP="00596C07">
      <w:pPr>
        <w:widowControl w:val="0"/>
        <w:autoSpaceDE w:val="0"/>
        <w:autoSpaceDN w:val="0"/>
        <w:adjustRightInd w:val="0"/>
        <w:jc w:val="both"/>
        <w:rPr>
          <w:sz w:val="22"/>
          <w:szCs w:val="22"/>
          <w:u w:val="single"/>
          <w:lang w:val="sr-Latn-ME"/>
        </w:rPr>
      </w:pPr>
      <w:r w:rsidRPr="004500D8">
        <w:rPr>
          <w:sz w:val="22"/>
          <w:szCs w:val="22"/>
          <w:u w:val="single"/>
          <w:lang w:val="sr-Latn-ME"/>
        </w:rPr>
        <w:t>Psorijaza</w:t>
      </w:r>
    </w:p>
    <w:p w14:paraId="2D5B3691" w14:textId="77777777" w:rsidR="00596C07" w:rsidRPr="004500D8" w:rsidRDefault="00596C07" w:rsidP="00596C07">
      <w:pPr>
        <w:widowControl w:val="0"/>
        <w:autoSpaceDE w:val="0"/>
        <w:autoSpaceDN w:val="0"/>
        <w:adjustRightInd w:val="0"/>
        <w:jc w:val="both"/>
        <w:rPr>
          <w:sz w:val="22"/>
          <w:szCs w:val="22"/>
          <w:u w:val="single"/>
          <w:lang w:val="sr-Latn-ME"/>
        </w:rPr>
      </w:pPr>
    </w:p>
    <w:p w14:paraId="1F49336B" w14:textId="77777777" w:rsidR="00596C07" w:rsidRPr="004500D8" w:rsidRDefault="00596C07" w:rsidP="00596C07">
      <w:pPr>
        <w:widowControl w:val="0"/>
        <w:autoSpaceDE w:val="0"/>
        <w:autoSpaceDN w:val="0"/>
        <w:adjustRightInd w:val="0"/>
        <w:jc w:val="both"/>
        <w:rPr>
          <w:sz w:val="22"/>
          <w:szCs w:val="22"/>
          <w:lang w:val="sr-Latn-ME"/>
        </w:rPr>
      </w:pPr>
      <w:r w:rsidRPr="004500D8">
        <w:rPr>
          <w:color w:val="000000"/>
          <w:sz w:val="22"/>
          <w:szCs w:val="22"/>
          <w:lang w:val="sr-Latn-ME"/>
        </w:rPr>
        <w:t xml:space="preserve">Lijek Humira </w:t>
      </w:r>
      <w:r w:rsidRPr="004500D8">
        <w:rPr>
          <w:sz w:val="22"/>
          <w:szCs w:val="22"/>
          <w:lang w:val="sr-Latn-ME"/>
        </w:rPr>
        <w:t xml:space="preserve">je indikovan za terapiju umjerene do teške hronične plak psorijaze kod odraslih pacijenata koji su kandidati za sistemsku terapiju. </w:t>
      </w:r>
    </w:p>
    <w:p w14:paraId="56464212" w14:textId="77777777" w:rsidR="00596C07" w:rsidRPr="004500D8" w:rsidRDefault="00596C07" w:rsidP="00596C07">
      <w:pPr>
        <w:widowControl w:val="0"/>
        <w:autoSpaceDE w:val="0"/>
        <w:autoSpaceDN w:val="0"/>
        <w:adjustRightInd w:val="0"/>
        <w:jc w:val="both"/>
        <w:rPr>
          <w:sz w:val="22"/>
          <w:szCs w:val="22"/>
          <w:lang w:val="sr-Latn-ME"/>
        </w:rPr>
      </w:pPr>
    </w:p>
    <w:p w14:paraId="6061A133" w14:textId="77777777" w:rsidR="00596C07" w:rsidRPr="004500D8" w:rsidRDefault="00596C07" w:rsidP="00596C07">
      <w:pPr>
        <w:widowControl w:val="0"/>
        <w:autoSpaceDE w:val="0"/>
        <w:autoSpaceDN w:val="0"/>
        <w:adjustRightInd w:val="0"/>
        <w:jc w:val="both"/>
        <w:rPr>
          <w:sz w:val="22"/>
          <w:szCs w:val="22"/>
          <w:u w:val="single"/>
          <w:lang w:val="sr-Latn-ME"/>
        </w:rPr>
      </w:pPr>
      <w:r w:rsidRPr="004500D8">
        <w:rPr>
          <w:sz w:val="22"/>
          <w:szCs w:val="22"/>
          <w:u w:val="single"/>
          <w:lang w:val="sr-Latn-ME"/>
        </w:rPr>
        <w:t>Gnojni hidradenitis (</w:t>
      </w:r>
      <w:r w:rsidRPr="004500D8">
        <w:rPr>
          <w:i/>
          <w:sz w:val="22"/>
          <w:szCs w:val="22"/>
          <w:u w:val="single"/>
          <w:lang w:val="sr-Latn-ME"/>
        </w:rPr>
        <w:t>Hidradenitis suppurativa</w:t>
      </w:r>
      <w:r w:rsidRPr="004500D8">
        <w:rPr>
          <w:sz w:val="22"/>
          <w:szCs w:val="22"/>
          <w:u w:val="single"/>
          <w:lang w:val="sr-Latn-ME"/>
        </w:rPr>
        <w:t>)</w:t>
      </w:r>
    </w:p>
    <w:p w14:paraId="1C721A9D" w14:textId="77777777" w:rsidR="00596C07" w:rsidRPr="004500D8" w:rsidRDefault="00596C07" w:rsidP="00596C07">
      <w:pPr>
        <w:widowControl w:val="0"/>
        <w:autoSpaceDE w:val="0"/>
        <w:autoSpaceDN w:val="0"/>
        <w:adjustRightInd w:val="0"/>
        <w:jc w:val="both"/>
        <w:rPr>
          <w:sz w:val="22"/>
          <w:szCs w:val="22"/>
          <w:u w:val="single"/>
          <w:lang w:val="sr-Latn-ME"/>
        </w:rPr>
      </w:pPr>
    </w:p>
    <w:p w14:paraId="6073C0E4" w14:textId="7E805EB1"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lastRenderedPageBreak/>
        <w:t>Lijek Humira je indikovan za liječenje umjerenog do teškog oblika aktivnog gnojnog hidradenitisa (</w:t>
      </w:r>
      <w:r w:rsidRPr="004500D8">
        <w:rPr>
          <w:i/>
          <w:sz w:val="22"/>
          <w:szCs w:val="22"/>
          <w:lang w:val="sr-Latn-ME"/>
        </w:rPr>
        <w:t>acne inversa</w:t>
      </w:r>
      <w:r w:rsidRPr="004500D8">
        <w:rPr>
          <w:sz w:val="22"/>
          <w:szCs w:val="22"/>
          <w:lang w:val="sr-Latn-ME"/>
        </w:rPr>
        <w:t xml:space="preserve">) kod odraslih i adolescenata u uzrastu od 12 godina i starijih, kod kojih nije postignut zadovoljavajući odgovor na konvencionalno sistemsko liječenje gnojnog hidradenitisa (vidjeti </w:t>
      </w:r>
      <w:r w:rsidR="00897FA1" w:rsidRPr="004500D8">
        <w:rPr>
          <w:sz w:val="22"/>
          <w:szCs w:val="22"/>
          <w:lang w:val="sr-Latn-ME"/>
        </w:rPr>
        <w:t xml:space="preserve">djelove </w:t>
      </w:r>
      <w:r w:rsidRPr="004500D8">
        <w:rPr>
          <w:sz w:val="22"/>
          <w:szCs w:val="22"/>
          <w:lang w:val="sr-Latn-ME"/>
        </w:rPr>
        <w:t>5.1 i 5.2).</w:t>
      </w:r>
    </w:p>
    <w:p w14:paraId="53BBCC16" w14:textId="77777777" w:rsidR="00596C07" w:rsidRPr="004500D8" w:rsidRDefault="00596C07" w:rsidP="00596C07">
      <w:pPr>
        <w:widowControl w:val="0"/>
        <w:autoSpaceDE w:val="0"/>
        <w:autoSpaceDN w:val="0"/>
        <w:adjustRightInd w:val="0"/>
        <w:jc w:val="both"/>
        <w:rPr>
          <w:sz w:val="22"/>
          <w:szCs w:val="22"/>
          <w:lang w:val="sr-Latn-ME"/>
        </w:rPr>
      </w:pPr>
    </w:p>
    <w:p w14:paraId="669138FD" w14:textId="77777777" w:rsidR="00596C07" w:rsidRPr="004500D8" w:rsidRDefault="00596C07" w:rsidP="00596C07">
      <w:pPr>
        <w:widowControl w:val="0"/>
        <w:autoSpaceDE w:val="0"/>
        <w:autoSpaceDN w:val="0"/>
        <w:adjustRightInd w:val="0"/>
        <w:jc w:val="both"/>
        <w:rPr>
          <w:color w:val="000000"/>
          <w:sz w:val="22"/>
          <w:szCs w:val="22"/>
          <w:u w:val="single"/>
          <w:lang w:val="sr-Latn-ME"/>
        </w:rPr>
      </w:pPr>
      <w:r w:rsidRPr="004500D8">
        <w:rPr>
          <w:color w:val="000000"/>
          <w:sz w:val="22"/>
          <w:szCs w:val="22"/>
          <w:u w:val="single"/>
          <w:lang w:val="sr-Latn-ME"/>
        </w:rPr>
        <w:t>Crohn-ova bolest</w:t>
      </w:r>
    </w:p>
    <w:p w14:paraId="6C44294F"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0DF1AF04" w14:textId="77777777" w:rsidR="00596C07" w:rsidRPr="004500D8" w:rsidRDefault="00596C07" w:rsidP="00596C07">
      <w:pPr>
        <w:widowControl w:val="0"/>
        <w:autoSpaceDE w:val="0"/>
        <w:autoSpaceDN w:val="0"/>
        <w:adjustRightInd w:val="0"/>
        <w:jc w:val="both"/>
        <w:rPr>
          <w:sz w:val="22"/>
          <w:szCs w:val="22"/>
          <w:lang w:val="sr-Latn-ME"/>
        </w:rPr>
      </w:pPr>
      <w:r w:rsidRPr="004500D8">
        <w:rPr>
          <w:color w:val="000000"/>
          <w:sz w:val="22"/>
          <w:szCs w:val="22"/>
          <w:lang w:val="sr-Latn-ME"/>
        </w:rPr>
        <w:t xml:space="preserve">Lijek Humira </w:t>
      </w:r>
      <w:r w:rsidRPr="004500D8">
        <w:rPr>
          <w:sz w:val="22"/>
          <w:szCs w:val="22"/>
          <w:lang w:val="sr-Latn-ME"/>
        </w:rPr>
        <w:t xml:space="preserve">je indikovan za terapiju umjerene do teške aktivne </w:t>
      </w:r>
      <w:r w:rsidRPr="004500D8">
        <w:rPr>
          <w:color w:val="000000"/>
          <w:sz w:val="22"/>
          <w:szCs w:val="22"/>
          <w:lang w:val="sr-Latn-ME"/>
        </w:rPr>
        <w:t xml:space="preserve">Crohn-ove bolesti </w:t>
      </w:r>
      <w:r w:rsidRPr="004500D8">
        <w:rPr>
          <w:sz w:val="22"/>
          <w:szCs w:val="22"/>
          <w:lang w:val="sr-Latn-ME"/>
        </w:rPr>
        <w:t xml:space="preserve">kod odraslih pacijenata kod kojih nije postignut zadovoljavajući odgovor uprkos potpunom i adekvatnom toku terapije kortikosteroidima i/ili </w:t>
      </w:r>
      <w:r w:rsidRPr="004500D8">
        <w:rPr>
          <w:color w:val="000000"/>
          <w:sz w:val="22"/>
          <w:szCs w:val="22"/>
          <w:lang w:val="sr-Latn-ME"/>
        </w:rPr>
        <w:t xml:space="preserve">imunosupresivnim ljekovima, odnosno </w:t>
      </w:r>
      <w:r w:rsidRPr="004500D8">
        <w:rPr>
          <w:sz w:val="22"/>
          <w:szCs w:val="22"/>
          <w:lang w:val="sr-Latn-ME"/>
        </w:rPr>
        <w:t xml:space="preserve">kod kojih su one kontraindikovane, ili u slučajevima kada ne podnose takve vrste terapija. </w:t>
      </w:r>
    </w:p>
    <w:p w14:paraId="0BD3F4EA" w14:textId="77777777" w:rsidR="00596C07" w:rsidRPr="004500D8" w:rsidRDefault="00596C07" w:rsidP="00596C07">
      <w:pPr>
        <w:widowControl w:val="0"/>
        <w:autoSpaceDE w:val="0"/>
        <w:autoSpaceDN w:val="0"/>
        <w:adjustRightInd w:val="0"/>
        <w:jc w:val="both"/>
        <w:rPr>
          <w:iCs/>
          <w:sz w:val="22"/>
          <w:szCs w:val="22"/>
          <w:lang w:val="sr-Latn-ME"/>
        </w:rPr>
      </w:pPr>
    </w:p>
    <w:p w14:paraId="5D675AEC" w14:textId="77777777" w:rsidR="00596C07" w:rsidRPr="004500D8" w:rsidRDefault="00596C07" w:rsidP="00596C07">
      <w:pPr>
        <w:widowControl w:val="0"/>
        <w:autoSpaceDE w:val="0"/>
        <w:autoSpaceDN w:val="0"/>
        <w:adjustRightInd w:val="0"/>
        <w:jc w:val="both"/>
        <w:rPr>
          <w:sz w:val="22"/>
          <w:szCs w:val="22"/>
          <w:u w:val="single"/>
          <w:lang w:val="sr-Latn-ME"/>
        </w:rPr>
      </w:pPr>
      <w:r w:rsidRPr="004500D8">
        <w:rPr>
          <w:sz w:val="22"/>
          <w:szCs w:val="22"/>
          <w:u w:val="single"/>
          <w:lang w:val="sr-Latn-ME"/>
        </w:rPr>
        <w:t>Crohn-ova bolest kod djece</w:t>
      </w:r>
    </w:p>
    <w:p w14:paraId="6117E620" w14:textId="77777777" w:rsidR="00596C07" w:rsidRPr="004500D8" w:rsidRDefault="00596C07" w:rsidP="00596C07">
      <w:pPr>
        <w:widowControl w:val="0"/>
        <w:autoSpaceDE w:val="0"/>
        <w:autoSpaceDN w:val="0"/>
        <w:adjustRightInd w:val="0"/>
        <w:jc w:val="both"/>
        <w:rPr>
          <w:sz w:val="22"/>
          <w:szCs w:val="22"/>
          <w:u w:val="single"/>
          <w:lang w:val="sr-Latn-ME"/>
        </w:rPr>
      </w:pPr>
    </w:p>
    <w:p w14:paraId="6CE44405" w14:textId="77777777" w:rsidR="00596C07" w:rsidRPr="004500D8" w:rsidRDefault="00596C07" w:rsidP="00596C07">
      <w:pPr>
        <w:widowControl w:val="0"/>
        <w:autoSpaceDE w:val="0"/>
        <w:autoSpaceDN w:val="0"/>
        <w:adjustRightInd w:val="0"/>
        <w:jc w:val="both"/>
        <w:rPr>
          <w:sz w:val="22"/>
          <w:szCs w:val="22"/>
          <w:lang w:val="sr-Latn-ME"/>
        </w:rPr>
      </w:pPr>
      <w:r w:rsidRPr="004500D8">
        <w:rPr>
          <w:color w:val="000000"/>
          <w:sz w:val="22"/>
          <w:szCs w:val="22"/>
          <w:lang w:val="sr-Latn-ME"/>
        </w:rPr>
        <w:t xml:space="preserve">Lijek </w:t>
      </w:r>
      <w:r w:rsidRPr="004500D8">
        <w:rPr>
          <w:sz w:val="22"/>
          <w:szCs w:val="22"/>
          <w:lang w:val="sr-Latn-ME"/>
        </w:rPr>
        <w:t>Humira je indikovan za terapiju umjerenog do teškog oblika aktivne Crohn-ove bolesti kod pedijatrijskih pacijenata (uzrasta od 6 ili više godina) kod kojih nije postignut zadovoljavajući odgovor na konvencionalnu terapiju, uključujući primarnu nutritivnu terapiju,</w:t>
      </w:r>
      <w:r w:rsidRPr="004500D8">
        <w:rPr>
          <w:color w:val="000000"/>
          <w:sz w:val="22"/>
          <w:szCs w:val="22"/>
          <w:lang w:val="sr-Latn-ME"/>
        </w:rPr>
        <w:t xml:space="preserve"> </w:t>
      </w:r>
      <w:r w:rsidRPr="004500D8">
        <w:rPr>
          <w:sz w:val="22"/>
          <w:szCs w:val="22"/>
          <w:lang w:val="sr-Latn-ME"/>
        </w:rPr>
        <w:t>kortikosteroide i/ili imunomodulatore, ili u slučajevima nepodnošenja ili kod kojih su kontraindikovane takve vrste terapija.</w:t>
      </w:r>
    </w:p>
    <w:p w14:paraId="0C127153" w14:textId="77777777" w:rsidR="00596C07" w:rsidRPr="004500D8" w:rsidRDefault="00596C07" w:rsidP="00596C07">
      <w:pPr>
        <w:tabs>
          <w:tab w:val="left" w:pos="1230"/>
        </w:tabs>
        <w:rPr>
          <w:bCs/>
          <w:sz w:val="22"/>
          <w:szCs w:val="22"/>
          <w:lang w:val="sr-Latn-ME"/>
        </w:rPr>
      </w:pPr>
    </w:p>
    <w:p w14:paraId="3A923A38" w14:textId="77777777" w:rsidR="00596C07" w:rsidRPr="004500D8" w:rsidRDefault="00596C07" w:rsidP="00596C07">
      <w:pPr>
        <w:widowControl w:val="0"/>
        <w:autoSpaceDE w:val="0"/>
        <w:autoSpaceDN w:val="0"/>
        <w:adjustRightInd w:val="0"/>
        <w:jc w:val="both"/>
        <w:rPr>
          <w:color w:val="000000"/>
          <w:sz w:val="22"/>
          <w:szCs w:val="22"/>
          <w:u w:val="single"/>
          <w:lang w:val="sr-Latn-ME"/>
        </w:rPr>
      </w:pPr>
      <w:r w:rsidRPr="004500D8">
        <w:rPr>
          <w:color w:val="000000"/>
          <w:sz w:val="22"/>
          <w:szCs w:val="22"/>
          <w:u w:val="single"/>
          <w:lang w:val="sr-Latn-ME"/>
        </w:rPr>
        <w:t>Ulcerozni kolitis</w:t>
      </w:r>
    </w:p>
    <w:p w14:paraId="16D0519C"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50D78A4A" w14:textId="77777777" w:rsidR="00596C07" w:rsidRPr="004500D8" w:rsidRDefault="00596C07" w:rsidP="00596C07">
      <w:pPr>
        <w:widowControl w:val="0"/>
        <w:autoSpaceDE w:val="0"/>
        <w:autoSpaceDN w:val="0"/>
        <w:adjustRightInd w:val="0"/>
        <w:jc w:val="both"/>
        <w:rPr>
          <w:sz w:val="22"/>
          <w:szCs w:val="22"/>
          <w:lang w:val="sr-Latn-ME"/>
        </w:rPr>
      </w:pPr>
      <w:r w:rsidRPr="004500D8">
        <w:rPr>
          <w:color w:val="000000"/>
          <w:sz w:val="22"/>
          <w:szCs w:val="22"/>
          <w:lang w:val="sr-Latn-ME"/>
        </w:rPr>
        <w:t xml:space="preserve">Lijek Humira </w:t>
      </w:r>
      <w:r w:rsidRPr="004500D8">
        <w:rPr>
          <w:sz w:val="22"/>
          <w:szCs w:val="22"/>
          <w:lang w:val="sr-Latn-ME"/>
        </w:rPr>
        <w:t xml:space="preserve">je indikovan za terapiju umjerenog do teškog aktivnog ulceroznog kolitisa </w:t>
      </w:r>
      <w:r w:rsidRPr="004500D8">
        <w:rPr>
          <w:color w:val="000000"/>
          <w:sz w:val="22"/>
          <w:szCs w:val="22"/>
          <w:lang w:val="sr-Latn-ME"/>
        </w:rPr>
        <w:t xml:space="preserve">kod odraslih kod kojih konvencionalnim načinom liječenja nije postignut zadovoljavajući odgovor, uključujući kortikosteroide i 6-merkaptopurin (6-MP) ili azatioprin (AZA) ili </w:t>
      </w:r>
      <w:r w:rsidRPr="004500D8">
        <w:rPr>
          <w:sz w:val="22"/>
          <w:szCs w:val="22"/>
          <w:lang w:val="sr-Latn-ME"/>
        </w:rPr>
        <w:t>u slučajevima nepodnošenja, odnosno kod pacijenata koji imaju kontraindikacije prilikom primjene navedenih terapija.</w:t>
      </w:r>
    </w:p>
    <w:p w14:paraId="77E110B2" w14:textId="77777777" w:rsidR="00596C07" w:rsidRPr="004500D8" w:rsidRDefault="00596C07" w:rsidP="00596C07">
      <w:pPr>
        <w:widowControl w:val="0"/>
        <w:autoSpaceDE w:val="0"/>
        <w:autoSpaceDN w:val="0"/>
        <w:adjustRightInd w:val="0"/>
        <w:jc w:val="both"/>
        <w:rPr>
          <w:sz w:val="22"/>
          <w:szCs w:val="22"/>
          <w:lang w:val="sr-Latn-ME"/>
        </w:rPr>
      </w:pPr>
    </w:p>
    <w:p w14:paraId="104A7860" w14:textId="77777777" w:rsidR="00596C07" w:rsidRPr="004500D8" w:rsidRDefault="00596C07" w:rsidP="00596C07">
      <w:pPr>
        <w:widowControl w:val="0"/>
        <w:autoSpaceDE w:val="0"/>
        <w:autoSpaceDN w:val="0"/>
        <w:adjustRightInd w:val="0"/>
        <w:jc w:val="both"/>
        <w:rPr>
          <w:sz w:val="22"/>
          <w:szCs w:val="22"/>
          <w:lang w:val="sr-Latn-ME"/>
        </w:rPr>
      </w:pPr>
    </w:p>
    <w:p w14:paraId="13F8AA28" w14:textId="051A2B4C" w:rsidR="00596C07" w:rsidRPr="003B242C" w:rsidRDefault="00596C07" w:rsidP="00596C07">
      <w:pPr>
        <w:widowControl w:val="0"/>
        <w:autoSpaceDE w:val="0"/>
        <w:autoSpaceDN w:val="0"/>
        <w:adjustRightInd w:val="0"/>
        <w:jc w:val="both"/>
        <w:rPr>
          <w:sz w:val="22"/>
          <w:szCs w:val="22"/>
          <w:u w:val="single"/>
          <w:lang w:val="sr-Latn-ME"/>
        </w:rPr>
      </w:pPr>
      <w:r w:rsidRPr="003B242C">
        <w:rPr>
          <w:sz w:val="22"/>
          <w:szCs w:val="22"/>
          <w:u w:val="single"/>
          <w:lang w:val="sr-Latn-ME"/>
        </w:rPr>
        <w:t>Ulcerozni kolitis kod djece</w:t>
      </w:r>
    </w:p>
    <w:p w14:paraId="57FBB675" w14:textId="77777777" w:rsidR="00897FA1" w:rsidRPr="003B242C" w:rsidRDefault="00897FA1" w:rsidP="00596C07">
      <w:pPr>
        <w:widowControl w:val="0"/>
        <w:autoSpaceDE w:val="0"/>
        <w:autoSpaceDN w:val="0"/>
        <w:adjustRightInd w:val="0"/>
        <w:jc w:val="both"/>
        <w:rPr>
          <w:sz w:val="22"/>
          <w:szCs w:val="22"/>
          <w:u w:val="single"/>
          <w:lang w:val="sr-Latn-ME"/>
        </w:rPr>
      </w:pPr>
    </w:p>
    <w:p w14:paraId="45A48B9C" w14:textId="77777777" w:rsidR="00596C07" w:rsidRPr="003B242C" w:rsidRDefault="00596C07" w:rsidP="00596C07">
      <w:pPr>
        <w:widowControl w:val="0"/>
        <w:autoSpaceDE w:val="0"/>
        <w:autoSpaceDN w:val="0"/>
        <w:adjustRightInd w:val="0"/>
        <w:jc w:val="both"/>
        <w:rPr>
          <w:sz w:val="22"/>
          <w:szCs w:val="22"/>
          <w:lang w:val="sr-Latn-ME"/>
        </w:rPr>
      </w:pPr>
      <w:r w:rsidRPr="003B242C">
        <w:rPr>
          <w:sz w:val="22"/>
          <w:szCs w:val="22"/>
          <w:lang w:val="sr-Latn-ME"/>
        </w:rPr>
        <w:t>Humira je indikovana za liječenje umjerenog do teškog oblika aktivnog ulceroznog kolitisa kod pedijatrijskih bolesnika (starosti od 6 godina i starijih) kod kojih nije postignut zadovoljavajući odgovor na konvencionalnu terapiju, uključujući liječenje kortikosteroidima i/ili 6-merkaptopurinom (6-MP) ili azatioprinom (AZA), ili kod onih koji ne podnose ili imaju medicinske kontraindikacije za takve terapije.</w:t>
      </w:r>
    </w:p>
    <w:p w14:paraId="548CB9A9" w14:textId="77777777" w:rsidR="00596C07" w:rsidRPr="004500D8" w:rsidRDefault="00596C07" w:rsidP="00596C07">
      <w:pPr>
        <w:widowControl w:val="0"/>
        <w:autoSpaceDE w:val="0"/>
        <w:autoSpaceDN w:val="0"/>
        <w:adjustRightInd w:val="0"/>
        <w:jc w:val="both"/>
        <w:rPr>
          <w:sz w:val="22"/>
          <w:szCs w:val="22"/>
          <w:lang w:val="sr-Latn-ME"/>
        </w:rPr>
      </w:pPr>
    </w:p>
    <w:p w14:paraId="35BB6801" w14:textId="77777777" w:rsidR="00596C07" w:rsidRPr="004500D8" w:rsidRDefault="00596C07" w:rsidP="00596C07">
      <w:pPr>
        <w:widowControl w:val="0"/>
        <w:autoSpaceDE w:val="0"/>
        <w:autoSpaceDN w:val="0"/>
        <w:adjustRightInd w:val="0"/>
        <w:jc w:val="both"/>
        <w:rPr>
          <w:sz w:val="22"/>
          <w:szCs w:val="22"/>
          <w:lang w:val="sr-Latn-ME"/>
        </w:rPr>
      </w:pPr>
    </w:p>
    <w:p w14:paraId="7191BF82" w14:textId="77777777" w:rsidR="00596C07" w:rsidRPr="004500D8" w:rsidRDefault="00596C07" w:rsidP="00596C07">
      <w:pPr>
        <w:widowControl w:val="0"/>
        <w:autoSpaceDE w:val="0"/>
        <w:autoSpaceDN w:val="0"/>
        <w:adjustRightInd w:val="0"/>
        <w:jc w:val="both"/>
        <w:rPr>
          <w:sz w:val="22"/>
          <w:szCs w:val="22"/>
          <w:u w:val="single"/>
          <w:lang w:val="sr-Latn-ME"/>
        </w:rPr>
      </w:pPr>
      <w:r w:rsidRPr="004500D8">
        <w:rPr>
          <w:sz w:val="22"/>
          <w:szCs w:val="22"/>
          <w:u w:val="single"/>
          <w:lang w:val="sr-Latn-ME"/>
        </w:rPr>
        <w:t>Uveitis</w:t>
      </w:r>
    </w:p>
    <w:p w14:paraId="7F6CD390" w14:textId="77777777" w:rsidR="00596C07" w:rsidRPr="004500D8" w:rsidRDefault="00596C07" w:rsidP="00596C07">
      <w:pPr>
        <w:widowControl w:val="0"/>
        <w:autoSpaceDE w:val="0"/>
        <w:autoSpaceDN w:val="0"/>
        <w:adjustRightInd w:val="0"/>
        <w:jc w:val="both"/>
        <w:rPr>
          <w:sz w:val="22"/>
          <w:szCs w:val="22"/>
          <w:lang w:val="sr-Latn-ME"/>
        </w:rPr>
      </w:pPr>
    </w:p>
    <w:p w14:paraId="0CFD268A"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Lijek Humira je indikovan za terapiju neinfektivnog intermedijalnog, posteriornog i panuveitisa kod odraslih pacijenata kod kojih nije postignut zadovoljavajući odgovor na terapiju kortikosteroidima, kod pacijenata kojima je potrebno smanjiti ili ukinuti primjenu kortikosteroida (</w:t>
      </w:r>
      <w:r w:rsidRPr="004500D8">
        <w:rPr>
          <w:i/>
          <w:sz w:val="22"/>
          <w:szCs w:val="22"/>
          <w:lang w:val="sr-Latn-ME"/>
        </w:rPr>
        <w:t>corticosteroid – sparing</w:t>
      </w:r>
      <w:r w:rsidRPr="004500D8">
        <w:rPr>
          <w:sz w:val="22"/>
          <w:szCs w:val="22"/>
          <w:lang w:val="sr-Latn-ME"/>
        </w:rPr>
        <w:t>) ili kod kojih terapija kortikosteroidima nije adekvatna.</w:t>
      </w:r>
    </w:p>
    <w:p w14:paraId="66BC2CE9" w14:textId="77777777" w:rsidR="00596C07" w:rsidRPr="004500D8" w:rsidRDefault="00596C07" w:rsidP="00596C07">
      <w:pPr>
        <w:widowControl w:val="0"/>
        <w:autoSpaceDE w:val="0"/>
        <w:autoSpaceDN w:val="0"/>
        <w:adjustRightInd w:val="0"/>
        <w:jc w:val="both"/>
        <w:rPr>
          <w:sz w:val="22"/>
          <w:szCs w:val="22"/>
          <w:lang w:val="sr-Latn-ME"/>
        </w:rPr>
      </w:pPr>
    </w:p>
    <w:p w14:paraId="5C13CA00" w14:textId="77777777" w:rsidR="00596C07" w:rsidRPr="004500D8" w:rsidRDefault="00596C07" w:rsidP="00596C07">
      <w:pPr>
        <w:widowControl w:val="0"/>
        <w:autoSpaceDE w:val="0"/>
        <w:autoSpaceDN w:val="0"/>
        <w:adjustRightInd w:val="0"/>
        <w:jc w:val="both"/>
        <w:rPr>
          <w:sz w:val="22"/>
          <w:szCs w:val="22"/>
          <w:u w:val="single"/>
          <w:lang w:val="sr-Latn-ME"/>
        </w:rPr>
      </w:pPr>
      <w:r w:rsidRPr="004500D8">
        <w:rPr>
          <w:sz w:val="22"/>
          <w:szCs w:val="22"/>
          <w:u w:val="single"/>
          <w:lang w:val="sr-Latn-ME"/>
        </w:rPr>
        <w:t>Uveitis kod djece</w:t>
      </w:r>
    </w:p>
    <w:p w14:paraId="7E39364A" w14:textId="77777777" w:rsidR="00596C07" w:rsidRPr="004500D8" w:rsidRDefault="00596C07" w:rsidP="00596C07">
      <w:pPr>
        <w:widowControl w:val="0"/>
        <w:autoSpaceDE w:val="0"/>
        <w:autoSpaceDN w:val="0"/>
        <w:adjustRightInd w:val="0"/>
        <w:jc w:val="both"/>
        <w:rPr>
          <w:sz w:val="22"/>
          <w:szCs w:val="22"/>
          <w:lang w:val="sr-Latn-ME"/>
        </w:rPr>
      </w:pPr>
    </w:p>
    <w:p w14:paraId="73E4C258"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Lijek Humira je indikovan za terapiju hroničnog neinfektivnog, anteriornog uveitisa kod pedijatrijskih pacijenata uzrasta od 2 i više godina kod kojih nije postignut zadovoljavajući odgovor ili nisu tolerantni na konvencionalnu terapiju, ili kod kojih konvencionalna terapija nije adekvatna.</w:t>
      </w:r>
    </w:p>
    <w:p w14:paraId="2A00A7C6" w14:textId="77777777" w:rsidR="00596C07" w:rsidRPr="004500D8" w:rsidRDefault="00596C07" w:rsidP="00596C07">
      <w:pPr>
        <w:tabs>
          <w:tab w:val="left" w:pos="540"/>
          <w:tab w:val="left" w:pos="569"/>
        </w:tabs>
        <w:rPr>
          <w:b/>
          <w:bCs/>
          <w:sz w:val="22"/>
          <w:szCs w:val="22"/>
          <w:lang w:val="sr-Latn-ME"/>
        </w:rPr>
      </w:pPr>
    </w:p>
    <w:p w14:paraId="76312FDE"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 xml:space="preserve">4.2. </w:t>
      </w:r>
      <w:r w:rsidRPr="004500D8">
        <w:rPr>
          <w:b/>
          <w:bCs/>
          <w:sz w:val="22"/>
          <w:szCs w:val="22"/>
          <w:lang w:val="sr-Latn-ME"/>
        </w:rPr>
        <w:tab/>
        <w:t>Doziranje i način primjene</w:t>
      </w:r>
    </w:p>
    <w:p w14:paraId="580648CA" w14:textId="77777777" w:rsidR="00596C07" w:rsidRPr="004500D8" w:rsidRDefault="00596C07" w:rsidP="00596C07">
      <w:pPr>
        <w:tabs>
          <w:tab w:val="left" w:pos="2388"/>
        </w:tabs>
        <w:rPr>
          <w:bCs/>
          <w:sz w:val="22"/>
          <w:szCs w:val="22"/>
          <w:lang w:val="sr-Latn-ME"/>
        </w:rPr>
      </w:pPr>
      <w:r w:rsidRPr="004500D8">
        <w:rPr>
          <w:bCs/>
          <w:sz w:val="22"/>
          <w:szCs w:val="22"/>
          <w:lang w:val="sr-Latn-ME"/>
        </w:rPr>
        <w:tab/>
      </w:r>
    </w:p>
    <w:p w14:paraId="04235204" w14:textId="1DBD9F18"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Liječenje lijekom Humira treba da započnu i nadziru ljekari specijalisti s iskustvom u dijagnostici i liječenju </w:t>
      </w:r>
      <w:r w:rsidRPr="004500D8">
        <w:rPr>
          <w:iCs/>
          <w:sz w:val="22"/>
          <w:szCs w:val="22"/>
          <w:lang w:val="sr-Latn-ME"/>
        </w:rPr>
        <w:t>oboljenja za koja je ovaj lijek indikovan</w:t>
      </w:r>
      <w:r w:rsidRPr="004500D8">
        <w:rPr>
          <w:sz w:val="22"/>
          <w:szCs w:val="22"/>
          <w:lang w:val="sr-Latn-ME"/>
        </w:rPr>
        <w:t xml:space="preserve">. Oftalmolozima se preporučuje da se posavjetuju sa odgovarajućim specijalistom prije nego što započnu liječenje lijekom Humira (vidjeti </w:t>
      </w:r>
      <w:r w:rsidR="00A2734E" w:rsidRPr="004500D8">
        <w:rPr>
          <w:sz w:val="22"/>
          <w:szCs w:val="22"/>
          <w:lang w:val="sr-Latn-ME"/>
        </w:rPr>
        <w:t xml:space="preserve">dio </w:t>
      </w:r>
      <w:r w:rsidRPr="004500D8">
        <w:rPr>
          <w:sz w:val="22"/>
          <w:szCs w:val="22"/>
          <w:lang w:val="sr-Latn-ME"/>
        </w:rPr>
        <w:t>4.4). Pacijentima koji se liječe lijekom Humira treba dati Karticu podsjetnik za pacijente.</w:t>
      </w:r>
    </w:p>
    <w:p w14:paraId="5A0E14C1" w14:textId="77777777" w:rsidR="00596C07" w:rsidRPr="004500D8" w:rsidRDefault="00596C07" w:rsidP="00596C07">
      <w:pPr>
        <w:widowControl w:val="0"/>
        <w:autoSpaceDE w:val="0"/>
        <w:autoSpaceDN w:val="0"/>
        <w:adjustRightInd w:val="0"/>
        <w:jc w:val="both"/>
        <w:rPr>
          <w:sz w:val="22"/>
          <w:szCs w:val="22"/>
          <w:lang w:val="sr-Latn-ME"/>
        </w:rPr>
      </w:pPr>
    </w:p>
    <w:p w14:paraId="693F1DE2" w14:textId="4D1BDBE9"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Nakon odgovarajuće obuke o tehnici</w:t>
      </w:r>
      <w:r w:rsidR="00A2734E" w:rsidRPr="004500D8">
        <w:rPr>
          <w:sz w:val="22"/>
          <w:szCs w:val="22"/>
          <w:lang w:val="sr-Latn-ME"/>
        </w:rPr>
        <w:t xml:space="preserve"> </w:t>
      </w:r>
      <w:r w:rsidRPr="004500D8">
        <w:rPr>
          <w:sz w:val="22"/>
          <w:szCs w:val="22"/>
          <w:lang w:val="sr-Latn-ME"/>
        </w:rPr>
        <w:t xml:space="preserve">injiciranja, pacijenti mogu sami sebi davati injekcije lijeka Humira, </w:t>
      </w:r>
      <w:r w:rsidRPr="004500D8">
        <w:rPr>
          <w:sz w:val="22"/>
          <w:szCs w:val="22"/>
          <w:lang w:val="sr-Latn-ME"/>
        </w:rPr>
        <w:lastRenderedPageBreak/>
        <w:t>ako njihov ljekar procijeni da je to prikladno sprovesti uz medicinsko praćenje po potrebi.</w:t>
      </w:r>
    </w:p>
    <w:p w14:paraId="356A44EA" w14:textId="77777777" w:rsidR="00596C07" w:rsidRPr="004500D8" w:rsidRDefault="00596C07" w:rsidP="00596C07">
      <w:pPr>
        <w:widowControl w:val="0"/>
        <w:autoSpaceDE w:val="0"/>
        <w:autoSpaceDN w:val="0"/>
        <w:adjustRightInd w:val="0"/>
        <w:jc w:val="both"/>
        <w:rPr>
          <w:sz w:val="22"/>
          <w:szCs w:val="22"/>
          <w:lang w:val="sr-Latn-ME"/>
        </w:rPr>
      </w:pPr>
    </w:p>
    <w:p w14:paraId="48E2885E"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sz w:val="22"/>
          <w:szCs w:val="22"/>
          <w:lang w:val="sr-Latn-ME"/>
        </w:rPr>
        <w:t xml:space="preserve">Tokom liječenja lijekom Humira, potrebno je optimizovati druge prateće terapije (npr. terapije kortikosteroidima i/ili </w:t>
      </w:r>
      <w:r w:rsidRPr="004500D8">
        <w:rPr>
          <w:color w:val="000000"/>
          <w:sz w:val="22"/>
          <w:szCs w:val="22"/>
          <w:lang w:val="sr-Latn-ME"/>
        </w:rPr>
        <w:t xml:space="preserve">imunosupresivnim ljekovima). </w:t>
      </w:r>
    </w:p>
    <w:p w14:paraId="3596634D" w14:textId="77777777" w:rsidR="00596C07" w:rsidRPr="004500D8" w:rsidRDefault="00596C07" w:rsidP="00596C07">
      <w:pPr>
        <w:widowControl w:val="0"/>
        <w:autoSpaceDE w:val="0"/>
        <w:autoSpaceDN w:val="0"/>
        <w:adjustRightInd w:val="0"/>
        <w:jc w:val="both"/>
        <w:rPr>
          <w:sz w:val="22"/>
          <w:szCs w:val="22"/>
          <w:lang w:val="sr-Latn-ME"/>
        </w:rPr>
      </w:pPr>
    </w:p>
    <w:p w14:paraId="656C630D" w14:textId="77777777" w:rsidR="00596C07" w:rsidRPr="004500D8" w:rsidRDefault="00596C07" w:rsidP="00596C07">
      <w:pPr>
        <w:widowControl w:val="0"/>
        <w:autoSpaceDE w:val="0"/>
        <w:autoSpaceDN w:val="0"/>
        <w:adjustRightInd w:val="0"/>
        <w:jc w:val="both"/>
        <w:rPr>
          <w:sz w:val="22"/>
          <w:szCs w:val="22"/>
          <w:u w:val="single"/>
          <w:lang w:val="sr-Latn-ME"/>
        </w:rPr>
      </w:pPr>
      <w:r w:rsidRPr="004500D8">
        <w:rPr>
          <w:sz w:val="22"/>
          <w:szCs w:val="22"/>
          <w:u w:val="single"/>
          <w:lang w:val="sr-Latn-ME"/>
        </w:rPr>
        <w:t>Doziranje</w:t>
      </w:r>
    </w:p>
    <w:p w14:paraId="0A20E103" w14:textId="77777777" w:rsidR="00596C07" w:rsidRPr="004500D8" w:rsidRDefault="00596C07" w:rsidP="00596C07">
      <w:pPr>
        <w:widowControl w:val="0"/>
        <w:autoSpaceDE w:val="0"/>
        <w:autoSpaceDN w:val="0"/>
        <w:adjustRightInd w:val="0"/>
        <w:jc w:val="both"/>
        <w:rPr>
          <w:sz w:val="22"/>
          <w:szCs w:val="22"/>
          <w:lang w:val="sr-Latn-ME"/>
        </w:rPr>
      </w:pPr>
    </w:p>
    <w:p w14:paraId="2A64EA29" w14:textId="77777777" w:rsidR="00596C07" w:rsidRPr="004500D8" w:rsidRDefault="00596C07" w:rsidP="00596C07">
      <w:pPr>
        <w:widowControl w:val="0"/>
        <w:autoSpaceDE w:val="0"/>
        <w:autoSpaceDN w:val="0"/>
        <w:adjustRightInd w:val="0"/>
        <w:jc w:val="both"/>
        <w:rPr>
          <w:i/>
          <w:sz w:val="22"/>
          <w:szCs w:val="22"/>
          <w:lang w:val="sr-Latn-ME"/>
        </w:rPr>
      </w:pPr>
      <w:r w:rsidRPr="004500D8">
        <w:rPr>
          <w:i/>
          <w:sz w:val="22"/>
          <w:szCs w:val="22"/>
          <w:lang w:val="sr-Latn-ME"/>
        </w:rPr>
        <w:t xml:space="preserve">Reumatoidni artritis </w:t>
      </w:r>
    </w:p>
    <w:p w14:paraId="7C77F7F7" w14:textId="77777777" w:rsidR="00596C07" w:rsidRPr="004500D8" w:rsidRDefault="00596C07" w:rsidP="00596C07">
      <w:pPr>
        <w:widowControl w:val="0"/>
        <w:autoSpaceDE w:val="0"/>
        <w:autoSpaceDN w:val="0"/>
        <w:adjustRightInd w:val="0"/>
        <w:jc w:val="both"/>
        <w:rPr>
          <w:sz w:val="22"/>
          <w:szCs w:val="22"/>
          <w:u w:val="single"/>
          <w:lang w:val="sr-Latn-ME"/>
        </w:rPr>
      </w:pPr>
    </w:p>
    <w:p w14:paraId="2170AD1A" w14:textId="0E8D19B0"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Preporučena doza lijeka Humira kod odraslih pacijenata sa reumatoidnim artritisom je 40 mg adalimumaba svake druge nedjelje u vidu pojedinačne doze su</w:t>
      </w:r>
      <w:r w:rsidR="00A2734E" w:rsidRPr="004500D8">
        <w:rPr>
          <w:sz w:val="22"/>
          <w:szCs w:val="22"/>
          <w:lang w:val="sr-Latn-ME"/>
        </w:rPr>
        <w:t>p</w:t>
      </w:r>
      <w:r w:rsidRPr="004500D8">
        <w:rPr>
          <w:sz w:val="22"/>
          <w:szCs w:val="22"/>
          <w:lang w:val="sr-Latn-ME"/>
        </w:rPr>
        <w:t xml:space="preserve">kutanom injekcijom. Potrebno je nastaviti terapiju metotreksatom tokom liječenja lijekom Humira. </w:t>
      </w:r>
    </w:p>
    <w:p w14:paraId="7AAD8759" w14:textId="77777777" w:rsidR="00596C07" w:rsidRPr="004500D8" w:rsidRDefault="00596C07" w:rsidP="00596C07">
      <w:pPr>
        <w:widowControl w:val="0"/>
        <w:autoSpaceDE w:val="0"/>
        <w:autoSpaceDN w:val="0"/>
        <w:adjustRightInd w:val="0"/>
        <w:jc w:val="both"/>
        <w:rPr>
          <w:sz w:val="22"/>
          <w:szCs w:val="22"/>
          <w:lang w:val="sr-Latn-ME"/>
        </w:rPr>
      </w:pPr>
    </w:p>
    <w:p w14:paraId="6E2E576B" w14:textId="561F30BB"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Terapija glukokortikoidima, salicilatima, nesteroidnim antiinflamatornim ljekovima (NSAIL-a) ili analgeticima se može nastaviti tokom liječenja lijekom Humira. Za dodatne informacije o kombinovanju sa antireumatskim ljekovima koji modifikuju tok bolesti, osim metotreksata, vidjeti </w:t>
      </w:r>
      <w:r w:rsidR="00A2734E" w:rsidRPr="004500D8">
        <w:rPr>
          <w:sz w:val="22"/>
          <w:szCs w:val="22"/>
          <w:lang w:val="sr-Latn-ME"/>
        </w:rPr>
        <w:t xml:space="preserve">djelove </w:t>
      </w:r>
      <w:r w:rsidRPr="004500D8">
        <w:rPr>
          <w:sz w:val="22"/>
          <w:szCs w:val="22"/>
          <w:lang w:val="sr-Latn-ME"/>
        </w:rPr>
        <w:t xml:space="preserve">4.4 i 5.1. </w:t>
      </w:r>
    </w:p>
    <w:p w14:paraId="02DC87E8" w14:textId="77777777" w:rsidR="00596C07" w:rsidRPr="004500D8" w:rsidRDefault="00596C07" w:rsidP="00596C07">
      <w:pPr>
        <w:widowControl w:val="0"/>
        <w:autoSpaceDE w:val="0"/>
        <w:autoSpaceDN w:val="0"/>
        <w:adjustRightInd w:val="0"/>
        <w:jc w:val="both"/>
        <w:rPr>
          <w:sz w:val="22"/>
          <w:szCs w:val="22"/>
          <w:lang w:val="sr-Latn-ME"/>
        </w:rPr>
      </w:pPr>
    </w:p>
    <w:p w14:paraId="61566F46"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Pri monoterapiji, za neke pacijente kod kojih dođe do pada nivoa odgovora na lijek Humira 40 mg svake druge nedjelje, može biti korisno povećanje doziranja na 40 mg adalimumaba svake nedjelje, ili na 80 mg svake druge nedjelje. </w:t>
      </w:r>
    </w:p>
    <w:p w14:paraId="4BF7BFC6" w14:textId="77777777" w:rsidR="00596C07" w:rsidRPr="004500D8" w:rsidRDefault="00596C07" w:rsidP="00596C07">
      <w:pPr>
        <w:widowControl w:val="0"/>
        <w:autoSpaceDE w:val="0"/>
        <w:autoSpaceDN w:val="0"/>
        <w:adjustRightInd w:val="0"/>
        <w:jc w:val="both"/>
        <w:rPr>
          <w:sz w:val="22"/>
          <w:szCs w:val="22"/>
          <w:lang w:val="sr-Latn-ME"/>
        </w:rPr>
      </w:pPr>
    </w:p>
    <w:p w14:paraId="7A84FC9F"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Dostupni podaci pokazuju da se klinički odgovor obično postiže u okviru 12 nedjelja liječenja. Ako se unutar tog perioda ne postigne terapijski odgovor, treba razmotriti nastavak liječenja takvog pacijenta.</w:t>
      </w:r>
    </w:p>
    <w:p w14:paraId="5ADC5CF7" w14:textId="77777777" w:rsidR="00596C07" w:rsidRPr="004500D8" w:rsidRDefault="00596C07" w:rsidP="00596C07">
      <w:pPr>
        <w:widowControl w:val="0"/>
        <w:autoSpaceDE w:val="0"/>
        <w:autoSpaceDN w:val="0"/>
        <w:adjustRightInd w:val="0"/>
        <w:jc w:val="both"/>
        <w:rPr>
          <w:sz w:val="22"/>
          <w:szCs w:val="22"/>
          <w:lang w:val="sr-Latn-ME"/>
        </w:rPr>
      </w:pPr>
    </w:p>
    <w:p w14:paraId="52E75DA6" w14:textId="77777777" w:rsidR="00596C07" w:rsidRPr="004500D8" w:rsidRDefault="00596C07" w:rsidP="00596C07">
      <w:pPr>
        <w:jc w:val="both"/>
        <w:rPr>
          <w:sz w:val="22"/>
          <w:szCs w:val="22"/>
          <w:lang w:val="sr-Latn-ME"/>
        </w:rPr>
      </w:pPr>
      <w:r w:rsidRPr="004500D8">
        <w:rPr>
          <w:sz w:val="22"/>
          <w:szCs w:val="22"/>
          <w:lang w:val="sr-Latn-ME" w:eastAsia="bs-Latn-BA"/>
        </w:rPr>
        <w:t>Lijek Humira može biti dostupan i u drugim jačinama i/ili oblicima pakovanja, zavisno od terapijskih potreba pojedinog pacijenta.</w:t>
      </w:r>
    </w:p>
    <w:p w14:paraId="1100950E" w14:textId="77777777" w:rsidR="00596C07" w:rsidRPr="004500D8" w:rsidRDefault="00596C07" w:rsidP="00596C07">
      <w:pPr>
        <w:widowControl w:val="0"/>
        <w:autoSpaceDE w:val="0"/>
        <w:autoSpaceDN w:val="0"/>
        <w:adjustRightInd w:val="0"/>
        <w:jc w:val="both"/>
        <w:rPr>
          <w:sz w:val="22"/>
          <w:szCs w:val="22"/>
          <w:lang w:val="sr-Latn-ME"/>
        </w:rPr>
      </w:pPr>
    </w:p>
    <w:p w14:paraId="5E62F534" w14:textId="77777777" w:rsidR="00596C07" w:rsidRPr="004500D8" w:rsidRDefault="00596C07" w:rsidP="00596C07">
      <w:pPr>
        <w:widowControl w:val="0"/>
        <w:autoSpaceDE w:val="0"/>
        <w:autoSpaceDN w:val="0"/>
        <w:adjustRightInd w:val="0"/>
        <w:jc w:val="both"/>
        <w:rPr>
          <w:i/>
          <w:sz w:val="22"/>
          <w:szCs w:val="22"/>
          <w:lang w:val="sr-Latn-ME"/>
        </w:rPr>
      </w:pPr>
      <w:r w:rsidRPr="004500D8">
        <w:rPr>
          <w:i/>
          <w:sz w:val="22"/>
          <w:szCs w:val="22"/>
          <w:lang w:val="sr-Latn-ME"/>
        </w:rPr>
        <w:t xml:space="preserve">Psorijaza </w:t>
      </w:r>
    </w:p>
    <w:p w14:paraId="1565B1CC" w14:textId="77777777" w:rsidR="00596C07" w:rsidRPr="004500D8" w:rsidRDefault="00596C07" w:rsidP="00596C07">
      <w:pPr>
        <w:widowControl w:val="0"/>
        <w:autoSpaceDE w:val="0"/>
        <w:autoSpaceDN w:val="0"/>
        <w:adjustRightInd w:val="0"/>
        <w:jc w:val="both"/>
        <w:rPr>
          <w:sz w:val="22"/>
          <w:szCs w:val="22"/>
          <w:u w:val="single"/>
          <w:lang w:val="sr-Latn-ME"/>
        </w:rPr>
      </w:pPr>
    </w:p>
    <w:p w14:paraId="796293C8" w14:textId="7EBF73F6" w:rsidR="00596C07" w:rsidRPr="004500D8" w:rsidRDefault="00596C07" w:rsidP="00596C07">
      <w:pPr>
        <w:jc w:val="both"/>
        <w:rPr>
          <w:sz w:val="22"/>
          <w:szCs w:val="22"/>
          <w:lang w:val="sr-Latn-ME"/>
        </w:rPr>
      </w:pPr>
      <w:r w:rsidRPr="004500D8">
        <w:rPr>
          <w:sz w:val="22"/>
          <w:szCs w:val="22"/>
          <w:lang w:val="sr-Latn-ME"/>
        </w:rPr>
        <w:t>Preporučena početna doza lijeka Humira kod odraslih pacijenata je 80 mg su</w:t>
      </w:r>
      <w:r w:rsidR="00A2734E" w:rsidRPr="004500D8">
        <w:rPr>
          <w:sz w:val="22"/>
          <w:szCs w:val="22"/>
          <w:lang w:val="sr-Latn-ME"/>
        </w:rPr>
        <w:t>p</w:t>
      </w:r>
      <w:r w:rsidRPr="004500D8">
        <w:rPr>
          <w:sz w:val="22"/>
          <w:szCs w:val="22"/>
          <w:lang w:val="sr-Latn-ME"/>
        </w:rPr>
        <w:t>kutanom injekcijom, a nakon jedne nedjelje od početne doze, počinje se sa primjenom doze od 40 mg svake druge nedjelje su</w:t>
      </w:r>
      <w:r w:rsidR="00A2734E" w:rsidRPr="004500D8">
        <w:rPr>
          <w:sz w:val="22"/>
          <w:szCs w:val="22"/>
          <w:lang w:val="sr-Latn-ME"/>
        </w:rPr>
        <w:t>p</w:t>
      </w:r>
      <w:r w:rsidRPr="004500D8">
        <w:rPr>
          <w:sz w:val="22"/>
          <w:szCs w:val="22"/>
          <w:lang w:val="sr-Latn-ME"/>
        </w:rPr>
        <w:t>kutanom injekcijom. Za dozu održavanja, dostupan je lijek Humira 40 mg rastvor za injekciju u napunjenom injekcionom špricu i/ili napunjenom penu.</w:t>
      </w:r>
    </w:p>
    <w:p w14:paraId="55CC5418" w14:textId="77777777" w:rsidR="00596C07" w:rsidRPr="004500D8" w:rsidRDefault="00596C07" w:rsidP="00596C07">
      <w:pPr>
        <w:jc w:val="both"/>
        <w:rPr>
          <w:sz w:val="22"/>
          <w:szCs w:val="22"/>
          <w:lang w:val="sr-Latn-ME"/>
        </w:rPr>
      </w:pPr>
    </w:p>
    <w:p w14:paraId="1AC3010D" w14:textId="77777777" w:rsidR="00596C07" w:rsidRPr="004500D8" w:rsidRDefault="00596C07" w:rsidP="00596C07">
      <w:pPr>
        <w:jc w:val="both"/>
        <w:rPr>
          <w:sz w:val="22"/>
          <w:szCs w:val="22"/>
          <w:lang w:val="sr-Latn-ME"/>
        </w:rPr>
      </w:pPr>
      <w:r w:rsidRPr="004500D8">
        <w:rPr>
          <w:sz w:val="22"/>
          <w:szCs w:val="22"/>
          <w:lang w:val="sr-Latn-ME"/>
        </w:rPr>
        <w:t>Ako se unutar razdoblja od 16 nedjelja ne postigne terapijski odgovor, potrebno je pažljivo razmotriti nastavak liječenja takvog pacijenta.</w:t>
      </w:r>
    </w:p>
    <w:p w14:paraId="460C0B84" w14:textId="77777777" w:rsidR="00596C07" w:rsidRPr="004500D8" w:rsidRDefault="00596C07" w:rsidP="00596C07">
      <w:pPr>
        <w:jc w:val="both"/>
        <w:rPr>
          <w:sz w:val="22"/>
          <w:szCs w:val="22"/>
          <w:lang w:val="sr-Latn-ME"/>
        </w:rPr>
      </w:pPr>
    </w:p>
    <w:p w14:paraId="57229ED8" w14:textId="11D09C2E" w:rsidR="00596C07" w:rsidRPr="004500D8" w:rsidRDefault="00596C07" w:rsidP="00596C07">
      <w:pPr>
        <w:jc w:val="both"/>
        <w:rPr>
          <w:sz w:val="22"/>
          <w:szCs w:val="22"/>
          <w:lang w:val="sr-Latn-ME"/>
        </w:rPr>
      </w:pPr>
      <w:r w:rsidRPr="004500D8">
        <w:rPr>
          <w:sz w:val="22"/>
          <w:szCs w:val="22"/>
          <w:lang w:val="sr-Latn-ME"/>
        </w:rPr>
        <w:t xml:space="preserve">Kod pacijenata kod kojih nije postignut zadovoljavajući odgovor nakon 16 nedjelja liječenja lijekom Humira 40 mg svake druge nedjelje, možda će biti korisno povećati doziranje na 40 mg lijeka svake nedjelje ili na 80 mg svake druge nedjelje. Potrebno je pažljivo razmotriti koristi i rizike nastavka liječenja lijekom Humira 40 mg jednom nedjeljno ili 80 mg svake druge nedjelje kod pacijenata kod kojih nije postignut zadovoljavajući odgovor nakon povećanja doziranja (vidjeti </w:t>
      </w:r>
      <w:r w:rsidR="00AA79CA" w:rsidRPr="004500D8">
        <w:rPr>
          <w:sz w:val="22"/>
          <w:szCs w:val="22"/>
          <w:lang w:val="sr-Latn-ME"/>
        </w:rPr>
        <w:t>dio</w:t>
      </w:r>
      <w:r w:rsidRPr="004500D8">
        <w:rPr>
          <w:sz w:val="22"/>
          <w:szCs w:val="22"/>
          <w:lang w:val="sr-Latn-ME"/>
        </w:rPr>
        <w:t xml:space="preserve"> 5.1). Ako se postigne terapijski zadovoljavajući odgovor sa dozom od 40 mg svake nedjelje ili sa 80 mg svake druge nedjelje, doza se onda može smanjiti na 40 mg svake dvije nedjelje.</w:t>
      </w:r>
    </w:p>
    <w:p w14:paraId="6634A0C7" w14:textId="77777777" w:rsidR="00596C07" w:rsidRPr="004500D8" w:rsidRDefault="00596C07" w:rsidP="00596C07">
      <w:pPr>
        <w:jc w:val="both"/>
        <w:rPr>
          <w:sz w:val="22"/>
          <w:szCs w:val="22"/>
          <w:lang w:val="sr-Latn-ME"/>
        </w:rPr>
      </w:pPr>
    </w:p>
    <w:p w14:paraId="0C08EA1B" w14:textId="77777777" w:rsidR="00596C07" w:rsidRPr="004500D8" w:rsidRDefault="00596C07" w:rsidP="00596C07">
      <w:pPr>
        <w:jc w:val="both"/>
        <w:rPr>
          <w:sz w:val="22"/>
          <w:szCs w:val="22"/>
          <w:lang w:val="sr-Latn-ME"/>
        </w:rPr>
      </w:pPr>
      <w:r w:rsidRPr="004500D8">
        <w:rPr>
          <w:sz w:val="22"/>
          <w:szCs w:val="22"/>
          <w:lang w:val="sr-Latn-ME" w:eastAsia="bs-Latn-BA"/>
        </w:rPr>
        <w:t>Lijek Humira može biti dostupan i u drugim jačinama i/ili oblicima pakovanja, zavisno od terapijskih potreba pojedinog pacijenta.</w:t>
      </w:r>
    </w:p>
    <w:p w14:paraId="4D09D24B" w14:textId="77777777" w:rsidR="00596C07" w:rsidRPr="004500D8" w:rsidRDefault="00596C07" w:rsidP="00596C07">
      <w:pPr>
        <w:jc w:val="both"/>
        <w:rPr>
          <w:i/>
          <w:sz w:val="22"/>
          <w:szCs w:val="22"/>
          <w:lang w:val="sr-Latn-ME"/>
        </w:rPr>
      </w:pPr>
    </w:p>
    <w:p w14:paraId="0CD561D6" w14:textId="77777777" w:rsidR="00596C07" w:rsidRPr="004500D8" w:rsidRDefault="00596C07" w:rsidP="00596C07">
      <w:pPr>
        <w:jc w:val="both"/>
        <w:rPr>
          <w:i/>
          <w:sz w:val="22"/>
          <w:szCs w:val="22"/>
          <w:lang w:val="sr-Latn-ME"/>
        </w:rPr>
      </w:pPr>
      <w:r w:rsidRPr="004500D8">
        <w:rPr>
          <w:i/>
          <w:sz w:val="22"/>
          <w:szCs w:val="22"/>
          <w:lang w:val="sr-Latn-ME"/>
        </w:rPr>
        <w:t>Gnojni hidradenitis (Hidradenitis suppurativa)</w:t>
      </w:r>
    </w:p>
    <w:p w14:paraId="7117195E" w14:textId="77777777" w:rsidR="00596C07" w:rsidRPr="004500D8" w:rsidRDefault="00596C07" w:rsidP="00596C07">
      <w:pPr>
        <w:jc w:val="both"/>
        <w:rPr>
          <w:sz w:val="22"/>
          <w:szCs w:val="22"/>
          <w:lang w:val="sr-Latn-ME"/>
        </w:rPr>
      </w:pPr>
    </w:p>
    <w:p w14:paraId="1E35280E" w14:textId="77777777" w:rsidR="00596C07" w:rsidRPr="004500D8" w:rsidRDefault="00596C07" w:rsidP="00596C07">
      <w:pPr>
        <w:jc w:val="both"/>
        <w:rPr>
          <w:sz w:val="22"/>
          <w:szCs w:val="22"/>
          <w:lang w:val="sr-Latn-ME"/>
        </w:rPr>
      </w:pPr>
      <w:r w:rsidRPr="004500D8">
        <w:rPr>
          <w:sz w:val="22"/>
          <w:szCs w:val="22"/>
          <w:lang w:val="sr-Latn-ME"/>
        </w:rPr>
        <w:t xml:space="preserve">Preporučen režim doziranja lijeka Humira za odrasle pacijente sa gnojnim hidradenitisom je 160 mg incijalno prvog dana (u obliku dvije injekcije od 80 mg u jednom danu ili jedne injekcije od 80 mg na dan u toku dva uzastopna dana), nakon koje slijedi doza od 80 mg dvije nedjelje kasnije 15. dana. Dvije nedjelje kasnije (29. dan), liječenje se nastavlja dozom od 40 mg svake nedjelje ili 80 mg svake druge nedjelje. Ako je potrebno, primjena antibiotika se može nastaviti za vrijeme liječenja lijekom Humira. Preporučuje se da pacijent tokom liječenja lijekom Humira svakodnevno koristi topikalni antiseptički rastvor za ispiranje lezija uzrokovanih gnojnim hidradenitisom. </w:t>
      </w:r>
    </w:p>
    <w:p w14:paraId="784E7321" w14:textId="77777777" w:rsidR="00596C07" w:rsidRPr="004500D8" w:rsidRDefault="00596C07" w:rsidP="00596C07">
      <w:pPr>
        <w:jc w:val="both"/>
        <w:rPr>
          <w:sz w:val="22"/>
          <w:szCs w:val="22"/>
          <w:lang w:val="sr-Latn-ME"/>
        </w:rPr>
      </w:pPr>
    </w:p>
    <w:p w14:paraId="74A3B537" w14:textId="77777777" w:rsidR="00596C07" w:rsidRPr="004500D8" w:rsidRDefault="00596C07" w:rsidP="00596C07">
      <w:pPr>
        <w:jc w:val="both"/>
        <w:rPr>
          <w:sz w:val="22"/>
          <w:szCs w:val="22"/>
          <w:lang w:val="sr-Latn-ME"/>
        </w:rPr>
      </w:pPr>
      <w:r w:rsidRPr="004500D8">
        <w:rPr>
          <w:sz w:val="22"/>
          <w:szCs w:val="22"/>
          <w:lang w:val="sr-Latn-ME"/>
        </w:rPr>
        <w:t>U slučaju da nakon 12 nedjelja nema poboljšanja, treba pažljivo razmotriti nastavak liječenja takvog pacijenta.</w:t>
      </w:r>
    </w:p>
    <w:p w14:paraId="476C057A" w14:textId="77777777" w:rsidR="00596C07" w:rsidRPr="004500D8" w:rsidRDefault="00596C07" w:rsidP="00596C07">
      <w:pPr>
        <w:jc w:val="both"/>
        <w:rPr>
          <w:sz w:val="22"/>
          <w:szCs w:val="22"/>
          <w:lang w:val="sr-Latn-ME"/>
        </w:rPr>
      </w:pPr>
    </w:p>
    <w:p w14:paraId="161AF4F6" w14:textId="0B045546" w:rsidR="00596C07" w:rsidRPr="004500D8" w:rsidRDefault="00596C07" w:rsidP="00596C07">
      <w:pPr>
        <w:jc w:val="both"/>
        <w:rPr>
          <w:sz w:val="22"/>
          <w:szCs w:val="22"/>
          <w:lang w:val="sr-Latn-ME"/>
        </w:rPr>
      </w:pPr>
      <w:r w:rsidRPr="004500D8">
        <w:rPr>
          <w:sz w:val="22"/>
          <w:szCs w:val="22"/>
          <w:lang w:val="sr-Latn-ME"/>
        </w:rPr>
        <w:t xml:space="preserve">Ako liječenje treba privremeno prekinuti, lijek Humira se kasnije može ponovno uvesti u dozi od 40 mg svake nedjelje ili 80 mg svake druge nedjelje (vidjeti </w:t>
      </w:r>
      <w:r w:rsidR="00AA79CA" w:rsidRPr="004500D8">
        <w:rPr>
          <w:sz w:val="22"/>
          <w:szCs w:val="22"/>
          <w:lang w:val="sr-Latn-ME"/>
        </w:rPr>
        <w:t xml:space="preserve">dio </w:t>
      </w:r>
      <w:r w:rsidRPr="004500D8">
        <w:rPr>
          <w:sz w:val="22"/>
          <w:szCs w:val="22"/>
          <w:lang w:val="sr-Latn-ME"/>
        </w:rPr>
        <w:t>5.1).</w:t>
      </w:r>
    </w:p>
    <w:p w14:paraId="23343A77" w14:textId="77777777" w:rsidR="00596C07" w:rsidRPr="004500D8" w:rsidRDefault="00596C07" w:rsidP="00596C07">
      <w:pPr>
        <w:jc w:val="both"/>
        <w:rPr>
          <w:sz w:val="22"/>
          <w:szCs w:val="22"/>
          <w:lang w:val="sr-Latn-ME"/>
        </w:rPr>
      </w:pPr>
    </w:p>
    <w:p w14:paraId="25B3AA71" w14:textId="404819A0" w:rsidR="00596C07" w:rsidRPr="004500D8" w:rsidRDefault="00596C07" w:rsidP="00596C07">
      <w:pPr>
        <w:jc w:val="both"/>
        <w:rPr>
          <w:sz w:val="22"/>
          <w:szCs w:val="22"/>
          <w:lang w:val="sr-Latn-ME"/>
        </w:rPr>
      </w:pPr>
      <w:r w:rsidRPr="004500D8">
        <w:rPr>
          <w:sz w:val="22"/>
          <w:szCs w:val="22"/>
          <w:lang w:val="sr-Latn-ME"/>
        </w:rPr>
        <w:t xml:space="preserve">Potrebno je povremeno ocjenjivati koristi i rizike kontinuiranog dugotrajnog liječenja (vidjeti </w:t>
      </w:r>
      <w:r w:rsidR="00093365" w:rsidRPr="004500D8">
        <w:rPr>
          <w:sz w:val="22"/>
          <w:szCs w:val="22"/>
          <w:lang w:val="sr-Latn-ME"/>
        </w:rPr>
        <w:t xml:space="preserve">dio </w:t>
      </w:r>
      <w:r w:rsidRPr="004500D8">
        <w:rPr>
          <w:sz w:val="22"/>
          <w:szCs w:val="22"/>
          <w:lang w:val="sr-Latn-ME"/>
        </w:rPr>
        <w:t>5.1).</w:t>
      </w:r>
    </w:p>
    <w:p w14:paraId="789E8844" w14:textId="77777777" w:rsidR="00596C07" w:rsidRPr="004500D8" w:rsidRDefault="00596C07" w:rsidP="00596C07">
      <w:pPr>
        <w:jc w:val="both"/>
        <w:rPr>
          <w:sz w:val="22"/>
          <w:szCs w:val="22"/>
          <w:lang w:val="sr-Latn-ME"/>
        </w:rPr>
      </w:pPr>
      <w:r w:rsidRPr="004500D8">
        <w:rPr>
          <w:sz w:val="22"/>
          <w:szCs w:val="22"/>
          <w:lang w:val="sr-Latn-ME" w:eastAsia="bs-Latn-BA"/>
        </w:rPr>
        <w:t>Lijek Humira može biti dostupan i u drugim jačinama i/ili oblicima pakovanja, zavisno od terapijskih potreba pojedinog pacijenta.</w:t>
      </w:r>
    </w:p>
    <w:p w14:paraId="74DE8306" w14:textId="77777777" w:rsidR="00596C07" w:rsidRPr="004500D8" w:rsidRDefault="00596C07" w:rsidP="00596C07">
      <w:pPr>
        <w:jc w:val="both"/>
        <w:rPr>
          <w:sz w:val="22"/>
          <w:szCs w:val="22"/>
          <w:lang w:val="sr-Latn-ME"/>
        </w:rPr>
      </w:pPr>
    </w:p>
    <w:p w14:paraId="175573CB" w14:textId="77777777" w:rsidR="00596C07" w:rsidRPr="004500D8" w:rsidRDefault="00596C07" w:rsidP="00596C07">
      <w:pPr>
        <w:widowControl w:val="0"/>
        <w:autoSpaceDE w:val="0"/>
        <w:autoSpaceDN w:val="0"/>
        <w:adjustRightInd w:val="0"/>
        <w:jc w:val="both"/>
        <w:rPr>
          <w:i/>
          <w:color w:val="000000"/>
          <w:sz w:val="22"/>
          <w:szCs w:val="22"/>
          <w:lang w:val="sr-Latn-ME"/>
        </w:rPr>
      </w:pPr>
      <w:r w:rsidRPr="004500D8">
        <w:rPr>
          <w:i/>
          <w:color w:val="000000"/>
          <w:sz w:val="22"/>
          <w:szCs w:val="22"/>
          <w:lang w:val="sr-Latn-ME"/>
        </w:rPr>
        <w:t>Crohn-ova bolest</w:t>
      </w:r>
    </w:p>
    <w:p w14:paraId="4447FAE7"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187146B0"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 xml:space="preserve">Preporučeni indukcioni dozni režim za lijek Humira kod odraslih pacijenata sa umjerenom do teškom aktivnom Crohn-ovom bolešću je 80 mg u nultoj nedjelji, a zatim od 40 mg u drugoj nedjelji. U slučaju da postoji potreba za bržim odgovorom na terapiju, može se koristiti dozni režim od 160 mg u nultoj nedjelji (doza se može primijeniti u vidu dvije injekcije od 80 mg u jednom danu ili po jedna injekcija od po 80 mg dnevno tokom dva uzastopna dana) a zatim 80 mg u drugoj nedjelji, pri čemu se mora imati na umu da je rizik od neželjenog djelovanja veći tokom indukcije. </w:t>
      </w:r>
    </w:p>
    <w:p w14:paraId="4CB18E73" w14:textId="77777777" w:rsidR="00596C07" w:rsidRPr="004500D8" w:rsidRDefault="00596C07" w:rsidP="00596C07">
      <w:pPr>
        <w:autoSpaceDE w:val="0"/>
        <w:autoSpaceDN w:val="0"/>
        <w:adjustRightInd w:val="0"/>
        <w:jc w:val="both"/>
        <w:rPr>
          <w:sz w:val="22"/>
          <w:szCs w:val="22"/>
          <w:lang w:val="sr-Latn-ME"/>
        </w:rPr>
      </w:pPr>
    </w:p>
    <w:p w14:paraId="52B2BAAD" w14:textId="5BBEB74E"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Nakon indukcionog liječenja, preporučena doza je 40 mg svake druge nedjelje sub</w:t>
      </w:r>
      <w:r w:rsidR="00093365" w:rsidRPr="004500D8">
        <w:rPr>
          <w:sz w:val="22"/>
          <w:szCs w:val="22"/>
          <w:lang w:val="sr-Latn-ME"/>
        </w:rPr>
        <w:t>p</w:t>
      </w:r>
      <w:r w:rsidRPr="004500D8">
        <w:rPr>
          <w:sz w:val="22"/>
          <w:szCs w:val="22"/>
          <w:lang w:val="sr-Latn-ME"/>
        </w:rPr>
        <w:t xml:space="preserve">kutanom injekcijom. Alternativno, ukoliko je pacijent prestao da prima lijek Humira, a znakovi i simptomi bolesti se ponovo pojave, lijek Humira je moguće početi primjenjivati iznova. Postoji malo podataka o ponovnoj primjeni lijeka Humira kada je prekid terapije trajao duže od 8 nedjelja. </w:t>
      </w:r>
    </w:p>
    <w:p w14:paraId="2DB06414" w14:textId="77777777" w:rsidR="00596C07" w:rsidRPr="004500D8" w:rsidRDefault="00596C07" w:rsidP="00596C07">
      <w:pPr>
        <w:autoSpaceDE w:val="0"/>
        <w:autoSpaceDN w:val="0"/>
        <w:adjustRightInd w:val="0"/>
        <w:rPr>
          <w:sz w:val="22"/>
          <w:szCs w:val="22"/>
          <w:lang w:val="sr-Latn-ME"/>
        </w:rPr>
      </w:pPr>
    </w:p>
    <w:p w14:paraId="62FC15F3"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 xml:space="preserve">Tokom terapije održavanja, moguće je smanjiti dozu kortikosteroida u skladu sa smjernicama kliničke prakse. </w:t>
      </w:r>
    </w:p>
    <w:p w14:paraId="7BE2FE70" w14:textId="77777777" w:rsidR="00596C07" w:rsidRPr="004500D8" w:rsidRDefault="00596C07" w:rsidP="00596C07">
      <w:pPr>
        <w:autoSpaceDE w:val="0"/>
        <w:autoSpaceDN w:val="0"/>
        <w:adjustRightInd w:val="0"/>
        <w:jc w:val="both"/>
        <w:rPr>
          <w:sz w:val="22"/>
          <w:szCs w:val="22"/>
          <w:lang w:val="sr-Latn-ME"/>
        </w:rPr>
      </w:pPr>
    </w:p>
    <w:p w14:paraId="4E4815DC"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 xml:space="preserve">Za neke pacijente kod kojih dođe do pada nivoa odgovora na lijek Humira 40 mg svake druge nedjelje može biti korisno povećanje doziranja na 40 mg lijeka Humira svake nedjelje ili na 80 mg svake druge nedjelje. </w:t>
      </w:r>
    </w:p>
    <w:p w14:paraId="3E7B6679" w14:textId="77777777" w:rsidR="00596C07" w:rsidRPr="004500D8" w:rsidRDefault="00596C07" w:rsidP="00596C07">
      <w:pPr>
        <w:widowControl w:val="0"/>
        <w:autoSpaceDE w:val="0"/>
        <w:autoSpaceDN w:val="0"/>
        <w:adjustRightInd w:val="0"/>
        <w:jc w:val="both"/>
        <w:rPr>
          <w:sz w:val="22"/>
          <w:szCs w:val="22"/>
          <w:lang w:val="sr-Latn-ME"/>
        </w:rPr>
      </w:pPr>
    </w:p>
    <w:p w14:paraId="1F1709B9" w14:textId="77777777" w:rsidR="00596C07" w:rsidRPr="004500D8" w:rsidRDefault="00596C07" w:rsidP="00596C07">
      <w:pPr>
        <w:jc w:val="both"/>
        <w:rPr>
          <w:sz w:val="22"/>
          <w:szCs w:val="22"/>
          <w:lang w:val="sr-Latn-ME"/>
        </w:rPr>
      </w:pPr>
      <w:r w:rsidRPr="004500D8">
        <w:rPr>
          <w:sz w:val="22"/>
          <w:szCs w:val="22"/>
          <w:lang w:val="sr-Latn-ME"/>
        </w:rPr>
        <w:t xml:space="preserve">Za neke pacijente kod kojih nije postignut odgovor do četvrte nedjelje, može biti korisno primijeniti terapiju održavanja sve do 12. nedjelje. Ako se unutar tog razdoblja ne postigne terapijski odgovor, potrebno je pažljivo razmotriti nastavak liječenja takvog pacijenta. </w:t>
      </w:r>
    </w:p>
    <w:p w14:paraId="51DCC8E9" w14:textId="77777777" w:rsidR="00596C07" w:rsidRPr="004500D8" w:rsidRDefault="00596C07" w:rsidP="00596C07">
      <w:pPr>
        <w:jc w:val="both"/>
        <w:rPr>
          <w:sz w:val="22"/>
          <w:szCs w:val="22"/>
          <w:lang w:val="sr-Latn-ME"/>
        </w:rPr>
      </w:pPr>
    </w:p>
    <w:p w14:paraId="1E147028" w14:textId="77777777" w:rsidR="00596C07" w:rsidRPr="004500D8" w:rsidRDefault="00596C07" w:rsidP="00596C07">
      <w:pPr>
        <w:jc w:val="both"/>
        <w:rPr>
          <w:sz w:val="22"/>
          <w:szCs w:val="22"/>
          <w:lang w:val="sr-Latn-ME"/>
        </w:rPr>
      </w:pPr>
      <w:r w:rsidRPr="004500D8">
        <w:rPr>
          <w:sz w:val="22"/>
          <w:szCs w:val="22"/>
          <w:lang w:val="sr-Latn-ME" w:eastAsia="bs-Latn-BA"/>
        </w:rPr>
        <w:t>Lijek Humira može biti dostupan i u drugim jačinama i/ili oblicima pakovanja, zavisno od terapijskih potreba pojedinog pacijenta.</w:t>
      </w:r>
    </w:p>
    <w:p w14:paraId="111F7C63" w14:textId="77777777" w:rsidR="00596C07" w:rsidRPr="004500D8" w:rsidRDefault="00596C07" w:rsidP="00596C07">
      <w:pPr>
        <w:widowControl w:val="0"/>
        <w:autoSpaceDE w:val="0"/>
        <w:autoSpaceDN w:val="0"/>
        <w:adjustRightInd w:val="0"/>
        <w:jc w:val="both"/>
        <w:rPr>
          <w:i/>
          <w:color w:val="000000"/>
          <w:sz w:val="22"/>
          <w:szCs w:val="22"/>
          <w:lang w:val="sr-Latn-ME"/>
        </w:rPr>
      </w:pPr>
    </w:p>
    <w:p w14:paraId="7FF38ADF" w14:textId="77777777" w:rsidR="00596C07" w:rsidRPr="004500D8" w:rsidRDefault="00596C07" w:rsidP="00596C07">
      <w:pPr>
        <w:widowControl w:val="0"/>
        <w:autoSpaceDE w:val="0"/>
        <w:autoSpaceDN w:val="0"/>
        <w:adjustRightInd w:val="0"/>
        <w:jc w:val="both"/>
        <w:rPr>
          <w:i/>
          <w:color w:val="000000"/>
          <w:sz w:val="22"/>
          <w:szCs w:val="22"/>
          <w:lang w:val="sr-Latn-ME"/>
        </w:rPr>
      </w:pPr>
      <w:r w:rsidRPr="004500D8">
        <w:rPr>
          <w:i/>
          <w:color w:val="000000"/>
          <w:sz w:val="22"/>
          <w:szCs w:val="22"/>
          <w:lang w:val="sr-Latn-ME"/>
        </w:rPr>
        <w:t>Ulcerozni kolitis</w:t>
      </w:r>
    </w:p>
    <w:p w14:paraId="3D2393F5"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18EFFD17" w14:textId="290BD5A2" w:rsidR="00596C07" w:rsidRPr="004500D8" w:rsidRDefault="00596C07" w:rsidP="00596C07">
      <w:pPr>
        <w:jc w:val="both"/>
        <w:rPr>
          <w:sz w:val="22"/>
          <w:szCs w:val="22"/>
          <w:lang w:val="sr-Latn-ME"/>
        </w:rPr>
      </w:pPr>
      <w:r w:rsidRPr="004500D8">
        <w:rPr>
          <w:sz w:val="22"/>
          <w:szCs w:val="22"/>
          <w:lang w:val="sr-Latn-ME"/>
        </w:rPr>
        <w:t>Preporučeni indukcioni dozni režim za lijek Humira kod odraslih pacijenata sa umjerenim do teškim ulceroznim kolitisom je 160 mg u nultoj nedjelji (doza se može primijeniti u vidu dvije injekcije od 80 mg u jednom danu ili kao jedna injekcija od 80 mg dnevno tokom dva uzastopna dana) i 80 mg u drugoj nedjelji. Nakon indukcionog liječenja, preporučena doza je 40 mg svake druge nedjelje su</w:t>
      </w:r>
      <w:r w:rsidR="00093365" w:rsidRPr="004500D8">
        <w:rPr>
          <w:sz w:val="22"/>
          <w:szCs w:val="22"/>
          <w:lang w:val="sr-Latn-ME"/>
        </w:rPr>
        <w:t>p</w:t>
      </w:r>
      <w:r w:rsidRPr="004500D8">
        <w:rPr>
          <w:sz w:val="22"/>
          <w:szCs w:val="22"/>
          <w:lang w:val="sr-Latn-ME"/>
        </w:rPr>
        <w:t xml:space="preserve">kutanom injekcijom. </w:t>
      </w:r>
    </w:p>
    <w:p w14:paraId="49CD2216" w14:textId="77777777" w:rsidR="00596C07" w:rsidRPr="004500D8" w:rsidRDefault="00596C07" w:rsidP="00596C07">
      <w:pPr>
        <w:jc w:val="both"/>
        <w:rPr>
          <w:sz w:val="22"/>
          <w:szCs w:val="22"/>
          <w:lang w:val="sr-Latn-ME"/>
        </w:rPr>
      </w:pPr>
    </w:p>
    <w:p w14:paraId="5DA191D0"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 xml:space="preserve">Tokom terapije održavanja, moguće je smanjiti dozu kortikosteroida u skladu sa smjernicama kliničke prakse. </w:t>
      </w:r>
    </w:p>
    <w:p w14:paraId="1A63C104" w14:textId="77777777" w:rsidR="00596C07" w:rsidRPr="004500D8" w:rsidRDefault="00596C07" w:rsidP="00596C07">
      <w:pPr>
        <w:autoSpaceDE w:val="0"/>
        <w:autoSpaceDN w:val="0"/>
        <w:adjustRightInd w:val="0"/>
        <w:jc w:val="both"/>
        <w:rPr>
          <w:sz w:val="22"/>
          <w:szCs w:val="22"/>
          <w:lang w:val="sr-Latn-ME"/>
        </w:rPr>
      </w:pPr>
    </w:p>
    <w:p w14:paraId="7FF071DE"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Za neke pacijente kod kojih dođe do pada nivoa odgovora na lijek Humira 40 mg svake druge nedjelje može biti korisno povećanje doziranja na 40 mg lijeka Humira svake nedjelje ili na 80 mg svake druge nedjelje. </w:t>
      </w:r>
    </w:p>
    <w:p w14:paraId="464D536D" w14:textId="77777777" w:rsidR="00596C07" w:rsidRPr="004500D8" w:rsidRDefault="00596C07" w:rsidP="00596C07">
      <w:pPr>
        <w:jc w:val="both"/>
        <w:rPr>
          <w:sz w:val="22"/>
          <w:szCs w:val="22"/>
          <w:lang w:val="sr-Latn-ME"/>
        </w:rPr>
      </w:pPr>
    </w:p>
    <w:p w14:paraId="1F864727" w14:textId="77777777" w:rsidR="00596C07" w:rsidRPr="004500D8" w:rsidRDefault="00596C07" w:rsidP="00596C07">
      <w:pPr>
        <w:jc w:val="both"/>
        <w:rPr>
          <w:sz w:val="22"/>
          <w:szCs w:val="22"/>
          <w:lang w:val="sr-Latn-ME"/>
        </w:rPr>
      </w:pPr>
      <w:r w:rsidRPr="004500D8">
        <w:rPr>
          <w:sz w:val="22"/>
          <w:szCs w:val="22"/>
          <w:lang w:val="sr-Latn-ME"/>
        </w:rPr>
        <w:t xml:space="preserve">Postojeći podaci pokazuju da se klinički odgovor obično postiže od 2 do 8 nedjelja liječenja. Terapija lijekom Humira ne smije se nastaviti kod pacijenata kod kojih taj odgovor nije postignut u okviru navedenog vremenskog perioda. </w:t>
      </w:r>
    </w:p>
    <w:p w14:paraId="7D6472BD" w14:textId="77777777" w:rsidR="00596C07" w:rsidRPr="004500D8" w:rsidRDefault="00596C07" w:rsidP="00596C07">
      <w:pPr>
        <w:jc w:val="both"/>
        <w:rPr>
          <w:sz w:val="22"/>
          <w:szCs w:val="22"/>
          <w:lang w:val="sr-Latn-ME"/>
        </w:rPr>
      </w:pPr>
    </w:p>
    <w:p w14:paraId="1192B91F" w14:textId="77777777" w:rsidR="00596C07" w:rsidRPr="004500D8" w:rsidRDefault="00596C07" w:rsidP="00596C07">
      <w:pPr>
        <w:jc w:val="both"/>
        <w:rPr>
          <w:sz w:val="22"/>
          <w:szCs w:val="22"/>
          <w:lang w:val="sr-Latn-ME"/>
        </w:rPr>
      </w:pPr>
      <w:r w:rsidRPr="004500D8">
        <w:rPr>
          <w:sz w:val="22"/>
          <w:szCs w:val="22"/>
          <w:lang w:val="sr-Latn-ME" w:eastAsia="bs-Latn-BA"/>
        </w:rPr>
        <w:t>Lijek Humira može biti dostupan i u drugim jačinama i/ili oblicima pakovanja, zavisno od terapijskih potreba pojedinog pacijenta.</w:t>
      </w:r>
    </w:p>
    <w:p w14:paraId="44D48280" w14:textId="77777777" w:rsidR="00596C07" w:rsidRPr="004500D8" w:rsidRDefault="00596C07" w:rsidP="00596C07">
      <w:pPr>
        <w:jc w:val="both"/>
        <w:rPr>
          <w:sz w:val="22"/>
          <w:szCs w:val="22"/>
          <w:lang w:val="sr-Latn-ME"/>
        </w:rPr>
      </w:pPr>
    </w:p>
    <w:p w14:paraId="279F30BC" w14:textId="77777777" w:rsidR="00596C07" w:rsidRPr="004500D8" w:rsidRDefault="00596C07" w:rsidP="00596C07">
      <w:pPr>
        <w:jc w:val="both"/>
        <w:rPr>
          <w:i/>
          <w:sz w:val="22"/>
          <w:szCs w:val="22"/>
          <w:lang w:val="sr-Latn-ME"/>
        </w:rPr>
      </w:pPr>
      <w:r w:rsidRPr="004500D8">
        <w:rPr>
          <w:i/>
          <w:sz w:val="22"/>
          <w:szCs w:val="22"/>
          <w:lang w:val="sr-Latn-ME"/>
        </w:rPr>
        <w:t>Uveitis</w:t>
      </w:r>
    </w:p>
    <w:p w14:paraId="211D53AC" w14:textId="77777777" w:rsidR="00596C07" w:rsidRPr="004500D8" w:rsidRDefault="00596C07" w:rsidP="00596C07">
      <w:pPr>
        <w:jc w:val="both"/>
        <w:rPr>
          <w:sz w:val="22"/>
          <w:szCs w:val="22"/>
          <w:lang w:val="sr-Latn-ME"/>
        </w:rPr>
      </w:pPr>
    </w:p>
    <w:p w14:paraId="7D1FA9E0" w14:textId="77777777" w:rsidR="00596C07" w:rsidRPr="004500D8" w:rsidRDefault="00596C07" w:rsidP="00596C07">
      <w:pPr>
        <w:jc w:val="both"/>
        <w:rPr>
          <w:sz w:val="22"/>
          <w:szCs w:val="22"/>
          <w:lang w:val="sr-Latn-ME"/>
        </w:rPr>
      </w:pPr>
      <w:r w:rsidRPr="004500D8">
        <w:rPr>
          <w:sz w:val="22"/>
          <w:szCs w:val="22"/>
          <w:lang w:val="sr-Latn-ME"/>
        </w:rPr>
        <w:t>Preporučena doza lijeka Humira kod odraslih pacijenata sa uveitisom je početna doza od 80 mg, nakon koje slijedi doza od 40 mg svake druge nedjelje, sa početkom nedjelju dana nakon početne doze. Za dozu održavanja, dostupan je lijek Humira 40 mg rastvor za injekciju u napunjenom injekcionom špricu i/ili napunjenom penu. Iskustvo sa započinjanjem liječenja samo lijekom Humira je ograničeno. Liječenje lijekom Humira može se započeti u kombinaciji sa kortikosteroidima i/ili drugim nebiološkim imunomodulacijskim ljekovima. Doza istovremeno primijenjenih kortikosteroida može se postepeno smanjivati u skladu sa kliničkom praksom, počevši dvije nedjelje nakon započinjanja liječenja lijekom Humira.</w:t>
      </w:r>
    </w:p>
    <w:p w14:paraId="42C4DFA6" w14:textId="77777777" w:rsidR="00596C07" w:rsidRPr="004500D8" w:rsidRDefault="00596C07" w:rsidP="00596C07">
      <w:pPr>
        <w:jc w:val="both"/>
        <w:rPr>
          <w:sz w:val="22"/>
          <w:szCs w:val="22"/>
          <w:lang w:val="sr-Latn-ME"/>
        </w:rPr>
      </w:pPr>
    </w:p>
    <w:p w14:paraId="15C4C517" w14:textId="460F7EC5" w:rsidR="00596C07" w:rsidRPr="004500D8" w:rsidRDefault="00596C07" w:rsidP="00596C07">
      <w:pPr>
        <w:jc w:val="both"/>
        <w:rPr>
          <w:sz w:val="22"/>
          <w:szCs w:val="22"/>
          <w:lang w:val="sr-Latn-ME"/>
        </w:rPr>
      </w:pPr>
      <w:r w:rsidRPr="004500D8">
        <w:rPr>
          <w:sz w:val="22"/>
          <w:szCs w:val="22"/>
          <w:lang w:val="sr-Latn-ME"/>
        </w:rPr>
        <w:t xml:space="preserve">Preporučuje se svake godine procijeniti odnos koristi i rizika kontinuiranog dugotrajnog liječenja (vidjeti </w:t>
      </w:r>
      <w:r w:rsidR="0021349E" w:rsidRPr="004500D8">
        <w:rPr>
          <w:sz w:val="22"/>
          <w:szCs w:val="22"/>
          <w:lang w:val="sr-Latn-ME"/>
        </w:rPr>
        <w:t xml:space="preserve">dio </w:t>
      </w:r>
      <w:r w:rsidRPr="004500D8">
        <w:rPr>
          <w:sz w:val="22"/>
          <w:szCs w:val="22"/>
          <w:lang w:val="sr-Latn-ME"/>
        </w:rPr>
        <w:t>5.1).</w:t>
      </w:r>
    </w:p>
    <w:p w14:paraId="38C9B868" w14:textId="77777777" w:rsidR="00596C07" w:rsidRPr="004500D8" w:rsidRDefault="00596C07" w:rsidP="00596C07">
      <w:pPr>
        <w:jc w:val="both"/>
        <w:rPr>
          <w:sz w:val="22"/>
          <w:szCs w:val="22"/>
          <w:lang w:val="sr-Latn-ME"/>
        </w:rPr>
      </w:pPr>
    </w:p>
    <w:p w14:paraId="2DB43856" w14:textId="77777777" w:rsidR="00596C07" w:rsidRPr="004500D8" w:rsidRDefault="00596C07" w:rsidP="00596C07">
      <w:pPr>
        <w:jc w:val="both"/>
        <w:rPr>
          <w:sz w:val="22"/>
          <w:szCs w:val="22"/>
          <w:lang w:val="sr-Latn-ME"/>
        </w:rPr>
      </w:pPr>
      <w:r w:rsidRPr="004500D8">
        <w:rPr>
          <w:sz w:val="22"/>
          <w:szCs w:val="22"/>
          <w:lang w:val="sr-Latn-ME" w:eastAsia="bs-Latn-BA"/>
        </w:rPr>
        <w:t>Lijek Humira može biti dostupan i u drugim jačinama i/ili oblicima pakovanja, zavisno od terapijskih potreba pojedinog pacijenta.</w:t>
      </w:r>
    </w:p>
    <w:p w14:paraId="75E20AD0" w14:textId="77777777" w:rsidR="00596C07" w:rsidRPr="004500D8" w:rsidRDefault="00596C07" w:rsidP="00596C07">
      <w:pPr>
        <w:rPr>
          <w:sz w:val="22"/>
          <w:szCs w:val="22"/>
          <w:lang w:val="sr-Latn-ME"/>
        </w:rPr>
      </w:pPr>
    </w:p>
    <w:p w14:paraId="7BC5CA04" w14:textId="77777777" w:rsidR="00596C07" w:rsidRPr="004500D8" w:rsidRDefault="00596C07" w:rsidP="00596C07">
      <w:pPr>
        <w:rPr>
          <w:sz w:val="22"/>
          <w:szCs w:val="22"/>
          <w:u w:val="single"/>
          <w:lang w:val="sr-Latn-ME"/>
        </w:rPr>
      </w:pPr>
      <w:r w:rsidRPr="004500D8">
        <w:rPr>
          <w:sz w:val="22"/>
          <w:szCs w:val="22"/>
          <w:u w:val="single"/>
          <w:lang w:val="sr-Latn-ME"/>
        </w:rPr>
        <w:t>Posebne populacije</w:t>
      </w:r>
    </w:p>
    <w:p w14:paraId="6DE3F06A" w14:textId="77777777" w:rsidR="00596C07" w:rsidRPr="004500D8" w:rsidRDefault="00596C07" w:rsidP="00596C07">
      <w:pPr>
        <w:rPr>
          <w:sz w:val="22"/>
          <w:szCs w:val="22"/>
          <w:lang w:val="sr-Latn-ME"/>
        </w:rPr>
      </w:pPr>
    </w:p>
    <w:p w14:paraId="5C8B012D" w14:textId="77777777" w:rsidR="00596C07" w:rsidRPr="004500D8" w:rsidRDefault="00596C07" w:rsidP="00596C07">
      <w:pPr>
        <w:rPr>
          <w:i/>
          <w:sz w:val="22"/>
          <w:szCs w:val="22"/>
          <w:lang w:val="sr-Latn-ME"/>
        </w:rPr>
      </w:pPr>
      <w:r w:rsidRPr="004500D8">
        <w:rPr>
          <w:i/>
          <w:sz w:val="22"/>
          <w:szCs w:val="22"/>
          <w:lang w:val="sr-Latn-ME"/>
        </w:rPr>
        <w:t>Stariji pacijenti</w:t>
      </w:r>
    </w:p>
    <w:p w14:paraId="5BB90020" w14:textId="77777777" w:rsidR="00596C07" w:rsidRPr="004500D8" w:rsidRDefault="00596C07" w:rsidP="00596C07">
      <w:pPr>
        <w:rPr>
          <w:sz w:val="22"/>
          <w:szCs w:val="22"/>
          <w:u w:val="single"/>
          <w:lang w:val="sr-Latn-ME"/>
        </w:rPr>
      </w:pPr>
    </w:p>
    <w:p w14:paraId="6346B13A" w14:textId="77777777" w:rsidR="00596C07" w:rsidRPr="004500D8" w:rsidRDefault="00596C07" w:rsidP="00596C07">
      <w:pPr>
        <w:rPr>
          <w:sz w:val="22"/>
          <w:szCs w:val="22"/>
          <w:lang w:val="sr-Latn-ME"/>
        </w:rPr>
      </w:pPr>
      <w:r w:rsidRPr="004500D8">
        <w:rPr>
          <w:sz w:val="22"/>
          <w:szCs w:val="22"/>
          <w:lang w:val="sr-Latn-ME"/>
        </w:rPr>
        <w:t xml:space="preserve">Nije potrebno prilagođavanje doze. </w:t>
      </w:r>
    </w:p>
    <w:p w14:paraId="2A09E39A" w14:textId="77777777" w:rsidR="00596C07" w:rsidRPr="004500D8" w:rsidRDefault="00596C07" w:rsidP="00596C07">
      <w:pPr>
        <w:rPr>
          <w:sz w:val="22"/>
          <w:szCs w:val="22"/>
          <w:lang w:val="sr-Latn-ME"/>
        </w:rPr>
      </w:pPr>
    </w:p>
    <w:p w14:paraId="586D4324" w14:textId="77777777" w:rsidR="00596C07" w:rsidRPr="004500D8" w:rsidRDefault="00596C07" w:rsidP="00596C07">
      <w:pPr>
        <w:widowControl w:val="0"/>
        <w:autoSpaceDE w:val="0"/>
        <w:autoSpaceDN w:val="0"/>
        <w:adjustRightInd w:val="0"/>
        <w:ind w:left="567" w:hanging="567"/>
        <w:jc w:val="both"/>
        <w:rPr>
          <w:i/>
          <w:color w:val="000000"/>
          <w:sz w:val="22"/>
          <w:szCs w:val="22"/>
          <w:lang w:val="sr-Latn-ME"/>
        </w:rPr>
      </w:pPr>
      <w:r w:rsidRPr="004500D8">
        <w:rPr>
          <w:i/>
          <w:color w:val="000000"/>
          <w:sz w:val="22"/>
          <w:szCs w:val="22"/>
          <w:lang w:val="sr-Latn-ME"/>
        </w:rPr>
        <w:t>Oštećenje funkcije bubrega i/ili jetre</w:t>
      </w:r>
    </w:p>
    <w:p w14:paraId="72B59EC2" w14:textId="77777777" w:rsidR="00596C07" w:rsidRPr="004500D8" w:rsidRDefault="00596C07" w:rsidP="00596C07">
      <w:pPr>
        <w:widowControl w:val="0"/>
        <w:autoSpaceDE w:val="0"/>
        <w:autoSpaceDN w:val="0"/>
        <w:adjustRightInd w:val="0"/>
        <w:ind w:left="567" w:hanging="567"/>
        <w:jc w:val="both"/>
        <w:rPr>
          <w:color w:val="000000"/>
          <w:sz w:val="22"/>
          <w:szCs w:val="22"/>
          <w:u w:val="single"/>
          <w:lang w:val="sr-Latn-ME"/>
        </w:rPr>
      </w:pPr>
    </w:p>
    <w:p w14:paraId="3C985AC8"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Nije ispitivano djelovanje </w:t>
      </w:r>
      <w:r w:rsidRPr="004500D8">
        <w:rPr>
          <w:sz w:val="22"/>
          <w:szCs w:val="22"/>
          <w:lang w:val="sr-Latn-ME"/>
        </w:rPr>
        <w:t xml:space="preserve">lijeka </w:t>
      </w:r>
      <w:r w:rsidRPr="004500D8">
        <w:rPr>
          <w:color w:val="000000"/>
          <w:sz w:val="22"/>
          <w:szCs w:val="22"/>
          <w:lang w:val="sr-Latn-ME"/>
        </w:rPr>
        <w:t xml:space="preserve">Humira u ovoj grupi pacijenata, te se ne mogu dati preporuke za doziranje. </w:t>
      </w:r>
    </w:p>
    <w:p w14:paraId="3BDF907C" w14:textId="77777777" w:rsidR="00596C07" w:rsidRPr="004500D8" w:rsidRDefault="00596C07" w:rsidP="00596C07">
      <w:pPr>
        <w:widowControl w:val="0"/>
        <w:autoSpaceDE w:val="0"/>
        <w:autoSpaceDN w:val="0"/>
        <w:adjustRightInd w:val="0"/>
        <w:jc w:val="both"/>
        <w:rPr>
          <w:sz w:val="22"/>
          <w:szCs w:val="22"/>
          <w:lang w:val="sr-Latn-ME"/>
        </w:rPr>
      </w:pPr>
    </w:p>
    <w:p w14:paraId="0AB6B91F" w14:textId="77777777" w:rsidR="00596C07" w:rsidRPr="004500D8" w:rsidRDefault="00596C07" w:rsidP="00596C07">
      <w:pPr>
        <w:widowControl w:val="0"/>
        <w:autoSpaceDE w:val="0"/>
        <w:autoSpaceDN w:val="0"/>
        <w:adjustRightInd w:val="0"/>
        <w:jc w:val="both"/>
        <w:rPr>
          <w:i/>
          <w:color w:val="000000"/>
          <w:sz w:val="22"/>
          <w:szCs w:val="22"/>
          <w:lang w:val="sr-Latn-ME"/>
        </w:rPr>
      </w:pPr>
      <w:r w:rsidRPr="004500D8">
        <w:rPr>
          <w:i/>
          <w:color w:val="000000"/>
          <w:sz w:val="22"/>
          <w:szCs w:val="22"/>
          <w:lang w:val="sr-Latn-ME"/>
        </w:rPr>
        <w:t>Pedijatrijska populacija</w:t>
      </w:r>
    </w:p>
    <w:p w14:paraId="1EE88619"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596D2A86" w14:textId="5B7F1A04" w:rsidR="00596C07" w:rsidRPr="003B242C" w:rsidRDefault="00596C07" w:rsidP="00596C07">
      <w:pPr>
        <w:autoSpaceDE w:val="0"/>
        <w:spacing w:after="160"/>
        <w:rPr>
          <w:sz w:val="22"/>
          <w:szCs w:val="22"/>
          <w:u w:val="single"/>
          <w:lang w:val="sr-Latn-ME" w:eastAsia="bs-Latn-BA"/>
        </w:rPr>
      </w:pPr>
      <w:r w:rsidRPr="003B242C">
        <w:rPr>
          <w:sz w:val="22"/>
          <w:szCs w:val="22"/>
          <w:u w:val="single"/>
          <w:lang w:val="sr-Latn-ME" w:eastAsia="bs-Latn-BA"/>
        </w:rPr>
        <w:t xml:space="preserve">Plak psorijaza </w:t>
      </w:r>
      <w:r w:rsidR="0021349E" w:rsidRPr="003B242C">
        <w:rPr>
          <w:sz w:val="22"/>
          <w:szCs w:val="22"/>
          <w:u w:val="single"/>
          <w:lang w:val="sr-Latn-ME" w:eastAsia="bs-Latn-BA"/>
        </w:rPr>
        <w:t>kod</w:t>
      </w:r>
      <w:r w:rsidRPr="003B242C">
        <w:rPr>
          <w:sz w:val="22"/>
          <w:szCs w:val="22"/>
          <w:u w:val="single"/>
          <w:lang w:val="sr-Latn-ME" w:eastAsia="bs-Latn-BA"/>
        </w:rPr>
        <w:t xml:space="preserve"> djece</w:t>
      </w:r>
    </w:p>
    <w:p w14:paraId="4C052E6C" w14:textId="3615EC1D" w:rsidR="00596C07" w:rsidRPr="003B242C" w:rsidRDefault="00596C07" w:rsidP="00596C07">
      <w:pPr>
        <w:autoSpaceDE w:val="0"/>
        <w:spacing w:after="160"/>
        <w:rPr>
          <w:sz w:val="22"/>
          <w:szCs w:val="22"/>
          <w:u w:val="single"/>
          <w:lang w:val="sr-Latn-ME" w:eastAsia="bs-Latn-BA"/>
        </w:rPr>
      </w:pPr>
      <w:r w:rsidRPr="003B242C">
        <w:rPr>
          <w:sz w:val="22"/>
          <w:szCs w:val="22"/>
          <w:u w:val="single"/>
          <w:lang w:val="sr-Latn-ME" w:eastAsia="bs-Latn-BA"/>
        </w:rPr>
        <w:t xml:space="preserve">Sigurnost i efikasnost lijeka Humira kod djece </w:t>
      </w:r>
      <w:r w:rsidR="0021349E" w:rsidRPr="003B242C">
        <w:rPr>
          <w:sz w:val="22"/>
          <w:szCs w:val="22"/>
          <w:u w:val="single"/>
          <w:lang w:val="sr-Latn-ME" w:eastAsia="bs-Latn-BA"/>
        </w:rPr>
        <w:t xml:space="preserve">uzrasta </w:t>
      </w:r>
      <w:r w:rsidRPr="003B242C">
        <w:rPr>
          <w:sz w:val="22"/>
          <w:szCs w:val="22"/>
          <w:u w:val="single"/>
          <w:lang w:val="sr-Latn-ME" w:eastAsia="bs-Latn-BA"/>
        </w:rPr>
        <w:t>od 4 do 17 godina ustanovljene su za plak psorijazu. Preporučena doza lijeka Humira iznosi do najviše 40 mg po dozi.</w:t>
      </w:r>
    </w:p>
    <w:p w14:paraId="7DD2B39B"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1741415D" w14:textId="77777777" w:rsidR="00596C07" w:rsidRPr="004500D8" w:rsidRDefault="00596C07" w:rsidP="00596C07">
      <w:pPr>
        <w:widowControl w:val="0"/>
        <w:autoSpaceDE w:val="0"/>
        <w:autoSpaceDN w:val="0"/>
        <w:adjustRightInd w:val="0"/>
        <w:jc w:val="both"/>
        <w:rPr>
          <w:i/>
          <w:color w:val="000000"/>
          <w:sz w:val="22"/>
          <w:szCs w:val="22"/>
          <w:lang w:val="sr-Latn-ME"/>
        </w:rPr>
      </w:pPr>
      <w:r w:rsidRPr="004500D8">
        <w:rPr>
          <w:i/>
          <w:color w:val="000000"/>
          <w:sz w:val="22"/>
          <w:szCs w:val="22"/>
          <w:lang w:val="sr-Latn-ME"/>
        </w:rPr>
        <w:t>Adolescentni gnojni hidradenitis (Hidradenitis suppurativa) (uzrasta od 12 i više godina, tjelesne težine najmanje 30 kg)</w:t>
      </w:r>
    </w:p>
    <w:p w14:paraId="3D755099" w14:textId="77777777" w:rsidR="00596C07" w:rsidRPr="004500D8" w:rsidRDefault="00596C07" w:rsidP="00596C07">
      <w:pPr>
        <w:widowControl w:val="0"/>
        <w:autoSpaceDE w:val="0"/>
        <w:autoSpaceDN w:val="0"/>
        <w:adjustRightInd w:val="0"/>
        <w:jc w:val="both"/>
        <w:rPr>
          <w:color w:val="000000"/>
          <w:sz w:val="22"/>
          <w:szCs w:val="22"/>
          <w:lang w:val="sr-Latn-ME"/>
        </w:rPr>
      </w:pPr>
    </w:p>
    <w:p w14:paraId="58A1BFD1" w14:textId="020FD42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Nisu sprovedena klinička ispitivanja lijeka Humira kod adolescentnih pacijenata sa gnojnim hidradenitisom. Doziranje lijeka Humira kod tih pacijenata utvrđeno je na osnovu farmakokinetičkog modeliranja i simulacije (vidjeti </w:t>
      </w:r>
      <w:r w:rsidR="00126D7E" w:rsidRPr="004500D8">
        <w:rPr>
          <w:color w:val="000000"/>
          <w:sz w:val="22"/>
          <w:szCs w:val="22"/>
          <w:lang w:val="sr-Latn-ME"/>
        </w:rPr>
        <w:t xml:space="preserve">dio </w:t>
      </w:r>
      <w:r w:rsidRPr="004500D8">
        <w:rPr>
          <w:color w:val="000000"/>
          <w:sz w:val="22"/>
          <w:szCs w:val="22"/>
          <w:lang w:val="sr-Latn-ME"/>
        </w:rPr>
        <w:t>5.2).</w:t>
      </w:r>
    </w:p>
    <w:p w14:paraId="5048A4A5" w14:textId="77777777" w:rsidR="00596C07" w:rsidRPr="004500D8" w:rsidRDefault="00596C07" w:rsidP="00596C07">
      <w:pPr>
        <w:widowControl w:val="0"/>
        <w:autoSpaceDE w:val="0"/>
        <w:autoSpaceDN w:val="0"/>
        <w:adjustRightInd w:val="0"/>
        <w:jc w:val="both"/>
        <w:rPr>
          <w:color w:val="000000"/>
          <w:sz w:val="22"/>
          <w:szCs w:val="22"/>
          <w:lang w:val="sr-Latn-ME"/>
        </w:rPr>
      </w:pPr>
    </w:p>
    <w:p w14:paraId="0DE1211D" w14:textId="344A97D0"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Preporučena doza lijeka Humira je 80 mg u nultoj nedjelji, nakon koje se primijenjuje doza od 40 mg svake druge nedjelje, počevši od prve nedjelje, su</w:t>
      </w:r>
      <w:r w:rsidR="00A97382" w:rsidRPr="004500D8">
        <w:rPr>
          <w:color w:val="000000"/>
          <w:sz w:val="22"/>
          <w:szCs w:val="22"/>
          <w:lang w:val="sr-Latn-ME"/>
        </w:rPr>
        <w:t>p</w:t>
      </w:r>
      <w:r w:rsidRPr="004500D8">
        <w:rPr>
          <w:color w:val="000000"/>
          <w:sz w:val="22"/>
          <w:szCs w:val="22"/>
          <w:lang w:val="sr-Latn-ME"/>
        </w:rPr>
        <w:t xml:space="preserve">kutanom injekcijom. </w:t>
      </w:r>
    </w:p>
    <w:p w14:paraId="10C020D7" w14:textId="77777777" w:rsidR="00596C07" w:rsidRPr="004500D8" w:rsidRDefault="00596C07" w:rsidP="00596C07">
      <w:pPr>
        <w:widowControl w:val="0"/>
        <w:autoSpaceDE w:val="0"/>
        <w:autoSpaceDN w:val="0"/>
        <w:adjustRightInd w:val="0"/>
        <w:jc w:val="both"/>
        <w:rPr>
          <w:color w:val="000000"/>
          <w:sz w:val="22"/>
          <w:szCs w:val="22"/>
          <w:lang w:val="sr-Latn-ME"/>
        </w:rPr>
      </w:pPr>
    </w:p>
    <w:p w14:paraId="35B8A0A3"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Kod adolescentnih pacijenata kod kojih nije postignut zadovoljavajući odgovor na lijek Humira u dozi od 40 mg svake druge nedjelje, može se razmotriti povećanje doziranja na 40 mg svake nedjelje ili na 80 mg svake druge nedjelje.</w:t>
      </w:r>
    </w:p>
    <w:p w14:paraId="06F76077" w14:textId="77777777" w:rsidR="00596C07" w:rsidRPr="004500D8" w:rsidRDefault="00596C07" w:rsidP="00596C07">
      <w:pPr>
        <w:widowControl w:val="0"/>
        <w:autoSpaceDE w:val="0"/>
        <w:autoSpaceDN w:val="0"/>
        <w:adjustRightInd w:val="0"/>
        <w:jc w:val="both"/>
        <w:rPr>
          <w:color w:val="000000"/>
          <w:sz w:val="22"/>
          <w:szCs w:val="22"/>
          <w:lang w:val="sr-Latn-ME"/>
        </w:rPr>
      </w:pPr>
    </w:p>
    <w:p w14:paraId="5B3C6123"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Ako je potrebno, primjena antibiotika može se nastaviti i tokom liječenja lijekom Humira. Preporučuje se da pacijent tokom liječenja lijekom Humira svakodnevno koristi topikalni antiseptički rastvor za ispiranje lezija uzrokovanih gnojnim hidradenitisom.</w:t>
      </w:r>
    </w:p>
    <w:p w14:paraId="3667667D" w14:textId="77777777" w:rsidR="00596C07" w:rsidRPr="004500D8" w:rsidRDefault="00596C07" w:rsidP="00596C07">
      <w:pPr>
        <w:widowControl w:val="0"/>
        <w:tabs>
          <w:tab w:val="left" w:pos="1162"/>
        </w:tabs>
        <w:autoSpaceDE w:val="0"/>
        <w:autoSpaceDN w:val="0"/>
        <w:adjustRightInd w:val="0"/>
        <w:jc w:val="both"/>
        <w:rPr>
          <w:color w:val="000000"/>
          <w:sz w:val="22"/>
          <w:szCs w:val="22"/>
          <w:lang w:val="sr-Latn-ME"/>
        </w:rPr>
      </w:pPr>
      <w:r w:rsidRPr="004500D8">
        <w:rPr>
          <w:color w:val="000000"/>
          <w:sz w:val="22"/>
          <w:szCs w:val="22"/>
          <w:lang w:val="sr-Latn-ME"/>
        </w:rPr>
        <w:tab/>
      </w:r>
    </w:p>
    <w:p w14:paraId="37D39D08"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lastRenderedPageBreak/>
        <w:t>U slučaju da ni nakon 12 nedjelja nema poboljšanja, potrebno je pomno razmotriti nastavak liječenja takvog pacijenta.</w:t>
      </w:r>
    </w:p>
    <w:p w14:paraId="4C3C0AA8" w14:textId="77777777" w:rsidR="00596C07" w:rsidRPr="004500D8" w:rsidRDefault="00596C07" w:rsidP="00596C07">
      <w:pPr>
        <w:widowControl w:val="0"/>
        <w:autoSpaceDE w:val="0"/>
        <w:autoSpaceDN w:val="0"/>
        <w:adjustRightInd w:val="0"/>
        <w:jc w:val="both"/>
        <w:rPr>
          <w:color w:val="000000"/>
          <w:sz w:val="22"/>
          <w:szCs w:val="22"/>
          <w:lang w:val="sr-Latn-ME"/>
        </w:rPr>
      </w:pPr>
    </w:p>
    <w:p w14:paraId="3671A533"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Ako liječenje treba privremeno prekinuti, lijek Humira se kasnije po potrebi može ponovno uvesti.</w:t>
      </w:r>
    </w:p>
    <w:p w14:paraId="40DB6B05" w14:textId="77777777" w:rsidR="00596C07" w:rsidRPr="004500D8" w:rsidRDefault="00596C07" w:rsidP="00596C07">
      <w:pPr>
        <w:widowControl w:val="0"/>
        <w:autoSpaceDE w:val="0"/>
        <w:autoSpaceDN w:val="0"/>
        <w:adjustRightInd w:val="0"/>
        <w:jc w:val="both"/>
        <w:rPr>
          <w:color w:val="000000"/>
          <w:sz w:val="22"/>
          <w:szCs w:val="22"/>
          <w:lang w:val="sr-Latn-ME"/>
        </w:rPr>
      </w:pPr>
    </w:p>
    <w:p w14:paraId="3CA58252" w14:textId="2CAED085"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Potrebno je periodično procjenjivati koristi i rizike kontinuiranog dugotrajnog liječenja (vidjeti podatke za odrasle u </w:t>
      </w:r>
      <w:r w:rsidR="00A97382" w:rsidRPr="004500D8">
        <w:rPr>
          <w:color w:val="000000"/>
          <w:sz w:val="22"/>
          <w:szCs w:val="22"/>
          <w:lang w:val="sr-Latn-ME"/>
        </w:rPr>
        <w:t xml:space="preserve">dijelu </w:t>
      </w:r>
      <w:r w:rsidRPr="004500D8">
        <w:rPr>
          <w:color w:val="000000"/>
          <w:sz w:val="22"/>
          <w:szCs w:val="22"/>
          <w:lang w:val="sr-Latn-ME"/>
        </w:rPr>
        <w:t>5.1).</w:t>
      </w:r>
    </w:p>
    <w:p w14:paraId="34856605" w14:textId="77777777" w:rsidR="00596C07" w:rsidRPr="004500D8" w:rsidRDefault="00596C07" w:rsidP="00596C07">
      <w:pPr>
        <w:widowControl w:val="0"/>
        <w:autoSpaceDE w:val="0"/>
        <w:autoSpaceDN w:val="0"/>
        <w:adjustRightInd w:val="0"/>
        <w:jc w:val="both"/>
        <w:rPr>
          <w:color w:val="000000"/>
          <w:sz w:val="22"/>
          <w:szCs w:val="22"/>
          <w:lang w:val="sr-Latn-ME"/>
        </w:rPr>
      </w:pPr>
    </w:p>
    <w:p w14:paraId="7CA7ACAC"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Nema relevantne primijene lijeka Humira kod djece mlađe od 12 godina za ovu indikaciju.</w:t>
      </w:r>
    </w:p>
    <w:p w14:paraId="4798410A" w14:textId="77777777" w:rsidR="00596C07" w:rsidRPr="004500D8" w:rsidRDefault="00596C07" w:rsidP="00596C07">
      <w:pPr>
        <w:widowControl w:val="0"/>
        <w:autoSpaceDE w:val="0"/>
        <w:autoSpaceDN w:val="0"/>
        <w:adjustRightInd w:val="0"/>
        <w:jc w:val="both"/>
        <w:rPr>
          <w:color w:val="000000"/>
          <w:sz w:val="22"/>
          <w:szCs w:val="22"/>
          <w:lang w:val="sr-Latn-ME"/>
        </w:rPr>
      </w:pPr>
    </w:p>
    <w:p w14:paraId="3703EE88" w14:textId="77777777" w:rsidR="00596C07" w:rsidRPr="004500D8" w:rsidRDefault="00596C07" w:rsidP="00596C07">
      <w:pPr>
        <w:jc w:val="both"/>
        <w:rPr>
          <w:sz w:val="22"/>
          <w:szCs w:val="22"/>
          <w:lang w:val="sr-Latn-ME"/>
        </w:rPr>
      </w:pPr>
      <w:r w:rsidRPr="004500D8">
        <w:rPr>
          <w:sz w:val="22"/>
          <w:szCs w:val="22"/>
          <w:lang w:val="sr-Latn-ME" w:eastAsia="bs-Latn-BA"/>
        </w:rPr>
        <w:t>Lijek Humira može biti dostupan i u drugim jačinama i/ili oblicima pakovanja, zavisno od terapijskih potreba pojedinog pacijenta.</w:t>
      </w:r>
    </w:p>
    <w:p w14:paraId="2CE29F57" w14:textId="77777777" w:rsidR="00596C07" w:rsidRPr="004500D8" w:rsidRDefault="00596C07" w:rsidP="00596C07">
      <w:pPr>
        <w:widowControl w:val="0"/>
        <w:autoSpaceDE w:val="0"/>
        <w:autoSpaceDN w:val="0"/>
        <w:adjustRightInd w:val="0"/>
        <w:jc w:val="center"/>
        <w:rPr>
          <w:color w:val="000000"/>
          <w:sz w:val="22"/>
          <w:szCs w:val="22"/>
          <w:u w:val="single"/>
          <w:lang w:val="sr-Latn-ME"/>
        </w:rPr>
      </w:pPr>
    </w:p>
    <w:p w14:paraId="0D078E79" w14:textId="77777777" w:rsidR="00596C07" w:rsidRPr="004500D8" w:rsidRDefault="00596C07" w:rsidP="00596C07">
      <w:pPr>
        <w:widowControl w:val="0"/>
        <w:autoSpaceDE w:val="0"/>
        <w:autoSpaceDN w:val="0"/>
        <w:adjustRightInd w:val="0"/>
        <w:ind w:left="567" w:hanging="567"/>
        <w:jc w:val="both"/>
        <w:rPr>
          <w:i/>
          <w:color w:val="000000"/>
          <w:sz w:val="22"/>
          <w:szCs w:val="22"/>
          <w:lang w:val="sr-Latn-ME"/>
        </w:rPr>
      </w:pPr>
      <w:r w:rsidRPr="004500D8">
        <w:rPr>
          <w:i/>
          <w:color w:val="000000"/>
          <w:sz w:val="22"/>
          <w:szCs w:val="22"/>
          <w:lang w:val="sr-Latn-ME"/>
        </w:rPr>
        <w:t>Crohn-ova bolest kod djece</w:t>
      </w:r>
    </w:p>
    <w:p w14:paraId="75F15E78" w14:textId="77777777" w:rsidR="00596C07" w:rsidRPr="004500D8" w:rsidRDefault="00596C07" w:rsidP="00596C07">
      <w:pPr>
        <w:widowControl w:val="0"/>
        <w:autoSpaceDE w:val="0"/>
        <w:autoSpaceDN w:val="0"/>
        <w:adjustRightInd w:val="0"/>
        <w:jc w:val="both"/>
        <w:rPr>
          <w:sz w:val="22"/>
          <w:szCs w:val="22"/>
          <w:lang w:val="sr-Latn-ME"/>
        </w:rPr>
      </w:pPr>
    </w:p>
    <w:p w14:paraId="1433A5B9" w14:textId="1EEF9A94" w:rsidR="00596C07" w:rsidRPr="004500D8" w:rsidRDefault="00596C07" w:rsidP="003B242C">
      <w:pPr>
        <w:widowControl w:val="0"/>
        <w:autoSpaceDE w:val="0"/>
        <w:autoSpaceDN w:val="0"/>
        <w:adjustRightInd w:val="0"/>
        <w:spacing w:after="200"/>
        <w:jc w:val="both"/>
        <w:rPr>
          <w:b/>
          <w:sz w:val="22"/>
          <w:szCs w:val="22"/>
          <w:lang w:val="sr-Latn-ME" w:eastAsia="bs-Latn-BA"/>
        </w:rPr>
      </w:pPr>
      <w:r w:rsidRPr="004500D8">
        <w:rPr>
          <w:sz w:val="22"/>
          <w:szCs w:val="22"/>
          <w:lang w:val="sr-Latn-ME" w:eastAsia="bs-Latn-BA"/>
        </w:rPr>
        <w:t>Preporučena doza lijeka Humira za pacijente sa Crohn-ovom bolešću uzrasta od 6 do 17 godina određuje se na osnovu tjelesne težine (Tabela 1). Lijek Humira se primjenjuje su</w:t>
      </w:r>
      <w:r w:rsidR="00A97382" w:rsidRPr="004500D8">
        <w:rPr>
          <w:sz w:val="22"/>
          <w:szCs w:val="22"/>
          <w:lang w:val="sr-Latn-ME" w:eastAsia="bs-Latn-BA"/>
        </w:rPr>
        <w:t>p</w:t>
      </w:r>
      <w:r w:rsidRPr="004500D8">
        <w:rPr>
          <w:sz w:val="22"/>
          <w:szCs w:val="22"/>
          <w:lang w:val="sr-Latn-ME" w:eastAsia="bs-Latn-BA"/>
        </w:rPr>
        <w:t xml:space="preserve">kutanom injekcijom. </w:t>
      </w:r>
    </w:p>
    <w:p w14:paraId="1C69725E" w14:textId="77777777" w:rsidR="00596C07" w:rsidRPr="004500D8" w:rsidRDefault="00596C07" w:rsidP="00596C07">
      <w:pPr>
        <w:widowControl w:val="0"/>
        <w:autoSpaceDE w:val="0"/>
        <w:autoSpaceDN w:val="0"/>
        <w:adjustRightInd w:val="0"/>
        <w:spacing w:after="200"/>
        <w:jc w:val="center"/>
        <w:rPr>
          <w:sz w:val="22"/>
          <w:szCs w:val="22"/>
          <w:lang w:val="sr-Latn-ME" w:eastAsia="bs-Latn-BA"/>
        </w:rPr>
      </w:pPr>
      <w:r w:rsidRPr="004500D8">
        <w:rPr>
          <w:b/>
          <w:sz w:val="22"/>
          <w:szCs w:val="22"/>
          <w:lang w:val="sr-Latn-ME" w:eastAsia="bs-Latn-BA"/>
        </w:rPr>
        <w:t>Tabela 1. Doza lijeka Humira za pedijatrijske pacijente sa Crohn-ovom bolešću</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3"/>
        <w:gridCol w:w="5921"/>
        <w:gridCol w:w="1823"/>
      </w:tblGrid>
      <w:tr w:rsidR="00596C07" w:rsidRPr="004500D8" w14:paraId="51D36569" w14:textId="77777777" w:rsidTr="00596C07">
        <w:trPr>
          <w:tblHeader/>
        </w:trPr>
        <w:tc>
          <w:tcPr>
            <w:tcW w:w="0" w:type="auto"/>
            <w:tcBorders>
              <w:top w:val="single" w:sz="6" w:space="0" w:color="000000"/>
              <w:left w:val="single" w:sz="6" w:space="0" w:color="000000"/>
              <w:bottom w:val="single" w:sz="6" w:space="0" w:color="000000"/>
              <w:right w:val="single" w:sz="6" w:space="0" w:color="000000"/>
            </w:tcBorders>
            <w:hideMark/>
          </w:tcPr>
          <w:p w14:paraId="1455308E" w14:textId="77777777" w:rsidR="00596C07" w:rsidRPr="004500D8" w:rsidRDefault="00596C07" w:rsidP="00596C07">
            <w:pPr>
              <w:keepNext/>
              <w:spacing w:after="200"/>
              <w:jc w:val="center"/>
              <w:rPr>
                <w:sz w:val="22"/>
                <w:szCs w:val="22"/>
                <w:lang w:val="sr-Latn-ME" w:eastAsia="bs-Latn-BA"/>
              </w:rPr>
            </w:pPr>
            <w:r w:rsidRPr="004500D8">
              <w:rPr>
                <w:b/>
                <w:sz w:val="22"/>
                <w:szCs w:val="22"/>
                <w:lang w:val="sr-Latn-ME" w:eastAsia="bs-Latn-BA"/>
              </w:rPr>
              <w:t>Tjelesna težina pacijenta</w:t>
            </w:r>
          </w:p>
        </w:tc>
        <w:tc>
          <w:tcPr>
            <w:tcW w:w="0" w:type="auto"/>
            <w:tcBorders>
              <w:top w:val="single" w:sz="6" w:space="0" w:color="000000"/>
              <w:left w:val="single" w:sz="6" w:space="0" w:color="000000"/>
              <w:bottom w:val="single" w:sz="6" w:space="0" w:color="000000"/>
              <w:right w:val="single" w:sz="6" w:space="0" w:color="000000"/>
            </w:tcBorders>
            <w:hideMark/>
          </w:tcPr>
          <w:p w14:paraId="2334781A" w14:textId="77777777" w:rsidR="00596C07" w:rsidRPr="004500D8" w:rsidRDefault="00596C07" w:rsidP="00596C07">
            <w:pPr>
              <w:keepNext/>
              <w:spacing w:after="200"/>
              <w:jc w:val="center"/>
              <w:rPr>
                <w:sz w:val="22"/>
                <w:szCs w:val="22"/>
                <w:lang w:val="sr-Latn-ME" w:eastAsia="bs-Latn-BA"/>
              </w:rPr>
            </w:pPr>
            <w:r w:rsidRPr="004500D8">
              <w:rPr>
                <w:b/>
                <w:sz w:val="22"/>
                <w:szCs w:val="22"/>
                <w:lang w:val="sr-Latn-ME" w:eastAsia="bs-Latn-BA"/>
              </w:rPr>
              <w:t>Indukciona doza</w:t>
            </w:r>
          </w:p>
        </w:tc>
        <w:tc>
          <w:tcPr>
            <w:tcW w:w="0" w:type="auto"/>
            <w:tcBorders>
              <w:top w:val="single" w:sz="6" w:space="0" w:color="000000"/>
              <w:left w:val="single" w:sz="6" w:space="0" w:color="000000"/>
              <w:bottom w:val="single" w:sz="6" w:space="0" w:color="000000"/>
              <w:right w:val="single" w:sz="6" w:space="0" w:color="000000"/>
            </w:tcBorders>
            <w:hideMark/>
          </w:tcPr>
          <w:p w14:paraId="2EF03FFC" w14:textId="77777777" w:rsidR="00596C07" w:rsidRPr="004500D8" w:rsidRDefault="00596C07" w:rsidP="00596C07">
            <w:pPr>
              <w:spacing w:after="200"/>
              <w:jc w:val="center"/>
              <w:rPr>
                <w:sz w:val="22"/>
                <w:szCs w:val="22"/>
                <w:lang w:val="sr-Latn-ME" w:eastAsia="bs-Latn-BA"/>
              </w:rPr>
            </w:pPr>
            <w:r w:rsidRPr="004500D8">
              <w:rPr>
                <w:b/>
                <w:sz w:val="22"/>
                <w:szCs w:val="22"/>
                <w:lang w:val="sr-Latn-ME" w:eastAsia="bs-Latn-BA"/>
              </w:rPr>
              <w:t>Doza održavanja počevši od 4. nedjelje</w:t>
            </w:r>
          </w:p>
        </w:tc>
      </w:tr>
      <w:tr w:rsidR="00596C07" w:rsidRPr="004500D8" w14:paraId="040EAA2F" w14:textId="77777777" w:rsidTr="00596C07">
        <w:tc>
          <w:tcPr>
            <w:tcW w:w="0" w:type="auto"/>
            <w:tcBorders>
              <w:top w:val="single" w:sz="6" w:space="0" w:color="000000"/>
              <w:left w:val="single" w:sz="6" w:space="0" w:color="000000"/>
              <w:bottom w:val="single" w:sz="6" w:space="0" w:color="000000"/>
              <w:right w:val="single" w:sz="6" w:space="0" w:color="000000"/>
            </w:tcBorders>
            <w:hideMark/>
          </w:tcPr>
          <w:p w14:paraId="35E65632" w14:textId="77777777" w:rsidR="00596C07" w:rsidRPr="004500D8" w:rsidRDefault="00596C07" w:rsidP="00596C07">
            <w:pPr>
              <w:keepNext/>
              <w:spacing w:after="200"/>
              <w:jc w:val="center"/>
              <w:rPr>
                <w:sz w:val="22"/>
                <w:szCs w:val="22"/>
                <w:lang w:val="sr-Latn-ME" w:eastAsia="bs-Latn-BA"/>
              </w:rPr>
            </w:pPr>
            <w:r w:rsidRPr="004500D8">
              <w:rPr>
                <w:sz w:val="22"/>
                <w:szCs w:val="22"/>
                <w:lang w:val="sr-Latn-ME" w:eastAsia="bs-Latn-BA"/>
              </w:rPr>
              <w:t>&lt; 40 kg</w:t>
            </w:r>
          </w:p>
        </w:tc>
        <w:tc>
          <w:tcPr>
            <w:tcW w:w="0" w:type="auto"/>
            <w:tcBorders>
              <w:top w:val="single" w:sz="6" w:space="0" w:color="000000"/>
              <w:left w:val="single" w:sz="6" w:space="0" w:color="000000"/>
              <w:bottom w:val="single" w:sz="6" w:space="0" w:color="000000"/>
              <w:right w:val="single" w:sz="6" w:space="0" w:color="000000"/>
            </w:tcBorders>
            <w:hideMark/>
          </w:tcPr>
          <w:p w14:paraId="608588F7" w14:textId="77777777" w:rsidR="00596C07" w:rsidRPr="004500D8" w:rsidRDefault="00596C07" w:rsidP="002D19E9">
            <w:pPr>
              <w:keepNext/>
              <w:numPr>
                <w:ilvl w:val="0"/>
                <w:numId w:val="6"/>
              </w:numPr>
              <w:tabs>
                <w:tab w:val="left" w:pos="562"/>
              </w:tabs>
              <w:suppressAutoHyphens/>
              <w:spacing w:after="200" w:line="259" w:lineRule="auto"/>
              <w:ind w:left="307" w:hanging="180"/>
              <w:rPr>
                <w:sz w:val="22"/>
                <w:szCs w:val="22"/>
                <w:lang w:val="sr-Latn-ME" w:eastAsia="bs-Latn-BA"/>
              </w:rPr>
            </w:pPr>
            <w:r w:rsidRPr="004500D8">
              <w:rPr>
                <w:sz w:val="22"/>
                <w:szCs w:val="22"/>
                <w:lang w:val="sr-Latn-ME" w:eastAsia="bs-Latn-BA"/>
              </w:rPr>
              <w:t>40 mg u nultoj nedjelji i 20 mg u drugoj nedjelji</w:t>
            </w:r>
          </w:p>
          <w:p w14:paraId="7DE44C89" w14:textId="77777777" w:rsidR="00596C07" w:rsidRPr="004500D8" w:rsidRDefault="00596C07" w:rsidP="00596C07">
            <w:pPr>
              <w:keepNext/>
              <w:spacing w:after="200"/>
              <w:ind w:left="150"/>
              <w:rPr>
                <w:sz w:val="22"/>
                <w:szCs w:val="22"/>
                <w:lang w:val="sr-Latn-ME" w:eastAsia="bs-Latn-BA"/>
              </w:rPr>
            </w:pPr>
            <w:r w:rsidRPr="004500D8">
              <w:rPr>
                <w:sz w:val="22"/>
                <w:szCs w:val="22"/>
                <w:lang w:val="sr-Latn-ME" w:eastAsia="bs-Latn-BA"/>
              </w:rPr>
              <w:t>U slučaju kada postoji potreba za bržim odgovorom na terapiju, imajući na umu da je rizik od pojave neželjenih djelovanja veći pri primjeni viših indukcijskih doza, može se primijeniti sljedeća doza</w:t>
            </w:r>
            <w:r w:rsidRPr="004500D8">
              <w:rPr>
                <w:iCs/>
                <w:sz w:val="22"/>
                <w:szCs w:val="22"/>
                <w:lang w:val="sr-Latn-ME" w:eastAsia="bs-Latn-BA"/>
              </w:rPr>
              <w:t>:</w:t>
            </w:r>
          </w:p>
          <w:p w14:paraId="3A5917AF" w14:textId="77777777" w:rsidR="00596C07" w:rsidRPr="004500D8" w:rsidRDefault="00596C07" w:rsidP="002D19E9">
            <w:pPr>
              <w:keepNext/>
              <w:numPr>
                <w:ilvl w:val="0"/>
                <w:numId w:val="8"/>
              </w:numPr>
              <w:tabs>
                <w:tab w:val="left" w:pos="562"/>
              </w:tabs>
              <w:suppressAutoHyphens/>
              <w:spacing w:after="200" w:line="259" w:lineRule="auto"/>
              <w:ind w:left="307" w:hanging="180"/>
              <w:rPr>
                <w:iCs/>
                <w:sz w:val="22"/>
                <w:szCs w:val="22"/>
                <w:lang w:val="sr-Latn-ME" w:eastAsia="bs-Latn-BA"/>
              </w:rPr>
            </w:pPr>
            <w:r w:rsidRPr="004500D8">
              <w:rPr>
                <w:sz w:val="22"/>
                <w:szCs w:val="22"/>
                <w:lang w:val="sr-Latn-ME" w:eastAsia="bs-Latn-BA"/>
              </w:rPr>
              <w:t>80 mg u nultoj nedjelji i 40 mg u drugoj nedjelji</w:t>
            </w:r>
          </w:p>
        </w:tc>
        <w:tc>
          <w:tcPr>
            <w:tcW w:w="0" w:type="auto"/>
            <w:tcBorders>
              <w:top w:val="single" w:sz="6" w:space="0" w:color="000000"/>
              <w:left w:val="single" w:sz="6" w:space="0" w:color="000000"/>
              <w:bottom w:val="single" w:sz="6" w:space="0" w:color="000000"/>
              <w:right w:val="single" w:sz="6" w:space="0" w:color="000000"/>
            </w:tcBorders>
            <w:hideMark/>
          </w:tcPr>
          <w:p w14:paraId="06EE6E6B" w14:textId="77777777" w:rsidR="00596C07" w:rsidRPr="004500D8" w:rsidRDefault="00596C07" w:rsidP="00596C07">
            <w:pPr>
              <w:spacing w:after="200"/>
              <w:ind w:left="16"/>
              <w:jc w:val="center"/>
              <w:rPr>
                <w:sz w:val="22"/>
                <w:szCs w:val="22"/>
                <w:lang w:val="sr-Latn-ME" w:eastAsia="bs-Latn-BA"/>
              </w:rPr>
            </w:pPr>
            <w:r w:rsidRPr="004500D8">
              <w:rPr>
                <w:sz w:val="22"/>
                <w:szCs w:val="22"/>
                <w:lang w:val="sr-Latn-ME" w:eastAsia="bs-Latn-BA"/>
              </w:rPr>
              <w:t>20 mg svake druge nedjelje</w:t>
            </w:r>
          </w:p>
        </w:tc>
      </w:tr>
      <w:tr w:rsidR="00596C07" w:rsidRPr="004500D8" w14:paraId="3001A517" w14:textId="77777777" w:rsidTr="00596C07">
        <w:tc>
          <w:tcPr>
            <w:tcW w:w="0" w:type="auto"/>
            <w:tcBorders>
              <w:top w:val="single" w:sz="6" w:space="0" w:color="000000"/>
              <w:left w:val="single" w:sz="6" w:space="0" w:color="000000"/>
              <w:bottom w:val="single" w:sz="6" w:space="0" w:color="000000"/>
              <w:right w:val="single" w:sz="6" w:space="0" w:color="000000"/>
            </w:tcBorders>
            <w:hideMark/>
          </w:tcPr>
          <w:p w14:paraId="41A3801A" w14:textId="77777777" w:rsidR="00596C07" w:rsidRPr="004500D8" w:rsidRDefault="00596C07" w:rsidP="00596C07">
            <w:pPr>
              <w:keepNext/>
              <w:spacing w:after="200"/>
              <w:jc w:val="center"/>
              <w:rPr>
                <w:sz w:val="22"/>
                <w:szCs w:val="22"/>
                <w:lang w:val="sr-Latn-ME" w:eastAsia="bs-Latn-BA"/>
              </w:rPr>
            </w:pPr>
            <w:r w:rsidRPr="004500D8">
              <w:rPr>
                <w:sz w:val="22"/>
                <w:szCs w:val="22"/>
                <w:lang w:val="sr-Latn-ME" w:eastAsia="bs-Latn-BA"/>
              </w:rPr>
              <w:t>≥40 kg</w:t>
            </w:r>
          </w:p>
        </w:tc>
        <w:tc>
          <w:tcPr>
            <w:tcW w:w="0" w:type="auto"/>
            <w:tcBorders>
              <w:top w:val="single" w:sz="6" w:space="0" w:color="000000"/>
              <w:left w:val="single" w:sz="6" w:space="0" w:color="000000"/>
              <w:bottom w:val="single" w:sz="6" w:space="0" w:color="000000"/>
              <w:right w:val="single" w:sz="6" w:space="0" w:color="000000"/>
            </w:tcBorders>
            <w:hideMark/>
          </w:tcPr>
          <w:p w14:paraId="387633AC" w14:textId="77777777" w:rsidR="00596C07" w:rsidRPr="004500D8" w:rsidRDefault="00596C07" w:rsidP="002D19E9">
            <w:pPr>
              <w:keepNext/>
              <w:numPr>
                <w:ilvl w:val="0"/>
                <w:numId w:val="9"/>
              </w:numPr>
              <w:tabs>
                <w:tab w:val="left" w:pos="562"/>
              </w:tabs>
              <w:suppressAutoHyphens/>
              <w:spacing w:after="200" w:line="259" w:lineRule="auto"/>
              <w:ind w:left="307" w:hanging="175"/>
              <w:rPr>
                <w:sz w:val="22"/>
                <w:szCs w:val="22"/>
                <w:lang w:val="sr-Latn-ME" w:eastAsia="bs-Latn-BA"/>
              </w:rPr>
            </w:pPr>
            <w:r w:rsidRPr="004500D8">
              <w:rPr>
                <w:sz w:val="22"/>
                <w:szCs w:val="22"/>
                <w:lang w:val="sr-Latn-ME" w:eastAsia="bs-Latn-BA"/>
              </w:rPr>
              <w:t>80 mg u nultoj nedjelji i 40 mg u drugoj nedjelji</w:t>
            </w:r>
          </w:p>
          <w:p w14:paraId="29A9193D" w14:textId="77777777" w:rsidR="00596C07" w:rsidRPr="004500D8" w:rsidRDefault="00596C07" w:rsidP="00596C07">
            <w:pPr>
              <w:keepNext/>
              <w:spacing w:after="200"/>
              <w:rPr>
                <w:sz w:val="22"/>
                <w:szCs w:val="22"/>
                <w:lang w:val="sr-Latn-ME" w:eastAsia="bs-Latn-BA"/>
              </w:rPr>
            </w:pPr>
          </w:p>
          <w:p w14:paraId="573A0523" w14:textId="6909DF74" w:rsidR="00596C07" w:rsidRPr="004500D8" w:rsidRDefault="00596C07" w:rsidP="00596C07">
            <w:pPr>
              <w:keepNext/>
              <w:spacing w:after="200"/>
              <w:ind w:left="150"/>
              <w:rPr>
                <w:sz w:val="22"/>
                <w:szCs w:val="22"/>
                <w:lang w:val="sr-Latn-ME" w:eastAsia="bs-Latn-BA"/>
              </w:rPr>
            </w:pPr>
            <w:r w:rsidRPr="004500D8">
              <w:rPr>
                <w:sz w:val="22"/>
                <w:szCs w:val="22"/>
                <w:lang w:val="sr-Latn-ME" w:eastAsia="bs-Latn-BA"/>
              </w:rPr>
              <w:t xml:space="preserve">U slučaju kada postoji potreba za bržim odgovorom na terapiju, imajući na umu da je rizik od pojave neželjenih </w:t>
            </w:r>
            <w:r w:rsidR="005D35A4" w:rsidRPr="004500D8">
              <w:rPr>
                <w:sz w:val="22"/>
                <w:szCs w:val="22"/>
                <w:lang w:val="sr-Latn-ME" w:eastAsia="bs-Latn-BA"/>
              </w:rPr>
              <w:t xml:space="preserve">dejstava </w:t>
            </w:r>
            <w:r w:rsidRPr="004500D8">
              <w:rPr>
                <w:sz w:val="22"/>
                <w:szCs w:val="22"/>
                <w:lang w:val="sr-Latn-ME" w:eastAsia="bs-Latn-BA"/>
              </w:rPr>
              <w:t>veći pri primjeni viših indukcijskih doza, može se primijeniti sljedeća doza</w:t>
            </w:r>
            <w:r w:rsidRPr="004500D8">
              <w:rPr>
                <w:iCs/>
                <w:sz w:val="22"/>
                <w:szCs w:val="22"/>
                <w:lang w:val="sr-Latn-ME" w:eastAsia="bs-Latn-BA"/>
              </w:rPr>
              <w:t>:</w:t>
            </w:r>
          </w:p>
          <w:p w14:paraId="67E3F098" w14:textId="77777777" w:rsidR="00596C07" w:rsidRPr="004500D8" w:rsidRDefault="00596C07" w:rsidP="002D19E9">
            <w:pPr>
              <w:keepNext/>
              <w:numPr>
                <w:ilvl w:val="0"/>
                <w:numId w:val="7"/>
              </w:numPr>
              <w:tabs>
                <w:tab w:val="left" w:pos="562"/>
              </w:tabs>
              <w:suppressAutoHyphens/>
              <w:spacing w:after="200" w:line="259" w:lineRule="auto"/>
              <w:ind w:left="314" w:hanging="187"/>
              <w:rPr>
                <w:sz w:val="22"/>
                <w:szCs w:val="22"/>
                <w:lang w:val="sr-Latn-ME" w:eastAsia="bs-Latn-BA"/>
              </w:rPr>
            </w:pPr>
            <w:r w:rsidRPr="004500D8">
              <w:rPr>
                <w:sz w:val="22"/>
                <w:szCs w:val="22"/>
                <w:lang w:val="sr-Latn-ME" w:eastAsia="bs-Latn-BA"/>
              </w:rPr>
              <w:t>160 mg u nultoj nedjelji i 80 mg u drugoj nedjelji</w:t>
            </w:r>
          </w:p>
        </w:tc>
        <w:tc>
          <w:tcPr>
            <w:tcW w:w="0" w:type="auto"/>
            <w:tcBorders>
              <w:top w:val="single" w:sz="6" w:space="0" w:color="000000"/>
              <w:left w:val="single" w:sz="6" w:space="0" w:color="000000"/>
              <w:bottom w:val="single" w:sz="6" w:space="0" w:color="000000"/>
              <w:right w:val="single" w:sz="6" w:space="0" w:color="000000"/>
            </w:tcBorders>
            <w:hideMark/>
          </w:tcPr>
          <w:p w14:paraId="2E91F21A" w14:textId="77777777" w:rsidR="00596C07" w:rsidRPr="004500D8" w:rsidRDefault="00596C07" w:rsidP="00596C07">
            <w:pPr>
              <w:spacing w:after="200"/>
              <w:ind w:left="16"/>
              <w:jc w:val="center"/>
              <w:rPr>
                <w:sz w:val="22"/>
                <w:szCs w:val="22"/>
                <w:lang w:val="sr-Latn-ME" w:eastAsia="bs-Latn-BA"/>
              </w:rPr>
            </w:pPr>
            <w:r w:rsidRPr="004500D8">
              <w:rPr>
                <w:sz w:val="22"/>
                <w:szCs w:val="22"/>
                <w:lang w:val="sr-Latn-ME" w:eastAsia="bs-Latn-BA"/>
              </w:rPr>
              <w:t>40 mg svake druge nedjelje</w:t>
            </w:r>
          </w:p>
        </w:tc>
      </w:tr>
    </w:tbl>
    <w:p w14:paraId="4A272E6F" w14:textId="77777777" w:rsidR="00596C07" w:rsidRPr="004500D8" w:rsidRDefault="00596C07" w:rsidP="00596C07">
      <w:pPr>
        <w:keepNext/>
        <w:spacing w:after="200"/>
        <w:jc w:val="both"/>
        <w:rPr>
          <w:color w:val="FF0000"/>
          <w:sz w:val="22"/>
          <w:szCs w:val="22"/>
          <w:lang w:val="sr-Latn-ME" w:eastAsia="bs-Latn-BA"/>
        </w:rPr>
      </w:pPr>
    </w:p>
    <w:p w14:paraId="5C2D3250" w14:textId="77777777" w:rsidR="00596C07" w:rsidRPr="004500D8" w:rsidRDefault="00596C07" w:rsidP="003B242C">
      <w:pPr>
        <w:keepNext/>
        <w:jc w:val="both"/>
        <w:rPr>
          <w:sz w:val="22"/>
          <w:szCs w:val="22"/>
          <w:lang w:val="sr-Latn-ME" w:eastAsia="bs-Latn-BA"/>
        </w:rPr>
      </w:pPr>
      <w:r w:rsidRPr="004500D8">
        <w:rPr>
          <w:sz w:val="22"/>
          <w:szCs w:val="22"/>
          <w:lang w:val="sr-Latn-ME" w:eastAsia="bs-Latn-BA"/>
        </w:rPr>
        <w:t>Pacijenti kod kojih se ne postigne zadovoljavajući odgovor mogli bi imati koristi od povećanja doziranja:</w:t>
      </w:r>
    </w:p>
    <w:p w14:paraId="4CF006AC" w14:textId="77777777" w:rsidR="00596C07" w:rsidRPr="004500D8" w:rsidRDefault="00596C07" w:rsidP="003B242C">
      <w:pPr>
        <w:keepNext/>
        <w:numPr>
          <w:ilvl w:val="0"/>
          <w:numId w:val="7"/>
        </w:numPr>
        <w:tabs>
          <w:tab w:val="left" w:pos="540"/>
        </w:tabs>
        <w:suppressAutoHyphens/>
        <w:ind w:left="540" w:hanging="540"/>
        <w:jc w:val="both"/>
        <w:rPr>
          <w:sz w:val="22"/>
          <w:szCs w:val="22"/>
          <w:lang w:val="sr-Latn-ME" w:eastAsia="bs-Latn-BA"/>
        </w:rPr>
      </w:pPr>
      <w:r w:rsidRPr="004500D8">
        <w:rPr>
          <w:sz w:val="22"/>
          <w:szCs w:val="22"/>
          <w:lang w:val="sr-Latn-ME" w:eastAsia="bs-Latn-BA"/>
        </w:rPr>
        <w:t>&lt; 40 kg: 20 mg svake nedjelje</w:t>
      </w:r>
    </w:p>
    <w:p w14:paraId="2F3CC5A2" w14:textId="77777777" w:rsidR="00596C07" w:rsidRPr="004500D8" w:rsidRDefault="00596C07" w:rsidP="003B242C">
      <w:pPr>
        <w:keepNext/>
        <w:numPr>
          <w:ilvl w:val="0"/>
          <w:numId w:val="7"/>
        </w:numPr>
        <w:tabs>
          <w:tab w:val="left" w:pos="540"/>
        </w:tabs>
        <w:suppressAutoHyphens/>
        <w:ind w:left="540" w:hanging="540"/>
        <w:jc w:val="both"/>
        <w:rPr>
          <w:sz w:val="22"/>
          <w:szCs w:val="22"/>
          <w:lang w:val="sr-Latn-ME" w:eastAsia="bs-Latn-BA"/>
        </w:rPr>
      </w:pPr>
      <w:r w:rsidRPr="004500D8">
        <w:rPr>
          <w:sz w:val="22"/>
          <w:szCs w:val="22"/>
          <w:lang w:val="sr-Latn-ME" w:eastAsia="bs-Latn-BA"/>
        </w:rPr>
        <w:t>≥40 kg: 40 mg svake nedjelje ili 80 mg svake druge nedjelje</w:t>
      </w:r>
    </w:p>
    <w:p w14:paraId="4976A6D3" w14:textId="77777777" w:rsidR="00596C07" w:rsidRPr="004500D8" w:rsidRDefault="00596C07" w:rsidP="00596C07">
      <w:pPr>
        <w:widowControl w:val="0"/>
        <w:autoSpaceDE w:val="0"/>
        <w:autoSpaceDN w:val="0"/>
        <w:adjustRightInd w:val="0"/>
        <w:jc w:val="both"/>
        <w:rPr>
          <w:sz w:val="22"/>
          <w:szCs w:val="22"/>
          <w:lang w:val="sr-Latn-ME"/>
        </w:rPr>
      </w:pPr>
    </w:p>
    <w:p w14:paraId="67EAD7B9"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 slučaju da poslije 12 nedjelja nema kliničkog odgovora, korist daljeg produženja terapije treba pažljivo razmotriti.</w:t>
      </w:r>
    </w:p>
    <w:p w14:paraId="3762C3B4" w14:textId="77777777" w:rsidR="00596C07" w:rsidRPr="004500D8" w:rsidRDefault="00596C07" w:rsidP="00596C07">
      <w:pPr>
        <w:widowControl w:val="0"/>
        <w:autoSpaceDE w:val="0"/>
        <w:autoSpaceDN w:val="0"/>
        <w:adjustRightInd w:val="0"/>
        <w:jc w:val="both"/>
        <w:rPr>
          <w:sz w:val="22"/>
          <w:szCs w:val="22"/>
          <w:lang w:val="sr-Latn-ME"/>
        </w:rPr>
      </w:pPr>
    </w:p>
    <w:p w14:paraId="62FA8EA7" w14:textId="77777777" w:rsidR="00596C07" w:rsidRPr="004500D8" w:rsidRDefault="00596C07" w:rsidP="00596C07">
      <w:pPr>
        <w:jc w:val="both"/>
        <w:rPr>
          <w:sz w:val="22"/>
          <w:szCs w:val="22"/>
          <w:lang w:val="sr-Latn-ME"/>
        </w:rPr>
      </w:pPr>
      <w:r w:rsidRPr="004500D8">
        <w:rPr>
          <w:sz w:val="22"/>
          <w:szCs w:val="22"/>
          <w:lang w:val="sr-Latn-ME" w:eastAsia="bs-Latn-BA"/>
        </w:rPr>
        <w:t>Lijek Humira može biti dostupan i u drugim jačinama i/ili oblicima pakovanja, zavisno od terapijskih potreba pojedinog pacijenta.</w:t>
      </w:r>
    </w:p>
    <w:p w14:paraId="413F9AB3" w14:textId="77777777" w:rsidR="00596C07" w:rsidRPr="004500D8" w:rsidRDefault="00596C07" w:rsidP="00596C07">
      <w:pPr>
        <w:widowControl w:val="0"/>
        <w:autoSpaceDE w:val="0"/>
        <w:autoSpaceDN w:val="0"/>
        <w:adjustRightInd w:val="0"/>
        <w:jc w:val="both"/>
        <w:rPr>
          <w:sz w:val="22"/>
          <w:szCs w:val="22"/>
          <w:lang w:val="sr-Latn-ME"/>
        </w:rPr>
      </w:pPr>
    </w:p>
    <w:p w14:paraId="401E8C6F"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Nije ispitivano djelovanje </w:t>
      </w:r>
      <w:r w:rsidRPr="004500D8">
        <w:rPr>
          <w:sz w:val="22"/>
          <w:szCs w:val="22"/>
          <w:lang w:val="sr-Latn-ME"/>
        </w:rPr>
        <w:t xml:space="preserve">lijeka </w:t>
      </w:r>
      <w:r w:rsidRPr="004500D8">
        <w:rPr>
          <w:color w:val="000000"/>
          <w:sz w:val="22"/>
          <w:szCs w:val="22"/>
          <w:lang w:val="sr-Latn-ME"/>
        </w:rPr>
        <w:t>Humira kod djece mlađe od 6 godina za ovu indikaciju.</w:t>
      </w:r>
    </w:p>
    <w:p w14:paraId="6EFE5C22" w14:textId="77777777" w:rsidR="00596C07" w:rsidRPr="004500D8" w:rsidRDefault="00596C07" w:rsidP="00596C07">
      <w:pPr>
        <w:widowControl w:val="0"/>
        <w:autoSpaceDE w:val="0"/>
        <w:autoSpaceDN w:val="0"/>
        <w:adjustRightInd w:val="0"/>
        <w:jc w:val="both"/>
        <w:rPr>
          <w:color w:val="000000"/>
          <w:sz w:val="22"/>
          <w:szCs w:val="22"/>
          <w:lang w:val="sr-Latn-ME"/>
        </w:rPr>
      </w:pPr>
    </w:p>
    <w:p w14:paraId="2F216E14" w14:textId="77777777" w:rsidR="00596C07" w:rsidRPr="003B242C" w:rsidRDefault="00596C07" w:rsidP="00596C07">
      <w:pPr>
        <w:widowControl w:val="0"/>
        <w:autoSpaceDE w:val="0"/>
        <w:autoSpaceDN w:val="0"/>
        <w:adjustRightInd w:val="0"/>
        <w:rPr>
          <w:i/>
          <w:sz w:val="22"/>
          <w:szCs w:val="22"/>
          <w:lang w:val="sr-Latn-ME"/>
        </w:rPr>
      </w:pPr>
      <w:r w:rsidRPr="003B242C">
        <w:rPr>
          <w:i/>
          <w:sz w:val="22"/>
          <w:szCs w:val="22"/>
          <w:lang w:val="sr-Latn-ME"/>
        </w:rPr>
        <w:t>Ulcerozni kolitis kod djece</w:t>
      </w:r>
    </w:p>
    <w:p w14:paraId="3088B422" w14:textId="77777777" w:rsidR="00596C07" w:rsidRPr="003B242C" w:rsidRDefault="00596C07" w:rsidP="00596C07">
      <w:pPr>
        <w:widowControl w:val="0"/>
        <w:autoSpaceDE w:val="0"/>
        <w:autoSpaceDN w:val="0"/>
        <w:adjustRightInd w:val="0"/>
        <w:rPr>
          <w:sz w:val="22"/>
          <w:szCs w:val="22"/>
          <w:lang w:val="sr-Latn-ME"/>
        </w:rPr>
      </w:pPr>
    </w:p>
    <w:p w14:paraId="07733F0B" w14:textId="3ACE4E1E" w:rsidR="00596C07" w:rsidRPr="003B242C" w:rsidRDefault="00596C07" w:rsidP="003B242C">
      <w:pPr>
        <w:widowControl w:val="0"/>
        <w:autoSpaceDE w:val="0"/>
        <w:autoSpaceDN w:val="0"/>
        <w:adjustRightInd w:val="0"/>
        <w:jc w:val="both"/>
        <w:rPr>
          <w:sz w:val="22"/>
          <w:szCs w:val="22"/>
          <w:lang w:val="sr-Latn-ME"/>
        </w:rPr>
      </w:pPr>
      <w:r w:rsidRPr="003B242C">
        <w:rPr>
          <w:sz w:val="22"/>
          <w:szCs w:val="22"/>
          <w:lang w:val="sr-Latn-ME"/>
        </w:rPr>
        <w:t xml:space="preserve">Preporučena doza lijeka Humira za </w:t>
      </w:r>
      <w:r w:rsidR="005D35A4" w:rsidRPr="003B242C">
        <w:rPr>
          <w:sz w:val="22"/>
          <w:szCs w:val="22"/>
          <w:lang w:val="sr-Latn-ME"/>
        </w:rPr>
        <w:t>pacijente</w:t>
      </w:r>
      <w:r w:rsidRPr="003B242C">
        <w:rPr>
          <w:sz w:val="22"/>
          <w:szCs w:val="22"/>
          <w:lang w:val="sr-Latn-ME"/>
        </w:rPr>
        <w:t xml:space="preserve"> sa ulceroznim kolitisom starosti od 6 do 17 godina određuje se na osnovu tjelesne težine (Tabela 2). Lijek Humira se primjenjuje supkutanom injekcijom.</w:t>
      </w:r>
    </w:p>
    <w:p w14:paraId="7E969621" w14:textId="77777777" w:rsidR="00596C07" w:rsidRPr="003B242C" w:rsidRDefault="00596C07" w:rsidP="00596C07">
      <w:pPr>
        <w:widowControl w:val="0"/>
        <w:autoSpaceDE w:val="0"/>
        <w:autoSpaceDN w:val="0"/>
        <w:adjustRightInd w:val="0"/>
        <w:rPr>
          <w:sz w:val="22"/>
          <w:szCs w:val="22"/>
          <w:lang w:val="sr-Latn-ME"/>
        </w:rPr>
      </w:pPr>
    </w:p>
    <w:p w14:paraId="720A63E6" w14:textId="77777777" w:rsidR="00596C07" w:rsidRPr="003B242C" w:rsidRDefault="00596C07" w:rsidP="00596C07">
      <w:pPr>
        <w:widowControl w:val="0"/>
        <w:autoSpaceDE w:val="0"/>
        <w:autoSpaceDN w:val="0"/>
        <w:adjustRightInd w:val="0"/>
        <w:rPr>
          <w:b/>
          <w:bCs/>
          <w:sz w:val="22"/>
          <w:szCs w:val="22"/>
          <w:lang w:val="sr-Latn-ME"/>
        </w:rPr>
      </w:pPr>
      <w:r w:rsidRPr="003B242C">
        <w:rPr>
          <w:b/>
          <w:bCs/>
          <w:sz w:val="22"/>
          <w:szCs w:val="22"/>
          <w:lang w:val="sr-Latn-ME"/>
        </w:rPr>
        <w:t>Tabela 2. Doza lijeka Humira za pedijatrijske bolesnike sa ulceroznim kolitisom</w:t>
      </w:r>
    </w:p>
    <w:p w14:paraId="13A76EC3" w14:textId="77777777" w:rsidR="00596C07" w:rsidRPr="003B242C" w:rsidRDefault="00596C07" w:rsidP="00596C07">
      <w:pPr>
        <w:widowControl w:val="0"/>
        <w:autoSpaceDE w:val="0"/>
        <w:autoSpaceDN w:val="0"/>
        <w:adjustRightInd w:val="0"/>
        <w:rPr>
          <w:sz w:val="22"/>
          <w:szCs w:val="22"/>
          <w:lang w:val="sr-Latn-ME"/>
        </w:rPr>
      </w:pPr>
    </w:p>
    <w:tbl>
      <w:tblPr>
        <w:tblW w:w="4574"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805"/>
        <w:gridCol w:w="3322"/>
        <w:gridCol w:w="3158"/>
      </w:tblGrid>
      <w:tr w:rsidR="00596C07" w:rsidRPr="004500D8" w14:paraId="1530CDFA" w14:textId="77777777" w:rsidTr="00596C0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50DA3A" w14:textId="77777777" w:rsidR="00596C07" w:rsidRPr="003B242C" w:rsidRDefault="00596C07" w:rsidP="00596C07">
            <w:pPr>
              <w:tabs>
                <w:tab w:val="left" w:pos="562"/>
              </w:tabs>
              <w:suppressAutoHyphens/>
              <w:jc w:val="center"/>
              <w:rPr>
                <w:b/>
                <w:sz w:val="22"/>
                <w:szCs w:val="22"/>
                <w:lang w:val="sr-Latn-ME"/>
              </w:rPr>
            </w:pPr>
            <w:r w:rsidRPr="003B242C">
              <w:rPr>
                <w:b/>
                <w:sz w:val="22"/>
                <w:szCs w:val="22"/>
                <w:lang w:val="sr-Latn-ME"/>
              </w:rPr>
              <w:t>Tjelesna težina bolesnika</w:t>
            </w:r>
          </w:p>
        </w:tc>
        <w:tc>
          <w:tcPr>
            <w:tcW w:w="20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D09D10" w14:textId="77777777" w:rsidR="00596C07" w:rsidRPr="003B242C" w:rsidRDefault="00596C07" w:rsidP="00596C07">
            <w:pPr>
              <w:tabs>
                <w:tab w:val="left" w:pos="562"/>
              </w:tabs>
              <w:suppressAutoHyphens/>
              <w:jc w:val="center"/>
              <w:rPr>
                <w:b/>
                <w:sz w:val="22"/>
                <w:szCs w:val="22"/>
                <w:lang w:val="sr-Latn-ME"/>
              </w:rPr>
            </w:pPr>
            <w:r w:rsidRPr="003B242C">
              <w:rPr>
                <w:b/>
                <w:sz w:val="22"/>
                <w:szCs w:val="22"/>
                <w:lang w:val="sr-Latn-ME"/>
              </w:rPr>
              <w:t>Indukcijska doza</w:t>
            </w:r>
          </w:p>
        </w:tc>
        <w:tc>
          <w:tcPr>
            <w:tcW w:w="1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265F47" w14:textId="77777777" w:rsidR="00596C07" w:rsidRPr="003B242C" w:rsidRDefault="00596C07" w:rsidP="00596C07">
            <w:pPr>
              <w:tabs>
                <w:tab w:val="left" w:pos="562"/>
              </w:tabs>
              <w:suppressAutoHyphens/>
              <w:jc w:val="center"/>
              <w:rPr>
                <w:b/>
                <w:sz w:val="22"/>
                <w:szCs w:val="22"/>
                <w:lang w:val="sr-Latn-ME"/>
              </w:rPr>
            </w:pPr>
            <w:r w:rsidRPr="003B242C">
              <w:rPr>
                <w:b/>
                <w:sz w:val="22"/>
                <w:szCs w:val="22"/>
                <w:lang w:val="sr-Latn-ME"/>
              </w:rPr>
              <w:t xml:space="preserve">Doza održavanja </w:t>
            </w:r>
          </w:p>
          <w:p w14:paraId="76221948" w14:textId="77777777" w:rsidR="00596C07" w:rsidRPr="003B242C" w:rsidRDefault="00596C07" w:rsidP="00596C07">
            <w:pPr>
              <w:tabs>
                <w:tab w:val="left" w:pos="562"/>
              </w:tabs>
              <w:suppressAutoHyphens/>
              <w:jc w:val="center"/>
              <w:rPr>
                <w:b/>
                <w:sz w:val="22"/>
                <w:szCs w:val="22"/>
                <w:lang w:val="sr-Latn-ME"/>
              </w:rPr>
            </w:pPr>
            <w:r w:rsidRPr="003B242C">
              <w:rPr>
                <w:b/>
                <w:sz w:val="22"/>
                <w:szCs w:val="22"/>
                <w:lang w:val="sr-Latn-ME"/>
              </w:rPr>
              <w:t>počevši od Sedmice 4*</w:t>
            </w:r>
          </w:p>
        </w:tc>
      </w:tr>
      <w:tr w:rsidR="00596C07" w:rsidRPr="004500D8" w14:paraId="761E8240" w14:textId="77777777" w:rsidTr="00596C0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5ABC2D" w14:textId="77777777" w:rsidR="00596C07" w:rsidRPr="003B242C" w:rsidRDefault="00596C07" w:rsidP="00596C07">
            <w:pPr>
              <w:tabs>
                <w:tab w:val="left" w:pos="562"/>
              </w:tabs>
              <w:suppressAutoHyphens/>
              <w:jc w:val="center"/>
              <w:rPr>
                <w:sz w:val="22"/>
                <w:szCs w:val="22"/>
                <w:lang w:val="sr-Latn-ME"/>
              </w:rPr>
            </w:pPr>
            <w:r w:rsidRPr="003B242C">
              <w:rPr>
                <w:sz w:val="22"/>
                <w:szCs w:val="22"/>
                <w:lang w:val="sr-Latn-ME"/>
              </w:rPr>
              <w:t>&lt; 40 kg</w:t>
            </w:r>
          </w:p>
        </w:tc>
        <w:tc>
          <w:tcPr>
            <w:tcW w:w="20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F1C159" w14:textId="3DD6A727" w:rsidR="00596C07" w:rsidRPr="003B242C" w:rsidRDefault="00596C07" w:rsidP="002D19E9">
            <w:pPr>
              <w:numPr>
                <w:ilvl w:val="0"/>
                <w:numId w:val="10"/>
              </w:numPr>
              <w:tabs>
                <w:tab w:val="left" w:pos="562"/>
                <w:tab w:val="left" w:pos="708"/>
              </w:tabs>
              <w:suppressAutoHyphens/>
              <w:spacing w:after="160" w:line="259" w:lineRule="auto"/>
              <w:ind w:hanging="210"/>
              <w:rPr>
                <w:sz w:val="22"/>
                <w:szCs w:val="22"/>
                <w:lang w:val="sr-Latn-ME"/>
              </w:rPr>
            </w:pPr>
            <w:r w:rsidRPr="003B242C">
              <w:rPr>
                <w:sz w:val="22"/>
                <w:szCs w:val="22"/>
                <w:lang w:val="sr-Latn-ME"/>
              </w:rPr>
              <w:t xml:space="preserve">80 mg u </w:t>
            </w:r>
            <w:r w:rsidR="005D35A4" w:rsidRPr="003B242C">
              <w:rPr>
                <w:sz w:val="22"/>
                <w:szCs w:val="22"/>
                <w:lang w:val="sr-Latn-ME"/>
              </w:rPr>
              <w:t xml:space="preserve">nultoj nedjelji </w:t>
            </w:r>
            <w:r w:rsidRPr="003B242C">
              <w:rPr>
                <w:sz w:val="22"/>
                <w:szCs w:val="22"/>
                <w:lang w:val="sr-Latn-ME"/>
              </w:rPr>
              <w:t xml:space="preserve">(primjenjeno u obliku </w:t>
            </w:r>
            <w:r w:rsidR="00A80996" w:rsidRPr="003B242C">
              <w:rPr>
                <w:sz w:val="22"/>
                <w:szCs w:val="22"/>
                <w:lang w:val="sr-Latn-ME"/>
              </w:rPr>
              <w:t>jedne</w:t>
            </w:r>
            <w:r w:rsidRPr="003B242C">
              <w:rPr>
                <w:sz w:val="22"/>
                <w:szCs w:val="22"/>
                <w:lang w:val="sr-Latn-ME"/>
              </w:rPr>
              <w:t xml:space="preserve"> injekcije od </w:t>
            </w:r>
            <w:r w:rsidR="00A80996" w:rsidRPr="003B242C">
              <w:rPr>
                <w:sz w:val="22"/>
                <w:szCs w:val="22"/>
                <w:lang w:val="sr-Latn-ME"/>
              </w:rPr>
              <w:t>80</w:t>
            </w:r>
            <w:r w:rsidRPr="003B242C">
              <w:rPr>
                <w:sz w:val="22"/>
                <w:szCs w:val="22"/>
                <w:lang w:val="sr-Latn-ME"/>
              </w:rPr>
              <w:t> mg u jednom danu) i</w:t>
            </w:r>
          </w:p>
          <w:p w14:paraId="4893333F" w14:textId="6ED76279" w:rsidR="00596C07" w:rsidRPr="003B242C" w:rsidRDefault="00596C07" w:rsidP="002D19E9">
            <w:pPr>
              <w:numPr>
                <w:ilvl w:val="0"/>
                <w:numId w:val="10"/>
              </w:numPr>
              <w:tabs>
                <w:tab w:val="left" w:pos="562"/>
                <w:tab w:val="left" w:pos="708"/>
              </w:tabs>
              <w:suppressAutoHyphens/>
              <w:spacing w:after="160" w:line="259" w:lineRule="auto"/>
              <w:ind w:hanging="210"/>
              <w:rPr>
                <w:sz w:val="22"/>
                <w:szCs w:val="22"/>
                <w:lang w:val="sr-Latn-ME"/>
              </w:rPr>
            </w:pPr>
            <w:r w:rsidRPr="003B242C">
              <w:rPr>
                <w:sz w:val="22"/>
                <w:szCs w:val="22"/>
                <w:lang w:val="sr-Latn-ME"/>
              </w:rPr>
              <w:t xml:space="preserve">40 mg u </w:t>
            </w:r>
            <w:r w:rsidR="005D35A4" w:rsidRPr="003B242C">
              <w:rPr>
                <w:sz w:val="22"/>
                <w:szCs w:val="22"/>
                <w:lang w:val="sr-Latn-ME"/>
              </w:rPr>
              <w:t xml:space="preserve">drugoj nedjelji </w:t>
            </w:r>
            <w:r w:rsidRPr="003B242C">
              <w:rPr>
                <w:sz w:val="22"/>
                <w:szCs w:val="22"/>
                <w:lang w:val="sr-Latn-ME"/>
              </w:rPr>
              <w:t>(primjenjeno kao jedna injekcija od 40 mg)</w:t>
            </w:r>
          </w:p>
        </w:tc>
        <w:tc>
          <w:tcPr>
            <w:tcW w:w="1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21CF67" w14:textId="57E9BDF5" w:rsidR="00596C07" w:rsidRPr="003B242C" w:rsidRDefault="00596C07" w:rsidP="002D19E9">
            <w:pPr>
              <w:numPr>
                <w:ilvl w:val="0"/>
                <w:numId w:val="10"/>
              </w:numPr>
              <w:tabs>
                <w:tab w:val="left" w:pos="562"/>
                <w:tab w:val="left" w:pos="708"/>
              </w:tabs>
              <w:suppressAutoHyphens/>
              <w:spacing w:after="160" w:line="259" w:lineRule="auto"/>
              <w:ind w:hanging="210"/>
              <w:rPr>
                <w:sz w:val="22"/>
                <w:szCs w:val="22"/>
                <w:lang w:val="sr-Latn-ME"/>
              </w:rPr>
            </w:pPr>
            <w:r w:rsidRPr="003B242C">
              <w:rPr>
                <w:sz w:val="22"/>
                <w:szCs w:val="22"/>
                <w:lang w:val="sr-Latn-ME"/>
              </w:rPr>
              <w:t xml:space="preserve">40 mg svake druge </w:t>
            </w:r>
            <w:r w:rsidR="005D35A4" w:rsidRPr="003B242C">
              <w:rPr>
                <w:sz w:val="22"/>
                <w:szCs w:val="22"/>
                <w:lang w:val="sr-Latn-ME"/>
              </w:rPr>
              <w:t>nedjelje</w:t>
            </w:r>
          </w:p>
        </w:tc>
      </w:tr>
      <w:tr w:rsidR="00596C07" w:rsidRPr="004500D8" w14:paraId="783EFF06" w14:textId="77777777" w:rsidTr="00596C07">
        <w:trPr>
          <w:jc w:val="center"/>
        </w:trPr>
        <w:tc>
          <w:tcPr>
            <w:tcW w:w="0" w:type="auto"/>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0B77B74E" w14:textId="77777777" w:rsidR="00596C07" w:rsidRPr="003B242C" w:rsidRDefault="00596C07" w:rsidP="00596C07">
            <w:pPr>
              <w:tabs>
                <w:tab w:val="left" w:pos="562"/>
              </w:tabs>
              <w:suppressAutoHyphens/>
              <w:jc w:val="center"/>
              <w:rPr>
                <w:sz w:val="22"/>
                <w:szCs w:val="22"/>
                <w:lang w:val="sr-Latn-ME"/>
              </w:rPr>
            </w:pPr>
            <w:r w:rsidRPr="003B242C">
              <w:rPr>
                <w:sz w:val="22"/>
                <w:szCs w:val="22"/>
                <w:lang w:val="sr-Latn-ME"/>
              </w:rPr>
              <w:t>≥ 40 kg</w:t>
            </w:r>
          </w:p>
        </w:tc>
        <w:tc>
          <w:tcPr>
            <w:tcW w:w="2005"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0ABFEE1A" w14:textId="587368C1" w:rsidR="00596C07" w:rsidRPr="003B242C" w:rsidRDefault="00596C07" w:rsidP="002D19E9">
            <w:pPr>
              <w:numPr>
                <w:ilvl w:val="0"/>
                <w:numId w:val="11"/>
              </w:numPr>
              <w:tabs>
                <w:tab w:val="left" w:pos="562"/>
                <w:tab w:val="left" w:pos="708"/>
              </w:tabs>
              <w:suppressAutoHyphens/>
              <w:spacing w:after="160" w:line="259" w:lineRule="auto"/>
              <w:ind w:hanging="210"/>
              <w:rPr>
                <w:sz w:val="22"/>
                <w:szCs w:val="22"/>
                <w:lang w:val="sr-Latn-ME"/>
              </w:rPr>
            </w:pPr>
            <w:r w:rsidRPr="003B242C">
              <w:rPr>
                <w:sz w:val="22"/>
                <w:szCs w:val="22"/>
                <w:lang w:val="sr-Latn-ME"/>
              </w:rPr>
              <w:t xml:space="preserve">160 mg u </w:t>
            </w:r>
            <w:r w:rsidR="005D35A4" w:rsidRPr="003B242C">
              <w:rPr>
                <w:sz w:val="22"/>
                <w:szCs w:val="22"/>
                <w:lang w:val="sr-Latn-ME"/>
              </w:rPr>
              <w:t xml:space="preserve">nultoj nedjelji </w:t>
            </w:r>
            <w:r w:rsidRPr="003B242C">
              <w:rPr>
                <w:sz w:val="22"/>
                <w:szCs w:val="22"/>
                <w:lang w:val="sr-Latn-ME"/>
              </w:rPr>
              <w:t xml:space="preserve">(primjenjeno u obliku </w:t>
            </w:r>
            <w:r w:rsidR="00F71515" w:rsidRPr="003B242C">
              <w:rPr>
                <w:sz w:val="22"/>
                <w:szCs w:val="22"/>
                <w:lang w:val="sr-Latn-ME"/>
              </w:rPr>
              <w:t>dvije</w:t>
            </w:r>
            <w:r w:rsidRPr="003B242C">
              <w:rPr>
                <w:sz w:val="22"/>
                <w:szCs w:val="22"/>
                <w:lang w:val="sr-Latn-ME"/>
              </w:rPr>
              <w:t xml:space="preserve"> injekcije od </w:t>
            </w:r>
            <w:r w:rsidR="00F71515" w:rsidRPr="003B242C">
              <w:rPr>
                <w:sz w:val="22"/>
                <w:szCs w:val="22"/>
                <w:lang w:val="sr-Latn-ME"/>
              </w:rPr>
              <w:t>80</w:t>
            </w:r>
            <w:r w:rsidRPr="003B242C">
              <w:rPr>
                <w:sz w:val="22"/>
                <w:szCs w:val="22"/>
                <w:lang w:val="sr-Latn-ME"/>
              </w:rPr>
              <w:t xml:space="preserve"> mg u jednom danu ili </w:t>
            </w:r>
            <w:r w:rsidR="00F71515" w:rsidRPr="003B242C">
              <w:rPr>
                <w:sz w:val="22"/>
                <w:szCs w:val="22"/>
                <w:lang w:val="sr-Latn-ME"/>
              </w:rPr>
              <w:t xml:space="preserve">jedna </w:t>
            </w:r>
            <w:r w:rsidRPr="003B242C">
              <w:rPr>
                <w:sz w:val="22"/>
                <w:szCs w:val="22"/>
                <w:lang w:val="sr-Latn-ME"/>
              </w:rPr>
              <w:t>injekcij</w:t>
            </w:r>
            <w:r w:rsidR="00F71515" w:rsidRPr="003B242C">
              <w:rPr>
                <w:sz w:val="22"/>
                <w:szCs w:val="22"/>
                <w:lang w:val="sr-Latn-ME"/>
              </w:rPr>
              <w:t>a</w:t>
            </w:r>
            <w:r w:rsidRPr="003B242C">
              <w:rPr>
                <w:sz w:val="22"/>
                <w:szCs w:val="22"/>
                <w:lang w:val="sr-Latn-ME"/>
              </w:rPr>
              <w:t xml:space="preserve"> od </w:t>
            </w:r>
            <w:r w:rsidR="00F71515" w:rsidRPr="003B242C">
              <w:rPr>
                <w:sz w:val="22"/>
                <w:szCs w:val="22"/>
                <w:lang w:val="sr-Latn-ME"/>
              </w:rPr>
              <w:t>80</w:t>
            </w:r>
            <w:r w:rsidRPr="003B242C">
              <w:rPr>
                <w:sz w:val="22"/>
                <w:szCs w:val="22"/>
                <w:lang w:val="sr-Latn-ME"/>
              </w:rPr>
              <w:t xml:space="preserve"> mg na dan tokom dva uzastopna dana) i</w:t>
            </w:r>
          </w:p>
          <w:p w14:paraId="001E08DB" w14:textId="1C35476F" w:rsidR="00596C07" w:rsidRPr="003B242C" w:rsidRDefault="00596C07" w:rsidP="00AA731E">
            <w:pPr>
              <w:numPr>
                <w:ilvl w:val="0"/>
                <w:numId w:val="11"/>
              </w:numPr>
              <w:tabs>
                <w:tab w:val="left" w:pos="562"/>
                <w:tab w:val="left" w:pos="708"/>
              </w:tabs>
              <w:suppressAutoHyphens/>
              <w:spacing w:after="160" w:line="259" w:lineRule="auto"/>
              <w:ind w:hanging="210"/>
              <w:rPr>
                <w:sz w:val="22"/>
                <w:szCs w:val="22"/>
                <w:lang w:val="sr-Latn-ME"/>
              </w:rPr>
            </w:pPr>
            <w:r w:rsidRPr="003B242C">
              <w:rPr>
                <w:sz w:val="22"/>
                <w:szCs w:val="22"/>
                <w:lang w:val="sr-Latn-ME"/>
              </w:rPr>
              <w:t xml:space="preserve">80 mg u </w:t>
            </w:r>
            <w:r w:rsidR="005D35A4" w:rsidRPr="003B242C">
              <w:rPr>
                <w:sz w:val="22"/>
                <w:szCs w:val="22"/>
                <w:lang w:val="sr-Latn-ME"/>
              </w:rPr>
              <w:t xml:space="preserve">drugoj nedjelji </w:t>
            </w:r>
            <w:r w:rsidRPr="003B242C">
              <w:rPr>
                <w:sz w:val="22"/>
                <w:szCs w:val="22"/>
                <w:lang w:val="sr-Latn-ME"/>
              </w:rPr>
              <w:t xml:space="preserve">(primjenjeno u obliku </w:t>
            </w:r>
            <w:r w:rsidR="00F71515" w:rsidRPr="003B242C">
              <w:rPr>
                <w:sz w:val="22"/>
                <w:szCs w:val="22"/>
                <w:lang w:val="sr-Latn-ME"/>
              </w:rPr>
              <w:t xml:space="preserve">jedne </w:t>
            </w:r>
            <w:r w:rsidRPr="003B242C">
              <w:rPr>
                <w:sz w:val="22"/>
                <w:szCs w:val="22"/>
                <w:lang w:val="sr-Latn-ME"/>
              </w:rPr>
              <w:t xml:space="preserve">injekcije od </w:t>
            </w:r>
            <w:r w:rsidR="00F71515" w:rsidRPr="003B242C">
              <w:rPr>
                <w:sz w:val="22"/>
                <w:szCs w:val="22"/>
                <w:lang w:val="sr-Latn-ME"/>
              </w:rPr>
              <w:t>8</w:t>
            </w:r>
            <w:r w:rsidRPr="003B242C">
              <w:rPr>
                <w:sz w:val="22"/>
                <w:szCs w:val="22"/>
                <w:lang w:val="sr-Latn-ME"/>
              </w:rPr>
              <w:t>0 mg)</w:t>
            </w:r>
          </w:p>
        </w:tc>
        <w:tc>
          <w:tcPr>
            <w:tcW w:w="1906"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1B466FE2" w14:textId="430225E5" w:rsidR="00596C07" w:rsidRPr="003B242C" w:rsidRDefault="00596C07">
            <w:pPr>
              <w:numPr>
                <w:ilvl w:val="0"/>
                <w:numId w:val="10"/>
              </w:numPr>
              <w:tabs>
                <w:tab w:val="left" w:pos="562"/>
                <w:tab w:val="left" w:pos="708"/>
              </w:tabs>
              <w:suppressAutoHyphens/>
              <w:spacing w:after="160" w:line="259" w:lineRule="auto"/>
              <w:ind w:hanging="210"/>
              <w:rPr>
                <w:sz w:val="22"/>
                <w:szCs w:val="22"/>
                <w:lang w:val="sr-Latn-ME"/>
              </w:rPr>
            </w:pPr>
            <w:r w:rsidRPr="003B242C">
              <w:rPr>
                <w:sz w:val="22"/>
                <w:szCs w:val="22"/>
                <w:lang w:val="sr-Latn-ME"/>
              </w:rPr>
              <w:t xml:space="preserve">80 mg svake druge </w:t>
            </w:r>
            <w:r w:rsidR="005D35A4" w:rsidRPr="003B242C">
              <w:rPr>
                <w:sz w:val="22"/>
                <w:szCs w:val="22"/>
                <w:lang w:val="sr-Latn-ME"/>
              </w:rPr>
              <w:t>nedjelje</w:t>
            </w:r>
          </w:p>
        </w:tc>
      </w:tr>
      <w:tr w:rsidR="00596C07" w:rsidRPr="004500D8" w14:paraId="2DA333BA" w14:textId="77777777" w:rsidTr="00596C07">
        <w:trPr>
          <w:jc w:val="center"/>
        </w:trPr>
        <w:tc>
          <w:tcPr>
            <w:tcW w:w="5000" w:type="pct"/>
            <w:gridSpan w:val="3"/>
            <w:tcBorders>
              <w:top w:val="single" w:sz="4" w:space="0" w:color="auto"/>
              <w:left w:val="nil"/>
              <w:bottom w:val="nil"/>
              <w:right w:val="nil"/>
            </w:tcBorders>
            <w:tcMar>
              <w:top w:w="15" w:type="dxa"/>
              <w:left w:w="15" w:type="dxa"/>
              <w:bottom w:w="15" w:type="dxa"/>
              <w:right w:w="15" w:type="dxa"/>
            </w:tcMar>
            <w:hideMark/>
          </w:tcPr>
          <w:p w14:paraId="23CA942C" w14:textId="77777777" w:rsidR="00596C07" w:rsidRPr="003B242C" w:rsidRDefault="00596C07" w:rsidP="00596C07">
            <w:pPr>
              <w:tabs>
                <w:tab w:val="left" w:pos="562"/>
              </w:tabs>
              <w:suppressAutoHyphens/>
              <w:rPr>
                <w:sz w:val="22"/>
                <w:szCs w:val="22"/>
                <w:lang w:val="sr-Latn-ME"/>
              </w:rPr>
            </w:pPr>
            <w:r w:rsidRPr="003B242C">
              <w:rPr>
                <w:sz w:val="22"/>
                <w:szCs w:val="22"/>
                <w:vertAlign w:val="superscript"/>
                <w:lang w:val="sr-Latn-ME"/>
              </w:rPr>
              <w:t xml:space="preserve">* </w:t>
            </w:r>
            <w:r w:rsidRPr="003B242C">
              <w:rPr>
                <w:sz w:val="22"/>
                <w:szCs w:val="22"/>
                <w:lang w:val="sr-Latn-ME"/>
              </w:rPr>
              <w:t>Pedijatrijski bolesnici koji napune 18 godina dok uzimaju lijek Humira trebali bi nastaviti primati propisanu dozu održavanja.</w:t>
            </w:r>
          </w:p>
        </w:tc>
      </w:tr>
    </w:tbl>
    <w:p w14:paraId="690434F1" w14:textId="77777777" w:rsidR="00596C07" w:rsidRPr="003B242C" w:rsidRDefault="00596C07" w:rsidP="00596C07">
      <w:pPr>
        <w:widowControl w:val="0"/>
        <w:autoSpaceDE w:val="0"/>
        <w:autoSpaceDN w:val="0"/>
        <w:adjustRightInd w:val="0"/>
        <w:rPr>
          <w:sz w:val="22"/>
          <w:szCs w:val="22"/>
          <w:lang w:val="sr-Latn-ME"/>
        </w:rPr>
      </w:pPr>
    </w:p>
    <w:p w14:paraId="20FA5B0C" w14:textId="54145564" w:rsidR="00596C07" w:rsidRPr="003B242C" w:rsidRDefault="00596C07" w:rsidP="00596C07">
      <w:pPr>
        <w:widowControl w:val="0"/>
        <w:autoSpaceDE w:val="0"/>
        <w:autoSpaceDN w:val="0"/>
        <w:adjustRightInd w:val="0"/>
        <w:spacing w:line="276" w:lineRule="auto"/>
        <w:jc w:val="both"/>
        <w:rPr>
          <w:sz w:val="22"/>
          <w:szCs w:val="22"/>
          <w:lang w:val="sr-Latn-ME"/>
        </w:rPr>
      </w:pPr>
      <w:r w:rsidRPr="003B242C">
        <w:rPr>
          <w:sz w:val="22"/>
          <w:szCs w:val="22"/>
          <w:lang w:val="sr-Latn-ME"/>
        </w:rPr>
        <w:t xml:space="preserve">Ako </w:t>
      </w:r>
      <w:r w:rsidR="00F71515" w:rsidRPr="003B242C">
        <w:rPr>
          <w:sz w:val="22"/>
          <w:szCs w:val="22"/>
          <w:lang w:val="sr-Latn-ME"/>
        </w:rPr>
        <w:t xml:space="preserve">pacijent </w:t>
      </w:r>
      <w:r w:rsidRPr="003B242C">
        <w:rPr>
          <w:sz w:val="22"/>
          <w:szCs w:val="22"/>
          <w:lang w:val="sr-Latn-ME"/>
        </w:rPr>
        <w:t xml:space="preserve">ne pokazuje znakove terapijskog odgovora unutar 8 </w:t>
      </w:r>
      <w:r w:rsidR="00F71515" w:rsidRPr="003B242C">
        <w:rPr>
          <w:sz w:val="22"/>
          <w:szCs w:val="22"/>
          <w:lang w:val="sr-Latn-ME"/>
        </w:rPr>
        <w:t>nedjelja</w:t>
      </w:r>
      <w:r w:rsidRPr="003B242C">
        <w:rPr>
          <w:sz w:val="22"/>
          <w:szCs w:val="22"/>
          <w:lang w:val="sr-Latn-ME"/>
        </w:rPr>
        <w:t>, nastavak liječenja nakon tog perioda potrebno je pažljivo razmotriti.</w:t>
      </w:r>
    </w:p>
    <w:p w14:paraId="36366BF7" w14:textId="2B1CC628" w:rsidR="00596C07" w:rsidRPr="003B242C" w:rsidRDefault="00596C07" w:rsidP="00596C07">
      <w:pPr>
        <w:widowControl w:val="0"/>
        <w:autoSpaceDE w:val="0"/>
        <w:autoSpaceDN w:val="0"/>
        <w:adjustRightInd w:val="0"/>
        <w:spacing w:line="276" w:lineRule="auto"/>
        <w:jc w:val="both"/>
        <w:rPr>
          <w:sz w:val="22"/>
          <w:szCs w:val="22"/>
          <w:lang w:val="sr-Latn-ME"/>
        </w:rPr>
      </w:pPr>
      <w:r w:rsidRPr="003B242C">
        <w:rPr>
          <w:sz w:val="22"/>
          <w:szCs w:val="22"/>
          <w:lang w:val="sr-Latn-ME"/>
        </w:rPr>
        <w:t>Nema relevantne primjene lijeka Humira kod djece mlađe od 6 godina za ovu indikaciju.</w:t>
      </w:r>
    </w:p>
    <w:p w14:paraId="60D8B586" w14:textId="77777777" w:rsidR="00596C07" w:rsidRPr="003B242C" w:rsidRDefault="00596C07" w:rsidP="00596C07">
      <w:pPr>
        <w:widowControl w:val="0"/>
        <w:autoSpaceDE w:val="0"/>
        <w:autoSpaceDN w:val="0"/>
        <w:adjustRightInd w:val="0"/>
        <w:spacing w:line="276" w:lineRule="auto"/>
        <w:jc w:val="both"/>
        <w:rPr>
          <w:sz w:val="22"/>
          <w:szCs w:val="22"/>
          <w:lang w:val="sr-Latn-ME"/>
        </w:rPr>
      </w:pPr>
      <w:r w:rsidRPr="003B242C">
        <w:rPr>
          <w:sz w:val="22"/>
          <w:szCs w:val="22"/>
          <w:lang w:val="sr-Latn-ME"/>
        </w:rPr>
        <w:t>Lijek Humira može biti dostupan u različitim jačinama i/ili oblicima pakovanja, zavisno od terapijskih potreba pojedinog bolesnika.</w:t>
      </w:r>
    </w:p>
    <w:p w14:paraId="74B8CADD" w14:textId="77777777" w:rsidR="00596C07" w:rsidRPr="004500D8" w:rsidRDefault="00596C07" w:rsidP="00596C07">
      <w:pPr>
        <w:widowControl w:val="0"/>
        <w:autoSpaceDE w:val="0"/>
        <w:autoSpaceDN w:val="0"/>
        <w:adjustRightInd w:val="0"/>
        <w:jc w:val="both"/>
        <w:rPr>
          <w:color w:val="000000"/>
          <w:sz w:val="22"/>
          <w:szCs w:val="22"/>
          <w:lang w:val="sr-Latn-ME"/>
        </w:rPr>
      </w:pPr>
    </w:p>
    <w:p w14:paraId="704B83C8" w14:textId="77777777" w:rsidR="00596C07" w:rsidRPr="004500D8" w:rsidRDefault="00596C07" w:rsidP="00596C07">
      <w:pPr>
        <w:widowControl w:val="0"/>
        <w:autoSpaceDE w:val="0"/>
        <w:autoSpaceDN w:val="0"/>
        <w:adjustRightInd w:val="0"/>
        <w:jc w:val="both"/>
        <w:rPr>
          <w:i/>
          <w:color w:val="000000"/>
          <w:sz w:val="22"/>
          <w:szCs w:val="22"/>
          <w:lang w:val="sr-Latn-ME"/>
        </w:rPr>
      </w:pPr>
      <w:r w:rsidRPr="004500D8">
        <w:rPr>
          <w:i/>
          <w:color w:val="000000"/>
          <w:sz w:val="22"/>
          <w:szCs w:val="22"/>
          <w:lang w:val="sr-Latn-ME"/>
        </w:rPr>
        <w:t>Uveitis kod djece</w:t>
      </w:r>
    </w:p>
    <w:p w14:paraId="1C0B8778" w14:textId="77777777" w:rsidR="00596C07" w:rsidRPr="004500D8" w:rsidRDefault="00596C07" w:rsidP="00596C07">
      <w:pPr>
        <w:widowControl w:val="0"/>
        <w:autoSpaceDE w:val="0"/>
        <w:autoSpaceDN w:val="0"/>
        <w:adjustRightInd w:val="0"/>
        <w:jc w:val="both"/>
        <w:rPr>
          <w:color w:val="000000"/>
          <w:sz w:val="22"/>
          <w:szCs w:val="22"/>
          <w:lang w:val="sr-Latn-ME"/>
        </w:rPr>
      </w:pPr>
    </w:p>
    <w:p w14:paraId="0158CB28" w14:textId="09B2D6C6" w:rsidR="00596C07" w:rsidRPr="004500D8" w:rsidRDefault="00596C07" w:rsidP="00596C07">
      <w:pPr>
        <w:widowControl w:val="0"/>
        <w:autoSpaceDE w:val="0"/>
        <w:autoSpaceDN w:val="0"/>
        <w:adjustRightInd w:val="0"/>
        <w:jc w:val="both"/>
        <w:rPr>
          <w:sz w:val="22"/>
          <w:szCs w:val="22"/>
          <w:lang w:val="sr-Latn-ME" w:eastAsia="bs-Latn-BA"/>
        </w:rPr>
      </w:pPr>
      <w:r w:rsidRPr="004500D8">
        <w:rPr>
          <w:sz w:val="22"/>
          <w:szCs w:val="22"/>
          <w:lang w:val="sr-Latn-ME" w:eastAsia="bs-Latn-BA"/>
        </w:rPr>
        <w:t xml:space="preserve">Preporučena doza lijeka Humira za pedijatrijske pacijente sa uveitisom u uzrastu od 2 i više godina određuje se na osnovu tjelesne težine (Tabela </w:t>
      </w:r>
      <w:r w:rsidR="00F71515" w:rsidRPr="004500D8">
        <w:rPr>
          <w:sz w:val="22"/>
          <w:szCs w:val="22"/>
          <w:lang w:val="sr-Latn-ME" w:eastAsia="bs-Latn-BA"/>
        </w:rPr>
        <w:t>3</w:t>
      </w:r>
      <w:r w:rsidRPr="004500D8">
        <w:rPr>
          <w:sz w:val="22"/>
          <w:szCs w:val="22"/>
          <w:lang w:val="sr-Latn-ME" w:eastAsia="bs-Latn-BA"/>
        </w:rPr>
        <w:t>). Lijek Humira se primjenjuje su</w:t>
      </w:r>
      <w:r w:rsidR="00F71515" w:rsidRPr="004500D8">
        <w:rPr>
          <w:sz w:val="22"/>
          <w:szCs w:val="22"/>
          <w:lang w:val="sr-Latn-ME" w:eastAsia="bs-Latn-BA"/>
        </w:rPr>
        <w:t>p</w:t>
      </w:r>
      <w:r w:rsidRPr="004500D8">
        <w:rPr>
          <w:sz w:val="22"/>
          <w:szCs w:val="22"/>
          <w:lang w:val="sr-Latn-ME" w:eastAsia="bs-Latn-BA"/>
        </w:rPr>
        <w:t>kutanom injekcijom.</w:t>
      </w:r>
    </w:p>
    <w:p w14:paraId="467678B9" w14:textId="77777777" w:rsidR="00596C07" w:rsidRPr="004500D8" w:rsidRDefault="00596C07" w:rsidP="00596C07">
      <w:pPr>
        <w:widowControl w:val="0"/>
        <w:autoSpaceDE w:val="0"/>
        <w:autoSpaceDN w:val="0"/>
        <w:adjustRightInd w:val="0"/>
        <w:jc w:val="both"/>
        <w:rPr>
          <w:color w:val="000000"/>
          <w:sz w:val="22"/>
          <w:szCs w:val="22"/>
          <w:lang w:val="sr-Latn-ME"/>
        </w:rPr>
      </w:pPr>
    </w:p>
    <w:p w14:paraId="4B7B52EE" w14:textId="2CE60FFF" w:rsidR="00832E5C" w:rsidRPr="004500D8" w:rsidRDefault="00596C07" w:rsidP="003B242C">
      <w:pPr>
        <w:widowControl w:val="0"/>
        <w:autoSpaceDE w:val="0"/>
        <w:autoSpaceDN w:val="0"/>
        <w:adjustRightInd w:val="0"/>
        <w:jc w:val="both"/>
        <w:rPr>
          <w:b/>
          <w:sz w:val="22"/>
          <w:szCs w:val="22"/>
          <w:lang w:val="sr-Latn-ME" w:eastAsia="bs-Latn-BA"/>
        </w:rPr>
      </w:pPr>
      <w:r w:rsidRPr="004500D8">
        <w:rPr>
          <w:color w:val="000000"/>
          <w:sz w:val="22"/>
          <w:szCs w:val="22"/>
          <w:lang w:val="sr-Latn-ME"/>
        </w:rPr>
        <w:t>Kod terapije uveitisa kod pedijatrijskih pacijenata, nema iskustva sa lijekom Humira bez istovremene primjene metotreksata.</w:t>
      </w:r>
    </w:p>
    <w:p w14:paraId="174F50C1" w14:textId="77777777" w:rsidR="00832E5C" w:rsidRPr="004500D8" w:rsidRDefault="00832E5C" w:rsidP="00596C07">
      <w:pPr>
        <w:widowControl w:val="0"/>
        <w:autoSpaceDE w:val="0"/>
        <w:autoSpaceDN w:val="0"/>
        <w:adjustRightInd w:val="0"/>
        <w:jc w:val="both"/>
        <w:rPr>
          <w:color w:val="000000"/>
          <w:sz w:val="22"/>
          <w:szCs w:val="22"/>
          <w:lang w:val="sr-Latn-ME"/>
        </w:rPr>
      </w:pPr>
    </w:p>
    <w:p w14:paraId="531467A5" w14:textId="77777777" w:rsidR="00596C07" w:rsidRPr="004500D8" w:rsidRDefault="00596C07" w:rsidP="003B242C">
      <w:pPr>
        <w:widowControl w:val="0"/>
        <w:autoSpaceDE w:val="0"/>
        <w:autoSpaceDN w:val="0"/>
        <w:adjustRightInd w:val="0"/>
        <w:jc w:val="both"/>
        <w:rPr>
          <w:b/>
          <w:sz w:val="22"/>
          <w:szCs w:val="22"/>
          <w:lang w:val="sr-Latn-ME" w:eastAsia="bs-Latn-BA"/>
        </w:rPr>
      </w:pPr>
      <w:r w:rsidRPr="004500D8">
        <w:rPr>
          <w:b/>
          <w:sz w:val="22"/>
          <w:szCs w:val="22"/>
          <w:lang w:val="sr-Latn-ME" w:eastAsia="bs-Latn-BA"/>
        </w:rPr>
        <w:t>Tabela 3. Doza lijeka Humira za pedijatrijske pacijente sa uveitisom</w:t>
      </w:r>
    </w:p>
    <w:tbl>
      <w:tblPr>
        <w:tblW w:w="6795" w:type="dxa"/>
        <w:jc w:val="center"/>
        <w:tblLayout w:type="fixed"/>
        <w:tblLook w:val="0000" w:firstRow="0" w:lastRow="0" w:firstColumn="0" w:lastColumn="0" w:noHBand="0" w:noVBand="0"/>
      </w:tblPr>
      <w:tblGrid>
        <w:gridCol w:w="3401"/>
        <w:gridCol w:w="3394"/>
      </w:tblGrid>
      <w:tr w:rsidR="00596C07" w:rsidRPr="004500D8" w14:paraId="7F1CE63D" w14:textId="77777777" w:rsidTr="00596C07">
        <w:trPr>
          <w:tblHeader/>
          <w:jc w:val="center"/>
        </w:trPr>
        <w:tc>
          <w:tcPr>
            <w:tcW w:w="3401" w:type="dxa"/>
            <w:tcBorders>
              <w:top w:val="single" w:sz="4" w:space="0" w:color="auto"/>
              <w:bottom w:val="single" w:sz="4" w:space="0" w:color="auto"/>
            </w:tcBorders>
            <w:shd w:val="clear" w:color="auto" w:fill="auto"/>
          </w:tcPr>
          <w:p w14:paraId="50D911BD" w14:textId="77777777" w:rsidR="00596C07" w:rsidRPr="004500D8" w:rsidRDefault="00596C07" w:rsidP="00596C07">
            <w:pPr>
              <w:keepNext/>
              <w:spacing w:before="40" w:after="40"/>
              <w:jc w:val="center"/>
              <w:rPr>
                <w:rFonts w:eastAsia="Calibri"/>
                <w:b/>
                <w:sz w:val="22"/>
                <w:szCs w:val="22"/>
                <w:lang w:val="sr-Latn-ME" w:eastAsia="ja-JP"/>
              </w:rPr>
            </w:pPr>
            <w:r w:rsidRPr="004500D8">
              <w:rPr>
                <w:rFonts w:eastAsia="Calibri"/>
                <w:b/>
                <w:sz w:val="22"/>
                <w:szCs w:val="22"/>
                <w:lang w:val="sr-Latn-ME" w:eastAsia="ja-JP"/>
              </w:rPr>
              <w:t>Tjelesna težina pacijenata</w:t>
            </w:r>
          </w:p>
        </w:tc>
        <w:tc>
          <w:tcPr>
            <w:tcW w:w="3394" w:type="dxa"/>
            <w:tcBorders>
              <w:top w:val="single" w:sz="4" w:space="0" w:color="auto"/>
              <w:bottom w:val="single" w:sz="4" w:space="0" w:color="auto"/>
            </w:tcBorders>
            <w:shd w:val="clear" w:color="auto" w:fill="auto"/>
          </w:tcPr>
          <w:p w14:paraId="328A4F9C" w14:textId="77777777" w:rsidR="00596C07" w:rsidRPr="004500D8" w:rsidRDefault="00596C07" w:rsidP="00596C07">
            <w:pPr>
              <w:keepNext/>
              <w:spacing w:before="40" w:after="40"/>
              <w:jc w:val="center"/>
              <w:rPr>
                <w:rFonts w:eastAsia="Calibri"/>
                <w:b/>
                <w:sz w:val="22"/>
                <w:szCs w:val="22"/>
                <w:lang w:val="sr-Latn-ME" w:eastAsia="ja-JP"/>
              </w:rPr>
            </w:pPr>
            <w:r w:rsidRPr="004500D8">
              <w:rPr>
                <w:rFonts w:eastAsia="Calibri"/>
                <w:b/>
                <w:sz w:val="22"/>
                <w:szCs w:val="22"/>
                <w:lang w:val="sr-Latn-ME" w:eastAsia="ja-JP"/>
              </w:rPr>
              <w:t>Režim doziranja</w:t>
            </w:r>
          </w:p>
        </w:tc>
      </w:tr>
      <w:tr w:rsidR="00596C07" w:rsidRPr="004500D8" w14:paraId="125DB35D" w14:textId="77777777" w:rsidTr="00596C07">
        <w:trPr>
          <w:tblHeader/>
          <w:jc w:val="center"/>
        </w:trPr>
        <w:tc>
          <w:tcPr>
            <w:tcW w:w="3401" w:type="dxa"/>
            <w:tcBorders>
              <w:top w:val="single" w:sz="4" w:space="0" w:color="auto"/>
              <w:bottom w:val="single" w:sz="4" w:space="0" w:color="auto"/>
            </w:tcBorders>
            <w:shd w:val="clear" w:color="auto" w:fill="auto"/>
          </w:tcPr>
          <w:p w14:paraId="12B9B8CF" w14:textId="77777777" w:rsidR="00596C07" w:rsidRPr="004500D8" w:rsidRDefault="00596C07" w:rsidP="00596C07">
            <w:pPr>
              <w:keepNext/>
              <w:spacing w:before="40" w:after="40"/>
              <w:jc w:val="center"/>
              <w:rPr>
                <w:rFonts w:eastAsia="Calibri"/>
                <w:b/>
                <w:sz w:val="22"/>
                <w:szCs w:val="22"/>
                <w:lang w:val="sr-Latn-ME" w:eastAsia="ja-JP"/>
              </w:rPr>
            </w:pPr>
            <w:r w:rsidRPr="004500D8">
              <w:rPr>
                <w:rFonts w:eastAsia="Calibri"/>
                <w:sz w:val="22"/>
                <w:szCs w:val="22"/>
                <w:lang w:val="sr-Latn-ME" w:eastAsia="ja-JP"/>
              </w:rPr>
              <w:t>&lt; 30 kg</w:t>
            </w:r>
          </w:p>
        </w:tc>
        <w:tc>
          <w:tcPr>
            <w:tcW w:w="3394" w:type="dxa"/>
            <w:tcBorders>
              <w:top w:val="single" w:sz="4" w:space="0" w:color="auto"/>
              <w:bottom w:val="single" w:sz="4" w:space="0" w:color="auto"/>
            </w:tcBorders>
            <w:shd w:val="clear" w:color="auto" w:fill="auto"/>
          </w:tcPr>
          <w:p w14:paraId="79F3A068" w14:textId="77777777" w:rsidR="00596C07" w:rsidRPr="004500D8" w:rsidRDefault="00596C07" w:rsidP="00596C07">
            <w:pPr>
              <w:keepNext/>
              <w:spacing w:before="40" w:after="40"/>
              <w:jc w:val="center"/>
              <w:rPr>
                <w:rFonts w:eastAsia="Calibri"/>
                <w:b/>
                <w:sz w:val="22"/>
                <w:szCs w:val="22"/>
                <w:lang w:val="sr-Latn-ME" w:eastAsia="ja-JP"/>
              </w:rPr>
            </w:pPr>
            <w:r w:rsidRPr="004500D8">
              <w:rPr>
                <w:rFonts w:eastAsia="Calibri"/>
                <w:sz w:val="22"/>
                <w:szCs w:val="22"/>
                <w:lang w:val="sr-Latn-ME" w:eastAsia="ja-JP"/>
              </w:rPr>
              <w:t>20 mg svake druge nedjelje u kombinaciji sa metotreksatom</w:t>
            </w:r>
          </w:p>
        </w:tc>
      </w:tr>
      <w:tr w:rsidR="00596C07" w:rsidRPr="004500D8" w14:paraId="4373B26D" w14:textId="77777777" w:rsidTr="00596C07">
        <w:trPr>
          <w:tblHeader/>
          <w:jc w:val="center"/>
        </w:trPr>
        <w:tc>
          <w:tcPr>
            <w:tcW w:w="3401" w:type="dxa"/>
            <w:tcBorders>
              <w:top w:val="single" w:sz="4" w:space="0" w:color="auto"/>
              <w:bottom w:val="single" w:sz="4" w:space="0" w:color="auto"/>
            </w:tcBorders>
            <w:shd w:val="clear" w:color="auto" w:fill="auto"/>
          </w:tcPr>
          <w:p w14:paraId="2FB6BABF" w14:textId="77777777" w:rsidR="00596C07" w:rsidRPr="004500D8" w:rsidRDefault="00596C07" w:rsidP="00596C07">
            <w:pPr>
              <w:keepNext/>
              <w:spacing w:before="40" w:after="40"/>
              <w:jc w:val="center"/>
              <w:rPr>
                <w:rFonts w:eastAsia="Calibri"/>
                <w:b/>
                <w:sz w:val="22"/>
                <w:szCs w:val="22"/>
                <w:lang w:val="sr-Latn-ME" w:eastAsia="ja-JP"/>
              </w:rPr>
            </w:pPr>
            <w:r w:rsidRPr="004500D8">
              <w:rPr>
                <w:rFonts w:eastAsia="Calibri"/>
                <w:sz w:val="22"/>
                <w:szCs w:val="22"/>
                <w:lang w:val="sr-Latn-ME" w:eastAsia="ja-JP"/>
              </w:rPr>
              <w:t>≥ 30 kg</w:t>
            </w:r>
          </w:p>
        </w:tc>
        <w:tc>
          <w:tcPr>
            <w:tcW w:w="3394" w:type="dxa"/>
            <w:tcBorders>
              <w:top w:val="single" w:sz="4" w:space="0" w:color="auto"/>
              <w:bottom w:val="single" w:sz="4" w:space="0" w:color="auto"/>
            </w:tcBorders>
            <w:shd w:val="clear" w:color="auto" w:fill="auto"/>
          </w:tcPr>
          <w:p w14:paraId="10270190" w14:textId="77777777" w:rsidR="00596C07" w:rsidRPr="004500D8" w:rsidRDefault="00596C07" w:rsidP="00596C07">
            <w:pPr>
              <w:keepNext/>
              <w:spacing w:before="40" w:after="40"/>
              <w:jc w:val="center"/>
              <w:rPr>
                <w:rFonts w:eastAsia="Calibri"/>
                <w:b/>
                <w:sz w:val="22"/>
                <w:szCs w:val="22"/>
                <w:lang w:val="sr-Latn-ME" w:eastAsia="ja-JP"/>
              </w:rPr>
            </w:pPr>
            <w:r w:rsidRPr="004500D8">
              <w:rPr>
                <w:rFonts w:eastAsia="Calibri"/>
                <w:sz w:val="22"/>
                <w:szCs w:val="22"/>
                <w:lang w:val="sr-Latn-ME" w:eastAsia="ja-JP"/>
              </w:rPr>
              <w:t>40 mg svake druge nedjelje u kombinaciji sa metotreksatom</w:t>
            </w:r>
          </w:p>
        </w:tc>
      </w:tr>
    </w:tbl>
    <w:p w14:paraId="4890D384" w14:textId="77777777" w:rsidR="00596C07" w:rsidRPr="004500D8" w:rsidRDefault="00596C07" w:rsidP="00596C07">
      <w:pPr>
        <w:widowControl w:val="0"/>
        <w:autoSpaceDE w:val="0"/>
        <w:autoSpaceDN w:val="0"/>
        <w:adjustRightInd w:val="0"/>
        <w:jc w:val="both"/>
        <w:rPr>
          <w:color w:val="000000"/>
          <w:sz w:val="22"/>
          <w:szCs w:val="22"/>
          <w:lang w:val="sr-Latn-ME"/>
        </w:rPr>
      </w:pPr>
    </w:p>
    <w:p w14:paraId="770F5993" w14:textId="4C00FA56"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Kada se uvodi terapija lijekom Humira, početna doza od 40 mg može da se administrira za pacijente </w:t>
      </w:r>
      <w:r w:rsidRPr="004500D8">
        <w:rPr>
          <w:sz w:val="22"/>
          <w:szCs w:val="22"/>
          <w:lang w:val="sr-Latn-ME"/>
        </w:rPr>
        <w:lastRenderedPageBreak/>
        <w:t>tjelesne težine &lt; 30 kg, ili od 80 mg za pacijente tjelesne težine ≥ 30 kg, jednu nedjelju prije početka terapije održavanja. Nisu dostupni klinički podaci kod primjene početne doze lijeka Humira kod djece  uzrast</w:t>
      </w:r>
      <w:r w:rsidR="00F71515" w:rsidRPr="004500D8">
        <w:rPr>
          <w:sz w:val="22"/>
          <w:szCs w:val="22"/>
          <w:lang w:val="sr-Latn-ME"/>
        </w:rPr>
        <w:t>a</w:t>
      </w:r>
      <w:r w:rsidRPr="004500D8">
        <w:rPr>
          <w:sz w:val="22"/>
          <w:szCs w:val="22"/>
          <w:lang w:val="sr-Latn-ME"/>
        </w:rPr>
        <w:t xml:space="preserve"> &lt; 6 godina (vidjeti </w:t>
      </w:r>
      <w:r w:rsidR="00F71515" w:rsidRPr="004500D8">
        <w:rPr>
          <w:sz w:val="22"/>
          <w:szCs w:val="22"/>
          <w:lang w:val="sr-Latn-ME"/>
        </w:rPr>
        <w:t>dio</w:t>
      </w:r>
      <w:r w:rsidRPr="004500D8">
        <w:rPr>
          <w:sz w:val="22"/>
          <w:szCs w:val="22"/>
          <w:lang w:val="sr-Latn-ME"/>
        </w:rPr>
        <w:t xml:space="preserve"> 5.2).</w:t>
      </w:r>
    </w:p>
    <w:p w14:paraId="22EC4873" w14:textId="77777777" w:rsidR="00596C07" w:rsidRPr="004500D8" w:rsidRDefault="00596C07" w:rsidP="00596C07">
      <w:pPr>
        <w:widowControl w:val="0"/>
        <w:autoSpaceDE w:val="0"/>
        <w:autoSpaceDN w:val="0"/>
        <w:adjustRightInd w:val="0"/>
        <w:jc w:val="both"/>
        <w:rPr>
          <w:color w:val="000000"/>
          <w:sz w:val="22"/>
          <w:szCs w:val="22"/>
          <w:lang w:val="sr-Latn-ME"/>
        </w:rPr>
      </w:pPr>
    </w:p>
    <w:p w14:paraId="5DA43AEB"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Nema relevantne primjene lijeka Humira kod djece mlađe od 2 godine za ovu indikaciju. </w:t>
      </w:r>
    </w:p>
    <w:p w14:paraId="00752CBB" w14:textId="77777777" w:rsidR="00596C07" w:rsidRPr="004500D8" w:rsidRDefault="00596C07" w:rsidP="00596C07">
      <w:pPr>
        <w:widowControl w:val="0"/>
        <w:autoSpaceDE w:val="0"/>
        <w:autoSpaceDN w:val="0"/>
        <w:adjustRightInd w:val="0"/>
        <w:jc w:val="both"/>
        <w:rPr>
          <w:color w:val="000000"/>
          <w:sz w:val="22"/>
          <w:szCs w:val="22"/>
          <w:lang w:val="sr-Latn-ME"/>
        </w:rPr>
      </w:pPr>
    </w:p>
    <w:p w14:paraId="2A41AFDE" w14:textId="5C90918D"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Preporučuje se da se korist i rizik kod kontinuirane dugotrajne terapije evaluira na godišnjem nivou (vidjeti </w:t>
      </w:r>
      <w:r w:rsidR="00F71515" w:rsidRPr="004500D8">
        <w:rPr>
          <w:color w:val="000000"/>
          <w:sz w:val="22"/>
          <w:szCs w:val="22"/>
          <w:lang w:val="sr-Latn-ME"/>
        </w:rPr>
        <w:t xml:space="preserve">dio </w:t>
      </w:r>
      <w:r w:rsidRPr="004500D8">
        <w:rPr>
          <w:color w:val="000000"/>
          <w:sz w:val="22"/>
          <w:szCs w:val="22"/>
          <w:lang w:val="sr-Latn-ME"/>
        </w:rPr>
        <w:t>5.1)</w:t>
      </w:r>
    </w:p>
    <w:p w14:paraId="35049863" w14:textId="77777777" w:rsidR="00596C07" w:rsidRPr="004500D8" w:rsidRDefault="00596C07" w:rsidP="00596C07">
      <w:pPr>
        <w:widowControl w:val="0"/>
        <w:autoSpaceDE w:val="0"/>
        <w:autoSpaceDN w:val="0"/>
        <w:adjustRightInd w:val="0"/>
        <w:jc w:val="both"/>
        <w:rPr>
          <w:color w:val="000000"/>
          <w:sz w:val="22"/>
          <w:szCs w:val="22"/>
          <w:lang w:val="sr-Latn-ME"/>
        </w:rPr>
      </w:pPr>
    </w:p>
    <w:p w14:paraId="0C56F0E9" w14:textId="77777777" w:rsidR="00596C07" w:rsidRPr="004500D8" w:rsidRDefault="00596C07" w:rsidP="00596C07">
      <w:pPr>
        <w:jc w:val="both"/>
        <w:rPr>
          <w:sz w:val="22"/>
          <w:szCs w:val="22"/>
          <w:lang w:val="sr-Latn-ME"/>
        </w:rPr>
      </w:pPr>
      <w:r w:rsidRPr="004500D8">
        <w:rPr>
          <w:sz w:val="22"/>
          <w:szCs w:val="22"/>
          <w:lang w:val="sr-Latn-ME" w:eastAsia="bs-Latn-BA"/>
        </w:rPr>
        <w:t>Lijek Humira može biti dostupan i u drugim jačinama i/ili oblicima pakovanja, zavisno od terapijskih potreba pojedinog pacijenta.</w:t>
      </w:r>
    </w:p>
    <w:p w14:paraId="7E50E554" w14:textId="77777777" w:rsidR="00596C07" w:rsidRPr="004500D8" w:rsidRDefault="00596C07" w:rsidP="00596C07">
      <w:pPr>
        <w:widowControl w:val="0"/>
        <w:autoSpaceDE w:val="0"/>
        <w:autoSpaceDN w:val="0"/>
        <w:adjustRightInd w:val="0"/>
        <w:jc w:val="both"/>
        <w:rPr>
          <w:color w:val="000000"/>
          <w:sz w:val="22"/>
          <w:szCs w:val="22"/>
          <w:lang w:val="sr-Latn-ME"/>
        </w:rPr>
      </w:pPr>
    </w:p>
    <w:p w14:paraId="007AC360" w14:textId="77777777" w:rsidR="00596C07" w:rsidRPr="004500D8" w:rsidRDefault="00596C07" w:rsidP="00596C07">
      <w:pPr>
        <w:widowControl w:val="0"/>
        <w:autoSpaceDE w:val="0"/>
        <w:autoSpaceDN w:val="0"/>
        <w:adjustRightInd w:val="0"/>
        <w:jc w:val="both"/>
        <w:rPr>
          <w:color w:val="000000"/>
          <w:sz w:val="22"/>
          <w:szCs w:val="22"/>
          <w:u w:val="single"/>
          <w:lang w:val="sr-Latn-ME"/>
        </w:rPr>
      </w:pPr>
      <w:r w:rsidRPr="004500D8">
        <w:rPr>
          <w:color w:val="000000"/>
          <w:sz w:val="22"/>
          <w:szCs w:val="22"/>
          <w:u w:val="single"/>
          <w:lang w:val="sr-Latn-ME"/>
        </w:rPr>
        <w:t>Način primjene</w:t>
      </w:r>
    </w:p>
    <w:p w14:paraId="00A5F718"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7A05168E" w14:textId="312CC609"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Lijek Humira se primjenjuje su</w:t>
      </w:r>
      <w:r w:rsidR="00F71515" w:rsidRPr="004500D8">
        <w:rPr>
          <w:color w:val="000000"/>
          <w:sz w:val="22"/>
          <w:szCs w:val="22"/>
          <w:lang w:val="sr-Latn-ME"/>
        </w:rPr>
        <w:t>p</w:t>
      </w:r>
      <w:r w:rsidRPr="004500D8">
        <w:rPr>
          <w:color w:val="000000"/>
          <w:sz w:val="22"/>
          <w:szCs w:val="22"/>
          <w:lang w:val="sr-Latn-ME"/>
        </w:rPr>
        <w:t>kutanom injekcijom. Sve informacije za upotrebu se nalaze u Uputstvu za pacijenta.</w:t>
      </w:r>
    </w:p>
    <w:p w14:paraId="303F2BD3" w14:textId="77777777" w:rsidR="00596C07" w:rsidRPr="004500D8" w:rsidRDefault="00596C07" w:rsidP="00596C07">
      <w:pPr>
        <w:tabs>
          <w:tab w:val="left" w:pos="2388"/>
        </w:tabs>
        <w:rPr>
          <w:bCs/>
          <w:sz w:val="22"/>
          <w:szCs w:val="22"/>
          <w:lang w:val="sr-Latn-ME"/>
        </w:rPr>
      </w:pPr>
    </w:p>
    <w:p w14:paraId="02810DE8" w14:textId="77777777" w:rsidR="00596C07" w:rsidRPr="004500D8" w:rsidRDefault="00596C07" w:rsidP="00596C07">
      <w:pPr>
        <w:tabs>
          <w:tab w:val="left" w:pos="2388"/>
        </w:tabs>
        <w:rPr>
          <w:bCs/>
          <w:sz w:val="22"/>
          <w:szCs w:val="22"/>
          <w:lang w:val="sr-Latn-ME"/>
        </w:rPr>
      </w:pPr>
      <w:r w:rsidRPr="004500D8">
        <w:rPr>
          <w:bCs/>
          <w:sz w:val="22"/>
          <w:szCs w:val="22"/>
          <w:lang w:val="sr-Latn-ME"/>
        </w:rPr>
        <w:t>Lijek Humira je dostupan i u drugim jačinama i oblicima pakovanja.</w:t>
      </w:r>
    </w:p>
    <w:p w14:paraId="2BFF1F00" w14:textId="77777777" w:rsidR="00596C07" w:rsidRPr="004500D8" w:rsidRDefault="00596C07" w:rsidP="00596C07">
      <w:pPr>
        <w:tabs>
          <w:tab w:val="left" w:pos="2388"/>
        </w:tabs>
        <w:rPr>
          <w:bCs/>
          <w:sz w:val="22"/>
          <w:szCs w:val="22"/>
          <w:lang w:val="sr-Latn-ME"/>
        </w:rPr>
      </w:pPr>
    </w:p>
    <w:p w14:paraId="755512CC"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 xml:space="preserve">4.3. </w:t>
      </w:r>
      <w:r w:rsidRPr="004500D8">
        <w:rPr>
          <w:b/>
          <w:bCs/>
          <w:sz w:val="22"/>
          <w:szCs w:val="22"/>
          <w:lang w:val="sr-Latn-ME"/>
        </w:rPr>
        <w:tab/>
        <w:t>Kontraindikacije</w:t>
      </w:r>
    </w:p>
    <w:p w14:paraId="5BBF1E1C" w14:textId="77777777" w:rsidR="00596C07" w:rsidRPr="004500D8" w:rsidRDefault="00596C07" w:rsidP="00596C07">
      <w:pPr>
        <w:tabs>
          <w:tab w:val="left" w:pos="1739"/>
        </w:tabs>
        <w:rPr>
          <w:bCs/>
          <w:sz w:val="22"/>
          <w:szCs w:val="22"/>
          <w:lang w:val="sr-Latn-ME"/>
        </w:rPr>
      </w:pPr>
      <w:r w:rsidRPr="004500D8">
        <w:rPr>
          <w:bCs/>
          <w:sz w:val="22"/>
          <w:szCs w:val="22"/>
          <w:lang w:val="sr-Latn-ME"/>
        </w:rPr>
        <w:tab/>
      </w:r>
    </w:p>
    <w:p w14:paraId="4DF2F7B4" w14:textId="6BEDC5B3" w:rsidR="00596C07" w:rsidRPr="004500D8" w:rsidRDefault="00596C07" w:rsidP="00596C07">
      <w:pPr>
        <w:widowControl w:val="0"/>
        <w:autoSpaceDE w:val="0"/>
        <w:autoSpaceDN w:val="0"/>
        <w:adjustRightInd w:val="0"/>
        <w:ind w:left="567" w:hanging="567"/>
        <w:jc w:val="both"/>
        <w:rPr>
          <w:color w:val="000000"/>
          <w:sz w:val="22"/>
          <w:szCs w:val="22"/>
          <w:lang w:val="sr-Latn-ME"/>
        </w:rPr>
      </w:pPr>
      <w:r w:rsidRPr="004500D8">
        <w:rPr>
          <w:color w:val="000000"/>
          <w:sz w:val="22"/>
          <w:szCs w:val="22"/>
          <w:lang w:val="sr-Latn-ME"/>
        </w:rPr>
        <w:t xml:space="preserve">Preosjetljivost na aktivnu supstancu ili na neku od pomoćnih supstanci navedenih u </w:t>
      </w:r>
      <w:r w:rsidR="00F71515" w:rsidRPr="004500D8">
        <w:rPr>
          <w:color w:val="000000"/>
          <w:sz w:val="22"/>
          <w:szCs w:val="22"/>
          <w:lang w:val="sr-Latn-ME"/>
        </w:rPr>
        <w:t xml:space="preserve">dijelu </w:t>
      </w:r>
      <w:r w:rsidRPr="004500D8">
        <w:rPr>
          <w:color w:val="000000"/>
          <w:sz w:val="22"/>
          <w:szCs w:val="22"/>
          <w:lang w:val="sr-Latn-ME"/>
        </w:rPr>
        <w:t>6.1.</w:t>
      </w:r>
    </w:p>
    <w:p w14:paraId="7D15A4EE" w14:textId="77777777" w:rsidR="00596C07" w:rsidRPr="004500D8" w:rsidRDefault="00596C07" w:rsidP="00596C07">
      <w:pPr>
        <w:widowControl w:val="0"/>
        <w:autoSpaceDE w:val="0"/>
        <w:autoSpaceDN w:val="0"/>
        <w:adjustRightInd w:val="0"/>
        <w:ind w:left="567" w:hanging="567"/>
        <w:jc w:val="both"/>
        <w:rPr>
          <w:color w:val="000000"/>
          <w:sz w:val="22"/>
          <w:szCs w:val="22"/>
          <w:lang w:val="sr-Latn-ME"/>
        </w:rPr>
      </w:pPr>
    </w:p>
    <w:p w14:paraId="426537EB" w14:textId="1BC65506" w:rsidR="00596C07" w:rsidRPr="004500D8" w:rsidRDefault="00596C07" w:rsidP="00596C07">
      <w:pPr>
        <w:widowControl w:val="0"/>
        <w:autoSpaceDE w:val="0"/>
        <w:autoSpaceDN w:val="0"/>
        <w:adjustRightInd w:val="0"/>
        <w:ind w:left="567" w:hanging="567"/>
        <w:jc w:val="both"/>
        <w:rPr>
          <w:color w:val="000000"/>
          <w:sz w:val="22"/>
          <w:szCs w:val="22"/>
          <w:lang w:val="sr-Latn-ME"/>
        </w:rPr>
      </w:pPr>
      <w:r w:rsidRPr="004500D8">
        <w:rPr>
          <w:color w:val="000000"/>
          <w:sz w:val="22"/>
          <w:szCs w:val="22"/>
          <w:lang w:val="sr-Latn-ME"/>
        </w:rPr>
        <w:t xml:space="preserve">Aktivna tuberkuloza ili druge teške infekcije, poput sepse, i oportunističke infekcije (vidjeti </w:t>
      </w:r>
      <w:r w:rsidR="00F71515" w:rsidRPr="004500D8">
        <w:rPr>
          <w:color w:val="000000"/>
          <w:sz w:val="22"/>
          <w:szCs w:val="22"/>
          <w:lang w:val="sr-Latn-ME"/>
        </w:rPr>
        <w:t xml:space="preserve">dio </w:t>
      </w:r>
      <w:r w:rsidRPr="004500D8">
        <w:rPr>
          <w:color w:val="000000"/>
          <w:sz w:val="22"/>
          <w:szCs w:val="22"/>
          <w:lang w:val="sr-Latn-ME"/>
        </w:rPr>
        <w:t>4.4).</w:t>
      </w:r>
    </w:p>
    <w:p w14:paraId="401F1D25" w14:textId="77777777" w:rsidR="00596C07" w:rsidRPr="004500D8" w:rsidRDefault="00596C07" w:rsidP="00596C07">
      <w:pPr>
        <w:widowControl w:val="0"/>
        <w:autoSpaceDE w:val="0"/>
        <w:autoSpaceDN w:val="0"/>
        <w:adjustRightInd w:val="0"/>
        <w:ind w:left="567" w:hanging="567"/>
        <w:jc w:val="both"/>
        <w:rPr>
          <w:color w:val="000000"/>
          <w:sz w:val="22"/>
          <w:szCs w:val="22"/>
          <w:lang w:val="sr-Latn-ME"/>
        </w:rPr>
      </w:pPr>
    </w:p>
    <w:p w14:paraId="04ADE811" w14:textId="22B8775C" w:rsidR="00596C07" w:rsidRPr="004500D8" w:rsidRDefault="00596C07" w:rsidP="00596C07">
      <w:pPr>
        <w:widowControl w:val="0"/>
        <w:autoSpaceDE w:val="0"/>
        <w:autoSpaceDN w:val="0"/>
        <w:adjustRightInd w:val="0"/>
        <w:ind w:left="567" w:hanging="567"/>
        <w:jc w:val="both"/>
        <w:rPr>
          <w:color w:val="000000"/>
          <w:sz w:val="22"/>
          <w:szCs w:val="22"/>
          <w:lang w:val="sr-Latn-ME"/>
        </w:rPr>
      </w:pPr>
      <w:r w:rsidRPr="004500D8">
        <w:rPr>
          <w:color w:val="000000"/>
          <w:sz w:val="22"/>
          <w:szCs w:val="22"/>
          <w:lang w:val="sr-Latn-ME"/>
        </w:rPr>
        <w:t xml:space="preserve">Umjerena do teška srčana insuficijencija (NYHA stepen III/IV) (vidjeti </w:t>
      </w:r>
      <w:r w:rsidR="00F71515" w:rsidRPr="004500D8">
        <w:rPr>
          <w:color w:val="000000"/>
          <w:sz w:val="22"/>
          <w:szCs w:val="22"/>
          <w:lang w:val="sr-Latn-ME"/>
        </w:rPr>
        <w:t xml:space="preserve">dio </w:t>
      </w:r>
      <w:r w:rsidRPr="004500D8">
        <w:rPr>
          <w:color w:val="000000"/>
          <w:sz w:val="22"/>
          <w:szCs w:val="22"/>
          <w:lang w:val="sr-Latn-ME"/>
        </w:rPr>
        <w:t>4.4).</w:t>
      </w:r>
    </w:p>
    <w:p w14:paraId="1EAC7C91" w14:textId="77777777" w:rsidR="00596C07" w:rsidRPr="004500D8" w:rsidRDefault="00596C07" w:rsidP="00596C07">
      <w:pPr>
        <w:tabs>
          <w:tab w:val="left" w:pos="1739"/>
        </w:tabs>
        <w:rPr>
          <w:bCs/>
          <w:sz w:val="22"/>
          <w:szCs w:val="22"/>
          <w:lang w:val="sr-Latn-ME"/>
        </w:rPr>
      </w:pPr>
    </w:p>
    <w:p w14:paraId="5A33767B"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 xml:space="preserve">4.4. </w:t>
      </w:r>
      <w:r w:rsidRPr="004500D8">
        <w:rPr>
          <w:b/>
          <w:bCs/>
          <w:sz w:val="22"/>
          <w:szCs w:val="22"/>
          <w:lang w:val="sr-Latn-ME"/>
        </w:rPr>
        <w:tab/>
        <w:t>Posebna upozorenja i mjere opreza pri upotrebi lijeka</w:t>
      </w:r>
    </w:p>
    <w:p w14:paraId="0355222E" w14:textId="77777777" w:rsidR="00596C07" w:rsidRPr="004500D8" w:rsidRDefault="00596C07" w:rsidP="00596C07">
      <w:pPr>
        <w:tabs>
          <w:tab w:val="left" w:pos="1141"/>
        </w:tabs>
        <w:rPr>
          <w:bCs/>
          <w:sz w:val="22"/>
          <w:szCs w:val="22"/>
          <w:lang w:val="sr-Latn-ME"/>
        </w:rPr>
      </w:pPr>
    </w:p>
    <w:p w14:paraId="740CFBD9" w14:textId="77777777" w:rsidR="00596C07" w:rsidRPr="004500D8" w:rsidRDefault="00596C07" w:rsidP="00596C07">
      <w:pPr>
        <w:tabs>
          <w:tab w:val="left" w:pos="1141"/>
        </w:tabs>
        <w:rPr>
          <w:bCs/>
          <w:sz w:val="22"/>
          <w:szCs w:val="22"/>
          <w:u w:val="single"/>
          <w:lang w:val="sr-Latn-ME"/>
        </w:rPr>
      </w:pPr>
      <w:r w:rsidRPr="004500D8">
        <w:rPr>
          <w:bCs/>
          <w:sz w:val="22"/>
          <w:szCs w:val="22"/>
          <w:u w:val="single"/>
          <w:lang w:val="sr-Latn-ME"/>
        </w:rPr>
        <w:t>Praćenje</w:t>
      </w:r>
    </w:p>
    <w:p w14:paraId="3126BC6E" w14:textId="77777777" w:rsidR="00596C07" w:rsidRPr="004500D8" w:rsidRDefault="00596C07" w:rsidP="00596C07">
      <w:pPr>
        <w:tabs>
          <w:tab w:val="left" w:pos="1141"/>
        </w:tabs>
        <w:rPr>
          <w:bCs/>
          <w:sz w:val="22"/>
          <w:szCs w:val="22"/>
          <w:lang w:val="sr-Latn-ME"/>
        </w:rPr>
      </w:pPr>
    </w:p>
    <w:p w14:paraId="36179776" w14:textId="77777777" w:rsidR="00596C07" w:rsidRPr="004500D8" w:rsidRDefault="00596C07" w:rsidP="00596C07">
      <w:pPr>
        <w:tabs>
          <w:tab w:val="left" w:pos="1141"/>
        </w:tabs>
        <w:rPr>
          <w:bCs/>
          <w:sz w:val="22"/>
          <w:szCs w:val="22"/>
          <w:lang w:val="sr-Latn-ME"/>
        </w:rPr>
      </w:pPr>
      <w:r w:rsidRPr="004500D8">
        <w:rPr>
          <w:bCs/>
          <w:sz w:val="22"/>
          <w:szCs w:val="22"/>
          <w:lang w:val="sr-Latn-ME"/>
        </w:rPr>
        <w:t>Kako bi se poboljšala mogućnost praćenja bioloških ljekova, treba jasno zabilježiti naziv i broj serije primijenjenog lijeka u pacijentovom kartonu.</w:t>
      </w:r>
    </w:p>
    <w:p w14:paraId="421A58FE" w14:textId="77777777" w:rsidR="00596C07" w:rsidRPr="004500D8" w:rsidRDefault="00596C07" w:rsidP="00596C07">
      <w:pPr>
        <w:tabs>
          <w:tab w:val="left" w:pos="1141"/>
        </w:tabs>
        <w:rPr>
          <w:bCs/>
          <w:sz w:val="22"/>
          <w:szCs w:val="22"/>
          <w:lang w:val="sr-Latn-ME"/>
        </w:rPr>
      </w:pPr>
      <w:r w:rsidRPr="004500D8">
        <w:rPr>
          <w:bCs/>
          <w:sz w:val="22"/>
          <w:szCs w:val="22"/>
          <w:lang w:val="sr-Latn-ME"/>
        </w:rPr>
        <w:tab/>
      </w:r>
    </w:p>
    <w:p w14:paraId="07D4DAEC" w14:textId="77777777" w:rsidR="00596C07" w:rsidRPr="004500D8" w:rsidRDefault="00596C07" w:rsidP="00596C07">
      <w:pPr>
        <w:widowControl w:val="0"/>
        <w:autoSpaceDE w:val="0"/>
        <w:autoSpaceDN w:val="0"/>
        <w:adjustRightInd w:val="0"/>
        <w:jc w:val="both"/>
        <w:rPr>
          <w:color w:val="000000"/>
          <w:sz w:val="22"/>
          <w:szCs w:val="22"/>
          <w:u w:val="single"/>
          <w:lang w:val="sr-Latn-ME"/>
        </w:rPr>
      </w:pPr>
      <w:r w:rsidRPr="004500D8">
        <w:rPr>
          <w:color w:val="000000"/>
          <w:sz w:val="22"/>
          <w:szCs w:val="22"/>
          <w:u w:val="single"/>
          <w:lang w:val="sr-Latn-ME"/>
        </w:rPr>
        <w:t>Infekcije</w:t>
      </w:r>
    </w:p>
    <w:p w14:paraId="0BDF50A0"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1124C925"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Pacijenti tokom terapije antagonistima TNF-a su podložniji ozbiljnim infekcijama. Smanjena funkcija pluća može povećati rizik za nastanak infekcija. Prije, za vrijeme i nakon završetka liječenja </w:t>
      </w:r>
      <w:r w:rsidRPr="004500D8">
        <w:rPr>
          <w:sz w:val="22"/>
          <w:szCs w:val="22"/>
          <w:lang w:val="sr-Latn-ME"/>
        </w:rPr>
        <w:t xml:space="preserve">lijekom </w:t>
      </w:r>
      <w:r w:rsidRPr="004500D8">
        <w:rPr>
          <w:color w:val="000000"/>
          <w:sz w:val="22"/>
          <w:szCs w:val="22"/>
          <w:lang w:val="sr-Latn-ME"/>
        </w:rPr>
        <w:t>Humira pacijente treba pažljivo pratiti zbog moguće pojave infekcija, uključujući tuberkulozu. Budući da izlučivanje adalimumaba može trajati i do četiri mjeseca, praćenje pacijenata treba nastaviti za vrijeme cijelog tog perioda.</w:t>
      </w:r>
    </w:p>
    <w:p w14:paraId="4B453AB3" w14:textId="77777777" w:rsidR="00596C07" w:rsidRPr="004500D8" w:rsidRDefault="00596C07" w:rsidP="00596C07">
      <w:pPr>
        <w:widowControl w:val="0"/>
        <w:autoSpaceDE w:val="0"/>
        <w:autoSpaceDN w:val="0"/>
        <w:adjustRightInd w:val="0"/>
        <w:jc w:val="both"/>
        <w:rPr>
          <w:color w:val="000000"/>
          <w:sz w:val="22"/>
          <w:szCs w:val="22"/>
          <w:lang w:val="sr-Latn-ME"/>
        </w:rPr>
      </w:pPr>
    </w:p>
    <w:p w14:paraId="39E9CFF3"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Liječenje </w:t>
      </w:r>
      <w:r w:rsidRPr="004500D8">
        <w:rPr>
          <w:sz w:val="22"/>
          <w:szCs w:val="22"/>
          <w:lang w:val="sr-Latn-ME"/>
        </w:rPr>
        <w:t xml:space="preserve">lijekom </w:t>
      </w:r>
      <w:r w:rsidRPr="004500D8">
        <w:rPr>
          <w:color w:val="000000"/>
          <w:sz w:val="22"/>
          <w:szCs w:val="22"/>
          <w:lang w:val="sr-Latn-ME"/>
        </w:rPr>
        <w:t xml:space="preserve">Humira ne smije se započeti kod pacijenata sa aktivnim infekcijama, uključujući hronične ili lokalizovane infekcije, sve dok se te infekcije ne suzbiju. Kod pacijenata koji su bili izloženi tuberkulozi i pacijenata koji su putovali u područja visokog rizika od tuberkuloze ili endemskih mikoza, kao što su histoplazmoza, kokcidioidomikoza ili blastomikoza, rizike i koristi liječenja </w:t>
      </w:r>
      <w:r w:rsidRPr="004500D8">
        <w:rPr>
          <w:sz w:val="22"/>
          <w:szCs w:val="22"/>
          <w:lang w:val="sr-Latn-ME"/>
        </w:rPr>
        <w:t xml:space="preserve">lijekom </w:t>
      </w:r>
      <w:r w:rsidRPr="004500D8">
        <w:rPr>
          <w:color w:val="000000"/>
          <w:sz w:val="22"/>
          <w:szCs w:val="22"/>
          <w:lang w:val="sr-Latn-ME"/>
        </w:rPr>
        <w:t xml:space="preserve">Humira treba razmotriti prije započinjanja liječenja (vidjeti </w:t>
      </w:r>
      <w:r w:rsidRPr="004500D8">
        <w:rPr>
          <w:i/>
          <w:color w:val="000000"/>
          <w:sz w:val="22"/>
          <w:szCs w:val="22"/>
          <w:lang w:val="sr-Latn-ME"/>
        </w:rPr>
        <w:t>Druge oportunističke infekcije</w:t>
      </w:r>
      <w:r w:rsidRPr="004500D8">
        <w:rPr>
          <w:color w:val="000000"/>
          <w:sz w:val="22"/>
          <w:szCs w:val="22"/>
          <w:lang w:val="sr-Latn-ME"/>
        </w:rPr>
        <w:t>).</w:t>
      </w:r>
    </w:p>
    <w:p w14:paraId="59DB7ED5" w14:textId="77777777" w:rsidR="00596C07" w:rsidRPr="004500D8" w:rsidRDefault="00596C07" w:rsidP="00596C07">
      <w:pPr>
        <w:widowControl w:val="0"/>
        <w:autoSpaceDE w:val="0"/>
        <w:autoSpaceDN w:val="0"/>
        <w:adjustRightInd w:val="0"/>
        <w:jc w:val="both"/>
        <w:rPr>
          <w:color w:val="000000"/>
          <w:sz w:val="22"/>
          <w:szCs w:val="22"/>
          <w:lang w:val="sr-Latn-ME"/>
        </w:rPr>
      </w:pPr>
    </w:p>
    <w:p w14:paraId="549D9E40"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Pacijente kod kojih se za vrijeme liječenja </w:t>
      </w:r>
      <w:r w:rsidRPr="004500D8">
        <w:rPr>
          <w:sz w:val="22"/>
          <w:szCs w:val="22"/>
          <w:lang w:val="sr-Latn-ME"/>
        </w:rPr>
        <w:t xml:space="preserve">lijekom </w:t>
      </w:r>
      <w:r w:rsidRPr="004500D8">
        <w:rPr>
          <w:color w:val="000000"/>
          <w:sz w:val="22"/>
          <w:szCs w:val="22"/>
          <w:lang w:val="sr-Latn-ME"/>
        </w:rPr>
        <w:t xml:space="preserve">Humira razviju nove infekcije treba pažljivo pratiti i podvrgnuti kompletnoj dijagnostičkoj procjeni. Primjenu </w:t>
      </w:r>
      <w:r w:rsidRPr="004500D8">
        <w:rPr>
          <w:sz w:val="22"/>
          <w:szCs w:val="22"/>
          <w:lang w:val="sr-Latn-ME"/>
        </w:rPr>
        <w:t xml:space="preserve">lijeka </w:t>
      </w:r>
      <w:r w:rsidRPr="004500D8">
        <w:rPr>
          <w:color w:val="000000"/>
          <w:sz w:val="22"/>
          <w:szCs w:val="22"/>
          <w:lang w:val="sr-Latn-ME"/>
        </w:rPr>
        <w:t xml:space="preserve">Humira treba obustaviti ako pacijent dobije novu tešku infekciju ili sepsu, te treba započeti odgovarajuću antimikrobnu ili antifungalnu terapiju sve dok se infekcija ne suzbije. Ljekari trebaju oprezno razmotriti liječenje </w:t>
      </w:r>
      <w:r w:rsidRPr="004500D8">
        <w:rPr>
          <w:sz w:val="22"/>
          <w:szCs w:val="22"/>
          <w:lang w:val="sr-Latn-ME"/>
        </w:rPr>
        <w:t xml:space="preserve">lijekom </w:t>
      </w:r>
      <w:r w:rsidRPr="004500D8">
        <w:rPr>
          <w:color w:val="000000"/>
          <w:sz w:val="22"/>
          <w:szCs w:val="22"/>
          <w:lang w:val="sr-Latn-ME"/>
        </w:rPr>
        <w:t xml:space="preserve">Humira kod pacijenata s čestim infekcijama u anamnezi ili sa osnovnim bolestima koje pogoduju razvoju infekcija, uključujući istovremenu upotrebu imunosupresivnih ljekova. </w:t>
      </w:r>
    </w:p>
    <w:p w14:paraId="3DCCD42B" w14:textId="77777777" w:rsidR="00596C07" w:rsidRPr="004500D8" w:rsidRDefault="00596C07" w:rsidP="00596C07">
      <w:pPr>
        <w:widowControl w:val="0"/>
        <w:autoSpaceDE w:val="0"/>
        <w:autoSpaceDN w:val="0"/>
        <w:adjustRightInd w:val="0"/>
        <w:jc w:val="both"/>
        <w:rPr>
          <w:color w:val="000000"/>
          <w:sz w:val="22"/>
          <w:szCs w:val="22"/>
          <w:lang w:val="sr-Latn-ME"/>
        </w:rPr>
      </w:pPr>
    </w:p>
    <w:p w14:paraId="75F44411" w14:textId="77777777" w:rsidR="00596C07" w:rsidRPr="004500D8" w:rsidRDefault="00596C07" w:rsidP="00596C07">
      <w:pPr>
        <w:widowControl w:val="0"/>
        <w:autoSpaceDE w:val="0"/>
        <w:autoSpaceDN w:val="0"/>
        <w:adjustRightInd w:val="0"/>
        <w:jc w:val="both"/>
        <w:rPr>
          <w:i/>
          <w:iCs/>
          <w:color w:val="000000"/>
          <w:sz w:val="22"/>
          <w:szCs w:val="22"/>
          <w:lang w:val="sr-Latn-ME"/>
        </w:rPr>
      </w:pPr>
      <w:r w:rsidRPr="004500D8">
        <w:rPr>
          <w:i/>
          <w:iCs/>
          <w:color w:val="000000"/>
          <w:sz w:val="22"/>
          <w:szCs w:val="22"/>
          <w:lang w:val="sr-Latn-ME"/>
        </w:rPr>
        <w:t>Ozbiljne infekcije</w:t>
      </w:r>
    </w:p>
    <w:p w14:paraId="36E44733" w14:textId="77777777" w:rsidR="00596C07" w:rsidRPr="004500D8" w:rsidRDefault="00596C07" w:rsidP="00596C07">
      <w:pPr>
        <w:widowControl w:val="0"/>
        <w:autoSpaceDE w:val="0"/>
        <w:autoSpaceDN w:val="0"/>
        <w:adjustRightInd w:val="0"/>
        <w:jc w:val="both"/>
        <w:rPr>
          <w:i/>
          <w:iCs/>
          <w:color w:val="000000"/>
          <w:sz w:val="22"/>
          <w:szCs w:val="22"/>
          <w:u w:val="single"/>
          <w:lang w:val="sr-Latn-ME"/>
        </w:rPr>
      </w:pPr>
    </w:p>
    <w:p w14:paraId="6E8C2F4A"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lastRenderedPageBreak/>
        <w:t xml:space="preserve">Kod pacijenata koji su primali </w:t>
      </w:r>
      <w:r w:rsidRPr="004500D8">
        <w:rPr>
          <w:sz w:val="22"/>
          <w:szCs w:val="22"/>
          <w:lang w:val="sr-Latn-ME"/>
        </w:rPr>
        <w:t xml:space="preserve">lijek </w:t>
      </w:r>
      <w:r w:rsidRPr="004500D8">
        <w:rPr>
          <w:color w:val="000000"/>
          <w:sz w:val="22"/>
          <w:szCs w:val="22"/>
          <w:lang w:val="sr-Latn-ME"/>
        </w:rPr>
        <w:t>Humira zabilježene su ozbiljne infekcije, uključujući sepsu, uzrokovane bakterijama, mikobakterijama, invazivnim gljivicama, parazitima, virusima, ili druge oportunističke infekcije, poput listerioze, legioneloze i pneumocistisa.</w:t>
      </w:r>
    </w:p>
    <w:p w14:paraId="12FF19D4" w14:textId="77777777" w:rsidR="00596C07" w:rsidRPr="004500D8" w:rsidRDefault="00596C07" w:rsidP="00596C07">
      <w:pPr>
        <w:widowControl w:val="0"/>
        <w:autoSpaceDE w:val="0"/>
        <w:autoSpaceDN w:val="0"/>
        <w:adjustRightInd w:val="0"/>
        <w:jc w:val="both"/>
        <w:rPr>
          <w:color w:val="000000"/>
          <w:sz w:val="22"/>
          <w:szCs w:val="22"/>
          <w:lang w:val="sr-Latn-ME"/>
        </w:rPr>
      </w:pPr>
    </w:p>
    <w:p w14:paraId="5F8E9BE0"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Ostale ozbiljne infekcije primijećene u kliničkim ispitivanjima uključuju pneumoniju, pijelonefritis, septički artritis i septikemiju. Prijavljene su hospitalizacije ili fatalni ishodi povezani sa infekcijama.</w:t>
      </w:r>
      <w:r w:rsidRPr="004500D8" w:rsidDel="009B604E">
        <w:rPr>
          <w:color w:val="000000"/>
          <w:sz w:val="22"/>
          <w:szCs w:val="22"/>
          <w:lang w:val="sr-Latn-ME"/>
        </w:rPr>
        <w:t xml:space="preserve"> </w:t>
      </w:r>
    </w:p>
    <w:p w14:paraId="7CFED39C"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570915CF" w14:textId="77777777" w:rsidR="00596C07" w:rsidRPr="004500D8" w:rsidRDefault="00596C07" w:rsidP="00596C07">
      <w:pPr>
        <w:widowControl w:val="0"/>
        <w:autoSpaceDE w:val="0"/>
        <w:autoSpaceDN w:val="0"/>
        <w:adjustRightInd w:val="0"/>
        <w:jc w:val="both"/>
        <w:rPr>
          <w:i/>
          <w:iCs/>
          <w:color w:val="000000"/>
          <w:sz w:val="22"/>
          <w:szCs w:val="22"/>
          <w:lang w:val="sr-Latn-ME"/>
        </w:rPr>
      </w:pPr>
      <w:r w:rsidRPr="004500D8">
        <w:rPr>
          <w:i/>
          <w:iCs/>
          <w:color w:val="000000"/>
          <w:sz w:val="22"/>
          <w:szCs w:val="22"/>
          <w:lang w:val="sr-Latn-ME"/>
        </w:rPr>
        <w:t>Tuberkuloza</w:t>
      </w:r>
    </w:p>
    <w:p w14:paraId="12969612" w14:textId="77777777" w:rsidR="00596C07" w:rsidRPr="004500D8" w:rsidRDefault="00596C07" w:rsidP="00596C07">
      <w:pPr>
        <w:widowControl w:val="0"/>
        <w:autoSpaceDE w:val="0"/>
        <w:autoSpaceDN w:val="0"/>
        <w:adjustRightInd w:val="0"/>
        <w:jc w:val="both"/>
        <w:rPr>
          <w:i/>
          <w:iCs/>
          <w:color w:val="000000"/>
          <w:sz w:val="22"/>
          <w:szCs w:val="22"/>
          <w:u w:val="single"/>
          <w:lang w:val="sr-Latn-ME"/>
        </w:rPr>
      </w:pPr>
    </w:p>
    <w:p w14:paraId="3607EB49"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Kod pacijenata koji primaju </w:t>
      </w:r>
      <w:r w:rsidRPr="004500D8">
        <w:rPr>
          <w:sz w:val="22"/>
          <w:szCs w:val="22"/>
          <w:lang w:val="sr-Latn-ME"/>
        </w:rPr>
        <w:t xml:space="preserve">lijek </w:t>
      </w:r>
      <w:r w:rsidRPr="004500D8">
        <w:rPr>
          <w:color w:val="000000"/>
          <w:sz w:val="22"/>
          <w:szCs w:val="22"/>
          <w:lang w:val="sr-Latn-ME"/>
        </w:rPr>
        <w:t>Humira prijavljeni su slučajevi reaktiviranja ili pojave tuberkuloze. Prijavljeni slučajevi uključivali su pulmonarnu i ekstrapulmonarnu, odnosno diseminovanu tuberkulozu.</w:t>
      </w:r>
    </w:p>
    <w:p w14:paraId="68DA1294" w14:textId="77777777" w:rsidR="00596C07" w:rsidRPr="004500D8" w:rsidRDefault="00596C07" w:rsidP="00596C07">
      <w:pPr>
        <w:widowControl w:val="0"/>
        <w:autoSpaceDE w:val="0"/>
        <w:autoSpaceDN w:val="0"/>
        <w:adjustRightInd w:val="0"/>
        <w:jc w:val="both"/>
        <w:rPr>
          <w:color w:val="000000"/>
          <w:sz w:val="22"/>
          <w:szCs w:val="22"/>
          <w:lang w:val="sr-Latn-ME"/>
        </w:rPr>
      </w:pPr>
    </w:p>
    <w:p w14:paraId="1107A769"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Prije početka liječenja </w:t>
      </w:r>
      <w:r w:rsidRPr="004500D8">
        <w:rPr>
          <w:sz w:val="22"/>
          <w:szCs w:val="22"/>
          <w:lang w:val="sr-Latn-ME"/>
        </w:rPr>
        <w:t xml:space="preserve">lijekom </w:t>
      </w:r>
      <w:r w:rsidRPr="004500D8">
        <w:rPr>
          <w:color w:val="000000"/>
          <w:sz w:val="22"/>
          <w:szCs w:val="22"/>
          <w:lang w:val="sr-Latn-ME"/>
        </w:rPr>
        <w:t>Humira sve pacijente treba podvrgnuti pretragama za otkrivanje aktivnog ili neaktivnog (latentnog) oblika tuberkuloze. Te pretrage trebaju obuhvatiti uzimanje detaljne medicinske procjene pacijenta čija lična anamneza uključuje tuberkulozu ili eventualnu raniju izloženost pacijentima sa aktivnom tuberkulozom, te prethodno i/ili sadašnje liječenje imunosupresivnim ljekovima. Kod svih pacijenata treba sprovesti odgovarajuće testove provjere tj. tuberkulinski kožni test i rendgen pluća (treba se pridržavati lokalnih preporuka). Preporučuje se evidentiranje rezultata obavljenih testova u Karticu podsjetnik za pacijenta. Pritom treba imati na umu da tuberkulinski kožni test može dati lažno negativne rezultate, naročito kod teško bolesnih ili imunokompromitovanih pacijenata.</w:t>
      </w:r>
    </w:p>
    <w:p w14:paraId="6DAE3358" w14:textId="77777777" w:rsidR="00596C07" w:rsidRPr="004500D8" w:rsidRDefault="00596C07" w:rsidP="00596C07">
      <w:pPr>
        <w:widowControl w:val="0"/>
        <w:autoSpaceDE w:val="0"/>
        <w:autoSpaceDN w:val="0"/>
        <w:adjustRightInd w:val="0"/>
        <w:ind w:left="567" w:hanging="567"/>
        <w:jc w:val="both"/>
        <w:rPr>
          <w:color w:val="000000"/>
          <w:sz w:val="22"/>
          <w:szCs w:val="22"/>
          <w:lang w:val="sr-Latn-ME"/>
        </w:rPr>
      </w:pPr>
    </w:p>
    <w:p w14:paraId="4EF4ACC1" w14:textId="19C7D665"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Ukoliko se dijagnostikuje aktivna tuberkuloza, ne smije se započeti liječenje </w:t>
      </w:r>
      <w:r w:rsidRPr="004500D8">
        <w:rPr>
          <w:sz w:val="22"/>
          <w:szCs w:val="22"/>
          <w:lang w:val="sr-Latn-ME"/>
        </w:rPr>
        <w:t xml:space="preserve">lijekom </w:t>
      </w:r>
      <w:r w:rsidRPr="004500D8">
        <w:rPr>
          <w:color w:val="000000"/>
          <w:sz w:val="22"/>
          <w:szCs w:val="22"/>
          <w:lang w:val="sr-Latn-ME"/>
        </w:rPr>
        <w:t xml:space="preserve">Humira (vidjeti </w:t>
      </w:r>
      <w:r w:rsidR="00371FC3" w:rsidRPr="004500D8">
        <w:rPr>
          <w:color w:val="000000"/>
          <w:sz w:val="22"/>
          <w:szCs w:val="22"/>
          <w:lang w:val="sr-Latn-ME"/>
        </w:rPr>
        <w:t xml:space="preserve">dio </w:t>
      </w:r>
      <w:r w:rsidRPr="004500D8">
        <w:rPr>
          <w:color w:val="000000"/>
          <w:sz w:val="22"/>
          <w:szCs w:val="22"/>
          <w:lang w:val="sr-Latn-ME"/>
        </w:rPr>
        <w:t>4.3).</w:t>
      </w:r>
    </w:p>
    <w:p w14:paraId="1B9456A3" w14:textId="77777777" w:rsidR="00596C07" w:rsidRPr="004500D8" w:rsidRDefault="00596C07" w:rsidP="00596C07">
      <w:pPr>
        <w:widowControl w:val="0"/>
        <w:autoSpaceDE w:val="0"/>
        <w:autoSpaceDN w:val="0"/>
        <w:adjustRightInd w:val="0"/>
        <w:ind w:left="567" w:hanging="567"/>
        <w:jc w:val="both"/>
        <w:rPr>
          <w:color w:val="000000"/>
          <w:sz w:val="22"/>
          <w:szCs w:val="22"/>
          <w:lang w:val="sr-Latn-ME"/>
        </w:rPr>
      </w:pPr>
    </w:p>
    <w:p w14:paraId="24CC5B9F" w14:textId="77777777" w:rsidR="00596C07" w:rsidRPr="004500D8" w:rsidRDefault="00596C07" w:rsidP="00596C07">
      <w:pPr>
        <w:jc w:val="both"/>
        <w:rPr>
          <w:color w:val="000000"/>
          <w:sz w:val="22"/>
          <w:szCs w:val="22"/>
          <w:lang w:val="sr-Latn-ME"/>
        </w:rPr>
      </w:pPr>
      <w:r w:rsidRPr="004500D8">
        <w:rPr>
          <w:color w:val="000000"/>
          <w:sz w:val="22"/>
          <w:szCs w:val="22"/>
          <w:lang w:val="sr-Latn-ME"/>
        </w:rPr>
        <w:t>U svim situacijama koje su opisane u nastavku, pažljivo treba razmotriti odnos rizika i koristi terapije.</w:t>
      </w:r>
    </w:p>
    <w:p w14:paraId="4EE3A346" w14:textId="77777777" w:rsidR="00596C07" w:rsidRPr="004500D8" w:rsidRDefault="00596C07" w:rsidP="00596C07">
      <w:pPr>
        <w:widowControl w:val="0"/>
        <w:autoSpaceDE w:val="0"/>
        <w:autoSpaceDN w:val="0"/>
        <w:adjustRightInd w:val="0"/>
        <w:jc w:val="both"/>
        <w:rPr>
          <w:color w:val="000000"/>
          <w:sz w:val="22"/>
          <w:szCs w:val="22"/>
          <w:lang w:val="sr-Latn-ME"/>
        </w:rPr>
      </w:pPr>
    </w:p>
    <w:p w14:paraId="0DFB9D55"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Ukoliko postoji sumnja na latentnu tuberkulozu, potrebno je konsultovati ljekara s iskustvom u liječenju tuberkuloze.</w:t>
      </w:r>
    </w:p>
    <w:p w14:paraId="08CF84BF" w14:textId="77777777" w:rsidR="00596C07" w:rsidRPr="004500D8" w:rsidRDefault="00596C07" w:rsidP="00596C07">
      <w:pPr>
        <w:widowControl w:val="0"/>
        <w:autoSpaceDE w:val="0"/>
        <w:autoSpaceDN w:val="0"/>
        <w:adjustRightInd w:val="0"/>
        <w:jc w:val="both"/>
        <w:rPr>
          <w:color w:val="000000"/>
          <w:sz w:val="22"/>
          <w:szCs w:val="22"/>
          <w:lang w:val="sr-Latn-ME"/>
        </w:rPr>
      </w:pPr>
    </w:p>
    <w:p w14:paraId="1C245613"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Ukoliko se dijagnostikuje neaktivna (latentna) tuberkuloza, prije početka liječenja </w:t>
      </w:r>
      <w:r w:rsidRPr="004500D8">
        <w:rPr>
          <w:sz w:val="22"/>
          <w:szCs w:val="22"/>
          <w:lang w:val="sr-Latn-ME"/>
        </w:rPr>
        <w:t xml:space="preserve">lijekom </w:t>
      </w:r>
      <w:r w:rsidRPr="004500D8">
        <w:rPr>
          <w:color w:val="000000"/>
          <w:sz w:val="22"/>
          <w:szCs w:val="22"/>
          <w:lang w:val="sr-Latn-ME"/>
        </w:rPr>
        <w:t xml:space="preserve">Humira treba započeti odgovarajuću antituberkuloznu profilaksu za latentnu tuberkulozu, i to u skladu sa lokalnim preporukama. </w:t>
      </w:r>
    </w:p>
    <w:p w14:paraId="3906E3B4" w14:textId="77777777" w:rsidR="00596C07" w:rsidRPr="004500D8" w:rsidRDefault="00596C07" w:rsidP="00596C07">
      <w:pPr>
        <w:widowControl w:val="0"/>
        <w:autoSpaceDE w:val="0"/>
        <w:autoSpaceDN w:val="0"/>
        <w:adjustRightInd w:val="0"/>
        <w:jc w:val="both"/>
        <w:rPr>
          <w:color w:val="000000"/>
          <w:sz w:val="22"/>
          <w:szCs w:val="22"/>
          <w:lang w:val="sr-Latn-ME"/>
        </w:rPr>
      </w:pPr>
    </w:p>
    <w:p w14:paraId="585A5132"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Kod pacijenata koji imaju nekoliko faktora rizika ili imaju značajne faktore rizika za tuberkulozu, uprkos negativnom testu na tuberkulozu, i kod pacijenata s latentnom ili aktivnom tuberkulozom u anamnezi kod kojih se ne može potvrditi adekvatan tok liječenja, takođe treba razmotriti antituberkuloznu terapiju prije početka liječenja </w:t>
      </w:r>
      <w:r w:rsidRPr="004500D8">
        <w:rPr>
          <w:sz w:val="22"/>
          <w:szCs w:val="22"/>
          <w:lang w:val="sr-Latn-ME"/>
        </w:rPr>
        <w:t xml:space="preserve">lijekom </w:t>
      </w:r>
      <w:r w:rsidRPr="004500D8">
        <w:rPr>
          <w:color w:val="000000"/>
          <w:sz w:val="22"/>
          <w:szCs w:val="22"/>
          <w:lang w:val="sr-Latn-ME"/>
        </w:rPr>
        <w:t>Humira.</w:t>
      </w:r>
    </w:p>
    <w:p w14:paraId="1BE9DF15" w14:textId="77777777" w:rsidR="00596C07" w:rsidRPr="004500D8" w:rsidRDefault="00596C07" w:rsidP="00596C07">
      <w:pPr>
        <w:widowControl w:val="0"/>
        <w:autoSpaceDE w:val="0"/>
        <w:autoSpaceDN w:val="0"/>
        <w:adjustRightInd w:val="0"/>
        <w:jc w:val="both"/>
        <w:rPr>
          <w:color w:val="000000"/>
          <w:sz w:val="22"/>
          <w:szCs w:val="22"/>
          <w:lang w:val="sr-Latn-ME"/>
        </w:rPr>
      </w:pPr>
    </w:p>
    <w:p w14:paraId="761FDC07"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Uprkos primjeni antituberkulozne profilakse, pojavili su se neki slučajevi reaktivirane tuberkuloze kod pacijenata liječenih </w:t>
      </w:r>
      <w:r w:rsidRPr="004500D8">
        <w:rPr>
          <w:sz w:val="22"/>
          <w:szCs w:val="22"/>
          <w:lang w:val="sr-Latn-ME"/>
        </w:rPr>
        <w:t xml:space="preserve">lijekom </w:t>
      </w:r>
      <w:r w:rsidRPr="004500D8">
        <w:rPr>
          <w:color w:val="000000"/>
          <w:sz w:val="22"/>
          <w:szCs w:val="22"/>
          <w:lang w:val="sr-Latn-ME"/>
        </w:rPr>
        <w:t xml:space="preserve">Humira. Kod pojedinih pacijenata koji su bili uspješno izliječeni od aktivne tuberkuloze, ponovo se razvila tuberkuloza za vrijeme liječenja </w:t>
      </w:r>
      <w:r w:rsidRPr="004500D8">
        <w:rPr>
          <w:sz w:val="22"/>
          <w:szCs w:val="22"/>
          <w:lang w:val="sr-Latn-ME"/>
        </w:rPr>
        <w:t xml:space="preserve">lijekom </w:t>
      </w:r>
      <w:r w:rsidRPr="004500D8">
        <w:rPr>
          <w:color w:val="000000"/>
          <w:sz w:val="22"/>
          <w:szCs w:val="22"/>
          <w:lang w:val="sr-Latn-ME"/>
        </w:rPr>
        <w:t>Humira.</w:t>
      </w:r>
    </w:p>
    <w:p w14:paraId="3F48E99C" w14:textId="77777777" w:rsidR="00596C07" w:rsidRPr="004500D8" w:rsidRDefault="00596C07" w:rsidP="00596C07">
      <w:pPr>
        <w:widowControl w:val="0"/>
        <w:autoSpaceDE w:val="0"/>
        <w:autoSpaceDN w:val="0"/>
        <w:adjustRightInd w:val="0"/>
        <w:jc w:val="both"/>
        <w:rPr>
          <w:color w:val="000000"/>
          <w:sz w:val="22"/>
          <w:szCs w:val="22"/>
          <w:lang w:val="sr-Latn-ME"/>
        </w:rPr>
      </w:pPr>
    </w:p>
    <w:p w14:paraId="6B36E341"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Pacijente treba upozoriti da se obrate ljekaru ako se za vrijeme liječenja </w:t>
      </w:r>
      <w:r w:rsidRPr="004500D8">
        <w:rPr>
          <w:sz w:val="22"/>
          <w:szCs w:val="22"/>
          <w:lang w:val="sr-Latn-ME"/>
        </w:rPr>
        <w:t xml:space="preserve">lijekom </w:t>
      </w:r>
      <w:r w:rsidRPr="004500D8">
        <w:rPr>
          <w:color w:val="000000"/>
          <w:sz w:val="22"/>
          <w:szCs w:val="22"/>
          <w:lang w:val="sr-Latn-ME"/>
        </w:rPr>
        <w:t>Humira ili poslije njega pojave znakovi/simptomi koji upućuju na tuberkulozu (npr. perzistentan kašalj, gubitak težine, blago povišena tjelesna temperatura, mlitavost).</w:t>
      </w:r>
    </w:p>
    <w:p w14:paraId="33B92FCC" w14:textId="77777777" w:rsidR="00596C07" w:rsidRPr="004500D8" w:rsidRDefault="00596C07" w:rsidP="00596C07">
      <w:pPr>
        <w:widowControl w:val="0"/>
        <w:autoSpaceDE w:val="0"/>
        <w:autoSpaceDN w:val="0"/>
        <w:adjustRightInd w:val="0"/>
        <w:ind w:left="567" w:hanging="567"/>
        <w:jc w:val="both"/>
        <w:rPr>
          <w:color w:val="000000"/>
          <w:sz w:val="22"/>
          <w:szCs w:val="22"/>
          <w:lang w:val="sr-Latn-ME"/>
        </w:rPr>
      </w:pPr>
    </w:p>
    <w:p w14:paraId="626B7043" w14:textId="77777777" w:rsidR="00596C07" w:rsidRPr="004500D8" w:rsidRDefault="00596C07" w:rsidP="00596C07">
      <w:pPr>
        <w:widowControl w:val="0"/>
        <w:autoSpaceDE w:val="0"/>
        <w:autoSpaceDN w:val="0"/>
        <w:adjustRightInd w:val="0"/>
        <w:jc w:val="both"/>
        <w:rPr>
          <w:i/>
          <w:iCs/>
          <w:color w:val="000000"/>
          <w:sz w:val="22"/>
          <w:szCs w:val="22"/>
          <w:lang w:val="sr-Latn-ME"/>
        </w:rPr>
      </w:pPr>
      <w:r w:rsidRPr="004500D8">
        <w:rPr>
          <w:i/>
          <w:iCs/>
          <w:color w:val="000000"/>
          <w:sz w:val="22"/>
          <w:szCs w:val="22"/>
          <w:lang w:val="sr-Latn-ME"/>
        </w:rPr>
        <w:t>Druge oportunističke infekcije</w:t>
      </w:r>
    </w:p>
    <w:p w14:paraId="4EBE9B4C" w14:textId="77777777" w:rsidR="00596C07" w:rsidRPr="004500D8" w:rsidRDefault="00596C07" w:rsidP="00596C07">
      <w:pPr>
        <w:widowControl w:val="0"/>
        <w:autoSpaceDE w:val="0"/>
        <w:autoSpaceDN w:val="0"/>
        <w:adjustRightInd w:val="0"/>
        <w:jc w:val="both"/>
        <w:rPr>
          <w:i/>
          <w:iCs/>
          <w:color w:val="000000"/>
          <w:sz w:val="22"/>
          <w:szCs w:val="22"/>
          <w:u w:val="single"/>
          <w:lang w:val="sr-Latn-ME"/>
        </w:rPr>
      </w:pPr>
    </w:p>
    <w:p w14:paraId="01588E1A"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Zabilježena je pojava drugih oportunističkih infekcija, uključujući invazivne gljivične infekcije, kod pacijenata koji primaju </w:t>
      </w:r>
      <w:r w:rsidRPr="004500D8">
        <w:rPr>
          <w:sz w:val="22"/>
          <w:szCs w:val="22"/>
          <w:lang w:val="sr-Latn-ME"/>
        </w:rPr>
        <w:t xml:space="preserve">lijek </w:t>
      </w:r>
      <w:r w:rsidRPr="004500D8">
        <w:rPr>
          <w:color w:val="000000"/>
          <w:sz w:val="22"/>
          <w:szCs w:val="22"/>
          <w:lang w:val="sr-Latn-ME"/>
        </w:rPr>
        <w:t>Humira. Ove infekcije nisu dosljedno prepoznate kod pacijenata koji primaju antagoniste TNF-a, što je rezultovalo kašnjenjem s primjerenim liječenjem, što je ponekad dovelo do fatalnog ishoda.</w:t>
      </w:r>
    </w:p>
    <w:p w14:paraId="3D50269B" w14:textId="77777777" w:rsidR="00596C07" w:rsidRPr="004500D8" w:rsidRDefault="00596C07" w:rsidP="00596C07">
      <w:pPr>
        <w:widowControl w:val="0"/>
        <w:autoSpaceDE w:val="0"/>
        <w:autoSpaceDN w:val="0"/>
        <w:adjustRightInd w:val="0"/>
        <w:jc w:val="both"/>
        <w:rPr>
          <w:color w:val="000000"/>
          <w:sz w:val="22"/>
          <w:szCs w:val="22"/>
          <w:lang w:val="sr-Latn-ME"/>
        </w:rPr>
      </w:pPr>
    </w:p>
    <w:p w14:paraId="46E5D3C3"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Ukoliko se kod pacijenata pojave znakovi i simptomi kao što su visoka temperatura, opšta slabost, gubitak na težini, znojenje, kašalj, dispneja i/ili plućni infiltrati ili druge ozbiljne sistemske bolesti praćene istovremenim šokom, treba posumnjati na invazivnu gljivičnu infekciju, te odmah obustaviti </w:t>
      </w:r>
      <w:r w:rsidRPr="004500D8">
        <w:rPr>
          <w:color w:val="000000"/>
          <w:sz w:val="22"/>
          <w:szCs w:val="22"/>
          <w:lang w:val="sr-Latn-ME"/>
        </w:rPr>
        <w:lastRenderedPageBreak/>
        <w:t xml:space="preserve">primjenu </w:t>
      </w:r>
      <w:r w:rsidRPr="004500D8">
        <w:rPr>
          <w:sz w:val="22"/>
          <w:szCs w:val="22"/>
          <w:lang w:val="sr-Latn-ME"/>
        </w:rPr>
        <w:t xml:space="preserve">lijeka </w:t>
      </w:r>
      <w:r w:rsidRPr="004500D8">
        <w:rPr>
          <w:color w:val="000000"/>
          <w:sz w:val="22"/>
          <w:szCs w:val="22"/>
          <w:lang w:val="sr-Latn-ME"/>
        </w:rPr>
        <w:t>Humira. Kod ovih pacijenata dijagnozu i primjenu empirijske antifungalne terapije potrebno je uspostaviti uz savjetovanje sa ljekarom koji ima iskustva u liječenju pacijenata s invazivnim gljivičnim infekcijama.</w:t>
      </w:r>
      <w:r w:rsidRPr="004500D8" w:rsidDel="00F70E8C">
        <w:rPr>
          <w:color w:val="000000"/>
          <w:sz w:val="22"/>
          <w:szCs w:val="22"/>
          <w:lang w:val="sr-Latn-ME"/>
        </w:rPr>
        <w:t xml:space="preserve"> </w:t>
      </w:r>
    </w:p>
    <w:p w14:paraId="79F9C1C5" w14:textId="77777777" w:rsidR="00596C07" w:rsidRPr="004500D8" w:rsidRDefault="00596C07" w:rsidP="00596C07">
      <w:pPr>
        <w:widowControl w:val="0"/>
        <w:autoSpaceDE w:val="0"/>
        <w:autoSpaceDN w:val="0"/>
        <w:adjustRightInd w:val="0"/>
        <w:jc w:val="both"/>
        <w:rPr>
          <w:color w:val="000000"/>
          <w:sz w:val="22"/>
          <w:szCs w:val="22"/>
          <w:lang w:val="sr-Latn-ME"/>
        </w:rPr>
      </w:pPr>
    </w:p>
    <w:p w14:paraId="7D8B8BEA" w14:textId="77777777" w:rsidR="00596C07" w:rsidRPr="004500D8" w:rsidRDefault="00596C07" w:rsidP="00596C07">
      <w:pPr>
        <w:widowControl w:val="0"/>
        <w:autoSpaceDE w:val="0"/>
        <w:autoSpaceDN w:val="0"/>
        <w:adjustRightInd w:val="0"/>
        <w:jc w:val="both"/>
        <w:rPr>
          <w:color w:val="000000"/>
          <w:sz w:val="22"/>
          <w:szCs w:val="22"/>
          <w:u w:val="single"/>
          <w:lang w:val="sr-Latn-ME"/>
        </w:rPr>
      </w:pPr>
      <w:r w:rsidRPr="004500D8">
        <w:rPr>
          <w:color w:val="000000"/>
          <w:sz w:val="22"/>
          <w:szCs w:val="22"/>
          <w:u w:val="single"/>
          <w:lang w:val="sr-Latn-ME"/>
        </w:rPr>
        <w:t>Reaktivacija hepatitisa B</w:t>
      </w:r>
    </w:p>
    <w:p w14:paraId="6D8378D4"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67BF61B6" w14:textId="77777777" w:rsidR="00596C07" w:rsidRPr="004500D8" w:rsidRDefault="00596C07" w:rsidP="00596C07">
      <w:pPr>
        <w:widowControl w:val="0"/>
        <w:autoSpaceDE w:val="0"/>
        <w:autoSpaceDN w:val="0"/>
        <w:adjustRightInd w:val="0"/>
        <w:jc w:val="both"/>
        <w:rPr>
          <w:color w:val="000000"/>
          <w:sz w:val="22"/>
          <w:szCs w:val="22"/>
          <w:lang w:val="sr-Latn-ME" w:eastAsia="hr-HR"/>
        </w:rPr>
      </w:pPr>
      <w:r w:rsidRPr="004500D8">
        <w:rPr>
          <w:color w:val="000000"/>
          <w:sz w:val="22"/>
          <w:szCs w:val="22"/>
          <w:lang w:val="sr-Latn-ME"/>
        </w:rPr>
        <w:t xml:space="preserve">Kod pacijenata koji su primali antagoniste TNF-a, uključujući i </w:t>
      </w:r>
      <w:r w:rsidRPr="004500D8">
        <w:rPr>
          <w:sz w:val="22"/>
          <w:szCs w:val="22"/>
          <w:lang w:val="sr-Latn-ME"/>
        </w:rPr>
        <w:t xml:space="preserve">lijek </w:t>
      </w:r>
      <w:r w:rsidRPr="004500D8">
        <w:rPr>
          <w:color w:val="000000"/>
          <w:sz w:val="22"/>
          <w:szCs w:val="22"/>
          <w:lang w:val="sr-Latn-ME"/>
        </w:rPr>
        <w:t xml:space="preserve">Humira, došlo je do pojave reaktivacije hepatitisa B ukoliko su bili hronični nosioci virusa (tj. pozitivni na površinski antigen), a bilo je i fatalnih slučajeva. Pacijente je potrebno prije početka terapije </w:t>
      </w:r>
      <w:r w:rsidRPr="004500D8">
        <w:rPr>
          <w:sz w:val="22"/>
          <w:szCs w:val="22"/>
          <w:lang w:val="sr-Latn-ME"/>
        </w:rPr>
        <w:t xml:space="preserve">lijekom </w:t>
      </w:r>
      <w:r w:rsidRPr="004500D8">
        <w:rPr>
          <w:color w:val="000000"/>
          <w:sz w:val="22"/>
          <w:szCs w:val="22"/>
          <w:lang w:val="sr-Latn-ME"/>
        </w:rPr>
        <w:t xml:space="preserve">Humira testirati na HBV infekciju. </w:t>
      </w:r>
      <w:r w:rsidRPr="004500D8">
        <w:rPr>
          <w:color w:val="000000"/>
          <w:sz w:val="22"/>
          <w:szCs w:val="22"/>
          <w:lang w:val="sr-Latn-ME" w:eastAsia="hr-HR"/>
        </w:rPr>
        <w:t>Pacijentima koji su pozitivni na infekciju hepatitisa B, preporučuje se da potraže savjet ljekara s iskustvom u liječenju hepatitisa B.</w:t>
      </w:r>
    </w:p>
    <w:p w14:paraId="34147755"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Nosioci virusa HBV kod kojih je nužna primijena </w:t>
      </w:r>
      <w:r w:rsidRPr="004500D8">
        <w:rPr>
          <w:sz w:val="22"/>
          <w:szCs w:val="22"/>
          <w:lang w:val="sr-Latn-ME"/>
        </w:rPr>
        <w:t xml:space="preserve">lijeka </w:t>
      </w:r>
      <w:r w:rsidRPr="004500D8">
        <w:rPr>
          <w:color w:val="000000"/>
          <w:sz w:val="22"/>
          <w:szCs w:val="22"/>
          <w:lang w:val="sr-Latn-ME"/>
        </w:rPr>
        <w:t xml:space="preserve">Humira, moraju biti pažljivo praćeni radi znakova i simptoma aktivne HBV infekcije tokom cijelog trajanja terapije te nekoliko mjeseci nakon njenog prekida. Ne postoje prikladni podaci za pacijente, koji su nosioci HBV-a, o kombinovanom liječenju antivirusnom terapijom i antagonistima TNF-a u svrhu prevencije reaktivacije HBV-a. Kod pacijenata kod kojih se javi reaktivacija HBV infekcije potrebno je prekinuti terapiju </w:t>
      </w:r>
      <w:r w:rsidRPr="004500D8">
        <w:rPr>
          <w:sz w:val="22"/>
          <w:szCs w:val="22"/>
          <w:lang w:val="sr-Latn-ME"/>
        </w:rPr>
        <w:t xml:space="preserve">lijekom </w:t>
      </w:r>
      <w:r w:rsidRPr="004500D8">
        <w:rPr>
          <w:color w:val="000000"/>
          <w:sz w:val="22"/>
          <w:szCs w:val="22"/>
          <w:lang w:val="sr-Latn-ME"/>
        </w:rPr>
        <w:t>Humira i započeti efikasnu antivirusnu terapiju uz odgovarajuće prateće liječenje.</w:t>
      </w:r>
    </w:p>
    <w:p w14:paraId="1032C728"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070F03C1" w14:textId="77777777" w:rsidR="00596C07" w:rsidRPr="004500D8" w:rsidRDefault="00596C07" w:rsidP="00596C07">
      <w:pPr>
        <w:widowControl w:val="0"/>
        <w:autoSpaceDE w:val="0"/>
        <w:autoSpaceDN w:val="0"/>
        <w:adjustRightInd w:val="0"/>
        <w:jc w:val="both"/>
        <w:rPr>
          <w:color w:val="000000"/>
          <w:sz w:val="22"/>
          <w:szCs w:val="22"/>
          <w:u w:val="single"/>
          <w:lang w:val="sr-Latn-ME"/>
        </w:rPr>
      </w:pPr>
      <w:r w:rsidRPr="004500D8">
        <w:rPr>
          <w:color w:val="000000"/>
          <w:sz w:val="22"/>
          <w:szCs w:val="22"/>
          <w:u w:val="single"/>
          <w:lang w:val="sr-Latn-ME"/>
        </w:rPr>
        <w:t>Neurološki događaji</w:t>
      </w:r>
    </w:p>
    <w:p w14:paraId="660FBBC2"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04A2E79C" w14:textId="04E46E69"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U rijetkim se slučajevima za vrijeme liječenja antagonistima TNF-a, uključujući </w:t>
      </w:r>
      <w:r w:rsidRPr="004500D8">
        <w:rPr>
          <w:sz w:val="22"/>
          <w:szCs w:val="22"/>
          <w:lang w:val="sr-Latn-ME"/>
        </w:rPr>
        <w:t xml:space="preserve">lijek </w:t>
      </w:r>
      <w:r w:rsidRPr="004500D8">
        <w:rPr>
          <w:color w:val="000000"/>
          <w:sz w:val="22"/>
          <w:szCs w:val="22"/>
          <w:lang w:val="sr-Latn-ME"/>
        </w:rPr>
        <w:t>Humira, mogu pojaviti ili pogoršati klinički simptomi i/ili radiološki nalazi demijelinizirajuće</w:t>
      </w:r>
      <w:r w:rsidRPr="004500D8">
        <w:rPr>
          <w:color w:val="FF0000"/>
          <w:sz w:val="22"/>
          <w:szCs w:val="22"/>
          <w:lang w:val="sr-Latn-ME"/>
        </w:rPr>
        <w:t xml:space="preserve"> </w:t>
      </w:r>
      <w:r w:rsidRPr="004500D8">
        <w:rPr>
          <w:color w:val="000000"/>
          <w:sz w:val="22"/>
          <w:szCs w:val="22"/>
          <w:lang w:val="sr-Latn-ME"/>
        </w:rPr>
        <w:t>bolesti centralnog nervnog sistema, uključujući multiplu sklerozu i optički neuritis, i periferne demijelinizirajuće bolesti, uključujući Guillan-</w:t>
      </w:r>
      <w:r w:rsidRPr="004500D8">
        <w:rPr>
          <w:color w:val="000000"/>
          <w:sz w:val="22"/>
          <w:szCs w:val="22"/>
          <w:lang w:val="sr-Latn-ME" w:eastAsia="hr-HR"/>
        </w:rPr>
        <w:t>Barré-ov sindrom</w:t>
      </w:r>
      <w:r w:rsidRPr="004500D8">
        <w:rPr>
          <w:color w:val="000000"/>
          <w:sz w:val="22"/>
          <w:szCs w:val="22"/>
          <w:lang w:val="sr-Latn-ME"/>
        </w:rPr>
        <w:t>. Ljekari treba da</w:t>
      </w:r>
      <w:r w:rsidR="00B679B8" w:rsidRPr="004500D8">
        <w:rPr>
          <w:color w:val="000000"/>
          <w:sz w:val="22"/>
          <w:szCs w:val="22"/>
          <w:lang w:val="sr-Latn-ME"/>
        </w:rPr>
        <w:t xml:space="preserve"> </w:t>
      </w:r>
      <w:r w:rsidRPr="004500D8">
        <w:rPr>
          <w:color w:val="000000"/>
          <w:sz w:val="22"/>
          <w:szCs w:val="22"/>
          <w:lang w:val="sr-Latn-ME"/>
        </w:rPr>
        <w:t xml:space="preserve">oprezno razmotre liječenje </w:t>
      </w:r>
      <w:r w:rsidRPr="004500D8">
        <w:rPr>
          <w:sz w:val="22"/>
          <w:szCs w:val="22"/>
          <w:lang w:val="sr-Latn-ME"/>
        </w:rPr>
        <w:t xml:space="preserve">lijekom </w:t>
      </w:r>
      <w:r w:rsidRPr="004500D8">
        <w:rPr>
          <w:color w:val="000000"/>
          <w:sz w:val="22"/>
          <w:szCs w:val="22"/>
          <w:lang w:val="sr-Latn-ME"/>
        </w:rPr>
        <w:t>Humira kod pacijenata s postojećim ili nedavno dijagnostikovanim demijelinizirajućim poremećajima centralnog ili perifernog nervnog sistema; ako se razvije bilo koji od tih poremećaja, treba razmotriti prekid liječenja lijekom Humira. Poznato je da postoji povezanost između intermedijalnog uveitisa i demijelinizirajućih poremećaja centralnog nervnog sistema. Kod pacijenata sa neinfektivnim intermedijalnim uveitisom treba sprovesti neurološku procjenu prije početka liječenja lijekom Humira i redovno tokom liječenja, kako bi se utvrdili već postojeći ili novorazvijeni demijelinizirajući poremećaji centralnog nervnog sistema.</w:t>
      </w:r>
    </w:p>
    <w:p w14:paraId="789BEEE3" w14:textId="77777777" w:rsidR="00596C07" w:rsidRPr="004500D8" w:rsidRDefault="00596C07" w:rsidP="00596C07">
      <w:pPr>
        <w:widowControl w:val="0"/>
        <w:autoSpaceDE w:val="0"/>
        <w:autoSpaceDN w:val="0"/>
        <w:adjustRightInd w:val="0"/>
        <w:jc w:val="both"/>
        <w:rPr>
          <w:color w:val="000000"/>
          <w:sz w:val="22"/>
          <w:szCs w:val="22"/>
          <w:lang w:val="sr-Latn-ME"/>
        </w:rPr>
      </w:pPr>
    </w:p>
    <w:p w14:paraId="1128628B" w14:textId="77777777" w:rsidR="00596C07" w:rsidRPr="004500D8" w:rsidRDefault="00596C07" w:rsidP="00596C07">
      <w:pPr>
        <w:widowControl w:val="0"/>
        <w:autoSpaceDE w:val="0"/>
        <w:autoSpaceDN w:val="0"/>
        <w:adjustRightInd w:val="0"/>
        <w:jc w:val="both"/>
        <w:rPr>
          <w:color w:val="000000"/>
          <w:sz w:val="22"/>
          <w:szCs w:val="22"/>
          <w:u w:val="single"/>
          <w:lang w:val="sr-Latn-ME"/>
        </w:rPr>
      </w:pPr>
      <w:r w:rsidRPr="004500D8">
        <w:rPr>
          <w:color w:val="000000"/>
          <w:sz w:val="22"/>
          <w:szCs w:val="22"/>
          <w:u w:val="single"/>
          <w:lang w:val="sr-Latn-ME"/>
        </w:rPr>
        <w:t>Alergijske reakcije</w:t>
      </w:r>
    </w:p>
    <w:p w14:paraId="55592D83"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5933CB36"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U kliničkim ispitivanjima su se rijetko javljale ozbiljne alergijske reakcije prilikom primjene </w:t>
      </w:r>
      <w:r w:rsidRPr="004500D8">
        <w:rPr>
          <w:sz w:val="22"/>
          <w:szCs w:val="22"/>
          <w:lang w:val="sr-Latn-ME"/>
        </w:rPr>
        <w:t xml:space="preserve">lijeka </w:t>
      </w:r>
      <w:r w:rsidRPr="004500D8">
        <w:rPr>
          <w:color w:val="000000"/>
          <w:sz w:val="22"/>
          <w:szCs w:val="22"/>
          <w:lang w:val="sr-Latn-ME"/>
        </w:rPr>
        <w:t xml:space="preserve">Humira. Povremeno su u kliničkim ispitivanjima zabilježene alergijske reakcije koje ne spadaju u ozbiljne alergijske reakcije, a povezane su sa </w:t>
      </w:r>
      <w:r w:rsidRPr="004500D8">
        <w:rPr>
          <w:sz w:val="22"/>
          <w:szCs w:val="22"/>
          <w:lang w:val="sr-Latn-ME"/>
        </w:rPr>
        <w:t xml:space="preserve">lijekom </w:t>
      </w:r>
      <w:r w:rsidRPr="004500D8">
        <w:rPr>
          <w:color w:val="000000"/>
          <w:sz w:val="22"/>
          <w:szCs w:val="22"/>
          <w:lang w:val="sr-Latn-ME"/>
        </w:rPr>
        <w:t xml:space="preserve">Humira. Nakon primjene </w:t>
      </w:r>
      <w:r w:rsidRPr="004500D8">
        <w:rPr>
          <w:sz w:val="22"/>
          <w:szCs w:val="22"/>
          <w:lang w:val="sr-Latn-ME"/>
        </w:rPr>
        <w:t xml:space="preserve">lijeka </w:t>
      </w:r>
      <w:r w:rsidRPr="004500D8">
        <w:rPr>
          <w:color w:val="000000"/>
          <w:sz w:val="22"/>
          <w:szCs w:val="22"/>
          <w:lang w:val="sr-Latn-ME"/>
        </w:rPr>
        <w:t xml:space="preserve">Humira, bilo je prijava ozbiljnih alergijskih reakcija, uključujući anafilaksu. Ako se pojavi anafilaktička ili druga ozbiljna alergijska reakcija, primjenu </w:t>
      </w:r>
      <w:r w:rsidRPr="004500D8">
        <w:rPr>
          <w:sz w:val="22"/>
          <w:szCs w:val="22"/>
          <w:lang w:val="sr-Latn-ME"/>
        </w:rPr>
        <w:t xml:space="preserve">lijeka </w:t>
      </w:r>
      <w:r w:rsidRPr="004500D8">
        <w:rPr>
          <w:color w:val="000000"/>
          <w:sz w:val="22"/>
          <w:szCs w:val="22"/>
          <w:lang w:val="sr-Latn-ME"/>
        </w:rPr>
        <w:t>Humira treba odmah obustaviti i započeti odgovarajuću terapiju.</w:t>
      </w:r>
    </w:p>
    <w:p w14:paraId="3307C18A" w14:textId="77777777" w:rsidR="00596C07" w:rsidRPr="004500D8" w:rsidRDefault="00596C07" w:rsidP="00596C07">
      <w:pPr>
        <w:widowControl w:val="0"/>
        <w:autoSpaceDE w:val="0"/>
        <w:autoSpaceDN w:val="0"/>
        <w:adjustRightInd w:val="0"/>
        <w:jc w:val="both"/>
        <w:rPr>
          <w:color w:val="000000"/>
          <w:sz w:val="22"/>
          <w:szCs w:val="22"/>
          <w:lang w:val="sr-Latn-ME"/>
        </w:rPr>
      </w:pPr>
    </w:p>
    <w:p w14:paraId="4B98ACB0" w14:textId="77777777" w:rsidR="00596C07" w:rsidRPr="004500D8" w:rsidRDefault="00596C07" w:rsidP="00596C07">
      <w:pPr>
        <w:widowControl w:val="0"/>
        <w:autoSpaceDE w:val="0"/>
        <w:autoSpaceDN w:val="0"/>
        <w:adjustRightInd w:val="0"/>
        <w:jc w:val="both"/>
        <w:rPr>
          <w:color w:val="000000"/>
          <w:sz w:val="22"/>
          <w:szCs w:val="22"/>
          <w:u w:val="single"/>
          <w:lang w:val="sr-Latn-ME"/>
        </w:rPr>
      </w:pPr>
      <w:r w:rsidRPr="004500D8">
        <w:rPr>
          <w:color w:val="000000"/>
          <w:sz w:val="22"/>
          <w:szCs w:val="22"/>
          <w:u w:val="single"/>
          <w:lang w:val="sr-Latn-ME"/>
        </w:rPr>
        <w:t>Imunosupresija</w:t>
      </w:r>
    </w:p>
    <w:p w14:paraId="3B25C8CF"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3395841E"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U ispitivanju 64 pacijenta sa reumatoidnim artritisom liječenih </w:t>
      </w:r>
      <w:r w:rsidRPr="004500D8">
        <w:rPr>
          <w:sz w:val="22"/>
          <w:szCs w:val="22"/>
          <w:lang w:val="sr-Latn-ME"/>
        </w:rPr>
        <w:t xml:space="preserve">lijekom </w:t>
      </w:r>
      <w:r w:rsidRPr="004500D8">
        <w:rPr>
          <w:color w:val="000000"/>
          <w:sz w:val="22"/>
          <w:szCs w:val="22"/>
          <w:lang w:val="sr-Latn-ME"/>
        </w:rPr>
        <w:t>Humira nije zabilježeno smanjenje reakcija preosjetljivosti kasnog tipa, sniženja vrijednosti imunoglobulina, odnosno promjene broja efektorskih T i B ćelija, NK ćelija, monocita/makrofaga i neutrofila.</w:t>
      </w:r>
    </w:p>
    <w:p w14:paraId="09FA415A" w14:textId="77777777" w:rsidR="00596C07" w:rsidRPr="004500D8" w:rsidRDefault="00596C07" w:rsidP="00596C07">
      <w:pPr>
        <w:widowControl w:val="0"/>
        <w:autoSpaceDE w:val="0"/>
        <w:autoSpaceDN w:val="0"/>
        <w:adjustRightInd w:val="0"/>
        <w:jc w:val="both"/>
        <w:rPr>
          <w:color w:val="000000"/>
          <w:sz w:val="22"/>
          <w:szCs w:val="22"/>
          <w:lang w:val="sr-Latn-ME"/>
        </w:rPr>
      </w:pPr>
    </w:p>
    <w:p w14:paraId="60A9D3FD" w14:textId="77777777" w:rsidR="00596C07" w:rsidRPr="004500D8" w:rsidRDefault="00596C07" w:rsidP="00596C07">
      <w:pPr>
        <w:widowControl w:val="0"/>
        <w:autoSpaceDE w:val="0"/>
        <w:autoSpaceDN w:val="0"/>
        <w:adjustRightInd w:val="0"/>
        <w:jc w:val="both"/>
        <w:rPr>
          <w:color w:val="000000"/>
          <w:sz w:val="22"/>
          <w:szCs w:val="22"/>
          <w:u w:val="single"/>
          <w:lang w:val="sr-Latn-ME"/>
        </w:rPr>
      </w:pPr>
      <w:r w:rsidRPr="004500D8">
        <w:rPr>
          <w:color w:val="000000"/>
          <w:sz w:val="22"/>
          <w:szCs w:val="22"/>
          <w:u w:val="single"/>
          <w:lang w:val="sr-Latn-ME"/>
        </w:rPr>
        <w:t>Maligni i limfoproliferativni poremećaji</w:t>
      </w:r>
    </w:p>
    <w:p w14:paraId="6E3676E3"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3A7BC479"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U kontrolisanim djelovima kliničkih ispitivanja antagonista TNF-a, zabilježeno je više malignih slučajeva, uključujući i limfome, kod pacijenata liječenih antagonistima TNF-a nego u kontrolnoj grupi pacijenata. Međutim, učestalost je bila rijetka. Nakon stavljanja lijeka u promet, zabilježeni su slučajevi leukemije kod pacijenata liječenih antagonistima TNF-a. Procjenu rizika otežava i inače povećani rizik razvoja limfoma i leukemije kod pacijenata sa reumatoidnim artritisom sa dugotrajnom, izrazito aktivnom upalnom bolešću. Prema postojećim saznanjima, mogući rizik razvoja limfoma, leukemija i ostalih malignih bolesti kod pacijenata liječenih antagonistima TNF-a ne može se isključiti.</w:t>
      </w:r>
    </w:p>
    <w:p w14:paraId="392D1FE9" w14:textId="77777777" w:rsidR="00596C07" w:rsidRPr="004500D8" w:rsidRDefault="00596C07" w:rsidP="00596C07">
      <w:pPr>
        <w:widowControl w:val="0"/>
        <w:autoSpaceDE w:val="0"/>
        <w:autoSpaceDN w:val="0"/>
        <w:adjustRightInd w:val="0"/>
        <w:ind w:left="567" w:hanging="567"/>
        <w:jc w:val="both"/>
        <w:rPr>
          <w:color w:val="000000"/>
          <w:sz w:val="22"/>
          <w:szCs w:val="22"/>
          <w:lang w:val="sr-Latn-ME"/>
        </w:rPr>
      </w:pPr>
    </w:p>
    <w:p w14:paraId="132E1234"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lastRenderedPageBreak/>
        <w:t>Nakon stavljanja lijeka u promet, zabilježene su maligne bolesti, neke i sa fatalnim ishodom, kod djece, adolescenata i mlađih odraslih ljudi (do 22 godine starosti) liječenih antagonistima TNF-a (početak terapije ≤ 18. godina), uključujući i adalimumab. Otprilike polovina slučajeva su bili limfomi. Ostali slučajevi predstavljaju mnoštvo različitih malignih bolesti, uključujući i rijetke maligne bolesti obično povezane sa imunosupresijom. Rizik pojave malignih bolesti kod djece i adolescenata liječenih TNF-antagonistima ne može se isključiti.</w:t>
      </w:r>
    </w:p>
    <w:p w14:paraId="697CFF39"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 </w:t>
      </w:r>
    </w:p>
    <w:p w14:paraId="7B581F98" w14:textId="2278AF98"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Kod pacijenata liječenih adalimumabom tokom postmarketinškog praćenja prijavljeni su rijetki slučajevi hepatospleničnog T-ćelijskog limfoma. Ovaj rijedak oblik T-ćelijskog limfoma ima izrazito agresivan tok i najčešće je fatalan. Neki od tih hepatospleničnih T-ćelijskih limfoma povezanih s upotrebom </w:t>
      </w:r>
      <w:r w:rsidRPr="004500D8">
        <w:rPr>
          <w:sz w:val="22"/>
          <w:szCs w:val="22"/>
          <w:lang w:val="sr-Latn-ME"/>
        </w:rPr>
        <w:t xml:space="preserve">lijeka </w:t>
      </w:r>
      <w:r w:rsidRPr="004500D8">
        <w:rPr>
          <w:color w:val="000000"/>
          <w:sz w:val="22"/>
          <w:szCs w:val="22"/>
          <w:lang w:val="sr-Latn-ME"/>
        </w:rPr>
        <w:t xml:space="preserve">Humira javili su se kod mladih odraslih pacijenata koji su istovremeno koristili i azatioprin ili 6-merkaptopurin u terapiji upalne bolesti crijeva. Potrebno je pažljivo razmotriti mogući rizik kombinacije azatioprina ili 6-merkaptopurina s </w:t>
      </w:r>
      <w:r w:rsidRPr="004500D8">
        <w:rPr>
          <w:sz w:val="22"/>
          <w:szCs w:val="22"/>
          <w:lang w:val="sr-Latn-ME"/>
        </w:rPr>
        <w:t xml:space="preserve">lijekom </w:t>
      </w:r>
      <w:r w:rsidRPr="004500D8">
        <w:rPr>
          <w:color w:val="000000"/>
          <w:sz w:val="22"/>
          <w:szCs w:val="22"/>
          <w:lang w:val="sr-Latn-ME"/>
        </w:rPr>
        <w:t xml:space="preserve">Humira. Rizik pojave hepatospleničnog T-ćelijskog limfoma kod pacijenata koji koriste </w:t>
      </w:r>
      <w:r w:rsidRPr="004500D8">
        <w:rPr>
          <w:sz w:val="22"/>
          <w:szCs w:val="22"/>
          <w:lang w:val="sr-Latn-ME"/>
        </w:rPr>
        <w:t xml:space="preserve">lijek </w:t>
      </w:r>
      <w:r w:rsidRPr="004500D8">
        <w:rPr>
          <w:color w:val="000000"/>
          <w:sz w:val="22"/>
          <w:szCs w:val="22"/>
          <w:lang w:val="sr-Latn-ME"/>
        </w:rPr>
        <w:t xml:space="preserve">Humira ne može se isključiti (vidjeti </w:t>
      </w:r>
      <w:r w:rsidR="005844E9" w:rsidRPr="004500D8">
        <w:rPr>
          <w:color w:val="000000"/>
          <w:sz w:val="22"/>
          <w:szCs w:val="22"/>
          <w:lang w:val="sr-Latn-ME"/>
        </w:rPr>
        <w:t xml:space="preserve">dio </w:t>
      </w:r>
      <w:r w:rsidRPr="004500D8">
        <w:rPr>
          <w:color w:val="000000"/>
          <w:sz w:val="22"/>
          <w:szCs w:val="22"/>
          <w:lang w:val="sr-Latn-ME"/>
        </w:rPr>
        <w:t>4.8).</w:t>
      </w:r>
    </w:p>
    <w:p w14:paraId="7EC10E04" w14:textId="77777777" w:rsidR="00596C07" w:rsidRPr="004500D8" w:rsidRDefault="00596C07" w:rsidP="00596C07">
      <w:pPr>
        <w:widowControl w:val="0"/>
        <w:autoSpaceDE w:val="0"/>
        <w:autoSpaceDN w:val="0"/>
        <w:adjustRightInd w:val="0"/>
        <w:jc w:val="both"/>
        <w:rPr>
          <w:color w:val="000000"/>
          <w:sz w:val="22"/>
          <w:szCs w:val="22"/>
          <w:lang w:val="sr-Latn-ME"/>
        </w:rPr>
      </w:pPr>
    </w:p>
    <w:p w14:paraId="4F439CC6" w14:textId="0AF517F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Nisu sprovedena ispitivanja kod pacijenata sa malignim bolestima u anamnezi ili kod pacijenata koji su nastavili liječenje </w:t>
      </w:r>
      <w:r w:rsidRPr="004500D8">
        <w:rPr>
          <w:sz w:val="22"/>
          <w:szCs w:val="22"/>
          <w:lang w:val="sr-Latn-ME"/>
        </w:rPr>
        <w:t xml:space="preserve">lijekom </w:t>
      </w:r>
      <w:r w:rsidRPr="004500D8">
        <w:rPr>
          <w:color w:val="000000"/>
          <w:sz w:val="22"/>
          <w:szCs w:val="22"/>
          <w:lang w:val="sr-Latn-ME"/>
        </w:rPr>
        <w:t xml:space="preserve">Humira nakon obolijevanja od maligne bolesti. Zbog toga je potreban dodatan oprez prilikom razmatranja liječenja </w:t>
      </w:r>
      <w:r w:rsidRPr="004500D8">
        <w:rPr>
          <w:sz w:val="22"/>
          <w:szCs w:val="22"/>
          <w:lang w:val="sr-Latn-ME"/>
        </w:rPr>
        <w:t xml:space="preserve">lijekom </w:t>
      </w:r>
      <w:r w:rsidRPr="004500D8">
        <w:rPr>
          <w:color w:val="000000"/>
          <w:sz w:val="22"/>
          <w:szCs w:val="22"/>
          <w:lang w:val="sr-Latn-ME"/>
        </w:rPr>
        <w:t xml:space="preserve">Humira kod takvih pacijenata (vidjeti </w:t>
      </w:r>
      <w:r w:rsidR="005844E9" w:rsidRPr="004500D8">
        <w:rPr>
          <w:color w:val="000000"/>
          <w:sz w:val="22"/>
          <w:szCs w:val="22"/>
          <w:lang w:val="sr-Latn-ME"/>
        </w:rPr>
        <w:t xml:space="preserve">dio </w:t>
      </w:r>
      <w:r w:rsidRPr="004500D8">
        <w:rPr>
          <w:color w:val="000000"/>
          <w:sz w:val="22"/>
          <w:szCs w:val="22"/>
          <w:lang w:val="sr-Latn-ME"/>
        </w:rPr>
        <w:t>4.8).</w:t>
      </w:r>
    </w:p>
    <w:p w14:paraId="6FE2325E" w14:textId="77777777" w:rsidR="00596C07" w:rsidRPr="004500D8" w:rsidRDefault="00596C07" w:rsidP="00596C07">
      <w:pPr>
        <w:widowControl w:val="0"/>
        <w:autoSpaceDE w:val="0"/>
        <w:autoSpaceDN w:val="0"/>
        <w:adjustRightInd w:val="0"/>
        <w:jc w:val="both"/>
        <w:rPr>
          <w:color w:val="000000"/>
          <w:sz w:val="22"/>
          <w:szCs w:val="22"/>
          <w:lang w:val="sr-Latn-ME"/>
        </w:rPr>
      </w:pPr>
    </w:p>
    <w:p w14:paraId="53B32334" w14:textId="10D562A8"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Sve pacijente, a posebno one koji u anamnezi imaju dugotrajn</w:t>
      </w:r>
      <w:r w:rsidR="005844E9" w:rsidRPr="004500D8">
        <w:rPr>
          <w:color w:val="000000"/>
          <w:sz w:val="22"/>
          <w:szCs w:val="22"/>
          <w:lang w:val="sr-Latn-ME"/>
        </w:rPr>
        <w:t xml:space="preserve">u primjenu </w:t>
      </w:r>
      <w:r w:rsidRPr="004500D8">
        <w:rPr>
          <w:color w:val="000000"/>
          <w:sz w:val="22"/>
          <w:szCs w:val="22"/>
          <w:lang w:val="sr-Latn-ME"/>
        </w:rPr>
        <w:t xml:space="preserve">imunosupresivne terapije ili pacijente s psorijazom sa PUVA liječenjem u anamnezi, potrebno je prije i za vrijeme liječenja </w:t>
      </w:r>
      <w:r w:rsidRPr="004500D8">
        <w:rPr>
          <w:sz w:val="22"/>
          <w:szCs w:val="22"/>
          <w:lang w:val="sr-Latn-ME"/>
        </w:rPr>
        <w:t xml:space="preserve">lijekom </w:t>
      </w:r>
      <w:r w:rsidRPr="004500D8">
        <w:rPr>
          <w:color w:val="000000"/>
          <w:sz w:val="22"/>
          <w:szCs w:val="22"/>
          <w:lang w:val="sr-Latn-ME"/>
        </w:rPr>
        <w:t xml:space="preserve">Humira pregledati u svrhu otkrivanja nemelanomskog karcinoma kože. Melanom i karcinom Merkelovih ćelija su bili prijavljeni kod pacijenata liječenih TNF- antagonistima, uključujući adalimumab (vidjeti </w:t>
      </w:r>
      <w:r w:rsidR="005844E9" w:rsidRPr="004500D8">
        <w:rPr>
          <w:color w:val="000000"/>
          <w:sz w:val="22"/>
          <w:szCs w:val="22"/>
          <w:lang w:val="sr-Latn-ME"/>
        </w:rPr>
        <w:t xml:space="preserve">dio </w:t>
      </w:r>
      <w:r w:rsidRPr="004500D8">
        <w:rPr>
          <w:color w:val="000000"/>
          <w:sz w:val="22"/>
          <w:szCs w:val="22"/>
          <w:lang w:val="sr-Latn-ME"/>
        </w:rPr>
        <w:t>4.8)</w:t>
      </w:r>
    </w:p>
    <w:p w14:paraId="1A5A60D4" w14:textId="77777777" w:rsidR="00596C07" w:rsidRPr="004500D8" w:rsidRDefault="00596C07" w:rsidP="00596C07">
      <w:pPr>
        <w:widowControl w:val="0"/>
        <w:autoSpaceDE w:val="0"/>
        <w:autoSpaceDN w:val="0"/>
        <w:adjustRightInd w:val="0"/>
        <w:jc w:val="both"/>
        <w:rPr>
          <w:color w:val="000000"/>
          <w:sz w:val="22"/>
          <w:szCs w:val="22"/>
          <w:lang w:val="sr-Latn-ME"/>
        </w:rPr>
      </w:pPr>
    </w:p>
    <w:p w14:paraId="18415DD0"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U kliničkom eksplorativnom istraživanju primjene drugog antagonista TNF-a, infliksimaba, kod pacijenata sa umjerenom do teškom hroničnom opstruktivnom bolešću pluća (HOPB), uočen je povećan broj malignih oboljenja, posebno na plućima ili glavi i vratu, kod pacijenata na infliksimabu nego u kontrolnoj grupi. Svi pacijenti bili su teški pušači. Zbog toga je potreban oprez kod primjene antagonista TNF-a kod pacijenata s HOPB-om, kao i kod pacijenata koji imaju povećan rizik za razvoj malignih bolesti zbog teškog pušenja.</w:t>
      </w:r>
    </w:p>
    <w:p w14:paraId="1EB8C244" w14:textId="77777777" w:rsidR="00596C07" w:rsidRPr="004500D8" w:rsidRDefault="00596C07" w:rsidP="00596C07">
      <w:pPr>
        <w:widowControl w:val="0"/>
        <w:autoSpaceDE w:val="0"/>
        <w:autoSpaceDN w:val="0"/>
        <w:adjustRightInd w:val="0"/>
        <w:jc w:val="both"/>
        <w:rPr>
          <w:color w:val="000000"/>
          <w:sz w:val="22"/>
          <w:szCs w:val="22"/>
          <w:lang w:val="sr-Latn-ME"/>
        </w:rPr>
      </w:pPr>
    </w:p>
    <w:p w14:paraId="31016C0B" w14:textId="77777777" w:rsidR="00596C07" w:rsidRPr="004500D8" w:rsidRDefault="00596C07" w:rsidP="00596C07">
      <w:pPr>
        <w:autoSpaceDE w:val="0"/>
        <w:autoSpaceDN w:val="0"/>
        <w:adjustRightInd w:val="0"/>
        <w:jc w:val="both"/>
        <w:rPr>
          <w:sz w:val="22"/>
          <w:szCs w:val="22"/>
          <w:lang w:val="sr-Latn-ME" w:eastAsia="hr-HR"/>
        </w:rPr>
      </w:pPr>
      <w:r w:rsidRPr="004500D8">
        <w:rPr>
          <w:iCs/>
          <w:sz w:val="22"/>
          <w:szCs w:val="22"/>
          <w:lang w:val="sr-Latn-ME"/>
        </w:rPr>
        <w:t xml:space="preserve">Prema trenutnim podacima nije poznato da li liječenje adalimumabom utiče na rizik pojave displazije ili karcinoma kolona. Svi pacijenti sa ulceroznim kolitisom kod kojih je povećan rizik od displazije ili karcinoma kolona (na primjer, pacijenti sa dugotrajnim ulceroznim kolitisom ili primarnim sklerozirajućim holangitisom), </w:t>
      </w:r>
      <w:r w:rsidRPr="004500D8">
        <w:rPr>
          <w:sz w:val="22"/>
          <w:szCs w:val="22"/>
          <w:lang w:val="sr-Latn-ME" w:eastAsia="hr-HR"/>
        </w:rPr>
        <w:t xml:space="preserve">ili </w:t>
      </w:r>
      <w:r w:rsidRPr="004500D8">
        <w:rPr>
          <w:iCs/>
          <w:sz w:val="22"/>
          <w:szCs w:val="22"/>
          <w:lang w:val="sr-Latn-ME"/>
        </w:rPr>
        <w:t>pacijenti</w:t>
      </w:r>
      <w:r w:rsidRPr="004500D8">
        <w:rPr>
          <w:sz w:val="22"/>
          <w:szCs w:val="22"/>
          <w:lang w:val="sr-Latn-ME" w:eastAsia="hr-HR"/>
        </w:rPr>
        <w:t xml:space="preserve"> koji su imali displaziju ili karcinom kolona moraju se kontrolisati zbog mogućeg razvoja displazije u redovnim intervalima prije početka liječenja i tokom čitavog trajanja bolesti. Ti pregledi moraju uključivati kolonoskopiju i biopsiju u skladu s lokalnim preporukama.</w:t>
      </w:r>
    </w:p>
    <w:p w14:paraId="1E9AA476" w14:textId="77777777" w:rsidR="00596C07" w:rsidRPr="004500D8" w:rsidRDefault="00596C07" w:rsidP="00596C07">
      <w:pPr>
        <w:widowControl w:val="0"/>
        <w:autoSpaceDE w:val="0"/>
        <w:autoSpaceDN w:val="0"/>
        <w:adjustRightInd w:val="0"/>
        <w:jc w:val="both"/>
        <w:rPr>
          <w:color w:val="000000"/>
          <w:sz w:val="22"/>
          <w:szCs w:val="22"/>
          <w:lang w:val="sr-Latn-ME"/>
        </w:rPr>
      </w:pPr>
    </w:p>
    <w:p w14:paraId="2DA3FAC4" w14:textId="77777777" w:rsidR="00596C07" w:rsidRPr="004500D8" w:rsidRDefault="00596C07" w:rsidP="00596C07">
      <w:pPr>
        <w:widowControl w:val="0"/>
        <w:autoSpaceDE w:val="0"/>
        <w:autoSpaceDN w:val="0"/>
        <w:adjustRightInd w:val="0"/>
        <w:jc w:val="both"/>
        <w:rPr>
          <w:color w:val="000000"/>
          <w:sz w:val="22"/>
          <w:szCs w:val="22"/>
          <w:u w:val="single"/>
          <w:lang w:val="sr-Latn-ME"/>
        </w:rPr>
      </w:pPr>
      <w:r w:rsidRPr="004500D8">
        <w:rPr>
          <w:color w:val="000000"/>
          <w:sz w:val="22"/>
          <w:szCs w:val="22"/>
          <w:u w:val="single"/>
          <w:lang w:val="sr-Latn-ME"/>
        </w:rPr>
        <w:t>Hematološke reakcije</w:t>
      </w:r>
    </w:p>
    <w:p w14:paraId="06D7F804"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26525785"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U rijetkim je slučajevima za vrijeme liječenja antagonistima TNF-a zabilježena pojava pancitopenije, uključujući i aplastičnu anemiju. Kod pacijenata liječenih </w:t>
      </w:r>
      <w:r w:rsidRPr="004500D8">
        <w:rPr>
          <w:sz w:val="22"/>
          <w:szCs w:val="22"/>
          <w:lang w:val="sr-Latn-ME"/>
        </w:rPr>
        <w:t xml:space="preserve">lijekom </w:t>
      </w:r>
      <w:r w:rsidRPr="004500D8">
        <w:rPr>
          <w:color w:val="000000"/>
          <w:sz w:val="22"/>
          <w:szCs w:val="22"/>
          <w:lang w:val="sr-Latn-ME"/>
        </w:rPr>
        <w:t xml:space="preserve">Humira pojavljuju se neželjena dejstva hematološkog sistema, uključujući medicinski značajne citopenije (npr. trombocitopenija, leukopenija). Sve pacijente treba upozoriti da odmah zatraže medicinsku pomoć ako se za vrijeme liječenja </w:t>
      </w:r>
      <w:r w:rsidRPr="004500D8">
        <w:rPr>
          <w:sz w:val="22"/>
          <w:szCs w:val="22"/>
          <w:lang w:val="sr-Latn-ME"/>
        </w:rPr>
        <w:t xml:space="preserve">lijekom </w:t>
      </w:r>
      <w:r w:rsidRPr="004500D8">
        <w:rPr>
          <w:color w:val="000000"/>
          <w:sz w:val="22"/>
          <w:szCs w:val="22"/>
          <w:lang w:val="sr-Latn-ME"/>
        </w:rPr>
        <w:t xml:space="preserve">Humira pojave znakovi i simptomi koji upućuju na krvne diskrazije (npr. stalno povišena tjelesna temperatura, modrice, krvarenje, bljedilo). Ako se dokažu značajne hematološke abnormalnosti, treba razmisliti o prekidu liječenja </w:t>
      </w:r>
      <w:r w:rsidRPr="004500D8">
        <w:rPr>
          <w:sz w:val="22"/>
          <w:szCs w:val="22"/>
          <w:lang w:val="sr-Latn-ME"/>
        </w:rPr>
        <w:t xml:space="preserve">lijekom </w:t>
      </w:r>
      <w:r w:rsidRPr="004500D8">
        <w:rPr>
          <w:color w:val="000000"/>
          <w:sz w:val="22"/>
          <w:szCs w:val="22"/>
          <w:lang w:val="sr-Latn-ME"/>
        </w:rPr>
        <w:t>Humira kod takvih pacijenata.</w:t>
      </w:r>
    </w:p>
    <w:p w14:paraId="3FF44748" w14:textId="77777777" w:rsidR="00596C07" w:rsidRPr="004500D8" w:rsidRDefault="00596C07" w:rsidP="00596C07">
      <w:pPr>
        <w:widowControl w:val="0"/>
        <w:autoSpaceDE w:val="0"/>
        <w:autoSpaceDN w:val="0"/>
        <w:adjustRightInd w:val="0"/>
        <w:ind w:left="567" w:hanging="567"/>
        <w:jc w:val="both"/>
        <w:rPr>
          <w:color w:val="000000"/>
          <w:sz w:val="22"/>
          <w:szCs w:val="22"/>
          <w:lang w:val="sr-Latn-ME"/>
        </w:rPr>
      </w:pPr>
    </w:p>
    <w:p w14:paraId="195F7751" w14:textId="77777777" w:rsidR="00596C07" w:rsidRPr="004500D8" w:rsidRDefault="00596C07" w:rsidP="00596C07">
      <w:pPr>
        <w:widowControl w:val="0"/>
        <w:autoSpaceDE w:val="0"/>
        <w:autoSpaceDN w:val="0"/>
        <w:adjustRightInd w:val="0"/>
        <w:jc w:val="both"/>
        <w:rPr>
          <w:iCs/>
          <w:color w:val="000000"/>
          <w:sz w:val="22"/>
          <w:szCs w:val="22"/>
          <w:u w:val="single"/>
          <w:lang w:val="sr-Latn-ME"/>
        </w:rPr>
      </w:pPr>
      <w:r w:rsidRPr="004500D8">
        <w:rPr>
          <w:iCs/>
          <w:color w:val="000000"/>
          <w:sz w:val="22"/>
          <w:szCs w:val="22"/>
          <w:u w:val="single"/>
          <w:lang w:val="sr-Latn-ME"/>
        </w:rPr>
        <w:t>Vakcinacija</w:t>
      </w:r>
    </w:p>
    <w:p w14:paraId="527DDFF4" w14:textId="77777777" w:rsidR="00596C07" w:rsidRPr="004500D8" w:rsidRDefault="00596C07" w:rsidP="00596C07">
      <w:pPr>
        <w:widowControl w:val="0"/>
        <w:autoSpaceDE w:val="0"/>
        <w:autoSpaceDN w:val="0"/>
        <w:adjustRightInd w:val="0"/>
        <w:jc w:val="both"/>
        <w:rPr>
          <w:color w:val="000000"/>
          <w:sz w:val="22"/>
          <w:szCs w:val="22"/>
          <w:lang w:val="sr-Latn-ME"/>
        </w:rPr>
      </w:pPr>
    </w:p>
    <w:p w14:paraId="42056516"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iCs/>
          <w:color w:val="000000"/>
          <w:sz w:val="22"/>
          <w:szCs w:val="22"/>
          <w:lang w:val="sr-Latn-ME"/>
        </w:rPr>
        <w:t xml:space="preserve">Sličan </w:t>
      </w:r>
      <w:r w:rsidRPr="004500D8">
        <w:rPr>
          <w:color w:val="000000"/>
          <w:sz w:val="22"/>
          <w:szCs w:val="22"/>
          <w:lang w:val="sr-Latn-ME"/>
        </w:rPr>
        <w:t>odgovor antitijela na standardnu 23-ovalentno pneumokoknu vakcinu i trovalentnu vakcinu protiv gripa je primijećen u ispitivanju 226 odraslih pacijenata s reumatoidnim artritisom koji su primali adalimumab ili placebo. Ne postoje podaci koji govore o sekundarnom prenosu infekcije nakon davanja žive vakcine kod pacijenata liječenih lijekom Humira.</w:t>
      </w:r>
    </w:p>
    <w:p w14:paraId="6403E7D7" w14:textId="77777777" w:rsidR="00596C07" w:rsidRPr="004500D8" w:rsidRDefault="00596C07" w:rsidP="00596C07">
      <w:pPr>
        <w:widowControl w:val="0"/>
        <w:autoSpaceDE w:val="0"/>
        <w:autoSpaceDN w:val="0"/>
        <w:adjustRightInd w:val="0"/>
        <w:jc w:val="both"/>
        <w:rPr>
          <w:color w:val="000000"/>
          <w:sz w:val="22"/>
          <w:szCs w:val="22"/>
          <w:lang w:val="sr-Latn-ME"/>
        </w:rPr>
      </w:pPr>
    </w:p>
    <w:p w14:paraId="04E1FDB3"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lastRenderedPageBreak/>
        <w:t xml:space="preserve">Preporučuje se da se pedijatrijski pacijenti, ako je moguće, vakcinišu u skladu sa svim važećim smjernicama za vakcinaciju prije uvođenja </w:t>
      </w:r>
      <w:r w:rsidRPr="004500D8">
        <w:rPr>
          <w:sz w:val="22"/>
          <w:szCs w:val="22"/>
          <w:lang w:val="sr-Latn-ME"/>
        </w:rPr>
        <w:t xml:space="preserve">lijeka </w:t>
      </w:r>
      <w:r w:rsidRPr="004500D8">
        <w:rPr>
          <w:color w:val="000000"/>
          <w:sz w:val="22"/>
          <w:szCs w:val="22"/>
          <w:lang w:val="sr-Latn-ME"/>
        </w:rPr>
        <w:t>Humira u terapiju.</w:t>
      </w:r>
    </w:p>
    <w:p w14:paraId="6CCE604A" w14:textId="77777777" w:rsidR="00596C07" w:rsidRPr="004500D8" w:rsidRDefault="00596C07" w:rsidP="00596C07">
      <w:pPr>
        <w:widowControl w:val="0"/>
        <w:autoSpaceDE w:val="0"/>
        <w:autoSpaceDN w:val="0"/>
        <w:adjustRightInd w:val="0"/>
        <w:jc w:val="both"/>
        <w:rPr>
          <w:color w:val="000000"/>
          <w:sz w:val="22"/>
          <w:szCs w:val="22"/>
          <w:lang w:val="sr-Latn-ME"/>
        </w:rPr>
      </w:pPr>
    </w:p>
    <w:p w14:paraId="4450F3CA"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Pacijenti koji primaju </w:t>
      </w:r>
      <w:r w:rsidRPr="004500D8">
        <w:rPr>
          <w:sz w:val="22"/>
          <w:szCs w:val="22"/>
          <w:lang w:val="sr-Latn-ME"/>
        </w:rPr>
        <w:t xml:space="preserve">lijek </w:t>
      </w:r>
      <w:r w:rsidRPr="004500D8">
        <w:rPr>
          <w:color w:val="000000"/>
          <w:sz w:val="22"/>
          <w:szCs w:val="22"/>
          <w:lang w:val="sr-Latn-ME"/>
        </w:rPr>
        <w:t xml:space="preserve">Humira mogu istovremeno primiti vakcinu, ali ne živu vakcinu. Primjena žive vakcine (npr. BCG vakcina) kod odojčadi koja su bila izložena adalimumabu </w:t>
      </w:r>
      <w:r w:rsidRPr="004500D8">
        <w:rPr>
          <w:i/>
          <w:color w:val="000000"/>
          <w:sz w:val="22"/>
          <w:szCs w:val="22"/>
          <w:lang w:val="sr-Latn-ME"/>
        </w:rPr>
        <w:t xml:space="preserve">in utero </w:t>
      </w:r>
      <w:r w:rsidRPr="004500D8">
        <w:rPr>
          <w:color w:val="000000"/>
          <w:sz w:val="22"/>
          <w:szCs w:val="22"/>
          <w:lang w:val="sr-Latn-ME"/>
        </w:rPr>
        <w:t xml:space="preserve">se ne preporučuje u narednih 5 mjeseci nakon posljednje doze koju je primila majka tokom trudnoće. </w:t>
      </w:r>
    </w:p>
    <w:p w14:paraId="70A55E6D" w14:textId="77777777" w:rsidR="00596C07" w:rsidRPr="004500D8" w:rsidRDefault="00596C07" w:rsidP="00596C07">
      <w:pPr>
        <w:widowControl w:val="0"/>
        <w:autoSpaceDE w:val="0"/>
        <w:autoSpaceDN w:val="0"/>
        <w:adjustRightInd w:val="0"/>
        <w:jc w:val="both"/>
        <w:rPr>
          <w:color w:val="000000"/>
          <w:sz w:val="22"/>
          <w:szCs w:val="22"/>
          <w:lang w:val="sr-Latn-ME"/>
        </w:rPr>
      </w:pPr>
    </w:p>
    <w:p w14:paraId="132477D5" w14:textId="77777777" w:rsidR="00596C07" w:rsidRPr="004500D8" w:rsidRDefault="00596C07" w:rsidP="00596C07">
      <w:pPr>
        <w:widowControl w:val="0"/>
        <w:autoSpaceDE w:val="0"/>
        <w:autoSpaceDN w:val="0"/>
        <w:adjustRightInd w:val="0"/>
        <w:jc w:val="both"/>
        <w:rPr>
          <w:color w:val="000000"/>
          <w:sz w:val="22"/>
          <w:szCs w:val="22"/>
          <w:u w:val="single"/>
          <w:lang w:val="sr-Latn-ME"/>
        </w:rPr>
      </w:pPr>
      <w:r w:rsidRPr="004500D8">
        <w:rPr>
          <w:color w:val="000000"/>
          <w:sz w:val="22"/>
          <w:szCs w:val="22"/>
          <w:u w:val="single"/>
          <w:lang w:val="sr-Latn-ME"/>
        </w:rPr>
        <w:t>Kongestivna srčana insuficijencija</w:t>
      </w:r>
    </w:p>
    <w:p w14:paraId="7915E025"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5744ED5E"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U kliničkom ispitivanju jednog drugog antagonista TNF-a zabilježeno je pogoršanje kongestivne srčane insuficijencije i povećana smrtnost zbog kongestivne srčane insuficijencije. Prijavljeni su slučajevi pogoršanja kongestivne srčane insuficijencije kod pacijenata liječenih </w:t>
      </w:r>
      <w:r w:rsidRPr="004500D8">
        <w:rPr>
          <w:sz w:val="22"/>
          <w:szCs w:val="22"/>
          <w:lang w:val="sr-Latn-ME"/>
        </w:rPr>
        <w:t xml:space="preserve">lijekom </w:t>
      </w:r>
      <w:r w:rsidRPr="004500D8">
        <w:rPr>
          <w:color w:val="000000"/>
          <w:sz w:val="22"/>
          <w:szCs w:val="22"/>
          <w:lang w:val="sr-Latn-ME"/>
        </w:rPr>
        <w:t xml:space="preserve">Humira. Zato se </w:t>
      </w:r>
      <w:r w:rsidRPr="004500D8">
        <w:rPr>
          <w:sz w:val="22"/>
          <w:szCs w:val="22"/>
          <w:lang w:val="sr-Latn-ME"/>
        </w:rPr>
        <w:t xml:space="preserve">lijek </w:t>
      </w:r>
      <w:r w:rsidRPr="004500D8">
        <w:rPr>
          <w:color w:val="000000"/>
          <w:sz w:val="22"/>
          <w:szCs w:val="22"/>
          <w:lang w:val="sr-Latn-ME"/>
        </w:rPr>
        <w:t xml:space="preserve">Humira treba davati oprezno kod pacijenata sa blagom srčanom insuficijencijom (NYHA stepen I/II). Primjena </w:t>
      </w:r>
      <w:r w:rsidRPr="004500D8">
        <w:rPr>
          <w:sz w:val="22"/>
          <w:szCs w:val="22"/>
          <w:lang w:val="sr-Latn-ME"/>
        </w:rPr>
        <w:t xml:space="preserve">lijeka </w:t>
      </w:r>
      <w:r w:rsidRPr="004500D8">
        <w:rPr>
          <w:color w:val="000000"/>
          <w:sz w:val="22"/>
          <w:szCs w:val="22"/>
          <w:lang w:val="sr-Latn-ME"/>
        </w:rPr>
        <w:t xml:space="preserve">Humira je kontraindikovana kod pacijenata s umjerenom do teškom srčanom insuficijencijom (vidjeti odjeljak 4.3). Ako se pojave novi ili pogoršaju postojeći simptomi kongestivne srčane insuficijencije, mora se obustaviti primjena </w:t>
      </w:r>
      <w:r w:rsidRPr="004500D8">
        <w:rPr>
          <w:sz w:val="22"/>
          <w:szCs w:val="22"/>
          <w:lang w:val="sr-Latn-ME"/>
        </w:rPr>
        <w:t xml:space="preserve">lijeka </w:t>
      </w:r>
      <w:r w:rsidRPr="004500D8">
        <w:rPr>
          <w:color w:val="000000"/>
          <w:sz w:val="22"/>
          <w:szCs w:val="22"/>
          <w:lang w:val="sr-Latn-ME"/>
        </w:rPr>
        <w:t>Humira.</w:t>
      </w:r>
    </w:p>
    <w:p w14:paraId="0A5307CB" w14:textId="77777777" w:rsidR="00596C07" w:rsidRPr="004500D8" w:rsidRDefault="00596C07" w:rsidP="00596C07">
      <w:pPr>
        <w:widowControl w:val="0"/>
        <w:autoSpaceDE w:val="0"/>
        <w:autoSpaceDN w:val="0"/>
        <w:adjustRightInd w:val="0"/>
        <w:jc w:val="both"/>
        <w:rPr>
          <w:color w:val="000000"/>
          <w:sz w:val="22"/>
          <w:szCs w:val="22"/>
          <w:lang w:val="sr-Latn-ME"/>
        </w:rPr>
      </w:pPr>
    </w:p>
    <w:p w14:paraId="2E5EA5A7" w14:textId="77777777" w:rsidR="00596C07" w:rsidRPr="004500D8" w:rsidRDefault="00596C07" w:rsidP="00596C07">
      <w:pPr>
        <w:widowControl w:val="0"/>
        <w:autoSpaceDE w:val="0"/>
        <w:autoSpaceDN w:val="0"/>
        <w:adjustRightInd w:val="0"/>
        <w:jc w:val="both"/>
        <w:rPr>
          <w:color w:val="000000"/>
          <w:sz w:val="22"/>
          <w:szCs w:val="22"/>
          <w:u w:val="single"/>
          <w:lang w:val="sr-Latn-ME"/>
        </w:rPr>
      </w:pPr>
      <w:r w:rsidRPr="004500D8">
        <w:rPr>
          <w:color w:val="000000"/>
          <w:sz w:val="22"/>
          <w:szCs w:val="22"/>
          <w:u w:val="single"/>
          <w:lang w:val="sr-Latn-ME"/>
        </w:rPr>
        <w:t>Autoimuni procesi</w:t>
      </w:r>
    </w:p>
    <w:p w14:paraId="0005C646"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78940D4B" w14:textId="65367C01"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Liječenje </w:t>
      </w:r>
      <w:r w:rsidRPr="004500D8">
        <w:rPr>
          <w:sz w:val="22"/>
          <w:szCs w:val="22"/>
          <w:lang w:val="sr-Latn-ME"/>
        </w:rPr>
        <w:t xml:space="preserve">lijekom </w:t>
      </w:r>
      <w:r w:rsidRPr="004500D8">
        <w:rPr>
          <w:color w:val="000000"/>
          <w:sz w:val="22"/>
          <w:szCs w:val="22"/>
          <w:lang w:val="sr-Latn-ME"/>
        </w:rPr>
        <w:t xml:space="preserve">Humira može dovesti do razvoja autoimunih antitijela. Efekat dugotrajnog liječenja </w:t>
      </w:r>
      <w:r w:rsidRPr="004500D8">
        <w:rPr>
          <w:sz w:val="22"/>
          <w:szCs w:val="22"/>
          <w:lang w:val="sr-Latn-ME"/>
        </w:rPr>
        <w:t xml:space="preserve">lijekom </w:t>
      </w:r>
      <w:r w:rsidRPr="004500D8">
        <w:rPr>
          <w:color w:val="000000"/>
          <w:sz w:val="22"/>
          <w:szCs w:val="22"/>
          <w:lang w:val="sr-Latn-ME"/>
        </w:rPr>
        <w:t xml:space="preserve">Humira na razvoj autoimunih bolesti nije poznat. Ako pacijent nakon primjene </w:t>
      </w:r>
      <w:r w:rsidRPr="004500D8">
        <w:rPr>
          <w:sz w:val="22"/>
          <w:szCs w:val="22"/>
          <w:lang w:val="sr-Latn-ME"/>
        </w:rPr>
        <w:t xml:space="preserve">lijeka </w:t>
      </w:r>
      <w:r w:rsidRPr="004500D8">
        <w:rPr>
          <w:color w:val="000000"/>
          <w:sz w:val="22"/>
          <w:szCs w:val="22"/>
          <w:lang w:val="sr-Latn-ME"/>
        </w:rPr>
        <w:t xml:space="preserve">Humira razvije simptome koji upućuju na sindrom sličan lupusu i pozitivan je na antitijela usmjerena protiv dvolančane DNK, terapija lijekom Humira se ne smije nastaviti (vidjeti </w:t>
      </w:r>
      <w:r w:rsidR="000005B7" w:rsidRPr="004500D8">
        <w:rPr>
          <w:color w:val="000000"/>
          <w:sz w:val="22"/>
          <w:szCs w:val="22"/>
          <w:lang w:val="sr-Latn-ME"/>
        </w:rPr>
        <w:t xml:space="preserve">dio </w:t>
      </w:r>
      <w:r w:rsidRPr="004500D8">
        <w:rPr>
          <w:color w:val="000000"/>
          <w:sz w:val="22"/>
          <w:szCs w:val="22"/>
          <w:lang w:val="sr-Latn-ME"/>
        </w:rPr>
        <w:t>4.8).</w:t>
      </w:r>
    </w:p>
    <w:p w14:paraId="62CEFA58" w14:textId="77777777" w:rsidR="00596C07" w:rsidRPr="004500D8" w:rsidRDefault="00596C07" w:rsidP="00596C07">
      <w:pPr>
        <w:widowControl w:val="0"/>
        <w:autoSpaceDE w:val="0"/>
        <w:autoSpaceDN w:val="0"/>
        <w:adjustRightInd w:val="0"/>
        <w:jc w:val="both"/>
        <w:rPr>
          <w:color w:val="000000"/>
          <w:sz w:val="22"/>
          <w:szCs w:val="22"/>
          <w:lang w:val="sr-Latn-ME"/>
        </w:rPr>
      </w:pPr>
    </w:p>
    <w:p w14:paraId="3966F296" w14:textId="77777777" w:rsidR="00596C07" w:rsidRPr="004500D8" w:rsidRDefault="00596C07" w:rsidP="003B242C">
      <w:pPr>
        <w:widowControl w:val="0"/>
        <w:autoSpaceDE w:val="0"/>
        <w:autoSpaceDN w:val="0"/>
        <w:adjustRightInd w:val="0"/>
        <w:ind w:right="-141"/>
        <w:jc w:val="both"/>
        <w:rPr>
          <w:color w:val="000000"/>
          <w:sz w:val="22"/>
          <w:szCs w:val="22"/>
          <w:u w:val="single"/>
          <w:lang w:val="sr-Latn-ME"/>
        </w:rPr>
      </w:pPr>
      <w:r w:rsidRPr="004500D8">
        <w:rPr>
          <w:color w:val="000000"/>
          <w:sz w:val="22"/>
          <w:szCs w:val="22"/>
          <w:u w:val="single"/>
          <w:lang w:val="sr-Latn-ME"/>
        </w:rPr>
        <w:t xml:space="preserve">Istovremena primjena bioloških antireumatskih ljekova koji modifikuju tok bolesti ili antagonista TNF-a </w:t>
      </w:r>
    </w:p>
    <w:p w14:paraId="3D753E8E"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55EDB429" w14:textId="76401C4F"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U kliničkim ispitivanjima istovremene primjene anakinre i drugog antagonista TNF-a, etanercepta, zabilježene su ozbiljne infekcije, a pritom nije bilo dodatne kliničke koristi u odnosu na monoterapiju etanerceptom. S obzirom na vrstu neželjenih djelovanja opisanih pri istovremenoj primjeni anakinre i etanercepta, pretpostavlja se da bi se slična neželjena dejstva mogla pojaviti i za vrijeme liječenja anakinrom u kombinaciji sa drugim antagonistima TNF-a. Stoga se istovremena primjena adalimumaba i anakinre ne preporučuje (vidjeti </w:t>
      </w:r>
      <w:r w:rsidR="000005B7" w:rsidRPr="004500D8">
        <w:rPr>
          <w:color w:val="000000"/>
          <w:sz w:val="22"/>
          <w:szCs w:val="22"/>
          <w:lang w:val="sr-Latn-ME"/>
        </w:rPr>
        <w:t xml:space="preserve">dio </w:t>
      </w:r>
      <w:r w:rsidRPr="004500D8">
        <w:rPr>
          <w:color w:val="000000"/>
          <w:sz w:val="22"/>
          <w:szCs w:val="22"/>
          <w:lang w:val="sr-Latn-ME"/>
        </w:rPr>
        <w:t>4.5).</w:t>
      </w:r>
    </w:p>
    <w:p w14:paraId="1B257C49" w14:textId="77777777" w:rsidR="00596C07" w:rsidRPr="004500D8" w:rsidRDefault="00596C07" w:rsidP="00596C07">
      <w:pPr>
        <w:widowControl w:val="0"/>
        <w:autoSpaceDE w:val="0"/>
        <w:autoSpaceDN w:val="0"/>
        <w:adjustRightInd w:val="0"/>
        <w:jc w:val="both"/>
        <w:rPr>
          <w:color w:val="000000"/>
          <w:sz w:val="22"/>
          <w:szCs w:val="22"/>
          <w:lang w:val="sr-Latn-ME"/>
        </w:rPr>
      </w:pPr>
    </w:p>
    <w:p w14:paraId="081DCBDF" w14:textId="148AFCC3"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Istovremena primjena adalimumaba sa drugim biološkim antireumaticima koji modifikuju tok bolesti (npr. anakinra i abatacept) ili drugim antagonistima TNF-a se ne preporučuje zbog mogućeg povećanog rizika od nastanka infekcija, uključujući ozbiljne infekcije i druge moguće farmakološke interakcije (vidjeti </w:t>
      </w:r>
      <w:r w:rsidR="00041CA0" w:rsidRPr="004500D8">
        <w:rPr>
          <w:color w:val="000000"/>
          <w:sz w:val="22"/>
          <w:szCs w:val="22"/>
          <w:lang w:val="sr-Latn-ME"/>
        </w:rPr>
        <w:t xml:space="preserve">dio </w:t>
      </w:r>
      <w:r w:rsidRPr="004500D8">
        <w:rPr>
          <w:color w:val="000000"/>
          <w:sz w:val="22"/>
          <w:szCs w:val="22"/>
          <w:lang w:val="sr-Latn-ME"/>
        </w:rPr>
        <w:t xml:space="preserve">4.5). </w:t>
      </w:r>
    </w:p>
    <w:p w14:paraId="7A22EB32" w14:textId="77777777" w:rsidR="00596C07" w:rsidRPr="004500D8" w:rsidRDefault="00596C07" w:rsidP="00596C07">
      <w:pPr>
        <w:widowControl w:val="0"/>
        <w:autoSpaceDE w:val="0"/>
        <w:autoSpaceDN w:val="0"/>
        <w:adjustRightInd w:val="0"/>
        <w:ind w:left="567" w:hanging="567"/>
        <w:jc w:val="both"/>
        <w:rPr>
          <w:color w:val="000000"/>
          <w:sz w:val="22"/>
          <w:szCs w:val="22"/>
          <w:lang w:val="sr-Latn-ME"/>
        </w:rPr>
      </w:pPr>
    </w:p>
    <w:p w14:paraId="28A5DE6B" w14:textId="77777777" w:rsidR="00596C07" w:rsidRPr="004500D8" w:rsidRDefault="00596C07" w:rsidP="00596C07">
      <w:pPr>
        <w:widowControl w:val="0"/>
        <w:autoSpaceDE w:val="0"/>
        <w:autoSpaceDN w:val="0"/>
        <w:adjustRightInd w:val="0"/>
        <w:jc w:val="both"/>
        <w:rPr>
          <w:color w:val="000000"/>
          <w:sz w:val="22"/>
          <w:szCs w:val="22"/>
          <w:u w:val="single"/>
          <w:lang w:val="sr-Latn-ME"/>
        </w:rPr>
      </w:pPr>
      <w:r w:rsidRPr="004500D8">
        <w:rPr>
          <w:color w:val="000000"/>
          <w:sz w:val="22"/>
          <w:szCs w:val="22"/>
          <w:u w:val="single"/>
          <w:lang w:val="sr-Latn-ME"/>
        </w:rPr>
        <w:t>Hirurški zahvati</w:t>
      </w:r>
    </w:p>
    <w:p w14:paraId="7E526F15"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3B7C6C05"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Raspoloživi podaci o bezbjednosti hirurških zahvata kod pacijenata liječenih </w:t>
      </w:r>
      <w:r w:rsidRPr="004500D8">
        <w:rPr>
          <w:sz w:val="22"/>
          <w:szCs w:val="22"/>
          <w:lang w:val="sr-Latn-ME"/>
        </w:rPr>
        <w:t xml:space="preserve">lijekom </w:t>
      </w:r>
      <w:r w:rsidRPr="004500D8">
        <w:rPr>
          <w:color w:val="000000"/>
          <w:sz w:val="22"/>
          <w:szCs w:val="22"/>
          <w:lang w:val="sr-Latn-ME"/>
        </w:rPr>
        <w:t xml:space="preserve">Humira su ograničeni. Pri planiranju operacija treba voditi računa o dugom </w:t>
      </w:r>
      <w:r w:rsidRPr="004500D8">
        <w:rPr>
          <w:iCs/>
          <w:color w:val="000000"/>
          <w:sz w:val="22"/>
          <w:szCs w:val="22"/>
          <w:lang w:val="sr-Latn-ME"/>
        </w:rPr>
        <w:t>poluvremenu</w:t>
      </w:r>
      <w:r w:rsidRPr="004500D8">
        <w:rPr>
          <w:color w:val="000000"/>
          <w:sz w:val="22"/>
          <w:szCs w:val="22"/>
          <w:lang w:val="sr-Latn-ME"/>
        </w:rPr>
        <w:t xml:space="preserve"> eliminacije adalimumaba. </w:t>
      </w:r>
    </w:p>
    <w:p w14:paraId="2F48CB2B"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Pacijente, kojima je za vrijeme liječenja </w:t>
      </w:r>
      <w:r w:rsidRPr="004500D8">
        <w:rPr>
          <w:sz w:val="22"/>
          <w:szCs w:val="22"/>
          <w:lang w:val="sr-Latn-ME"/>
        </w:rPr>
        <w:t xml:space="preserve">lijekom </w:t>
      </w:r>
      <w:r w:rsidRPr="004500D8">
        <w:rPr>
          <w:color w:val="000000"/>
          <w:sz w:val="22"/>
          <w:szCs w:val="22"/>
          <w:lang w:val="sr-Latn-ME"/>
        </w:rPr>
        <w:t xml:space="preserve">Humira potreban operativni zahvat, treba pažljivo pratiti zbog moguće pojave infekcija, i prema potrebi preduzeti odgovarajuće mjere. Raspoloživi podaci o bezbjednosti sprovođenja artroplastike kod pacijenata liječenih </w:t>
      </w:r>
      <w:r w:rsidRPr="004500D8">
        <w:rPr>
          <w:sz w:val="22"/>
          <w:szCs w:val="22"/>
          <w:lang w:val="sr-Latn-ME"/>
        </w:rPr>
        <w:t xml:space="preserve">lijekom </w:t>
      </w:r>
      <w:r w:rsidRPr="004500D8">
        <w:rPr>
          <w:color w:val="000000"/>
          <w:sz w:val="22"/>
          <w:szCs w:val="22"/>
          <w:lang w:val="sr-Latn-ME"/>
        </w:rPr>
        <w:t>Humira su ograničeni.</w:t>
      </w:r>
    </w:p>
    <w:p w14:paraId="16A6F1D0" w14:textId="77777777" w:rsidR="00596C07" w:rsidRPr="004500D8" w:rsidRDefault="00596C07" w:rsidP="00596C07">
      <w:pPr>
        <w:widowControl w:val="0"/>
        <w:autoSpaceDE w:val="0"/>
        <w:autoSpaceDN w:val="0"/>
        <w:adjustRightInd w:val="0"/>
        <w:jc w:val="both"/>
        <w:rPr>
          <w:color w:val="000000"/>
          <w:sz w:val="22"/>
          <w:szCs w:val="22"/>
          <w:lang w:val="sr-Latn-ME"/>
        </w:rPr>
      </w:pPr>
    </w:p>
    <w:p w14:paraId="1D976D17" w14:textId="77777777" w:rsidR="00596C07" w:rsidRPr="004500D8" w:rsidRDefault="00596C07" w:rsidP="00596C07">
      <w:pPr>
        <w:widowControl w:val="0"/>
        <w:autoSpaceDE w:val="0"/>
        <w:autoSpaceDN w:val="0"/>
        <w:adjustRightInd w:val="0"/>
        <w:jc w:val="both"/>
        <w:rPr>
          <w:color w:val="000000"/>
          <w:sz w:val="22"/>
          <w:szCs w:val="22"/>
          <w:u w:val="single"/>
          <w:lang w:val="sr-Latn-ME"/>
        </w:rPr>
      </w:pPr>
      <w:r w:rsidRPr="004500D8">
        <w:rPr>
          <w:color w:val="000000"/>
          <w:sz w:val="22"/>
          <w:szCs w:val="22"/>
          <w:u w:val="single"/>
          <w:lang w:val="sr-Latn-ME"/>
        </w:rPr>
        <w:t>Opstrukcija tankog crijeva</w:t>
      </w:r>
    </w:p>
    <w:p w14:paraId="5540CB7E"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31CB8D32"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Nereagovanje na terapiju Crohn-ove bolesti može biti znak fiksne fibrozne strikture koju je možda potrebno hirurški liječiti. Trenutno raspoloživi podaci ukazuju na to da lijek Humira ne uzrokuje i ne pogoršava strikture.</w:t>
      </w:r>
    </w:p>
    <w:p w14:paraId="68F48AA2" w14:textId="77777777" w:rsidR="00596C07" w:rsidRPr="004500D8" w:rsidRDefault="00596C07" w:rsidP="00596C07">
      <w:pPr>
        <w:widowControl w:val="0"/>
        <w:autoSpaceDE w:val="0"/>
        <w:autoSpaceDN w:val="0"/>
        <w:adjustRightInd w:val="0"/>
        <w:ind w:left="567" w:hanging="567"/>
        <w:jc w:val="both"/>
        <w:rPr>
          <w:color w:val="000000"/>
          <w:sz w:val="22"/>
          <w:szCs w:val="22"/>
          <w:lang w:val="sr-Latn-ME"/>
        </w:rPr>
      </w:pPr>
    </w:p>
    <w:p w14:paraId="08775008" w14:textId="77777777" w:rsidR="00596C07" w:rsidRPr="004500D8" w:rsidRDefault="00596C07" w:rsidP="00596C07">
      <w:pPr>
        <w:widowControl w:val="0"/>
        <w:autoSpaceDE w:val="0"/>
        <w:autoSpaceDN w:val="0"/>
        <w:adjustRightInd w:val="0"/>
        <w:ind w:left="567" w:hanging="567"/>
        <w:jc w:val="both"/>
        <w:rPr>
          <w:color w:val="000000"/>
          <w:sz w:val="22"/>
          <w:szCs w:val="22"/>
          <w:u w:val="single"/>
          <w:lang w:val="sr-Latn-ME"/>
        </w:rPr>
      </w:pPr>
      <w:r w:rsidRPr="004500D8">
        <w:rPr>
          <w:color w:val="000000"/>
          <w:sz w:val="22"/>
          <w:szCs w:val="22"/>
          <w:u w:val="single"/>
          <w:lang w:val="sr-Latn-ME"/>
        </w:rPr>
        <w:t>Stariji pacijenti</w:t>
      </w:r>
    </w:p>
    <w:p w14:paraId="6445FAF3" w14:textId="77777777" w:rsidR="00596C07" w:rsidRPr="004500D8" w:rsidRDefault="00596C07" w:rsidP="00596C07">
      <w:pPr>
        <w:widowControl w:val="0"/>
        <w:autoSpaceDE w:val="0"/>
        <w:autoSpaceDN w:val="0"/>
        <w:adjustRightInd w:val="0"/>
        <w:jc w:val="both"/>
        <w:rPr>
          <w:color w:val="000000"/>
          <w:sz w:val="22"/>
          <w:szCs w:val="22"/>
          <w:lang w:val="sr-Latn-ME"/>
        </w:rPr>
      </w:pPr>
    </w:p>
    <w:p w14:paraId="6BB93762"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Učestalost ozbiljnih infekcija kod pacijenata liječenih </w:t>
      </w:r>
      <w:r w:rsidRPr="004500D8">
        <w:rPr>
          <w:sz w:val="22"/>
          <w:szCs w:val="22"/>
          <w:lang w:val="sr-Latn-ME"/>
        </w:rPr>
        <w:t xml:space="preserve">lijekom </w:t>
      </w:r>
      <w:r w:rsidRPr="004500D8">
        <w:rPr>
          <w:color w:val="000000"/>
          <w:sz w:val="22"/>
          <w:szCs w:val="22"/>
          <w:lang w:val="sr-Latn-ME"/>
        </w:rPr>
        <w:t xml:space="preserve">Humira bila je veća kod pacijenata starijih od 65 godina </w:t>
      </w:r>
      <w:r w:rsidRPr="004500D8">
        <w:rPr>
          <w:sz w:val="22"/>
          <w:szCs w:val="22"/>
          <w:lang w:val="sr-Latn-ME"/>
        </w:rPr>
        <w:t>(3,7%)</w:t>
      </w:r>
      <w:r w:rsidRPr="004500D8">
        <w:rPr>
          <w:color w:val="000000"/>
          <w:sz w:val="22"/>
          <w:szCs w:val="22"/>
          <w:lang w:val="sr-Latn-ME"/>
        </w:rPr>
        <w:t xml:space="preserve"> nego kod pacijenata mlađih od 65 godina (</w:t>
      </w:r>
      <w:r w:rsidRPr="004500D8">
        <w:rPr>
          <w:sz w:val="22"/>
          <w:szCs w:val="22"/>
          <w:lang w:val="sr-Latn-ME"/>
        </w:rPr>
        <w:t>1,5 %).</w:t>
      </w:r>
      <w:r w:rsidRPr="004500D8">
        <w:rPr>
          <w:color w:val="000000"/>
          <w:sz w:val="22"/>
          <w:szCs w:val="22"/>
          <w:lang w:val="sr-Latn-ME"/>
        </w:rPr>
        <w:t xml:space="preserve"> Neke od ovih infekcija su imale fatalni ishod. Tokom liječenja starijih pacijenata mora se obratiti posebna pažnja na mogući rizik od </w:t>
      </w:r>
      <w:r w:rsidRPr="004500D8">
        <w:rPr>
          <w:color w:val="000000"/>
          <w:sz w:val="22"/>
          <w:szCs w:val="22"/>
          <w:lang w:val="sr-Latn-ME"/>
        </w:rPr>
        <w:lastRenderedPageBreak/>
        <w:t>infekcije.</w:t>
      </w:r>
    </w:p>
    <w:p w14:paraId="3B8E9526" w14:textId="77777777" w:rsidR="00596C07" w:rsidRPr="004500D8" w:rsidRDefault="00596C07" w:rsidP="00596C07">
      <w:pPr>
        <w:widowControl w:val="0"/>
        <w:autoSpaceDE w:val="0"/>
        <w:autoSpaceDN w:val="0"/>
        <w:adjustRightInd w:val="0"/>
        <w:jc w:val="both"/>
        <w:rPr>
          <w:color w:val="000000"/>
          <w:sz w:val="22"/>
          <w:szCs w:val="22"/>
          <w:lang w:val="sr-Latn-ME"/>
        </w:rPr>
      </w:pPr>
    </w:p>
    <w:p w14:paraId="67FCB808" w14:textId="77777777" w:rsidR="00596C07" w:rsidRPr="004500D8" w:rsidRDefault="00596C07" w:rsidP="00596C07">
      <w:pPr>
        <w:widowControl w:val="0"/>
        <w:autoSpaceDE w:val="0"/>
        <w:autoSpaceDN w:val="0"/>
        <w:adjustRightInd w:val="0"/>
        <w:jc w:val="both"/>
        <w:rPr>
          <w:color w:val="000000"/>
          <w:sz w:val="22"/>
          <w:szCs w:val="22"/>
          <w:u w:val="single"/>
          <w:lang w:val="sr-Latn-ME"/>
        </w:rPr>
      </w:pPr>
      <w:r w:rsidRPr="004500D8">
        <w:rPr>
          <w:color w:val="000000"/>
          <w:sz w:val="22"/>
          <w:szCs w:val="22"/>
          <w:u w:val="single"/>
          <w:lang w:val="sr-Latn-ME"/>
        </w:rPr>
        <w:t>Pedijatrijska populacija</w:t>
      </w:r>
    </w:p>
    <w:p w14:paraId="652CF3F4" w14:textId="77777777" w:rsidR="00596C07" w:rsidRPr="004500D8" w:rsidRDefault="00596C07" w:rsidP="00596C07">
      <w:pPr>
        <w:widowControl w:val="0"/>
        <w:autoSpaceDE w:val="0"/>
        <w:autoSpaceDN w:val="0"/>
        <w:adjustRightInd w:val="0"/>
        <w:jc w:val="both"/>
        <w:rPr>
          <w:color w:val="000000"/>
          <w:sz w:val="22"/>
          <w:szCs w:val="22"/>
          <w:lang w:val="sr-Latn-ME"/>
        </w:rPr>
      </w:pPr>
    </w:p>
    <w:p w14:paraId="0897CACF"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Pogledati gore dio </w:t>
      </w:r>
      <w:r w:rsidRPr="004500D8">
        <w:rPr>
          <w:i/>
          <w:color w:val="000000"/>
          <w:sz w:val="22"/>
          <w:szCs w:val="22"/>
          <w:lang w:val="sr-Latn-ME"/>
        </w:rPr>
        <w:t>Vakcinacija</w:t>
      </w:r>
      <w:r w:rsidRPr="004500D8">
        <w:rPr>
          <w:color w:val="000000"/>
          <w:sz w:val="22"/>
          <w:szCs w:val="22"/>
          <w:lang w:val="sr-Latn-ME"/>
        </w:rPr>
        <w:t>.</w:t>
      </w:r>
    </w:p>
    <w:p w14:paraId="424C21A5" w14:textId="77777777" w:rsidR="00596C07" w:rsidRPr="004500D8" w:rsidRDefault="00596C07" w:rsidP="00596C07">
      <w:pPr>
        <w:tabs>
          <w:tab w:val="left" w:pos="1141"/>
        </w:tabs>
        <w:rPr>
          <w:bCs/>
          <w:sz w:val="22"/>
          <w:szCs w:val="22"/>
          <w:lang w:val="sr-Latn-ME"/>
        </w:rPr>
      </w:pPr>
    </w:p>
    <w:p w14:paraId="7DB3847D"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4.5. Interakcije sa drugim ljekovima i druge vrste interakcija</w:t>
      </w:r>
    </w:p>
    <w:p w14:paraId="6AEEAF89" w14:textId="77777777" w:rsidR="00596C07" w:rsidRPr="004500D8" w:rsidRDefault="00596C07" w:rsidP="00596C07">
      <w:pPr>
        <w:tabs>
          <w:tab w:val="left" w:pos="540"/>
          <w:tab w:val="left" w:pos="569"/>
        </w:tabs>
        <w:rPr>
          <w:bCs/>
          <w:sz w:val="22"/>
          <w:szCs w:val="22"/>
          <w:lang w:val="sr-Latn-ME"/>
        </w:rPr>
      </w:pPr>
    </w:p>
    <w:p w14:paraId="61D10BFC" w14:textId="330F7445"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Djelovanje </w:t>
      </w:r>
      <w:r w:rsidRPr="004500D8">
        <w:rPr>
          <w:sz w:val="22"/>
          <w:szCs w:val="22"/>
          <w:lang w:val="sr-Latn-ME"/>
        </w:rPr>
        <w:t xml:space="preserve">lijeka </w:t>
      </w:r>
      <w:r w:rsidRPr="004500D8">
        <w:rPr>
          <w:color w:val="000000"/>
          <w:sz w:val="22"/>
          <w:szCs w:val="22"/>
          <w:lang w:val="sr-Latn-ME"/>
        </w:rPr>
        <w:t xml:space="preserve">Humira ispitivano je kod pacijenata s reumatoidnim artritisom, poliartikularnim juvenilnim idiopatskim artritisom i psorijatičnim artritisom koji su dobijali </w:t>
      </w:r>
      <w:r w:rsidRPr="004500D8">
        <w:rPr>
          <w:sz w:val="22"/>
          <w:szCs w:val="22"/>
          <w:lang w:val="sr-Latn-ME"/>
        </w:rPr>
        <w:t xml:space="preserve">lijek </w:t>
      </w:r>
      <w:r w:rsidRPr="004500D8">
        <w:rPr>
          <w:color w:val="000000"/>
          <w:sz w:val="22"/>
          <w:szCs w:val="22"/>
          <w:lang w:val="sr-Latn-ME"/>
        </w:rPr>
        <w:t xml:space="preserve">Humira kao monoterapiju, i kod onih koji su istovremeno uzimali i metotreksat. </w:t>
      </w:r>
      <w:r w:rsidRPr="004500D8">
        <w:rPr>
          <w:iCs/>
          <w:color w:val="000000"/>
          <w:sz w:val="22"/>
          <w:szCs w:val="22"/>
          <w:lang w:val="sr-Latn-ME"/>
        </w:rPr>
        <w:t>Stvaranje</w:t>
      </w:r>
      <w:r w:rsidRPr="004500D8">
        <w:rPr>
          <w:color w:val="000000"/>
          <w:sz w:val="22"/>
          <w:szCs w:val="22"/>
          <w:lang w:val="sr-Latn-ME"/>
        </w:rPr>
        <w:t xml:space="preserve"> antitijela bilo je manje kada je lijek Humira davan zajedno s metotreksatom, u odnosu na pacijente kod kojih je lijek Humira davan kao monoterapija. Kada se lijek Humira primjenjuje bez metotreksata, </w:t>
      </w:r>
      <w:r w:rsidRPr="004500D8">
        <w:rPr>
          <w:iCs/>
          <w:color w:val="000000"/>
          <w:sz w:val="22"/>
          <w:szCs w:val="22"/>
          <w:lang w:val="sr-Latn-ME"/>
        </w:rPr>
        <w:t>stvaranje</w:t>
      </w:r>
      <w:r w:rsidRPr="004500D8">
        <w:rPr>
          <w:i/>
          <w:iCs/>
          <w:color w:val="000000"/>
          <w:sz w:val="22"/>
          <w:szCs w:val="22"/>
          <w:lang w:val="sr-Latn-ME"/>
        </w:rPr>
        <w:t xml:space="preserve"> </w:t>
      </w:r>
      <w:r w:rsidRPr="004500D8">
        <w:rPr>
          <w:color w:val="000000"/>
          <w:sz w:val="22"/>
          <w:szCs w:val="22"/>
          <w:lang w:val="sr-Latn-ME"/>
        </w:rPr>
        <w:t xml:space="preserve">antitijela se povećava, izlučivanje adalimumaba pojačava, a efikasnost se smanjuje (vidjeti </w:t>
      </w:r>
      <w:r w:rsidR="007D1DC0" w:rsidRPr="004500D8">
        <w:rPr>
          <w:color w:val="000000"/>
          <w:sz w:val="22"/>
          <w:szCs w:val="22"/>
          <w:lang w:val="sr-Latn-ME"/>
        </w:rPr>
        <w:t xml:space="preserve">dio </w:t>
      </w:r>
      <w:r w:rsidRPr="004500D8">
        <w:rPr>
          <w:color w:val="000000"/>
          <w:sz w:val="22"/>
          <w:szCs w:val="22"/>
          <w:lang w:val="sr-Latn-ME"/>
        </w:rPr>
        <w:t>5.1).</w:t>
      </w:r>
    </w:p>
    <w:p w14:paraId="2BC5AE12" w14:textId="77777777" w:rsidR="00596C07" w:rsidRPr="004500D8" w:rsidRDefault="00596C07" w:rsidP="00596C07">
      <w:pPr>
        <w:widowControl w:val="0"/>
        <w:autoSpaceDE w:val="0"/>
        <w:autoSpaceDN w:val="0"/>
        <w:adjustRightInd w:val="0"/>
        <w:jc w:val="both"/>
        <w:rPr>
          <w:color w:val="000000"/>
          <w:sz w:val="22"/>
          <w:szCs w:val="22"/>
          <w:lang w:val="sr-Latn-ME"/>
        </w:rPr>
      </w:pPr>
    </w:p>
    <w:p w14:paraId="59B3B51D" w14:textId="72EC5414"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Kombinovana terapija </w:t>
      </w:r>
      <w:r w:rsidRPr="004500D8">
        <w:rPr>
          <w:sz w:val="22"/>
          <w:szCs w:val="22"/>
          <w:lang w:val="sr-Latn-ME"/>
        </w:rPr>
        <w:t xml:space="preserve">lijekom </w:t>
      </w:r>
      <w:r w:rsidRPr="004500D8">
        <w:rPr>
          <w:color w:val="000000"/>
          <w:sz w:val="22"/>
          <w:szCs w:val="22"/>
          <w:lang w:val="sr-Latn-ME"/>
        </w:rPr>
        <w:t xml:space="preserve">Humira i anakinrom se ne preporučuje (vidjeti </w:t>
      </w:r>
      <w:r w:rsidR="007D1DC0" w:rsidRPr="004500D8">
        <w:rPr>
          <w:color w:val="000000"/>
          <w:sz w:val="22"/>
          <w:szCs w:val="22"/>
          <w:lang w:val="sr-Latn-ME"/>
        </w:rPr>
        <w:t xml:space="preserve">dio </w:t>
      </w:r>
      <w:r w:rsidRPr="004500D8">
        <w:rPr>
          <w:color w:val="000000"/>
          <w:sz w:val="22"/>
          <w:szCs w:val="22"/>
          <w:lang w:val="sr-Latn-ME"/>
        </w:rPr>
        <w:t xml:space="preserve">4.4, dio </w:t>
      </w:r>
      <w:r w:rsidRPr="004500D8">
        <w:rPr>
          <w:i/>
          <w:color w:val="000000"/>
          <w:sz w:val="22"/>
          <w:szCs w:val="22"/>
          <w:lang w:val="sr-Latn-ME"/>
        </w:rPr>
        <w:t>Istovremena primjena bioloških antireumatskih ljekova koji modifikuju tok bolesti ili antagonista TNF-a</w:t>
      </w:r>
      <w:r w:rsidRPr="004500D8">
        <w:rPr>
          <w:color w:val="000000"/>
          <w:sz w:val="22"/>
          <w:szCs w:val="22"/>
          <w:lang w:val="sr-Latn-ME"/>
        </w:rPr>
        <w:t>).</w:t>
      </w:r>
    </w:p>
    <w:p w14:paraId="5E380BCD" w14:textId="77777777" w:rsidR="00596C07" w:rsidRPr="004500D8" w:rsidRDefault="00596C07" w:rsidP="00596C07">
      <w:pPr>
        <w:widowControl w:val="0"/>
        <w:autoSpaceDE w:val="0"/>
        <w:autoSpaceDN w:val="0"/>
        <w:adjustRightInd w:val="0"/>
        <w:jc w:val="both"/>
        <w:rPr>
          <w:color w:val="000000"/>
          <w:sz w:val="22"/>
          <w:szCs w:val="22"/>
          <w:lang w:val="sr-Latn-ME"/>
        </w:rPr>
      </w:pPr>
    </w:p>
    <w:p w14:paraId="27299163" w14:textId="3023F24F"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Kombinovana terapija </w:t>
      </w:r>
      <w:r w:rsidRPr="004500D8">
        <w:rPr>
          <w:sz w:val="22"/>
          <w:szCs w:val="22"/>
          <w:lang w:val="sr-Latn-ME"/>
        </w:rPr>
        <w:t xml:space="preserve">lijekom </w:t>
      </w:r>
      <w:r w:rsidRPr="004500D8">
        <w:rPr>
          <w:color w:val="000000"/>
          <w:sz w:val="22"/>
          <w:szCs w:val="22"/>
          <w:lang w:val="sr-Latn-ME"/>
        </w:rPr>
        <w:t xml:space="preserve">Humira i abataceptom se ne preporučuje (vidjeti </w:t>
      </w:r>
      <w:r w:rsidR="007D1DC0" w:rsidRPr="004500D8">
        <w:rPr>
          <w:color w:val="000000"/>
          <w:sz w:val="22"/>
          <w:szCs w:val="22"/>
          <w:lang w:val="sr-Latn-ME"/>
        </w:rPr>
        <w:t xml:space="preserve">dio </w:t>
      </w:r>
      <w:r w:rsidRPr="004500D8">
        <w:rPr>
          <w:color w:val="000000"/>
          <w:sz w:val="22"/>
          <w:szCs w:val="22"/>
          <w:lang w:val="sr-Latn-ME"/>
        </w:rPr>
        <w:t xml:space="preserve">4.4,  </w:t>
      </w:r>
      <w:r w:rsidRPr="004500D8">
        <w:rPr>
          <w:i/>
          <w:color w:val="000000"/>
          <w:sz w:val="22"/>
          <w:szCs w:val="22"/>
          <w:lang w:val="sr-Latn-ME"/>
        </w:rPr>
        <w:t>Istovremena primjena bioloških antireumatskih ljekova koji modifikuju tok bolesti ili antagonista TNF-a</w:t>
      </w:r>
      <w:r w:rsidRPr="004500D8">
        <w:rPr>
          <w:color w:val="000000"/>
          <w:sz w:val="22"/>
          <w:szCs w:val="22"/>
          <w:lang w:val="sr-Latn-ME"/>
        </w:rPr>
        <w:t>).</w:t>
      </w:r>
    </w:p>
    <w:p w14:paraId="00BB5B9C" w14:textId="77777777" w:rsidR="00596C07" w:rsidRPr="004500D8" w:rsidRDefault="00596C07" w:rsidP="00596C07">
      <w:pPr>
        <w:tabs>
          <w:tab w:val="left" w:pos="540"/>
          <w:tab w:val="left" w:pos="569"/>
        </w:tabs>
        <w:rPr>
          <w:bCs/>
          <w:sz w:val="22"/>
          <w:szCs w:val="22"/>
          <w:lang w:val="sr-Latn-ME"/>
        </w:rPr>
      </w:pPr>
    </w:p>
    <w:p w14:paraId="2EB61E94"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 xml:space="preserve">4.6. </w:t>
      </w:r>
      <w:r w:rsidRPr="004500D8">
        <w:rPr>
          <w:b/>
          <w:bCs/>
          <w:sz w:val="22"/>
          <w:szCs w:val="22"/>
          <w:lang w:val="sr-Latn-ME"/>
        </w:rPr>
        <w:tab/>
        <w:t>Primjena u periodu trudnoće i dojenja</w:t>
      </w:r>
    </w:p>
    <w:p w14:paraId="1BBFE25E"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2B5C03E2" w14:textId="77777777" w:rsidR="00596C07" w:rsidRPr="004500D8" w:rsidRDefault="00596C07" w:rsidP="00596C07">
      <w:pPr>
        <w:widowControl w:val="0"/>
        <w:autoSpaceDE w:val="0"/>
        <w:autoSpaceDN w:val="0"/>
        <w:adjustRightInd w:val="0"/>
        <w:jc w:val="both"/>
        <w:rPr>
          <w:color w:val="000000"/>
          <w:sz w:val="22"/>
          <w:szCs w:val="22"/>
          <w:u w:val="single"/>
          <w:lang w:val="sr-Latn-ME"/>
        </w:rPr>
      </w:pPr>
      <w:r w:rsidRPr="004500D8">
        <w:rPr>
          <w:color w:val="000000"/>
          <w:sz w:val="22"/>
          <w:szCs w:val="22"/>
          <w:u w:val="single"/>
          <w:lang w:val="sr-Latn-ME"/>
        </w:rPr>
        <w:t>Žene u reproduktivnom dobu</w:t>
      </w:r>
    </w:p>
    <w:p w14:paraId="040DBB20"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1DD0776F"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Ženama u reproduktivnom dobu se posebno preporučuje da koriste adekvatnu kontracepciju za sprječavanje začeća za vrijeme liječenja lijekom Humira i još najmanje pet mjeseci nakon zadnje doze lijeka.</w:t>
      </w:r>
    </w:p>
    <w:p w14:paraId="61828D04"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6868B0AC"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u w:val="single"/>
          <w:lang w:val="sr-Latn-ME"/>
        </w:rPr>
        <w:t>Trudnoća</w:t>
      </w:r>
      <w:r w:rsidRPr="004500D8">
        <w:rPr>
          <w:color w:val="000000"/>
          <w:sz w:val="22"/>
          <w:szCs w:val="22"/>
          <w:lang w:val="sr-Latn-ME"/>
        </w:rPr>
        <w:t xml:space="preserve"> </w:t>
      </w:r>
    </w:p>
    <w:p w14:paraId="134EB351" w14:textId="77777777" w:rsidR="00596C07" w:rsidRPr="004500D8" w:rsidRDefault="00596C07" w:rsidP="00596C07">
      <w:pPr>
        <w:widowControl w:val="0"/>
        <w:autoSpaceDE w:val="0"/>
        <w:autoSpaceDN w:val="0"/>
        <w:adjustRightInd w:val="0"/>
        <w:jc w:val="both"/>
        <w:rPr>
          <w:color w:val="000000"/>
          <w:sz w:val="22"/>
          <w:szCs w:val="22"/>
          <w:lang w:val="sr-Latn-ME"/>
        </w:rPr>
      </w:pPr>
    </w:p>
    <w:p w14:paraId="4D41F56E"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Prospektivno prikupljeni podaci o velikom broju trudnoća izloženih adalimumabu (približno 2100) koje su završile živorođenjem sa poznatim ishodom, uključujući više od 1500 trudnoća izloženih tokom prvog tromjesečja, ne ukazuju na povećanu stopu malformacija kod novorođenčeta.</w:t>
      </w:r>
    </w:p>
    <w:p w14:paraId="76714FFA" w14:textId="77777777" w:rsidR="00596C07" w:rsidRPr="004500D8" w:rsidRDefault="00596C07" w:rsidP="00596C07">
      <w:pPr>
        <w:widowControl w:val="0"/>
        <w:autoSpaceDE w:val="0"/>
        <w:autoSpaceDN w:val="0"/>
        <w:adjustRightInd w:val="0"/>
        <w:jc w:val="both"/>
        <w:rPr>
          <w:color w:val="000000"/>
          <w:sz w:val="22"/>
          <w:szCs w:val="22"/>
          <w:lang w:val="sr-Latn-ME"/>
        </w:rPr>
      </w:pPr>
    </w:p>
    <w:p w14:paraId="741633E9"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U prospektivan kohortni registar uključeno je 257 žena sa reumatoidnim artritisom ili Crohn-ovom bolešću koje su se liječile adalimumabom najmanje tokom prvog tromjesečja, te 120 žena sa reumatoidnim artritisom ili Crohn-ovom bolešću koje se nisu liječile adalimumabom. Primarna mjera ishoda bila je prevalencija značajnih urođenih mana pri porođaju. Stopa trudnoća koje su završile najmanje jednim živorođenim djetetom sa velikom urođenom manom iznosila je 6/69 (8,7%) među ženama liječenim adalimumabom koje su imale reumatoidni artritis, i 5/74 (6,8%) među ženama sa reumatoidnim artritisom koje nisu primale terapiju (neprilagođen OR: 1,31; 95% CI: 0,38 - 4,52) te 16/152 (10,5%) među ženama liječenim adalimumabom koje su imale Crohn-ovu bolest, i 3/32 (9,4%) među ženama sa Crohn-ovom bolešću koje nisu primale terapiju (neprilagođen OR: 1,14; 95% CI: 0,31 - 4,16). Prilagođen OR (kod kojega su uzete u obzir početne razlike) iznosio je 1,10 (95% CI: 0,45 - 2,73) za reumatoidni artritis i Crohn-ovu bolest zajedno. Nije bilo velikih razlika između žena liječenih adalimumabom i onih koje ga nisu primale sa obzirom na sekundarne mjere ishoda – spontane pobačaje, manje urođene mane, prijevremeni porođaj, porođajnu veličinu i ozbiljne ili oportunističke infekcije, a nije prijavljeno nijedno mrtvorođenje ni maligna bolest. Na interpretaciju podataka mogu uticati metodološka ograničenja ispitivanja, uključujući malu veličinu uzorka i dizajn koji nije uključivao randomizaciju.</w:t>
      </w:r>
    </w:p>
    <w:p w14:paraId="12D268DC" w14:textId="77777777" w:rsidR="00596C07" w:rsidRPr="004500D8" w:rsidRDefault="00596C07" w:rsidP="00596C07">
      <w:pPr>
        <w:widowControl w:val="0"/>
        <w:autoSpaceDE w:val="0"/>
        <w:autoSpaceDN w:val="0"/>
        <w:adjustRightInd w:val="0"/>
        <w:jc w:val="both"/>
        <w:rPr>
          <w:color w:val="000000"/>
          <w:sz w:val="22"/>
          <w:szCs w:val="22"/>
          <w:lang w:val="sr-Latn-ME"/>
        </w:rPr>
      </w:pPr>
    </w:p>
    <w:p w14:paraId="2D0D7319" w14:textId="7FCF00CE"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U ispitivanju razvoja toksičnosti kod majmuna nisu zabilježeni znakovi toksičnosti za majku, plod ili teratogenost. Nema dostupnih pretkliničkih podataka o postnatalnoj toksičnosti adalimumaba (vidjeti </w:t>
      </w:r>
      <w:r w:rsidR="004D4355" w:rsidRPr="004500D8">
        <w:rPr>
          <w:color w:val="000000"/>
          <w:sz w:val="22"/>
          <w:szCs w:val="22"/>
          <w:lang w:val="sr-Latn-ME"/>
        </w:rPr>
        <w:t>dio</w:t>
      </w:r>
      <w:r w:rsidRPr="004500D8">
        <w:rPr>
          <w:color w:val="000000"/>
          <w:sz w:val="22"/>
          <w:szCs w:val="22"/>
          <w:lang w:val="sr-Latn-ME"/>
        </w:rPr>
        <w:t xml:space="preserve"> 5.3).</w:t>
      </w:r>
    </w:p>
    <w:p w14:paraId="7805623E" w14:textId="77777777" w:rsidR="00596C07" w:rsidRPr="004500D8" w:rsidRDefault="00596C07" w:rsidP="00596C07">
      <w:pPr>
        <w:widowControl w:val="0"/>
        <w:autoSpaceDE w:val="0"/>
        <w:autoSpaceDN w:val="0"/>
        <w:adjustRightInd w:val="0"/>
        <w:jc w:val="both"/>
        <w:rPr>
          <w:color w:val="000000"/>
          <w:sz w:val="22"/>
          <w:szCs w:val="22"/>
          <w:lang w:val="sr-Latn-ME"/>
        </w:rPr>
      </w:pPr>
    </w:p>
    <w:p w14:paraId="0196CE67" w14:textId="7A47C52F" w:rsidR="00596C07" w:rsidRPr="004500D8" w:rsidRDefault="00596C07" w:rsidP="00596C07">
      <w:pPr>
        <w:widowControl w:val="0"/>
        <w:autoSpaceDE w:val="0"/>
        <w:autoSpaceDN w:val="0"/>
        <w:adjustRightInd w:val="0"/>
        <w:jc w:val="both"/>
        <w:rPr>
          <w:sz w:val="22"/>
          <w:szCs w:val="22"/>
          <w:lang w:val="sr-Latn-ME"/>
        </w:rPr>
      </w:pPr>
      <w:r w:rsidRPr="004500D8">
        <w:rPr>
          <w:color w:val="000000"/>
          <w:sz w:val="22"/>
          <w:szCs w:val="22"/>
          <w:lang w:val="sr-Latn-ME"/>
        </w:rPr>
        <w:t xml:space="preserve">Zbog inhibicije faktora tumorske nekroze α (TNFα), adalimumab primijenjen u trudnoći bi mogao </w:t>
      </w:r>
      <w:r w:rsidRPr="004500D8">
        <w:rPr>
          <w:color w:val="000000"/>
          <w:sz w:val="22"/>
          <w:szCs w:val="22"/>
          <w:lang w:val="sr-Latn-ME"/>
        </w:rPr>
        <w:lastRenderedPageBreak/>
        <w:t xml:space="preserve">uticati na normalne imunološke odgovore kod novorođenčeta. </w:t>
      </w:r>
      <w:r w:rsidRPr="004500D8">
        <w:rPr>
          <w:sz w:val="22"/>
          <w:szCs w:val="22"/>
          <w:lang w:val="sr-Latn-ME"/>
        </w:rPr>
        <w:t>Adalimumab tokom tudnoće treba da se koristi samo ukoliko je zaista neophodan.</w:t>
      </w:r>
    </w:p>
    <w:p w14:paraId="2E648688" w14:textId="77777777" w:rsidR="004D4355" w:rsidRPr="004500D8" w:rsidRDefault="004D4355" w:rsidP="00596C07">
      <w:pPr>
        <w:widowControl w:val="0"/>
        <w:autoSpaceDE w:val="0"/>
        <w:autoSpaceDN w:val="0"/>
        <w:adjustRightInd w:val="0"/>
        <w:jc w:val="both"/>
        <w:rPr>
          <w:color w:val="000000"/>
          <w:sz w:val="22"/>
          <w:szCs w:val="22"/>
          <w:lang w:val="sr-Latn-ME"/>
        </w:rPr>
      </w:pPr>
    </w:p>
    <w:p w14:paraId="1178EBDC" w14:textId="37E955CE" w:rsidR="00596C07" w:rsidRPr="004500D8" w:rsidRDefault="00596C07" w:rsidP="00596C07">
      <w:pPr>
        <w:widowControl w:val="0"/>
        <w:autoSpaceDE w:val="0"/>
        <w:autoSpaceDN w:val="0"/>
        <w:adjustRightInd w:val="0"/>
        <w:jc w:val="both"/>
        <w:rPr>
          <w:color w:val="000000"/>
          <w:sz w:val="22"/>
          <w:szCs w:val="22"/>
          <w:lang w:val="sr-Latn-ME" w:eastAsia="en-GB"/>
        </w:rPr>
      </w:pPr>
      <w:r w:rsidRPr="004500D8">
        <w:rPr>
          <w:bCs/>
          <w:color w:val="000000"/>
          <w:sz w:val="22"/>
          <w:szCs w:val="22"/>
          <w:lang w:val="sr-Latn-ME"/>
        </w:rPr>
        <w:t>A</w:t>
      </w:r>
      <w:r w:rsidRPr="004500D8">
        <w:rPr>
          <w:color w:val="000000"/>
          <w:sz w:val="22"/>
          <w:szCs w:val="22"/>
          <w:lang w:val="sr-Latn-ME" w:eastAsia="en-GB"/>
        </w:rPr>
        <w:t xml:space="preserve">dalimumab može preći iz posteljice u serum rođene djece čije su majke tokom trudnoće liječene adalimumabom. Stoga, ta djeca mogu imati povećan rizik od infekcija. Djeci koja su </w:t>
      </w:r>
      <w:r w:rsidRPr="004500D8">
        <w:rPr>
          <w:i/>
          <w:color w:val="000000"/>
          <w:sz w:val="22"/>
          <w:szCs w:val="22"/>
          <w:lang w:val="sr-Latn-ME" w:eastAsia="en-GB"/>
        </w:rPr>
        <w:t xml:space="preserve">in utero </w:t>
      </w:r>
      <w:r w:rsidRPr="004500D8">
        <w:rPr>
          <w:color w:val="000000"/>
          <w:sz w:val="22"/>
          <w:szCs w:val="22"/>
          <w:lang w:val="sr-Latn-ME" w:eastAsia="en-GB"/>
        </w:rPr>
        <w:t>bila izložena adalimumabu ne preporučuje se davanje živih vakcina</w:t>
      </w:r>
      <w:r w:rsidR="004D4355" w:rsidRPr="004500D8">
        <w:rPr>
          <w:color w:val="000000"/>
          <w:sz w:val="22"/>
          <w:szCs w:val="22"/>
          <w:lang w:val="sr-Latn-ME" w:eastAsia="en-GB"/>
        </w:rPr>
        <w:t xml:space="preserve"> </w:t>
      </w:r>
      <w:r w:rsidRPr="004500D8">
        <w:rPr>
          <w:color w:val="000000"/>
          <w:sz w:val="22"/>
          <w:szCs w:val="22"/>
          <w:lang w:val="sr-Latn-ME" w:eastAsia="en-GB"/>
        </w:rPr>
        <w:t>( npr. BCG vakcina) najmanje 5 mjeseci od kada je majka u trudnoći primila zadnju injekciju adalimumaba.</w:t>
      </w:r>
    </w:p>
    <w:p w14:paraId="66FD115D" w14:textId="77777777" w:rsidR="00596C07" w:rsidRPr="004500D8" w:rsidRDefault="00596C07" w:rsidP="00596C07">
      <w:pPr>
        <w:widowControl w:val="0"/>
        <w:autoSpaceDE w:val="0"/>
        <w:autoSpaceDN w:val="0"/>
        <w:adjustRightInd w:val="0"/>
        <w:jc w:val="both"/>
        <w:rPr>
          <w:color w:val="000000"/>
          <w:sz w:val="22"/>
          <w:szCs w:val="22"/>
          <w:lang w:val="sr-Latn-ME" w:eastAsia="en-GB"/>
        </w:rPr>
      </w:pPr>
    </w:p>
    <w:p w14:paraId="15901C34" w14:textId="77777777" w:rsidR="00596C07" w:rsidRPr="004500D8" w:rsidRDefault="00596C07" w:rsidP="00596C07">
      <w:pPr>
        <w:widowControl w:val="0"/>
        <w:autoSpaceDE w:val="0"/>
        <w:autoSpaceDN w:val="0"/>
        <w:adjustRightInd w:val="0"/>
        <w:jc w:val="both"/>
        <w:rPr>
          <w:color w:val="000000"/>
          <w:sz w:val="22"/>
          <w:szCs w:val="22"/>
          <w:u w:val="single"/>
          <w:lang w:val="sr-Latn-ME" w:eastAsia="en-GB"/>
        </w:rPr>
      </w:pPr>
      <w:r w:rsidRPr="004500D8">
        <w:rPr>
          <w:color w:val="000000"/>
          <w:sz w:val="22"/>
          <w:szCs w:val="22"/>
          <w:u w:val="single"/>
          <w:lang w:val="sr-Latn-ME" w:eastAsia="en-GB"/>
        </w:rPr>
        <w:t>Dojenje</w:t>
      </w:r>
    </w:p>
    <w:p w14:paraId="5496B8FA" w14:textId="77777777" w:rsidR="00596C07" w:rsidRPr="004500D8" w:rsidRDefault="00596C07" w:rsidP="00596C07">
      <w:pPr>
        <w:widowControl w:val="0"/>
        <w:autoSpaceDE w:val="0"/>
        <w:autoSpaceDN w:val="0"/>
        <w:adjustRightInd w:val="0"/>
        <w:jc w:val="both"/>
        <w:rPr>
          <w:color w:val="000000"/>
          <w:sz w:val="22"/>
          <w:szCs w:val="22"/>
          <w:lang w:val="sr-Latn-ME"/>
        </w:rPr>
      </w:pPr>
    </w:p>
    <w:p w14:paraId="3543309A" w14:textId="77777777" w:rsidR="00596C07" w:rsidRPr="004500D8" w:rsidRDefault="00596C07" w:rsidP="00596C07">
      <w:pPr>
        <w:widowControl w:val="0"/>
        <w:autoSpaceDE w:val="0"/>
        <w:autoSpaceDN w:val="0"/>
        <w:adjustRightInd w:val="0"/>
        <w:jc w:val="both"/>
        <w:rPr>
          <w:color w:val="000000"/>
          <w:sz w:val="22"/>
          <w:szCs w:val="22"/>
          <w:u w:val="single"/>
          <w:lang w:val="sr-Latn-ME"/>
        </w:rPr>
      </w:pPr>
      <w:r w:rsidRPr="004500D8">
        <w:rPr>
          <w:sz w:val="22"/>
          <w:szCs w:val="22"/>
          <w:lang w:val="sr-Latn-ME"/>
        </w:rPr>
        <w:t>Ograničeni podaci iz objavljene literature ukazuju na to da se adalimumab izlučuje u majčino mlijeko u vrlo maloj koncentraciji, te da koncentracije adalimumaba u majčinom mlijeku iznose 0,1% do 1% nivoa u serumu majke. Kada se primjenjuju peroralno, imunoglobulin G proteini prolaze proteolizu u crijevima te imaju malu bioraspoloživost. Ne očekuje se djelovanje tokom dojenja na novorođenčad/odojčad, tako da se lijek Humira može primjenjivati tokom dojenja.</w:t>
      </w:r>
    </w:p>
    <w:p w14:paraId="6DAC5F5B" w14:textId="77777777" w:rsidR="00596C07" w:rsidRPr="004500D8" w:rsidRDefault="00596C07" w:rsidP="00596C07">
      <w:pPr>
        <w:widowControl w:val="0"/>
        <w:autoSpaceDE w:val="0"/>
        <w:autoSpaceDN w:val="0"/>
        <w:adjustRightInd w:val="0"/>
        <w:jc w:val="both"/>
        <w:rPr>
          <w:color w:val="000000"/>
          <w:sz w:val="22"/>
          <w:szCs w:val="22"/>
          <w:u w:val="single"/>
          <w:lang w:val="sr-Latn-ME"/>
        </w:rPr>
      </w:pPr>
    </w:p>
    <w:p w14:paraId="08D316FB" w14:textId="77777777" w:rsidR="00596C07" w:rsidRPr="004500D8" w:rsidRDefault="00596C07" w:rsidP="00596C07">
      <w:pPr>
        <w:widowControl w:val="0"/>
        <w:autoSpaceDE w:val="0"/>
        <w:autoSpaceDN w:val="0"/>
        <w:adjustRightInd w:val="0"/>
        <w:jc w:val="both"/>
        <w:rPr>
          <w:color w:val="000000"/>
          <w:sz w:val="22"/>
          <w:szCs w:val="22"/>
          <w:u w:val="single"/>
          <w:lang w:val="sr-Latn-ME"/>
        </w:rPr>
      </w:pPr>
      <w:r w:rsidRPr="004500D8">
        <w:rPr>
          <w:color w:val="000000"/>
          <w:sz w:val="22"/>
          <w:szCs w:val="22"/>
          <w:u w:val="single"/>
          <w:lang w:val="sr-Latn-ME"/>
        </w:rPr>
        <w:t>Fertilitet</w:t>
      </w:r>
    </w:p>
    <w:p w14:paraId="25254479" w14:textId="77777777" w:rsidR="00596C07" w:rsidRPr="004500D8" w:rsidRDefault="00596C07" w:rsidP="00596C07">
      <w:pPr>
        <w:widowControl w:val="0"/>
        <w:autoSpaceDE w:val="0"/>
        <w:autoSpaceDN w:val="0"/>
        <w:adjustRightInd w:val="0"/>
        <w:jc w:val="both"/>
        <w:rPr>
          <w:color w:val="000000"/>
          <w:sz w:val="22"/>
          <w:szCs w:val="22"/>
          <w:lang w:val="sr-Latn-ME"/>
        </w:rPr>
      </w:pPr>
    </w:p>
    <w:p w14:paraId="21C08CA8"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Pretklinički podaci o uticaju adalimumaba na plodnost nisu dostupni.</w:t>
      </w:r>
    </w:p>
    <w:p w14:paraId="72E0D36F" w14:textId="77777777" w:rsidR="00596C07" w:rsidRPr="004500D8" w:rsidRDefault="00596C07" w:rsidP="00596C07">
      <w:pPr>
        <w:tabs>
          <w:tab w:val="left" w:pos="540"/>
          <w:tab w:val="left" w:pos="569"/>
        </w:tabs>
        <w:rPr>
          <w:b/>
          <w:bCs/>
          <w:sz w:val="22"/>
          <w:szCs w:val="22"/>
          <w:lang w:val="sr-Latn-ME"/>
        </w:rPr>
      </w:pPr>
    </w:p>
    <w:p w14:paraId="361C3153" w14:textId="77777777" w:rsidR="00596C07" w:rsidRPr="004500D8" w:rsidRDefault="00596C07" w:rsidP="00596C07">
      <w:pPr>
        <w:tabs>
          <w:tab w:val="left" w:pos="540"/>
          <w:tab w:val="left" w:pos="569"/>
        </w:tabs>
        <w:ind w:left="540" w:hanging="540"/>
        <w:jc w:val="both"/>
        <w:rPr>
          <w:b/>
          <w:bCs/>
          <w:sz w:val="22"/>
          <w:szCs w:val="22"/>
          <w:lang w:val="sr-Latn-ME"/>
        </w:rPr>
      </w:pPr>
      <w:r w:rsidRPr="004500D8">
        <w:rPr>
          <w:b/>
          <w:bCs/>
          <w:sz w:val="22"/>
          <w:szCs w:val="22"/>
          <w:lang w:val="sr-Latn-ME"/>
        </w:rPr>
        <w:t xml:space="preserve">4.7. </w:t>
      </w:r>
      <w:r w:rsidRPr="004500D8">
        <w:rPr>
          <w:b/>
          <w:bCs/>
          <w:sz w:val="22"/>
          <w:szCs w:val="22"/>
          <w:lang w:val="sr-Latn-ME"/>
        </w:rPr>
        <w:tab/>
        <w:t>Uticaj na psihofizičke sposobnosti prilikom upravljanja motornim vozilima i rukovanja mašinama</w:t>
      </w:r>
    </w:p>
    <w:p w14:paraId="729D1B7C" w14:textId="77777777" w:rsidR="00596C07" w:rsidRPr="004500D8" w:rsidRDefault="00596C07" w:rsidP="00596C07">
      <w:pPr>
        <w:tabs>
          <w:tab w:val="left" w:pos="540"/>
          <w:tab w:val="left" w:pos="569"/>
        </w:tabs>
        <w:rPr>
          <w:b/>
          <w:bCs/>
          <w:sz w:val="22"/>
          <w:szCs w:val="22"/>
          <w:lang w:val="sr-Latn-ME"/>
        </w:rPr>
      </w:pPr>
    </w:p>
    <w:p w14:paraId="10345830"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Lijek Humira može malo uticati na sposobnost upravljanja motornim vozilima i rukovanja mašinama. Vrtoglavica i poremećaji vida se mogu pojaviti nakon primjene </w:t>
      </w:r>
      <w:r w:rsidRPr="004500D8">
        <w:rPr>
          <w:sz w:val="22"/>
          <w:szCs w:val="22"/>
          <w:lang w:val="sr-Latn-ME"/>
        </w:rPr>
        <w:t xml:space="preserve">lijeka </w:t>
      </w:r>
      <w:r w:rsidRPr="004500D8">
        <w:rPr>
          <w:color w:val="000000"/>
          <w:sz w:val="22"/>
          <w:szCs w:val="22"/>
          <w:lang w:val="sr-Latn-ME"/>
        </w:rPr>
        <w:t>Humira (vidjeti odjeljak 4.8).</w:t>
      </w:r>
    </w:p>
    <w:p w14:paraId="4327F1E5" w14:textId="77777777" w:rsidR="00596C07" w:rsidRPr="004500D8" w:rsidRDefault="00596C07" w:rsidP="00596C07">
      <w:pPr>
        <w:tabs>
          <w:tab w:val="left" w:pos="540"/>
          <w:tab w:val="left" w:pos="569"/>
        </w:tabs>
        <w:jc w:val="both"/>
        <w:rPr>
          <w:b/>
          <w:bCs/>
          <w:sz w:val="22"/>
          <w:szCs w:val="22"/>
          <w:lang w:val="sr-Latn-ME"/>
        </w:rPr>
      </w:pPr>
    </w:p>
    <w:p w14:paraId="6E77AA77" w14:textId="77777777" w:rsidR="00596C07" w:rsidRPr="004500D8" w:rsidRDefault="00596C07" w:rsidP="00596C07">
      <w:pPr>
        <w:tabs>
          <w:tab w:val="left" w:pos="540"/>
          <w:tab w:val="left" w:pos="569"/>
        </w:tabs>
        <w:jc w:val="both"/>
        <w:rPr>
          <w:b/>
          <w:bCs/>
          <w:sz w:val="22"/>
          <w:szCs w:val="22"/>
          <w:lang w:val="sr-Latn-ME"/>
        </w:rPr>
      </w:pPr>
    </w:p>
    <w:p w14:paraId="7FD393FC" w14:textId="77777777" w:rsidR="00596C07" w:rsidRPr="004500D8" w:rsidRDefault="00596C07" w:rsidP="00596C07">
      <w:pPr>
        <w:tabs>
          <w:tab w:val="left" w:pos="540"/>
          <w:tab w:val="left" w:pos="569"/>
        </w:tabs>
        <w:jc w:val="both"/>
        <w:rPr>
          <w:b/>
          <w:bCs/>
          <w:sz w:val="22"/>
          <w:szCs w:val="22"/>
          <w:lang w:val="sr-Latn-ME"/>
        </w:rPr>
      </w:pPr>
      <w:r w:rsidRPr="004500D8">
        <w:rPr>
          <w:b/>
          <w:bCs/>
          <w:sz w:val="22"/>
          <w:szCs w:val="22"/>
          <w:lang w:val="sr-Latn-ME"/>
        </w:rPr>
        <w:t xml:space="preserve">4.8. </w:t>
      </w:r>
      <w:r w:rsidRPr="004500D8">
        <w:rPr>
          <w:b/>
          <w:bCs/>
          <w:sz w:val="22"/>
          <w:szCs w:val="22"/>
          <w:lang w:val="sr-Latn-ME"/>
        </w:rPr>
        <w:tab/>
        <w:t>Neželjena dejstva</w:t>
      </w:r>
    </w:p>
    <w:p w14:paraId="72E11504" w14:textId="77777777" w:rsidR="00596C07" w:rsidRPr="004500D8" w:rsidRDefault="00596C07" w:rsidP="00596C07">
      <w:pPr>
        <w:tabs>
          <w:tab w:val="left" w:pos="540"/>
          <w:tab w:val="left" w:pos="569"/>
        </w:tabs>
        <w:jc w:val="both"/>
        <w:rPr>
          <w:b/>
          <w:bCs/>
          <w:sz w:val="22"/>
          <w:szCs w:val="22"/>
          <w:lang w:val="sr-Latn-ME"/>
        </w:rPr>
      </w:pPr>
    </w:p>
    <w:p w14:paraId="3FF03F00" w14:textId="77777777" w:rsidR="00596C07" w:rsidRPr="004500D8" w:rsidRDefault="00596C07" w:rsidP="00596C07">
      <w:pPr>
        <w:tabs>
          <w:tab w:val="left" w:pos="540"/>
          <w:tab w:val="left" w:pos="569"/>
        </w:tabs>
        <w:jc w:val="both"/>
        <w:rPr>
          <w:sz w:val="22"/>
          <w:szCs w:val="22"/>
          <w:u w:val="single"/>
          <w:lang w:val="sr-Latn-ME"/>
        </w:rPr>
      </w:pPr>
      <w:r w:rsidRPr="004500D8">
        <w:rPr>
          <w:sz w:val="22"/>
          <w:szCs w:val="22"/>
          <w:u w:val="single"/>
          <w:lang w:val="sr-Latn-ME"/>
        </w:rPr>
        <w:t>Sažetak bezbjednosnog profila</w:t>
      </w:r>
    </w:p>
    <w:p w14:paraId="7EADC946" w14:textId="77777777" w:rsidR="00596C07" w:rsidRPr="004500D8" w:rsidRDefault="00596C07" w:rsidP="00596C07">
      <w:pPr>
        <w:tabs>
          <w:tab w:val="left" w:pos="540"/>
          <w:tab w:val="left" w:pos="569"/>
        </w:tabs>
        <w:jc w:val="both"/>
        <w:rPr>
          <w:b/>
          <w:bCs/>
          <w:sz w:val="22"/>
          <w:szCs w:val="22"/>
          <w:lang w:val="sr-Latn-ME"/>
        </w:rPr>
      </w:pPr>
    </w:p>
    <w:p w14:paraId="6C0F804F" w14:textId="573507E1" w:rsidR="00596C07" w:rsidRPr="004500D8" w:rsidRDefault="00596C07" w:rsidP="00596C07">
      <w:pPr>
        <w:tabs>
          <w:tab w:val="left" w:pos="540"/>
          <w:tab w:val="left" w:pos="569"/>
        </w:tabs>
        <w:jc w:val="both"/>
        <w:rPr>
          <w:sz w:val="22"/>
          <w:szCs w:val="22"/>
          <w:lang w:val="sr-Latn-ME"/>
        </w:rPr>
      </w:pPr>
      <w:r w:rsidRPr="004500D8">
        <w:rPr>
          <w:sz w:val="22"/>
          <w:szCs w:val="22"/>
          <w:lang w:val="sr-Latn-ME"/>
        </w:rPr>
        <w:t xml:space="preserve">Humira je ispitivana u pivotalnim kontrolisanim i otvorenim ispitivanjima kod 9506 pacijenata kroz period do 60 mjeseci ili više. Ispitivanjima su obuhvaćeni pacijenti s nedavnom pojavom reumatoidnog artritisa i oni s dugotrajnom bolešću, te pacijenti s juvenilnim idiopatskim artritisom (poliartikularnim juvenilnim idiopatskim artritisom i artritisom povezanim sa entezitisom), kao i ankilozirajućim spondilitisom, aksijalnim spondiloartritisom bez radiološkog nalaza AS-a, psorijatičnim artritisom, Crohnovom bolesti, ulceroznim kolitisom, psorijazom, gnojnim hidradenitisom i uveitisom. </w:t>
      </w:r>
      <w:r w:rsidR="00712A80" w:rsidRPr="004500D8">
        <w:rPr>
          <w:sz w:val="22"/>
          <w:szCs w:val="22"/>
          <w:lang w:val="sr-Latn-ME"/>
        </w:rPr>
        <w:t>P</w:t>
      </w:r>
      <w:r w:rsidRPr="004500D8">
        <w:rPr>
          <w:sz w:val="22"/>
          <w:szCs w:val="22"/>
          <w:lang w:val="sr-Latn-ME"/>
        </w:rPr>
        <w:t>ivotal</w:t>
      </w:r>
      <w:r w:rsidR="00712A80" w:rsidRPr="004500D8">
        <w:rPr>
          <w:sz w:val="22"/>
          <w:szCs w:val="22"/>
          <w:lang w:val="sr-Latn-ME"/>
        </w:rPr>
        <w:t>na</w:t>
      </w:r>
      <w:r w:rsidRPr="004500D8">
        <w:rPr>
          <w:sz w:val="22"/>
          <w:szCs w:val="22"/>
          <w:lang w:val="sr-Latn-ME"/>
        </w:rPr>
        <w:t xml:space="preserve"> kontrolisa</w:t>
      </w:r>
      <w:r w:rsidR="00712A80" w:rsidRPr="004500D8">
        <w:rPr>
          <w:sz w:val="22"/>
          <w:szCs w:val="22"/>
          <w:lang w:val="sr-Latn-ME"/>
        </w:rPr>
        <w:t>na</w:t>
      </w:r>
      <w:r w:rsidRPr="004500D8">
        <w:rPr>
          <w:sz w:val="22"/>
          <w:szCs w:val="22"/>
          <w:lang w:val="sr-Latn-ME"/>
        </w:rPr>
        <w:t xml:space="preserve"> ispitivanj</w:t>
      </w:r>
      <w:r w:rsidR="00712A80" w:rsidRPr="004500D8">
        <w:rPr>
          <w:sz w:val="22"/>
          <w:szCs w:val="22"/>
          <w:lang w:val="sr-Latn-ME"/>
        </w:rPr>
        <w:t>a</w:t>
      </w:r>
      <w:r w:rsidRPr="004500D8">
        <w:rPr>
          <w:sz w:val="22"/>
          <w:szCs w:val="22"/>
          <w:lang w:val="sr-Latn-ME"/>
        </w:rPr>
        <w:t xml:space="preserve"> </w:t>
      </w:r>
      <w:r w:rsidR="00712A80" w:rsidRPr="004500D8">
        <w:rPr>
          <w:sz w:val="22"/>
          <w:szCs w:val="22"/>
          <w:lang w:val="sr-Latn-ME"/>
        </w:rPr>
        <w:t>uključivala su</w:t>
      </w:r>
      <w:r w:rsidRPr="004500D8">
        <w:rPr>
          <w:sz w:val="22"/>
          <w:szCs w:val="22"/>
          <w:lang w:val="sr-Latn-ME"/>
        </w:rPr>
        <w:t xml:space="preserve"> 6089 pacijenata liječenih lijekom Humira i 3801 pacijenata liječenih placebom, ili nekim aktivnim poredbenim lijek u kontrolisanom periodu</w:t>
      </w:r>
      <w:r w:rsidR="00712A80" w:rsidRPr="004500D8">
        <w:rPr>
          <w:sz w:val="22"/>
          <w:szCs w:val="22"/>
          <w:lang w:val="sr-Latn-ME"/>
        </w:rPr>
        <w:t>.</w:t>
      </w:r>
    </w:p>
    <w:p w14:paraId="29BA3689" w14:textId="77777777" w:rsidR="00596C07" w:rsidRPr="004500D8" w:rsidRDefault="00596C07" w:rsidP="00596C07">
      <w:pPr>
        <w:widowControl w:val="0"/>
        <w:autoSpaceDE w:val="0"/>
        <w:autoSpaceDN w:val="0"/>
        <w:adjustRightInd w:val="0"/>
        <w:jc w:val="both"/>
        <w:rPr>
          <w:color w:val="000000"/>
          <w:sz w:val="22"/>
          <w:szCs w:val="22"/>
          <w:lang w:val="sr-Latn-ME"/>
        </w:rPr>
      </w:pPr>
    </w:p>
    <w:p w14:paraId="67CAE588"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U dvostruko slijepim, kontrolisanim djelovima pivotalnih ispitivanja, liječenje je zbog neželjenih dejstava prekinuto kod 5.9% pacijenata koji su dobijali lijek Humira, odnosno 5.4% pacijenata iz kontrolne grupe.</w:t>
      </w:r>
    </w:p>
    <w:p w14:paraId="6DD48259" w14:textId="77777777" w:rsidR="00596C07" w:rsidRPr="004500D8" w:rsidRDefault="00596C07" w:rsidP="00596C07">
      <w:pPr>
        <w:autoSpaceDE w:val="0"/>
        <w:autoSpaceDN w:val="0"/>
        <w:adjustRightInd w:val="0"/>
        <w:jc w:val="both"/>
        <w:rPr>
          <w:sz w:val="22"/>
          <w:szCs w:val="22"/>
          <w:lang w:val="sr-Latn-ME"/>
        </w:rPr>
      </w:pPr>
    </w:p>
    <w:p w14:paraId="0C997869"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 xml:space="preserve">Najčešće prijavljivana neželjena dejstva su infekcije (kao što su  nazofaringitis, infekcija gornjih disajnih puteva i sinusitis), reakcije na mjestu primijene (eritem, svrab, krvarenje, bol ili oticanje), glavobolja i mišićno-koštana bol. </w:t>
      </w:r>
    </w:p>
    <w:p w14:paraId="76AD1328" w14:textId="77777777" w:rsidR="00596C07" w:rsidRPr="004500D8" w:rsidRDefault="00596C07" w:rsidP="00596C07">
      <w:pPr>
        <w:autoSpaceDE w:val="0"/>
        <w:autoSpaceDN w:val="0"/>
        <w:adjustRightInd w:val="0"/>
        <w:jc w:val="both"/>
        <w:rPr>
          <w:sz w:val="22"/>
          <w:szCs w:val="22"/>
          <w:lang w:val="sr-Latn-ME"/>
        </w:rPr>
      </w:pPr>
    </w:p>
    <w:p w14:paraId="68C4DC84"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Za lijek Humira su prijavljena ozbiljna neželjena dejstva. TNF-antagonisti, kao lijek Humira, djeluju na imunološki sistem te njihova primjena može uticati na odbranu tijela od infekcija i karcinoma. Prilikom upotrebe lijeka Humira su takođe prijavljene infekcije sa smrtnim ishodom i po život opasne infekcije (uključujući sepsu, oportunističke infekcije i tuberkulozu), reaktivacija HBV-a i razne maligne promjene (uključujući leukemiju, limfom i hepatosplenični T-ćelijski limfom).</w:t>
      </w:r>
    </w:p>
    <w:p w14:paraId="634C9EE0" w14:textId="77777777" w:rsidR="00596C07" w:rsidRPr="004500D8" w:rsidRDefault="00596C07" w:rsidP="00596C07">
      <w:pPr>
        <w:autoSpaceDE w:val="0"/>
        <w:autoSpaceDN w:val="0"/>
        <w:adjustRightInd w:val="0"/>
        <w:jc w:val="both"/>
        <w:rPr>
          <w:sz w:val="22"/>
          <w:szCs w:val="22"/>
          <w:lang w:val="sr-Latn-ME"/>
        </w:rPr>
      </w:pPr>
    </w:p>
    <w:p w14:paraId="0D77D8EF"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Takođe su prijavljene ozbiljne hematološke, neurološke i autoimune reakcije. One uključuju rijetke prijave pancitopenije, aplastične anemije, centralnih i perifernih demijelinizirajućih događaja i prijave lupusa, stanja povezanih s lupusom i Stevens-Johnsonov sindrom.</w:t>
      </w:r>
    </w:p>
    <w:p w14:paraId="49CA0F55" w14:textId="77777777" w:rsidR="00596C07" w:rsidRPr="004500D8" w:rsidRDefault="00596C07" w:rsidP="00596C07">
      <w:pPr>
        <w:widowControl w:val="0"/>
        <w:autoSpaceDE w:val="0"/>
        <w:autoSpaceDN w:val="0"/>
        <w:adjustRightInd w:val="0"/>
        <w:jc w:val="both"/>
        <w:rPr>
          <w:color w:val="000000"/>
          <w:sz w:val="22"/>
          <w:szCs w:val="22"/>
          <w:lang w:val="sr-Latn-ME"/>
        </w:rPr>
      </w:pPr>
    </w:p>
    <w:p w14:paraId="67BB06CB" w14:textId="77777777" w:rsidR="00596C07" w:rsidRPr="004500D8" w:rsidRDefault="00596C07" w:rsidP="00596C07">
      <w:pPr>
        <w:widowControl w:val="0"/>
        <w:autoSpaceDE w:val="0"/>
        <w:autoSpaceDN w:val="0"/>
        <w:adjustRightInd w:val="0"/>
        <w:jc w:val="both"/>
        <w:rPr>
          <w:i/>
          <w:color w:val="000000"/>
          <w:sz w:val="22"/>
          <w:szCs w:val="22"/>
          <w:lang w:val="sr-Latn-ME"/>
        </w:rPr>
      </w:pPr>
      <w:r w:rsidRPr="004500D8">
        <w:rPr>
          <w:color w:val="000000"/>
          <w:sz w:val="22"/>
          <w:szCs w:val="22"/>
          <w:u w:val="single"/>
          <w:lang w:val="sr-Latn-ME"/>
        </w:rPr>
        <w:t>Pedijatrijska populacija</w:t>
      </w:r>
    </w:p>
    <w:p w14:paraId="0D008E90" w14:textId="77777777" w:rsidR="00596C07" w:rsidRPr="004500D8" w:rsidRDefault="00596C07" w:rsidP="00596C07">
      <w:pPr>
        <w:widowControl w:val="0"/>
        <w:autoSpaceDE w:val="0"/>
        <w:autoSpaceDN w:val="0"/>
        <w:adjustRightInd w:val="0"/>
        <w:jc w:val="both"/>
        <w:rPr>
          <w:color w:val="000000"/>
          <w:sz w:val="22"/>
          <w:szCs w:val="22"/>
          <w:lang w:val="sr-Latn-ME"/>
        </w:rPr>
      </w:pPr>
    </w:p>
    <w:p w14:paraId="6969E49B"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Uopšte, neželjena dejstva kod pedijatrijskih pacijenata su prema učestalosti i tipu bila slična onima kod odraslih pacijenata.</w:t>
      </w:r>
    </w:p>
    <w:p w14:paraId="1E73F44A" w14:textId="77777777" w:rsidR="00596C07" w:rsidRPr="004500D8" w:rsidRDefault="00596C07" w:rsidP="00596C07">
      <w:pPr>
        <w:widowControl w:val="0"/>
        <w:autoSpaceDE w:val="0"/>
        <w:autoSpaceDN w:val="0"/>
        <w:adjustRightInd w:val="0"/>
        <w:jc w:val="both"/>
        <w:rPr>
          <w:color w:val="000000"/>
          <w:sz w:val="22"/>
          <w:szCs w:val="22"/>
          <w:lang w:val="sr-Latn-ME"/>
        </w:rPr>
      </w:pPr>
    </w:p>
    <w:p w14:paraId="616F7686" w14:textId="77777777" w:rsidR="00596C07" w:rsidRPr="004500D8" w:rsidRDefault="00596C07" w:rsidP="00596C07">
      <w:pPr>
        <w:widowControl w:val="0"/>
        <w:autoSpaceDE w:val="0"/>
        <w:autoSpaceDN w:val="0"/>
        <w:adjustRightInd w:val="0"/>
        <w:jc w:val="both"/>
        <w:rPr>
          <w:color w:val="000000"/>
          <w:sz w:val="22"/>
          <w:szCs w:val="22"/>
          <w:u w:val="single"/>
          <w:lang w:val="sr-Latn-ME"/>
        </w:rPr>
      </w:pPr>
      <w:r w:rsidRPr="004500D8">
        <w:rPr>
          <w:color w:val="000000"/>
          <w:sz w:val="22"/>
          <w:szCs w:val="22"/>
          <w:u w:val="single"/>
          <w:lang w:val="sr-Latn-ME"/>
        </w:rPr>
        <w:t>Tabelarni pregled neželjenih dejstava</w:t>
      </w:r>
    </w:p>
    <w:p w14:paraId="0C22E300" w14:textId="77777777" w:rsidR="00596C07" w:rsidRPr="004500D8" w:rsidRDefault="00596C07" w:rsidP="00596C07">
      <w:pPr>
        <w:widowControl w:val="0"/>
        <w:autoSpaceDE w:val="0"/>
        <w:autoSpaceDN w:val="0"/>
        <w:adjustRightInd w:val="0"/>
        <w:jc w:val="both"/>
        <w:rPr>
          <w:color w:val="000000"/>
          <w:sz w:val="22"/>
          <w:szCs w:val="22"/>
          <w:lang w:val="sr-Latn-ME"/>
        </w:rPr>
      </w:pPr>
    </w:p>
    <w:p w14:paraId="1CF424D7" w14:textId="0FB9B460" w:rsidR="00712A80" w:rsidRPr="004500D8" w:rsidRDefault="00596C07" w:rsidP="003B242C">
      <w:pPr>
        <w:widowControl w:val="0"/>
        <w:autoSpaceDE w:val="0"/>
        <w:autoSpaceDN w:val="0"/>
        <w:adjustRightInd w:val="0"/>
        <w:rPr>
          <w:b/>
          <w:bCs/>
          <w:color w:val="000000"/>
          <w:sz w:val="22"/>
          <w:szCs w:val="22"/>
          <w:lang w:val="sr-Latn-ME"/>
        </w:rPr>
      </w:pPr>
      <w:r w:rsidRPr="004500D8">
        <w:rPr>
          <w:color w:val="000000"/>
          <w:sz w:val="22"/>
          <w:szCs w:val="22"/>
          <w:lang w:val="sr-Latn-ME"/>
        </w:rPr>
        <w:t xml:space="preserve">Sljedeći popis neželjenih dejstava zasniva se na iskustvu iz kliničkih ispitivanja i nakon stavljanja lijeka u promet. Neželjena dejstva prikazana su u Tabeli 4 koja slijedi, prema </w:t>
      </w:r>
      <w:r w:rsidR="00870159" w:rsidRPr="004500D8">
        <w:rPr>
          <w:color w:val="000000"/>
          <w:sz w:val="22"/>
          <w:szCs w:val="22"/>
          <w:lang w:val="sr-Latn-ME"/>
        </w:rPr>
        <w:t>sistemu organa</w:t>
      </w:r>
      <w:r w:rsidRPr="004500D8">
        <w:rPr>
          <w:color w:val="000000"/>
          <w:sz w:val="22"/>
          <w:szCs w:val="22"/>
          <w:lang w:val="sr-Latn-ME"/>
        </w:rPr>
        <w:t xml:space="preserve"> i učestalosti (veoma često (≥ 1/10),  često (≥1/100 i &lt;1/10),  povremeno (≥1/1000  i &lt;1/100),  rijetko (≥1/10 000 i &lt;1/1000), veoma rijetko (&lt;1/10 000) i nepoznato (ne može se procijeniti iz dostupnih podataka)). U svakoj grupi učestalosti su neželjena dejstva raspoređena od ozbiljnijih prema manje ozbiljnim. U slučaju različitih učestalosti zavisno od indikacije, naznačene su one najučestalije. Zvjezdica (*) u koloni </w:t>
      </w:r>
      <w:r w:rsidR="00870159" w:rsidRPr="004500D8">
        <w:rPr>
          <w:color w:val="000000"/>
          <w:sz w:val="22"/>
          <w:szCs w:val="22"/>
          <w:lang w:val="sr-Latn-ME"/>
        </w:rPr>
        <w:t>Sistem organa</w:t>
      </w:r>
      <w:r w:rsidRPr="004500D8">
        <w:rPr>
          <w:color w:val="000000"/>
          <w:sz w:val="22"/>
          <w:szCs w:val="22"/>
          <w:lang w:val="sr-Latn-ME"/>
        </w:rPr>
        <w:t xml:space="preserve"> označava da se detaljnije informacije mogu pronaći u </w:t>
      </w:r>
      <w:r w:rsidR="00870159" w:rsidRPr="004500D8">
        <w:rPr>
          <w:color w:val="000000"/>
          <w:sz w:val="22"/>
          <w:szCs w:val="22"/>
          <w:lang w:val="sr-Latn-ME"/>
        </w:rPr>
        <w:t xml:space="preserve">djelovima </w:t>
      </w:r>
      <w:r w:rsidRPr="004500D8">
        <w:rPr>
          <w:color w:val="000000"/>
          <w:sz w:val="22"/>
          <w:szCs w:val="22"/>
          <w:lang w:val="sr-Latn-ME"/>
        </w:rPr>
        <w:t>4.3, 4.4 i 4.8.</w:t>
      </w:r>
    </w:p>
    <w:p w14:paraId="1A7C077F" w14:textId="77777777" w:rsidR="00712A80" w:rsidRPr="004500D8" w:rsidRDefault="00712A80" w:rsidP="00AA731E">
      <w:pPr>
        <w:widowControl w:val="0"/>
        <w:autoSpaceDE w:val="0"/>
        <w:autoSpaceDN w:val="0"/>
        <w:adjustRightInd w:val="0"/>
        <w:ind w:left="567" w:hanging="567"/>
        <w:jc w:val="center"/>
        <w:rPr>
          <w:b/>
          <w:bCs/>
          <w:color w:val="000000"/>
          <w:sz w:val="22"/>
          <w:szCs w:val="22"/>
          <w:lang w:val="sr-Latn-ME"/>
        </w:rPr>
      </w:pPr>
    </w:p>
    <w:p w14:paraId="1AD21F72" w14:textId="624972C8" w:rsidR="00596C07" w:rsidRPr="004500D8" w:rsidRDefault="00596C07" w:rsidP="003B242C">
      <w:pPr>
        <w:widowControl w:val="0"/>
        <w:autoSpaceDE w:val="0"/>
        <w:autoSpaceDN w:val="0"/>
        <w:adjustRightInd w:val="0"/>
        <w:ind w:left="567" w:hanging="567"/>
        <w:jc w:val="both"/>
        <w:rPr>
          <w:b/>
          <w:bCs/>
          <w:color w:val="000000"/>
          <w:sz w:val="22"/>
          <w:szCs w:val="22"/>
          <w:lang w:val="sr-Latn-ME"/>
        </w:rPr>
      </w:pPr>
      <w:r w:rsidRPr="004500D8">
        <w:rPr>
          <w:b/>
          <w:bCs/>
          <w:color w:val="000000"/>
          <w:sz w:val="22"/>
          <w:szCs w:val="22"/>
          <w:lang w:val="sr-Latn-ME"/>
        </w:rPr>
        <w:t>Tabela 4</w:t>
      </w:r>
      <w:r w:rsidR="00870159" w:rsidRPr="004500D8">
        <w:rPr>
          <w:b/>
          <w:bCs/>
          <w:color w:val="000000"/>
          <w:sz w:val="22"/>
          <w:szCs w:val="22"/>
          <w:lang w:val="sr-Latn-ME"/>
        </w:rPr>
        <w:t xml:space="preserve">. </w:t>
      </w:r>
      <w:r w:rsidRPr="004500D8">
        <w:rPr>
          <w:b/>
          <w:bCs/>
          <w:color w:val="000000"/>
          <w:sz w:val="22"/>
          <w:szCs w:val="22"/>
          <w:lang w:val="sr-Latn-ME"/>
        </w:rPr>
        <w:t>Neželjena dejstva</w:t>
      </w:r>
    </w:p>
    <w:p w14:paraId="0A0D0E24" w14:textId="77777777" w:rsidR="00596C07" w:rsidRPr="004500D8" w:rsidRDefault="00596C07" w:rsidP="00596C07">
      <w:pPr>
        <w:widowControl w:val="0"/>
        <w:autoSpaceDE w:val="0"/>
        <w:autoSpaceDN w:val="0"/>
        <w:adjustRightInd w:val="0"/>
        <w:ind w:left="567" w:hanging="567"/>
        <w:jc w:val="center"/>
        <w:rPr>
          <w:color w:val="000000"/>
          <w:sz w:val="22"/>
          <w:szCs w:val="22"/>
          <w:lang w:val="sr-Latn-ME"/>
        </w:rPr>
      </w:pPr>
    </w:p>
    <w:tbl>
      <w:tblPr>
        <w:tblW w:w="0" w:type="auto"/>
        <w:tblInd w:w="108" w:type="dxa"/>
        <w:tblLook w:val="0000" w:firstRow="0" w:lastRow="0" w:firstColumn="0" w:lastColumn="0" w:noHBand="0" w:noVBand="0"/>
      </w:tblPr>
      <w:tblGrid>
        <w:gridCol w:w="2522"/>
        <w:gridCol w:w="1393"/>
        <w:gridCol w:w="5030"/>
      </w:tblGrid>
      <w:tr w:rsidR="00596C07" w:rsidRPr="004500D8" w14:paraId="2A1CFCE9" w14:textId="77777777" w:rsidTr="00CA3FA1">
        <w:trPr>
          <w:trHeight w:val="305"/>
        </w:trPr>
        <w:tc>
          <w:tcPr>
            <w:tcW w:w="2522" w:type="dxa"/>
            <w:tcBorders>
              <w:top w:val="single" w:sz="8" w:space="0" w:color="000000"/>
              <w:left w:val="single" w:sz="8" w:space="0" w:color="000000"/>
              <w:bottom w:val="single" w:sz="8" w:space="0" w:color="000000"/>
              <w:right w:val="single" w:sz="8" w:space="0" w:color="000000"/>
            </w:tcBorders>
          </w:tcPr>
          <w:p w14:paraId="31E4379F" w14:textId="36C54D6E" w:rsidR="00596C07" w:rsidRPr="004500D8" w:rsidRDefault="00870159" w:rsidP="00596C07">
            <w:pPr>
              <w:widowControl w:val="0"/>
              <w:autoSpaceDE w:val="0"/>
              <w:autoSpaceDN w:val="0"/>
              <w:adjustRightInd w:val="0"/>
              <w:jc w:val="both"/>
              <w:rPr>
                <w:color w:val="000000"/>
                <w:sz w:val="22"/>
                <w:szCs w:val="22"/>
                <w:lang w:val="sr-Latn-ME"/>
              </w:rPr>
            </w:pPr>
            <w:r w:rsidRPr="004500D8">
              <w:rPr>
                <w:b/>
                <w:bCs/>
                <w:color w:val="000000"/>
                <w:sz w:val="22"/>
                <w:szCs w:val="22"/>
                <w:lang w:val="sr-Latn-ME"/>
              </w:rPr>
              <w:t>Sistem organa</w:t>
            </w:r>
            <w:r w:rsidR="00596C07" w:rsidRPr="004500D8">
              <w:rPr>
                <w:b/>
                <w:bCs/>
                <w:color w:val="000000"/>
                <w:sz w:val="22"/>
                <w:szCs w:val="22"/>
                <w:lang w:val="sr-Latn-ME"/>
              </w:rPr>
              <w:t xml:space="preserve"> </w:t>
            </w:r>
          </w:p>
        </w:tc>
        <w:tc>
          <w:tcPr>
            <w:tcW w:w="1393" w:type="dxa"/>
            <w:tcBorders>
              <w:top w:val="single" w:sz="8" w:space="0" w:color="000000"/>
              <w:left w:val="single" w:sz="8" w:space="0" w:color="000000"/>
              <w:bottom w:val="single" w:sz="8" w:space="0" w:color="000000"/>
              <w:right w:val="single" w:sz="8" w:space="0" w:color="000000"/>
            </w:tcBorders>
          </w:tcPr>
          <w:p w14:paraId="1B369F9D" w14:textId="77777777" w:rsidR="00596C07" w:rsidRPr="004500D8" w:rsidRDefault="00596C07" w:rsidP="00596C07">
            <w:pPr>
              <w:widowControl w:val="0"/>
              <w:autoSpaceDE w:val="0"/>
              <w:autoSpaceDN w:val="0"/>
              <w:adjustRightInd w:val="0"/>
              <w:ind w:left="567" w:hanging="567"/>
              <w:jc w:val="both"/>
              <w:rPr>
                <w:color w:val="000000"/>
                <w:sz w:val="22"/>
                <w:szCs w:val="22"/>
                <w:lang w:val="sr-Latn-ME"/>
              </w:rPr>
            </w:pPr>
            <w:r w:rsidRPr="004500D8">
              <w:rPr>
                <w:b/>
                <w:bCs/>
                <w:color w:val="000000"/>
                <w:sz w:val="22"/>
                <w:szCs w:val="22"/>
                <w:lang w:val="sr-Latn-ME"/>
              </w:rPr>
              <w:t xml:space="preserve">Učestalost </w:t>
            </w:r>
          </w:p>
        </w:tc>
        <w:tc>
          <w:tcPr>
            <w:tcW w:w="5030" w:type="dxa"/>
            <w:tcBorders>
              <w:top w:val="single" w:sz="8" w:space="0" w:color="000000"/>
              <w:left w:val="single" w:sz="8" w:space="0" w:color="000000"/>
              <w:bottom w:val="single" w:sz="8" w:space="0" w:color="000000"/>
              <w:right w:val="single" w:sz="8" w:space="0" w:color="000000"/>
            </w:tcBorders>
          </w:tcPr>
          <w:p w14:paraId="1995FD24" w14:textId="6C454AE0" w:rsidR="00596C07" w:rsidRPr="004500D8" w:rsidRDefault="00596C07" w:rsidP="00596C07">
            <w:pPr>
              <w:widowControl w:val="0"/>
              <w:autoSpaceDE w:val="0"/>
              <w:autoSpaceDN w:val="0"/>
              <w:adjustRightInd w:val="0"/>
              <w:ind w:left="567" w:hanging="567"/>
              <w:jc w:val="both"/>
              <w:rPr>
                <w:color w:val="000000"/>
                <w:sz w:val="22"/>
                <w:szCs w:val="22"/>
                <w:lang w:val="sr-Latn-ME"/>
              </w:rPr>
            </w:pPr>
            <w:r w:rsidRPr="004500D8">
              <w:rPr>
                <w:b/>
                <w:bCs/>
                <w:color w:val="000000"/>
                <w:sz w:val="22"/>
                <w:szCs w:val="22"/>
                <w:lang w:val="sr-Latn-ME"/>
              </w:rPr>
              <w:t>Neželjen</w:t>
            </w:r>
            <w:r w:rsidR="00870159" w:rsidRPr="004500D8">
              <w:rPr>
                <w:b/>
                <w:bCs/>
                <w:color w:val="000000"/>
                <w:sz w:val="22"/>
                <w:szCs w:val="22"/>
                <w:lang w:val="sr-Latn-ME"/>
              </w:rPr>
              <w:t xml:space="preserve">o </w:t>
            </w:r>
            <w:r w:rsidRPr="004500D8">
              <w:rPr>
                <w:b/>
                <w:bCs/>
                <w:color w:val="000000"/>
                <w:sz w:val="22"/>
                <w:szCs w:val="22"/>
                <w:lang w:val="sr-Latn-ME"/>
              </w:rPr>
              <w:t>dejstv</w:t>
            </w:r>
            <w:r w:rsidR="00870159" w:rsidRPr="004500D8">
              <w:rPr>
                <w:b/>
                <w:bCs/>
                <w:color w:val="000000"/>
                <w:sz w:val="22"/>
                <w:szCs w:val="22"/>
                <w:lang w:val="sr-Latn-ME"/>
              </w:rPr>
              <w:t>o</w:t>
            </w:r>
          </w:p>
        </w:tc>
      </w:tr>
      <w:tr w:rsidR="00596C07" w:rsidRPr="004500D8" w14:paraId="103B0054" w14:textId="77777777" w:rsidTr="00CA3FA1">
        <w:trPr>
          <w:trHeight w:val="6935"/>
        </w:trPr>
        <w:tc>
          <w:tcPr>
            <w:tcW w:w="2522" w:type="dxa"/>
            <w:tcBorders>
              <w:top w:val="single" w:sz="8" w:space="0" w:color="000000"/>
              <w:left w:val="single" w:sz="8" w:space="0" w:color="000000"/>
              <w:right w:val="single" w:sz="8" w:space="0" w:color="000000"/>
            </w:tcBorders>
          </w:tcPr>
          <w:p w14:paraId="351F3E47" w14:textId="77777777" w:rsidR="00596C07" w:rsidRPr="004500D8" w:rsidRDefault="00596C07" w:rsidP="00596C07">
            <w:pPr>
              <w:widowControl w:val="0"/>
              <w:autoSpaceDE w:val="0"/>
              <w:autoSpaceDN w:val="0"/>
              <w:adjustRightInd w:val="0"/>
              <w:ind w:right="-20"/>
              <w:rPr>
                <w:color w:val="000000"/>
                <w:sz w:val="22"/>
                <w:szCs w:val="22"/>
                <w:lang w:val="sr-Latn-ME"/>
              </w:rPr>
            </w:pPr>
            <w:r w:rsidRPr="004500D8">
              <w:rPr>
                <w:color w:val="000000"/>
                <w:sz w:val="22"/>
                <w:szCs w:val="22"/>
                <w:lang w:val="sr-Latn-ME"/>
              </w:rPr>
              <w:t>Infekcije i infestacije*</w:t>
            </w:r>
          </w:p>
        </w:tc>
        <w:tc>
          <w:tcPr>
            <w:tcW w:w="1393" w:type="dxa"/>
            <w:tcBorders>
              <w:top w:val="single" w:sz="8" w:space="0" w:color="000000"/>
              <w:left w:val="single" w:sz="8" w:space="0" w:color="000000"/>
              <w:right w:val="single" w:sz="8" w:space="0" w:color="000000"/>
            </w:tcBorders>
          </w:tcPr>
          <w:p w14:paraId="0AA4F626"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veoma često</w:t>
            </w:r>
          </w:p>
          <w:p w14:paraId="7583C6CD"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 xml:space="preserve"> </w:t>
            </w:r>
          </w:p>
          <w:p w14:paraId="5B6E8CC0"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3B1A7958"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01ADE569" w14:textId="77777777" w:rsidR="00596C07" w:rsidRPr="004500D8" w:rsidRDefault="00596C07" w:rsidP="00596C07">
            <w:pPr>
              <w:widowControl w:val="0"/>
              <w:autoSpaceDE w:val="0"/>
              <w:autoSpaceDN w:val="0"/>
              <w:adjustRightInd w:val="0"/>
              <w:rPr>
                <w:color w:val="000000"/>
                <w:sz w:val="22"/>
                <w:szCs w:val="22"/>
                <w:lang w:val="sr-Latn-ME"/>
              </w:rPr>
            </w:pPr>
          </w:p>
          <w:p w14:paraId="0746A8B7" w14:textId="77777777" w:rsidR="00596C07" w:rsidRPr="004500D8" w:rsidRDefault="00596C07" w:rsidP="00596C07">
            <w:pPr>
              <w:widowControl w:val="0"/>
              <w:autoSpaceDE w:val="0"/>
              <w:autoSpaceDN w:val="0"/>
              <w:adjustRightInd w:val="0"/>
              <w:rPr>
                <w:color w:val="000000"/>
                <w:sz w:val="22"/>
                <w:szCs w:val="22"/>
                <w:lang w:val="sr-Latn-ME"/>
              </w:rPr>
            </w:pPr>
            <w:r w:rsidRPr="004500D8">
              <w:rPr>
                <w:color w:val="000000"/>
                <w:sz w:val="22"/>
                <w:szCs w:val="22"/>
                <w:lang w:val="sr-Latn-ME"/>
              </w:rPr>
              <w:t>često</w:t>
            </w:r>
          </w:p>
          <w:p w14:paraId="3CC33778"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2833CFE7"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66BB88E3"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437F609B"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08A9E29E"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786785BC"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3682824C"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47CD60F8"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2D0DEF40"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0AA025F9"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3CDD6C04"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1585B5E4"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459F968A"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165EF424"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53C8D1E8"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5A29A066" w14:textId="77777777" w:rsidR="00596C07" w:rsidRPr="004500D8" w:rsidRDefault="00596C07" w:rsidP="00596C07">
            <w:pPr>
              <w:widowControl w:val="0"/>
              <w:autoSpaceDE w:val="0"/>
              <w:autoSpaceDN w:val="0"/>
              <w:adjustRightInd w:val="0"/>
              <w:rPr>
                <w:color w:val="000000"/>
                <w:sz w:val="22"/>
                <w:szCs w:val="22"/>
                <w:lang w:val="sr-Latn-ME"/>
              </w:rPr>
            </w:pPr>
            <w:r w:rsidRPr="004500D8">
              <w:rPr>
                <w:color w:val="000000"/>
                <w:sz w:val="22"/>
                <w:szCs w:val="22"/>
                <w:lang w:val="sr-Latn-ME"/>
              </w:rPr>
              <w:t>povremeno</w:t>
            </w:r>
          </w:p>
          <w:p w14:paraId="09FB5135" w14:textId="77777777" w:rsidR="00596C07" w:rsidRPr="004500D8" w:rsidRDefault="00596C07" w:rsidP="00596C07">
            <w:pPr>
              <w:widowControl w:val="0"/>
              <w:autoSpaceDE w:val="0"/>
              <w:autoSpaceDN w:val="0"/>
              <w:adjustRightInd w:val="0"/>
              <w:ind w:left="567" w:hanging="567"/>
              <w:rPr>
                <w:color w:val="000000"/>
                <w:sz w:val="22"/>
                <w:szCs w:val="22"/>
                <w:lang w:val="sr-Latn-ME"/>
              </w:rPr>
            </w:pPr>
          </w:p>
        </w:tc>
        <w:tc>
          <w:tcPr>
            <w:tcW w:w="5030" w:type="dxa"/>
            <w:tcBorders>
              <w:top w:val="single" w:sz="8" w:space="0" w:color="000000"/>
              <w:left w:val="single" w:sz="8" w:space="0" w:color="000000"/>
              <w:right w:val="single" w:sz="8" w:space="0" w:color="000000"/>
            </w:tcBorders>
            <w:shd w:val="clear" w:color="auto" w:fill="auto"/>
          </w:tcPr>
          <w:p w14:paraId="0967242A"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r w:rsidRPr="004500D8">
              <w:rPr>
                <w:color w:val="000000"/>
                <w:sz w:val="22"/>
                <w:szCs w:val="22"/>
                <w:lang w:val="sr-Latn-ME"/>
              </w:rPr>
              <w:t>respiratorne infekcije (uključujući infekcije donjeg i gornjeg respiratornog trakta, pneumoniju, sinuzitis, faringitis, nazofarnigitis i virusnu herpesnu pneumoniju)</w:t>
            </w:r>
          </w:p>
          <w:p w14:paraId="54E324CA"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p>
          <w:p w14:paraId="290748CE"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r w:rsidRPr="004500D8">
              <w:rPr>
                <w:color w:val="000000"/>
                <w:sz w:val="22"/>
                <w:szCs w:val="22"/>
                <w:lang w:val="sr-Latn-ME"/>
              </w:rPr>
              <w:t xml:space="preserve">sistemske infekcije (uključujući sepsu, kandidijazu i influencu), </w:t>
            </w:r>
          </w:p>
          <w:p w14:paraId="1780BE23"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r w:rsidRPr="004500D8">
              <w:rPr>
                <w:color w:val="000000"/>
                <w:sz w:val="22"/>
                <w:szCs w:val="22"/>
                <w:lang w:val="sr-Latn-ME"/>
              </w:rPr>
              <w:t xml:space="preserve">intestinalne infekcije (uključujući virusni gastroenteritis), </w:t>
            </w:r>
          </w:p>
          <w:p w14:paraId="410AFA24"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r w:rsidRPr="004500D8">
              <w:rPr>
                <w:color w:val="000000"/>
                <w:sz w:val="22"/>
                <w:szCs w:val="22"/>
                <w:lang w:val="sr-Latn-ME"/>
              </w:rPr>
              <w:t xml:space="preserve">infekcije kože i mekog tkiva (uključujući paronihiju, celulitis, impetigo, nekrotizirajući fasciitis i herpes zoster), </w:t>
            </w:r>
          </w:p>
          <w:p w14:paraId="5D2AFE1C"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r w:rsidRPr="004500D8">
              <w:rPr>
                <w:color w:val="000000"/>
                <w:sz w:val="22"/>
                <w:szCs w:val="22"/>
                <w:lang w:val="sr-Latn-ME"/>
              </w:rPr>
              <w:t xml:space="preserve">infekcije uva, </w:t>
            </w:r>
          </w:p>
          <w:p w14:paraId="55635981"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r w:rsidRPr="004500D8">
              <w:rPr>
                <w:color w:val="000000"/>
                <w:sz w:val="22"/>
                <w:szCs w:val="22"/>
                <w:lang w:val="sr-Latn-ME"/>
              </w:rPr>
              <w:t>infekcije usne šupljine (uključujući herpes simpleks, herpes usne šupljine i infekcije zuba),</w:t>
            </w:r>
          </w:p>
          <w:p w14:paraId="5F6D81D4"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r w:rsidRPr="004500D8">
              <w:rPr>
                <w:color w:val="000000"/>
                <w:sz w:val="22"/>
                <w:szCs w:val="22"/>
                <w:lang w:val="sr-Latn-ME"/>
              </w:rPr>
              <w:t xml:space="preserve">infekcije reproduktivnog sistema (uključujući vulvovaginalne mikoze), </w:t>
            </w:r>
          </w:p>
          <w:p w14:paraId="071A854D"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r w:rsidRPr="004500D8">
              <w:rPr>
                <w:color w:val="000000"/>
                <w:sz w:val="22"/>
                <w:szCs w:val="22"/>
                <w:lang w:val="sr-Latn-ME"/>
              </w:rPr>
              <w:t xml:space="preserve">infekcije urinarnog trakta (uključujući pijelonefritis), </w:t>
            </w:r>
          </w:p>
          <w:p w14:paraId="1F7881F0"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r w:rsidRPr="004500D8">
              <w:rPr>
                <w:color w:val="000000"/>
                <w:sz w:val="22"/>
                <w:szCs w:val="22"/>
                <w:lang w:val="sr-Latn-ME"/>
              </w:rPr>
              <w:t>gljivične infekcije</w:t>
            </w:r>
          </w:p>
          <w:p w14:paraId="6D1D990B"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r w:rsidRPr="004500D8">
              <w:rPr>
                <w:color w:val="000000"/>
                <w:sz w:val="22"/>
                <w:szCs w:val="22"/>
                <w:lang w:val="sr-Latn-ME"/>
              </w:rPr>
              <w:t xml:space="preserve">infekcije zglobova </w:t>
            </w:r>
          </w:p>
          <w:p w14:paraId="2385386E"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p>
          <w:p w14:paraId="48D28A22"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r w:rsidRPr="004500D8">
              <w:rPr>
                <w:color w:val="000000"/>
                <w:sz w:val="22"/>
                <w:szCs w:val="22"/>
                <w:lang w:val="sr-Latn-ME"/>
              </w:rPr>
              <w:t>neurološke infekcije (uključujući virusni meningitis),</w:t>
            </w:r>
          </w:p>
          <w:p w14:paraId="500A20B4"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r w:rsidRPr="004500D8">
              <w:rPr>
                <w:color w:val="000000"/>
                <w:sz w:val="22"/>
                <w:szCs w:val="22"/>
                <w:lang w:val="sr-Latn-ME"/>
              </w:rPr>
              <w:t xml:space="preserve">oportunističke infekcije i tuberkuloza (uključujući kokcidioidiomikozu, histoplazmozu i infekciju s </w:t>
            </w:r>
            <w:r w:rsidRPr="004500D8">
              <w:rPr>
                <w:i/>
                <w:color w:val="000000"/>
                <w:sz w:val="22"/>
                <w:szCs w:val="22"/>
                <w:lang w:val="sr-Latn-ME"/>
              </w:rPr>
              <w:t>mycobacterium avium</w:t>
            </w:r>
            <w:r w:rsidRPr="004500D8">
              <w:rPr>
                <w:color w:val="000000"/>
                <w:sz w:val="22"/>
                <w:szCs w:val="22"/>
                <w:lang w:val="sr-Latn-ME"/>
              </w:rPr>
              <w:t xml:space="preserve">), </w:t>
            </w:r>
          </w:p>
          <w:p w14:paraId="2F9577E0"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r w:rsidRPr="004500D8">
              <w:rPr>
                <w:color w:val="000000"/>
                <w:sz w:val="22"/>
                <w:szCs w:val="22"/>
                <w:lang w:val="sr-Latn-ME"/>
              </w:rPr>
              <w:t>bakterijske infekcije,</w:t>
            </w:r>
          </w:p>
          <w:p w14:paraId="1424A817"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r w:rsidRPr="004500D8">
              <w:rPr>
                <w:color w:val="000000"/>
                <w:sz w:val="22"/>
                <w:szCs w:val="22"/>
                <w:lang w:val="sr-Latn-ME"/>
              </w:rPr>
              <w:t xml:space="preserve">infekcije oka, </w:t>
            </w:r>
          </w:p>
          <w:p w14:paraId="5D513A6B" w14:textId="77777777" w:rsidR="00596C07" w:rsidRPr="004500D8" w:rsidRDefault="00596C07" w:rsidP="00596C07">
            <w:pPr>
              <w:widowControl w:val="0"/>
              <w:tabs>
                <w:tab w:val="num" w:pos="-102"/>
              </w:tabs>
              <w:autoSpaceDE w:val="0"/>
              <w:autoSpaceDN w:val="0"/>
              <w:adjustRightInd w:val="0"/>
              <w:ind w:left="40"/>
              <w:rPr>
                <w:color w:val="000000"/>
                <w:sz w:val="22"/>
                <w:szCs w:val="22"/>
                <w:vertAlign w:val="superscript"/>
                <w:lang w:val="sr-Latn-ME"/>
              </w:rPr>
            </w:pPr>
            <w:r w:rsidRPr="004500D8">
              <w:rPr>
                <w:color w:val="000000"/>
                <w:sz w:val="22"/>
                <w:szCs w:val="22"/>
                <w:lang w:val="sr-Latn-ME"/>
              </w:rPr>
              <w:t>divertikulitis</w:t>
            </w:r>
            <w:r w:rsidRPr="004500D8">
              <w:rPr>
                <w:color w:val="000000"/>
                <w:sz w:val="22"/>
                <w:szCs w:val="22"/>
                <w:vertAlign w:val="superscript"/>
                <w:lang w:val="sr-Latn-ME"/>
              </w:rPr>
              <w:t>1)</w:t>
            </w:r>
          </w:p>
        </w:tc>
      </w:tr>
      <w:tr w:rsidR="00596C07" w:rsidRPr="004500D8" w14:paraId="10420BE6" w14:textId="77777777" w:rsidTr="00CA3FA1">
        <w:trPr>
          <w:trHeight w:val="637"/>
        </w:trPr>
        <w:tc>
          <w:tcPr>
            <w:tcW w:w="2522" w:type="dxa"/>
            <w:tcBorders>
              <w:top w:val="single" w:sz="8" w:space="0" w:color="000000"/>
              <w:left w:val="single" w:sz="8" w:space="0" w:color="000000"/>
              <w:bottom w:val="single" w:sz="8" w:space="0" w:color="000000"/>
              <w:right w:val="single" w:sz="8" w:space="0" w:color="000000"/>
            </w:tcBorders>
          </w:tcPr>
          <w:p w14:paraId="428847BE" w14:textId="77777777" w:rsidR="00596C07" w:rsidRPr="004500D8" w:rsidRDefault="00596C07" w:rsidP="00596C07">
            <w:pPr>
              <w:widowControl w:val="0"/>
              <w:autoSpaceDE w:val="0"/>
              <w:autoSpaceDN w:val="0"/>
              <w:adjustRightInd w:val="0"/>
              <w:ind w:right="-20"/>
              <w:rPr>
                <w:color w:val="000000"/>
                <w:sz w:val="22"/>
                <w:szCs w:val="22"/>
                <w:lang w:val="sr-Latn-ME"/>
              </w:rPr>
            </w:pPr>
            <w:r w:rsidRPr="004500D8">
              <w:rPr>
                <w:color w:val="000000"/>
                <w:sz w:val="22"/>
                <w:szCs w:val="22"/>
                <w:lang w:val="sr-Latn-ME"/>
              </w:rPr>
              <w:t xml:space="preserve">Benigne, maligne i neodređene neoplazme (uključujući ciste i polipe)* </w:t>
            </w:r>
          </w:p>
        </w:tc>
        <w:tc>
          <w:tcPr>
            <w:tcW w:w="1393" w:type="dxa"/>
            <w:tcBorders>
              <w:top w:val="single" w:sz="8" w:space="0" w:color="000000"/>
              <w:left w:val="single" w:sz="8" w:space="0" w:color="000000"/>
              <w:bottom w:val="single" w:sz="8" w:space="0" w:color="000000"/>
              <w:right w:val="single" w:sz="8" w:space="0" w:color="000000"/>
            </w:tcBorders>
          </w:tcPr>
          <w:p w14:paraId="01352AD4"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često</w:t>
            </w:r>
          </w:p>
          <w:p w14:paraId="6FB8C295"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1E0DB77B"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0F44B78A"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5A41D20B" w14:textId="77777777" w:rsidR="00596C07" w:rsidRPr="004500D8" w:rsidRDefault="00596C07" w:rsidP="00596C07">
            <w:pPr>
              <w:widowControl w:val="0"/>
              <w:autoSpaceDE w:val="0"/>
              <w:autoSpaceDN w:val="0"/>
              <w:adjustRightInd w:val="0"/>
              <w:rPr>
                <w:color w:val="000000"/>
                <w:sz w:val="22"/>
                <w:szCs w:val="22"/>
                <w:lang w:val="sr-Latn-ME"/>
              </w:rPr>
            </w:pPr>
          </w:p>
          <w:p w14:paraId="2A23D095" w14:textId="77777777" w:rsidR="00596C07" w:rsidRPr="004500D8" w:rsidRDefault="00596C07" w:rsidP="00596C07">
            <w:pPr>
              <w:widowControl w:val="0"/>
              <w:autoSpaceDE w:val="0"/>
              <w:autoSpaceDN w:val="0"/>
              <w:adjustRightInd w:val="0"/>
              <w:rPr>
                <w:color w:val="000000"/>
                <w:sz w:val="22"/>
                <w:szCs w:val="22"/>
                <w:lang w:val="sr-Latn-ME"/>
              </w:rPr>
            </w:pPr>
            <w:r w:rsidRPr="004500D8">
              <w:rPr>
                <w:color w:val="000000"/>
                <w:sz w:val="22"/>
                <w:szCs w:val="22"/>
                <w:lang w:val="sr-Latn-ME"/>
              </w:rPr>
              <w:t>povremeno</w:t>
            </w:r>
          </w:p>
          <w:p w14:paraId="3B059CC6"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615C3E0E"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2AC58F08"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780CE79E"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221E7DB4"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rijetko</w:t>
            </w:r>
          </w:p>
          <w:p w14:paraId="06C92C0D"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6EAB910A"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nepoznato</w:t>
            </w:r>
          </w:p>
        </w:tc>
        <w:tc>
          <w:tcPr>
            <w:tcW w:w="5030" w:type="dxa"/>
            <w:tcBorders>
              <w:top w:val="single" w:sz="8" w:space="0" w:color="000000"/>
              <w:left w:val="single" w:sz="8" w:space="0" w:color="000000"/>
              <w:bottom w:val="single" w:sz="8" w:space="0" w:color="000000"/>
              <w:right w:val="single" w:sz="8" w:space="0" w:color="000000"/>
            </w:tcBorders>
          </w:tcPr>
          <w:p w14:paraId="46E80DD1"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lastRenderedPageBreak/>
              <w:t xml:space="preserve">karcinom kože, isključujući melanom (uključujući bazocelularni karcinom i karcinom skvamoznih ćelija), </w:t>
            </w:r>
          </w:p>
          <w:p w14:paraId="4F66D507"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benigne neoplazme </w:t>
            </w:r>
          </w:p>
          <w:p w14:paraId="37076009" w14:textId="77777777" w:rsidR="00596C07" w:rsidRPr="004500D8" w:rsidRDefault="00596C07" w:rsidP="00596C07">
            <w:pPr>
              <w:widowControl w:val="0"/>
              <w:autoSpaceDE w:val="0"/>
              <w:autoSpaceDN w:val="0"/>
              <w:adjustRightInd w:val="0"/>
              <w:ind w:left="40"/>
              <w:rPr>
                <w:color w:val="000000"/>
                <w:sz w:val="22"/>
                <w:szCs w:val="22"/>
                <w:lang w:val="sr-Latn-ME"/>
              </w:rPr>
            </w:pPr>
          </w:p>
          <w:p w14:paraId="30FC01BA"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limfom**, </w:t>
            </w:r>
          </w:p>
          <w:p w14:paraId="4EDB08D9"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tumori solidnih organa (uključujući karcinom dojke, tumor pluća i štitnjače), </w:t>
            </w:r>
          </w:p>
          <w:p w14:paraId="43EF4339"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melanom**</w:t>
            </w:r>
          </w:p>
          <w:p w14:paraId="4CF2CC1B" w14:textId="77777777" w:rsidR="00596C07" w:rsidRPr="004500D8" w:rsidRDefault="00596C07" w:rsidP="00596C07">
            <w:pPr>
              <w:widowControl w:val="0"/>
              <w:autoSpaceDE w:val="0"/>
              <w:autoSpaceDN w:val="0"/>
              <w:adjustRightInd w:val="0"/>
              <w:rPr>
                <w:color w:val="000000"/>
                <w:sz w:val="22"/>
                <w:szCs w:val="22"/>
                <w:lang w:val="sr-Latn-ME"/>
              </w:rPr>
            </w:pPr>
          </w:p>
          <w:p w14:paraId="198CFEF4"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leukemija</w:t>
            </w:r>
            <w:r w:rsidRPr="004500D8">
              <w:rPr>
                <w:color w:val="000000"/>
                <w:sz w:val="22"/>
                <w:szCs w:val="22"/>
                <w:vertAlign w:val="superscript"/>
                <w:lang w:val="sr-Latn-ME"/>
              </w:rPr>
              <w:t>1)</w:t>
            </w:r>
          </w:p>
          <w:p w14:paraId="511D93A2" w14:textId="77777777" w:rsidR="00596C07" w:rsidRPr="004500D8" w:rsidRDefault="00596C07" w:rsidP="00596C07">
            <w:pPr>
              <w:widowControl w:val="0"/>
              <w:autoSpaceDE w:val="0"/>
              <w:autoSpaceDN w:val="0"/>
              <w:adjustRightInd w:val="0"/>
              <w:ind w:left="40"/>
              <w:rPr>
                <w:color w:val="000000"/>
                <w:sz w:val="22"/>
                <w:szCs w:val="22"/>
                <w:lang w:val="sr-Latn-ME"/>
              </w:rPr>
            </w:pPr>
          </w:p>
          <w:p w14:paraId="76B58225" w14:textId="77777777" w:rsidR="00596C07" w:rsidRPr="004500D8" w:rsidRDefault="00596C07" w:rsidP="00596C07">
            <w:pPr>
              <w:widowControl w:val="0"/>
              <w:autoSpaceDE w:val="0"/>
              <w:autoSpaceDN w:val="0"/>
              <w:adjustRightInd w:val="0"/>
              <w:ind w:left="40"/>
              <w:rPr>
                <w:color w:val="000000"/>
                <w:sz w:val="22"/>
                <w:szCs w:val="22"/>
                <w:vertAlign w:val="superscript"/>
                <w:lang w:val="sr-Latn-ME"/>
              </w:rPr>
            </w:pPr>
            <w:r w:rsidRPr="004500D8">
              <w:rPr>
                <w:color w:val="000000"/>
                <w:sz w:val="22"/>
                <w:szCs w:val="22"/>
                <w:lang w:val="sr-Latn-ME"/>
              </w:rPr>
              <w:t>hepatosplenični T-ćelijski limfom</w:t>
            </w:r>
            <w:r w:rsidRPr="004500D8">
              <w:rPr>
                <w:color w:val="000000"/>
                <w:sz w:val="22"/>
                <w:szCs w:val="22"/>
                <w:vertAlign w:val="superscript"/>
                <w:lang w:val="sr-Latn-ME"/>
              </w:rPr>
              <w:t>1)</w:t>
            </w:r>
          </w:p>
          <w:p w14:paraId="2C4EAC8B" w14:textId="77777777" w:rsidR="00596C07" w:rsidRPr="004500D8" w:rsidRDefault="00596C07" w:rsidP="00596C07">
            <w:pPr>
              <w:rPr>
                <w:sz w:val="22"/>
                <w:szCs w:val="22"/>
                <w:lang w:val="sr-Latn-ME"/>
              </w:rPr>
            </w:pPr>
            <w:r w:rsidRPr="004500D8">
              <w:rPr>
                <w:sz w:val="22"/>
                <w:szCs w:val="22"/>
                <w:lang w:val="sr-Latn-ME"/>
              </w:rPr>
              <w:t xml:space="preserve"> karcinom Merkelovih ćelija (neuroendokrini   </w:t>
            </w:r>
          </w:p>
          <w:p w14:paraId="613E27F0" w14:textId="77777777" w:rsidR="00596C07" w:rsidRPr="004500D8" w:rsidRDefault="00596C07" w:rsidP="00596C07">
            <w:pPr>
              <w:rPr>
                <w:sz w:val="22"/>
                <w:szCs w:val="22"/>
                <w:lang w:val="sr-Latn-ME"/>
              </w:rPr>
            </w:pPr>
            <w:r w:rsidRPr="004500D8">
              <w:rPr>
                <w:sz w:val="22"/>
                <w:szCs w:val="22"/>
                <w:lang w:val="sr-Latn-ME"/>
              </w:rPr>
              <w:t xml:space="preserve"> karcinom kože)</w:t>
            </w:r>
            <w:r w:rsidRPr="004500D8">
              <w:rPr>
                <w:sz w:val="22"/>
                <w:szCs w:val="22"/>
                <w:vertAlign w:val="superscript"/>
                <w:lang w:val="sr-Latn-ME"/>
              </w:rPr>
              <w:t xml:space="preserve"> 1)</w:t>
            </w:r>
            <w:r w:rsidRPr="004500D8">
              <w:rPr>
                <w:sz w:val="22"/>
                <w:szCs w:val="22"/>
                <w:lang w:val="sr-Latn-ME"/>
              </w:rPr>
              <w:t>,</w:t>
            </w:r>
          </w:p>
          <w:p w14:paraId="288EFB0E" w14:textId="77777777" w:rsidR="00596C07" w:rsidRPr="004500D8" w:rsidRDefault="00596C07" w:rsidP="00596C07">
            <w:pPr>
              <w:rPr>
                <w:sz w:val="22"/>
                <w:szCs w:val="22"/>
                <w:lang w:val="sr-Latn-ME"/>
              </w:rPr>
            </w:pPr>
            <w:r w:rsidRPr="004500D8">
              <w:rPr>
                <w:sz w:val="22"/>
                <w:szCs w:val="22"/>
                <w:lang w:val="sr-Latn-ME"/>
              </w:rPr>
              <w:t>Kaposijev sarkom</w:t>
            </w:r>
          </w:p>
        </w:tc>
      </w:tr>
      <w:tr w:rsidR="00596C07" w:rsidRPr="004500D8" w14:paraId="2AA84642" w14:textId="77777777" w:rsidTr="00CA3FA1">
        <w:trPr>
          <w:trHeight w:val="343"/>
        </w:trPr>
        <w:tc>
          <w:tcPr>
            <w:tcW w:w="2522" w:type="dxa"/>
            <w:tcBorders>
              <w:top w:val="single" w:sz="8" w:space="0" w:color="000000"/>
              <w:left w:val="single" w:sz="8" w:space="0" w:color="000000"/>
              <w:bottom w:val="single" w:sz="8" w:space="0" w:color="000000"/>
              <w:right w:val="single" w:sz="8" w:space="0" w:color="000000"/>
            </w:tcBorders>
          </w:tcPr>
          <w:p w14:paraId="50CF38CA" w14:textId="77777777" w:rsidR="00596C07" w:rsidRPr="004500D8" w:rsidRDefault="00596C07" w:rsidP="00596C07">
            <w:pPr>
              <w:widowControl w:val="0"/>
              <w:autoSpaceDE w:val="0"/>
              <w:autoSpaceDN w:val="0"/>
              <w:adjustRightInd w:val="0"/>
              <w:ind w:right="-20"/>
              <w:rPr>
                <w:color w:val="000000"/>
                <w:sz w:val="22"/>
                <w:szCs w:val="22"/>
                <w:lang w:val="sr-Latn-ME"/>
              </w:rPr>
            </w:pPr>
            <w:r w:rsidRPr="004500D8">
              <w:rPr>
                <w:color w:val="000000"/>
                <w:sz w:val="22"/>
                <w:szCs w:val="22"/>
                <w:lang w:val="sr-Latn-ME"/>
              </w:rPr>
              <w:t xml:space="preserve">Poremećaj krvi i limfnog sistema* </w:t>
            </w:r>
          </w:p>
        </w:tc>
        <w:tc>
          <w:tcPr>
            <w:tcW w:w="1393" w:type="dxa"/>
            <w:tcBorders>
              <w:top w:val="single" w:sz="8" w:space="0" w:color="000000"/>
              <w:left w:val="single" w:sz="8" w:space="0" w:color="000000"/>
              <w:bottom w:val="single" w:sz="8" w:space="0" w:color="000000"/>
              <w:right w:val="single" w:sz="8" w:space="0" w:color="000000"/>
            </w:tcBorders>
          </w:tcPr>
          <w:p w14:paraId="38C28D1A"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veoma često</w:t>
            </w:r>
          </w:p>
          <w:p w14:paraId="1AABF19E"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516105B3"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122492ED" w14:textId="77777777" w:rsidR="00596C07" w:rsidRPr="004500D8" w:rsidRDefault="00596C07" w:rsidP="00596C07">
            <w:pPr>
              <w:widowControl w:val="0"/>
              <w:autoSpaceDE w:val="0"/>
              <w:autoSpaceDN w:val="0"/>
              <w:adjustRightInd w:val="0"/>
              <w:rPr>
                <w:color w:val="000000"/>
                <w:sz w:val="22"/>
                <w:szCs w:val="22"/>
                <w:lang w:val="sr-Latn-ME"/>
              </w:rPr>
            </w:pPr>
          </w:p>
          <w:p w14:paraId="20253AFB" w14:textId="77777777" w:rsidR="00596C07" w:rsidRPr="004500D8" w:rsidRDefault="00596C07" w:rsidP="00596C07">
            <w:pPr>
              <w:widowControl w:val="0"/>
              <w:autoSpaceDE w:val="0"/>
              <w:autoSpaceDN w:val="0"/>
              <w:adjustRightInd w:val="0"/>
              <w:rPr>
                <w:color w:val="000000"/>
                <w:sz w:val="22"/>
                <w:szCs w:val="22"/>
                <w:lang w:val="sr-Latn-ME"/>
              </w:rPr>
            </w:pPr>
            <w:r w:rsidRPr="004500D8">
              <w:rPr>
                <w:color w:val="000000"/>
                <w:sz w:val="22"/>
                <w:szCs w:val="22"/>
                <w:lang w:val="sr-Latn-ME"/>
              </w:rPr>
              <w:t>često</w:t>
            </w:r>
          </w:p>
          <w:p w14:paraId="4F548174" w14:textId="77777777" w:rsidR="00596C07" w:rsidRPr="004500D8" w:rsidRDefault="00596C07" w:rsidP="00596C07">
            <w:pPr>
              <w:widowControl w:val="0"/>
              <w:autoSpaceDE w:val="0"/>
              <w:autoSpaceDN w:val="0"/>
              <w:adjustRightInd w:val="0"/>
              <w:rPr>
                <w:color w:val="000000"/>
                <w:sz w:val="22"/>
                <w:szCs w:val="22"/>
                <w:lang w:val="sr-Latn-ME"/>
              </w:rPr>
            </w:pPr>
          </w:p>
          <w:p w14:paraId="77F729E9"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600FC9A0"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povremeno</w:t>
            </w:r>
          </w:p>
          <w:p w14:paraId="58B6F43D"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7DC49E53"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rijetko</w:t>
            </w:r>
          </w:p>
        </w:tc>
        <w:tc>
          <w:tcPr>
            <w:tcW w:w="5030" w:type="dxa"/>
            <w:tcBorders>
              <w:top w:val="single" w:sz="8" w:space="0" w:color="000000"/>
              <w:left w:val="single" w:sz="8" w:space="0" w:color="000000"/>
              <w:bottom w:val="single" w:sz="8" w:space="0" w:color="000000"/>
              <w:right w:val="single" w:sz="8" w:space="0" w:color="000000"/>
            </w:tcBorders>
          </w:tcPr>
          <w:p w14:paraId="7AFAD201"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r w:rsidRPr="004500D8">
              <w:rPr>
                <w:color w:val="000000"/>
                <w:sz w:val="22"/>
                <w:szCs w:val="22"/>
                <w:lang w:val="sr-Latn-ME"/>
              </w:rPr>
              <w:t xml:space="preserve">leukopenija (uključujući neutropeniju i agranulocitozu), </w:t>
            </w:r>
          </w:p>
          <w:p w14:paraId="03577A4F"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r w:rsidRPr="004500D8">
              <w:rPr>
                <w:color w:val="000000"/>
                <w:sz w:val="22"/>
                <w:szCs w:val="22"/>
                <w:lang w:val="sr-Latn-ME"/>
              </w:rPr>
              <w:t>anemija</w:t>
            </w:r>
          </w:p>
          <w:p w14:paraId="4DFBEB9C"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p>
          <w:p w14:paraId="548AA161"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r w:rsidRPr="004500D8">
              <w:rPr>
                <w:color w:val="000000"/>
                <w:sz w:val="22"/>
                <w:szCs w:val="22"/>
                <w:lang w:val="sr-Latn-ME"/>
              </w:rPr>
              <w:t>leukocitoza,</w:t>
            </w:r>
          </w:p>
          <w:p w14:paraId="655DDAAE"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r w:rsidRPr="004500D8">
              <w:rPr>
                <w:color w:val="000000"/>
                <w:sz w:val="22"/>
                <w:szCs w:val="22"/>
                <w:lang w:val="sr-Latn-ME"/>
              </w:rPr>
              <w:t xml:space="preserve">trombocitopenija </w:t>
            </w:r>
          </w:p>
          <w:p w14:paraId="5C9B3A3F" w14:textId="77777777" w:rsidR="00596C07" w:rsidRPr="004500D8" w:rsidRDefault="00596C07" w:rsidP="00596C07">
            <w:pPr>
              <w:widowControl w:val="0"/>
              <w:tabs>
                <w:tab w:val="num" w:pos="-102"/>
              </w:tabs>
              <w:autoSpaceDE w:val="0"/>
              <w:autoSpaceDN w:val="0"/>
              <w:adjustRightInd w:val="0"/>
              <w:rPr>
                <w:color w:val="000000"/>
                <w:sz w:val="22"/>
                <w:szCs w:val="22"/>
                <w:lang w:val="sr-Latn-ME"/>
              </w:rPr>
            </w:pPr>
          </w:p>
          <w:p w14:paraId="4A167873"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r w:rsidRPr="004500D8">
              <w:rPr>
                <w:color w:val="000000"/>
                <w:sz w:val="22"/>
                <w:szCs w:val="22"/>
                <w:lang w:val="sr-Latn-ME"/>
              </w:rPr>
              <w:t xml:space="preserve">idiopatska trombocitopenična purpura </w:t>
            </w:r>
          </w:p>
          <w:p w14:paraId="5B17AD64"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p>
          <w:p w14:paraId="3663B876" w14:textId="77777777" w:rsidR="00596C07" w:rsidRPr="004500D8" w:rsidRDefault="00596C07" w:rsidP="00596C07">
            <w:pPr>
              <w:widowControl w:val="0"/>
              <w:tabs>
                <w:tab w:val="num" w:pos="-102"/>
              </w:tabs>
              <w:autoSpaceDE w:val="0"/>
              <w:autoSpaceDN w:val="0"/>
              <w:adjustRightInd w:val="0"/>
              <w:ind w:left="40"/>
              <w:rPr>
                <w:color w:val="000000"/>
                <w:sz w:val="22"/>
                <w:szCs w:val="22"/>
                <w:lang w:val="sr-Latn-ME"/>
              </w:rPr>
            </w:pPr>
            <w:r w:rsidRPr="004500D8">
              <w:rPr>
                <w:color w:val="000000"/>
                <w:sz w:val="22"/>
                <w:szCs w:val="22"/>
                <w:lang w:val="sr-Latn-ME"/>
              </w:rPr>
              <w:t>pancitopenija</w:t>
            </w:r>
          </w:p>
        </w:tc>
      </w:tr>
      <w:tr w:rsidR="00596C07" w:rsidRPr="004500D8" w14:paraId="72BB869A" w14:textId="77777777" w:rsidTr="00CA3FA1">
        <w:trPr>
          <w:trHeight w:val="546"/>
        </w:trPr>
        <w:tc>
          <w:tcPr>
            <w:tcW w:w="2522" w:type="dxa"/>
            <w:tcBorders>
              <w:top w:val="single" w:sz="8" w:space="0" w:color="000000"/>
              <w:left w:val="single" w:sz="8" w:space="0" w:color="000000"/>
              <w:bottom w:val="single" w:sz="8" w:space="0" w:color="000000"/>
              <w:right w:val="single" w:sz="8" w:space="0" w:color="000000"/>
            </w:tcBorders>
          </w:tcPr>
          <w:p w14:paraId="149C1F15" w14:textId="77777777" w:rsidR="00596C07" w:rsidRPr="004500D8" w:rsidRDefault="00596C07" w:rsidP="00596C07">
            <w:pPr>
              <w:widowControl w:val="0"/>
              <w:autoSpaceDE w:val="0"/>
              <w:autoSpaceDN w:val="0"/>
              <w:adjustRightInd w:val="0"/>
              <w:rPr>
                <w:color w:val="000000"/>
                <w:sz w:val="22"/>
                <w:szCs w:val="22"/>
                <w:lang w:val="sr-Latn-ME"/>
              </w:rPr>
            </w:pPr>
            <w:r w:rsidRPr="004500D8">
              <w:rPr>
                <w:color w:val="000000"/>
                <w:sz w:val="22"/>
                <w:szCs w:val="22"/>
                <w:lang w:val="sr-Latn-ME"/>
              </w:rPr>
              <w:t xml:space="preserve">Poremećaji imunološkog sistema* </w:t>
            </w:r>
          </w:p>
        </w:tc>
        <w:tc>
          <w:tcPr>
            <w:tcW w:w="1393" w:type="dxa"/>
            <w:tcBorders>
              <w:top w:val="single" w:sz="8" w:space="0" w:color="000000"/>
              <w:left w:val="single" w:sz="8" w:space="0" w:color="000000"/>
              <w:bottom w:val="single" w:sz="8" w:space="0" w:color="000000"/>
              <w:right w:val="single" w:sz="8" w:space="0" w:color="000000"/>
            </w:tcBorders>
          </w:tcPr>
          <w:p w14:paraId="44611895"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često</w:t>
            </w:r>
          </w:p>
          <w:p w14:paraId="5BF8EF8F"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780B1C35"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5D462699"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povremeno</w:t>
            </w:r>
          </w:p>
          <w:p w14:paraId="67439379"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267D6545"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rijetko</w:t>
            </w:r>
          </w:p>
        </w:tc>
        <w:tc>
          <w:tcPr>
            <w:tcW w:w="5030" w:type="dxa"/>
            <w:tcBorders>
              <w:top w:val="single" w:sz="8" w:space="0" w:color="000000"/>
              <w:left w:val="single" w:sz="8" w:space="0" w:color="000000"/>
              <w:bottom w:val="single" w:sz="8" w:space="0" w:color="000000"/>
              <w:right w:val="single" w:sz="8" w:space="0" w:color="000000"/>
            </w:tcBorders>
          </w:tcPr>
          <w:p w14:paraId="33A2D984"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preosjetljivost, </w:t>
            </w:r>
          </w:p>
          <w:p w14:paraId="097F6171"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alergije (uključujući sezonske alergije)</w:t>
            </w:r>
          </w:p>
          <w:p w14:paraId="76C9E046" w14:textId="77777777" w:rsidR="00596C07" w:rsidRPr="004500D8" w:rsidRDefault="00596C07" w:rsidP="00596C07">
            <w:pPr>
              <w:widowControl w:val="0"/>
              <w:autoSpaceDE w:val="0"/>
              <w:autoSpaceDN w:val="0"/>
              <w:adjustRightInd w:val="0"/>
              <w:ind w:left="40"/>
              <w:rPr>
                <w:color w:val="000000"/>
                <w:sz w:val="22"/>
                <w:szCs w:val="22"/>
                <w:lang w:val="sr-Latn-ME"/>
              </w:rPr>
            </w:pPr>
          </w:p>
          <w:p w14:paraId="39ADCE6C"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sarkoidoza</w:t>
            </w:r>
            <w:r w:rsidRPr="004500D8">
              <w:rPr>
                <w:color w:val="000000"/>
                <w:sz w:val="22"/>
                <w:szCs w:val="22"/>
                <w:vertAlign w:val="superscript"/>
                <w:lang w:val="sr-Latn-ME"/>
              </w:rPr>
              <w:t>1)</w:t>
            </w:r>
          </w:p>
          <w:p w14:paraId="5BD4DBC6"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vaskulitis</w:t>
            </w:r>
          </w:p>
          <w:p w14:paraId="10003345"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anafilaksa</w:t>
            </w:r>
            <w:r w:rsidRPr="004500D8">
              <w:rPr>
                <w:color w:val="000000"/>
                <w:sz w:val="22"/>
                <w:szCs w:val="22"/>
                <w:vertAlign w:val="superscript"/>
                <w:lang w:val="sr-Latn-ME"/>
              </w:rPr>
              <w:t>1)</w:t>
            </w:r>
          </w:p>
        </w:tc>
      </w:tr>
      <w:tr w:rsidR="00596C07" w:rsidRPr="004500D8" w14:paraId="70FC25F1" w14:textId="77777777" w:rsidTr="00CA3FA1">
        <w:trPr>
          <w:trHeight w:val="340"/>
        </w:trPr>
        <w:tc>
          <w:tcPr>
            <w:tcW w:w="2522" w:type="dxa"/>
            <w:tcBorders>
              <w:top w:val="single" w:sz="8" w:space="0" w:color="000000"/>
              <w:left w:val="single" w:sz="8" w:space="0" w:color="000000"/>
              <w:bottom w:val="single" w:sz="8" w:space="0" w:color="000000"/>
              <w:right w:val="single" w:sz="8" w:space="0" w:color="000000"/>
            </w:tcBorders>
          </w:tcPr>
          <w:p w14:paraId="1F27A60D" w14:textId="77777777" w:rsidR="00596C07" w:rsidRPr="004500D8" w:rsidRDefault="00596C07" w:rsidP="00596C07">
            <w:pPr>
              <w:widowControl w:val="0"/>
              <w:autoSpaceDE w:val="0"/>
              <w:autoSpaceDN w:val="0"/>
              <w:adjustRightInd w:val="0"/>
              <w:rPr>
                <w:color w:val="000000"/>
                <w:sz w:val="22"/>
                <w:szCs w:val="22"/>
                <w:lang w:val="sr-Latn-ME"/>
              </w:rPr>
            </w:pPr>
            <w:r w:rsidRPr="004500D8">
              <w:rPr>
                <w:color w:val="000000"/>
                <w:sz w:val="22"/>
                <w:szCs w:val="22"/>
                <w:lang w:val="sr-Latn-ME"/>
              </w:rPr>
              <w:t xml:space="preserve">Poremećaji metabolizma i ishrane </w:t>
            </w:r>
          </w:p>
        </w:tc>
        <w:tc>
          <w:tcPr>
            <w:tcW w:w="1393" w:type="dxa"/>
            <w:tcBorders>
              <w:top w:val="single" w:sz="8" w:space="0" w:color="000000"/>
              <w:left w:val="single" w:sz="8" w:space="0" w:color="000000"/>
              <w:bottom w:val="single" w:sz="8" w:space="0" w:color="000000"/>
              <w:right w:val="single" w:sz="8" w:space="0" w:color="000000"/>
            </w:tcBorders>
          </w:tcPr>
          <w:p w14:paraId="4F1A0DF9"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veoma često</w:t>
            </w:r>
          </w:p>
          <w:p w14:paraId="3596EDB6"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7A2A3A4D"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često</w:t>
            </w:r>
          </w:p>
          <w:p w14:paraId="410B9E59" w14:textId="77777777" w:rsidR="00596C07" w:rsidRPr="004500D8" w:rsidRDefault="00596C07" w:rsidP="00596C07">
            <w:pPr>
              <w:widowControl w:val="0"/>
              <w:autoSpaceDE w:val="0"/>
              <w:autoSpaceDN w:val="0"/>
              <w:adjustRightInd w:val="0"/>
              <w:rPr>
                <w:color w:val="000000"/>
                <w:sz w:val="22"/>
                <w:szCs w:val="22"/>
                <w:lang w:val="sr-Latn-ME"/>
              </w:rPr>
            </w:pPr>
          </w:p>
          <w:p w14:paraId="75C69844"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5ECC6409"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62268682" w14:textId="77777777" w:rsidR="00596C07" w:rsidRPr="004500D8" w:rsidRDefault="00596C07" w:rsidP="00596C07">
            <w:pPr>
              <w:widowControl w:val="0"/>
              <w:autoSpaceDE w:val="0"/>
              <w:autoSpaceDN w:val="0"/>
              <w:adjustRightInd w:val="0"/>
              <w:rPr>
                <w:color w:val="000000"/>
                <w:sz w:val="22"/>
                <w:szCs w:val="22"/>
                <w:lang w:val="sr-Latn-ME"/>
              </w:rPr>
            </w:pPr>
          </w:p>
          <w:p w14:paraId="7B030FE0" w14:textId="77777777" w:rsidR="00596C07" w:rsidRPr="004500D8" w:rsidRDefault="00596C07" w:rsidP="00596C07">
            <w:pPr>
              <w:widowControl w:val="0"/>
              <w:autoSpaceDE w:val="0"/>
              <w:autoSpaceDN w:val="0"/>
              <w:adjustRightInd w:val="0"/>
              <w:rPr>
                <w:color w:val="000000"/>
                <w:sz w:val="22"/>
                <w:szCs w:val="22"/>
                <w:lang w:val="sr-Latn-ME"/>
              </w:rPr>
            </w:pPr>
          </w:p>
        </w:tc>
        <w:tc>
          <w:tcPr>
            <w:tcW w:w="5030" w:type="dxa"/>
            <w:tcBorders>
              <w:top w:val="single" w:sz="8" w:space="0" w:color="000000"/>
              <w:left w:val="single" w:sz="8" w:space="0" w:color="000000"/>
              <w:bottom w:val="single" w:sz="8" w:space="0" w:color="000000"/>
              <w:right w:val="single" w:sz="8" w:space="0" w:color="000000"/>
            </w:tcBorders>
          </w:tcPr>
          <w:p w14:paraId="3F84FEBC"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povišen nivo lipida</w:t>
            </w:r>
          </w:p>
          <w:p w14:paraId="6C2D3D99" w14:textId="77777777" w:rsidR="00596C07" w:rsidRPr="004500D8" w:rsidRDefault="00596C07" w:rsidP="00596C07">
            <w:pPr>
              <w:widowControl w:val="0"/>
              <w:autoSpaceDE w:val="0"/>
              <w:autoSpaceDN w:val="0"/>
              <w:adjustRightInd w:val="0"/>
              <w:ind w:left="40"/>
              <w:rPr>
                <w:color w:val="000000"/>
                <w:sz w:val="22"/>
                <w:szCs w:val="22"/>
                <w:lang w:val="sr-Latn-ME"/>
              </w:rPr>
            </w:pPr>
          </w:p>
          <w:p w14:paraId="1EA1057A"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hipokalemija, </w:t>
            </w:r>
          </w:p>
          <w:p w14:paraId="225BEC91"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povišena mokraćna kiselina, </w:t>
            </w:r>
          </w:p>
          <w:p w14:paraId="3B8F48F3"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odstupanja u vrijednostima natrijuma u krvi, </w:t>
            </w:r>
          </w:p>
          <w:p w14:paraId="02EE56B1"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hipokalcemija, </w:t>
            </w:r>
          </w:p>
          <w:p w14:paraId="0C807190"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hiperglikemija, </w:t>
            </w:r>
          </w:p>
          <w:p w14:paraId="369149B4"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hipofosfatemija, </w:t>
            </w:r>
          </w:p>
          <w:p w14:paraId="7EC5452F"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dehidracija</w:t>
            </w:r>
          </w:p>
        </w:tc>
      </w:tr>
      <w:tr w:rsidR="00596C07" w:rsidRPr="004500D8" w14:paraId="5C642679" w14:textId="77777777" w:rsidTr="00CA3FA1">
        <w:trPr>
          <w:trHeight w:val="701"/>
        </w:trPr>
        <w:tc>
          <w:tcPr>
            <w:tcW w:w="2522" w:type="dxa"/>
            <w:tcBorders>
              <w:top w:val="single" w:sz="8" w:space="0" w:color="000000"/>
              <w:left w:val="single" w:sz="8" w:space="0" w:color="000000"/>
              <w:bottom w:val="single" w:sz="8" w:space="0" w:color="000000"/>
              <w:right w:val="single" w:sz="8" w:space="0" w:color="000000"/>
            </w:tcBorders>
          </w:tcPr>
          <w:p w14:paraId="144870C9" w14:textId="77777777" w:rsidR="00596C07" w:rsidRPr="004500D8" w:rsidRDefault="00596C07" w:rsidP="00596C07">
            <w:pPr>
              <w:widowControl w:val="0"/>
              <w:autoSpaceDE w:val="0"/>
              <w:autoSpaceDN w:val="0"/>
              <w:adjustRightInd w:val="0"/>
              <w:rPr>
                <w:color w:val="000000"/>
                <w:sz w:val="22"/>
                <w:szCs w:val="22"/>
                <w:lang w:val="sr-Latn-ME"/>
              </w:rPr>
            </w:pPr>
            <w:r w:rsidRPr="004500D8">
              <w:rPr>
                <w:color w:val="000000"/>
                <w:sz w:val="22"/>
                <w:szCs w:val="22"/>
                <w:lang w:val="sr-Latn-ME"/>
              </w:rPr>
              <w:t xml:space="preserve">Psihijatrijski poremećaji </w:t>
            </w:r>
          </w:p>
        </w:tc>
        <w:tc>
          <w:tcPr>
            <w:tcW w:w="1393" w:type="dxa"/>
            <w:tcBorders>
              <w:top w:val="single" w:sz="8" w:space="0" w:color="000000"/>
              <w:left w:val="single" w:sz="8" w:space="0" w:color="000000"/>
              <w:bottom w:val="single" w:sz="8" w:space="0" w:color="000000"/>
              <w:right w:val="single" w:sz="8" w:space="0" w:color="000000"/>
            </w:tcBorders>
          </w:tcPr>
          <w:p w14:paraId="3A1B8797"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često</w:t>
            </w:r>
          </w:p>
        </w:tc>
        <w:tc>
          <w:tcPr>
            <w:tcW w:w="5030" w:type="dxa"/>
            <w:tcBorders>
              <w:top w:val="single" w:sz="8" w:space="0" w:color="000000"/>
              <w:left w:val="single" w:sz="8" w:space="0" w:color="000000"/>
              <w:bottom w:val="single" w:sz="8" w:space="0" w:color="000000"/>
              <w:right w:val="single" w:sz="8" w:space="0" w:color="000000"/>
            </w:tcBorders>
          </w:tcPr>
          <w:p w14:paraId="4D2D8B04"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promjene raspoloženja (uključujući depresiju), </w:t>
            </w:r>
          </w:p>
          <w:p w14:paraId="673AE627"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anksioznost</w:t>
            </w:r>
          </w:p>
          <w:p w14:paraId="599C4DDE"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nesanica</w:t>
            </w:r>
          </w:p>
        </w:tc>
      </w:tr>
      <w:tr w:rsidR="00596C07" w:rsidRPr="004500D8" w14:paraId="0850E476" w14:textId="77777777" w:rsidTr="00CA3FA1">
        <w:trPr>
          <w:trHeight w:val="556"/>
        </w:trPr>
        <w:tc>
          <w:tcPr>
            <w:tcW w:w="2522" w:type="dxa"/>
            <w:tcBorders>
              <w:top w:val="single" w:sz="8" w:space="0" w:color="000000"/>
              <w:left w:val="single" w:sz="8" w:space="0" w:color="000000"/>
              <w:bottom w:val="single" w:sz="8" w:space="0" w:color="000000"/>
              <w:right w:val="single" w:sz="8" w:space="0" w:color="000000"/>
            </w:tcBorders>
          </w:tcPr>
          <w:p w14:paraId="0924CE38" w14:textId="77777777" w:rsidR="00596C07" w:rsidRPr="004500D8" w:rsidRDefault="00596C07" w:rsidP="00596C07">
            <w:pPr>
              <w:widowControl w:val="0"/>
              <w:autoSpaceDE w:val="0"/>
              <w:autoSpaceDN w:val="0"/>
              <w:adjustRightInd w:val="0"/>
              <w:rPr>
                <w:color w:val="000000"/>
                <w:sz w:val="22"/>
                <w:szCs w:val="22"/>
                <w:lang w:val="sr-Latn-ME"/>
              </w:rPr>
            </w:pPr>
            <w:r w:rsidRPr="004500D8">
              <w:rPr>
                <w:color w:val="000000"/>
                <w:sz w:val="22"/>
                <w:szCs w:val="22"/>
                <w:lang w:val="sr-Latn-ME"/>
              </w:rPr>
              <w:t>Poremećaji nervnog sistema*</w:t>
            </w:r>
          </w:p>
        </w:tc>
        <w:tc>
          <w:tcPr>
            <w:tcW w:w="1393" w:type="dxa"/>
            <w:tcBorders>
              <w:top w:val="single" w:sz="8" w:space="0" w:color="000000"/>
              <w:left w:val="single" w:sz="8" w:space="0" w:color="000000"/>
              <w:bottom w:val="single" w:sz="8" w:space="0" w:color="000000"/>
              <w:right w:val="single" w:sz="8" w:space="0" w:color="000000"/>
            </w:tcBorders>
          </w:tcPr>
          <w:p w14:paraId="64080126"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veoma često</w:t>
            </w:r>
          </w:p>
          <w:p w14:paraId="22210199"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6747088C"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često</w:t>
            </w:r>
          </w:p>
          <w:p w14:paraId="2B1FC504"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7CD60257"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3924C648"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52D7899A"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povremeno</w:t>
            </w:r>
          </w:p>
          <w:p w14:paraId="31C6C3CB"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31521D56"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363C36DF"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3F11DF8E"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rijetko</w:t>
            </w:r>
          </w:p>
        </w:tc>
        <w:tc>
          <w:tcPr>
            <w:tcW w:w="5030" w:type="dxa"/>
            <w:tcBorders>
              <w:top w:val="single" w:sz="8" w:space="0" w:color="000000"/>
              <w:left w:val="single" w:sz="8" w:space="0" w:color="000000"/>
              <w:bottom w:val="single" w:sz="8" w:space="0" w:color="000000"/>
              <w:right w:val="single" w:sz="8" w:space="0" w:color="000000"/>
            </w:tcBorders>
          </w:tcPr>
          <w:p w14:paraId="2BBA1C8F"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glavobolja</w:t>
            </w:r>
          </w:p>
          <w:p w14:paraId="1DE668DA" w14:textId="77777777" w:rsidR="00596C07" w:rsidRPr="004500D8" w:rsidRDefault="00596C07" w:rsidP="00596C07">
            <w:pPr>
              <w:widowControl w:val="0"/>
              <w:autoSpaceDE w:val="0"/>
              <w:autoSpaceDN w:val="0"/>
              <w:adjustRightInd w:val="0"/>
              <w:ind w:left="40"/>
              <w:rPr>
                <w:color w:val="000000"/>
                <w:sz w:val="22"/>
                <w:szCs w:val="22"/>
                <w:lang w:val="sr-Latn-ME"/>
              </w:rPr>
            </w:pPr>
          </w:p>
          <w:p w14:paraId="2B5130F0"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parestezija (uključujući hipoesteziju), </w:t>
            </w:r>
          </w:p>
          <w:p w14:paraId="64CF3470"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migrena, </w:t>
            </w:r>
          </w:p>
          <w:p w14:paraId="7C1B90F0"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išijas</w:t>
            </w:r>
          </w:p>
          <w:p w14:paraId="489448BD" w14:textId="77777777" w:rsidR="00596C07" w:rsidRPr="004500D8" w:rsidRDefault="00596C07" w:rsidP="00596C07">
            <w:pPr>
              <w:widowControl w:val="0"/>
              <w:autoSpaceDE w:val="0"/>
              <w:autoSpaceDN w:val="0"/>
              <w:adjustRightInd w:val="0"/>
              <w:ind w:left="40"/>
              <w:rPr>
                <w:color w:val="000000"/>
                <w:sz w:val="22"/>
                <w:szCs w:val="22"/>
                <w:lang w:val="sr-Latn-ME"/>
              </w:rPr>
            </w:pPr>
          </w:p>
          <w:p w14:paraId="7BB756BE"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cerebrovaskularni događaj</w:t>
            </w:r>
            <w:r w:rsidRPr="004500D8">
              <w:rPr>
                <w:color w:val="000000"/>
                <w:sz w:val="22"/>
                <w:szCs w:val="22"/>
                <w:vertAlign w:val="superscript"/>
                <w:lang w:val="sr-Latn-ME"/>
              </w:rPr>
              <w:t>1)</w:t>
            </w:r>
            <w:r w:rsidRPr="004500D8">
              <w:rPr>
                <w:color w:val="000000"/>
                <w:sz w:val="22"/>
                <w:szCs w:val="22"/>
                <w:lang w:val="sr-Latn-ME"/>
              </w:rPr>
              <w:t>,</w:t>
            </w:r>
          </w:p>
          <w:p w14:paraId="4387C04B"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tremor,</w:t>
            </w:r>
          </w:p>
          <w:p w14:paraId="49E8CE18"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neuropatija </w:t>
            </w:r>
          </w:p>
          <w:p w14:paraId="03374830" w14:textId="77777777" w:rsidR="00596C07" w:rsidRPr="004500D8" w:rsidRDefault="00596C07" w:rsidP="00596C07">
            <w:pPr>
              <w:widowControl w:val="0"/>
              <w:autoSpaceDE w:val="0"/>
              <w:autoSpaceDN w:val="0"/>
              <w:adjustRightInd w:val="0"/>
              <w:ind w:left="40"/>
              <w:rPr>
                <w:color w:val="000000"/>
                <w:sz w:val="22"/>
                <w:szCs w:val="22"/>
                <w:lang w:val="sr-Latn-ME"/>
              </w:rPr>
            </w:pPr>
          </w:p>
          <w:p w14:paraId="7AD90844"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multipla skleroza,</w:t>
            </w:r>
          </w:p>
          <w:p w14:paraId="731F06B3"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demijelinizirajući poremećaji (npr. optički neuritis, Guillan-Barréov sindrom)</w:t>
            </w:r>
            <w:r w:rsidRPr="004500D8">
              <w:rPr>
                <w:color w:val="000000"/>
                <w:sz w:val="22"/>
                <w:szCs w:val="22"/>
                <w:vertAlign w:val="superscript"/>
                <w:lang w:val="sr-Latn-ME"/>
              </w:rPr>
              <w:t xml:space="preserve"> 1)</w:t>
            </w:r>
          </w:p>
        </w:tc>
      </w:tr>
      <w:tr w:rsidR="00596C07" w:rsidRPr="004500D8" w14:paraId="1174F797" w14:textId="77777777" w:rsidTr="00CA3FA1">
        <w:trPr>
          <w:trHeight w:val="1009"/>
        </w:trPr>
        <w:tc>
          <w:tcPr>
            <w:tcW w:w="2522" w:type="dxa"/>
            <w:tcBorders>
              <w:top w:val="single" w:sz="8" w:space="0" w:color="000000"/>
              <w:left w:val="single" w:sz="8" w:space="0" w:color="000000"/>
              <w:bottom w:val="single" w:sz="8" w:space="0" w:color="000000"/>
              <w:right w:val="single" w:sz="8" w:space="0" w:color="000000"/>
            </w:tcBorders>
          </w:tcPr>
          <w:p w14:paraId="225937D8" w14:textId="77777777" w:rsidR="00596C07" w:rsidRPr="004500D8" w:rsidRDefault="00596C07" w:rsidP="00596C07">
            <w:pPr>
              <w:widowControl w:val="0"/>
              <w:autoSpaceDE w:val="0"/>
              <w:autoSpaceDN w:val="0"/>
              <w:adjustRightInd w:val="0"/>
              <w:rPr>
                <w:color w:val="000000"/>
                <w:sz w:val="22"/>
                <w:szCs w:val="22"/>
                <w:lang w:val="sr-Latn-ME"/>
              </w:rPr>
            </w:pPr>
            <w:r w:rsidRPr="004500D8">
              <w:rPr>
                <w:color w:val="000000"/>
                <w:sz w:val="22"/>
                <w:szCs w:val="22"/>
                <w:lang w:val="sr-Latn-ME"/>
              </w:rPr>
              <w:t>Poremećaji oka</w:t>
            </w:r>
          </w:p>
        </w:tc>
        <w:tc>
          <w:tcPr>
            <w:tcW w:w="1393" w:type="dxa"/>
            <w:tcBorders>
              <w:top w:val="single" w:sz="8" w:space="0" w:color="000000"/>
              <w:left w:val="single" w:sz="8" w:space="0" w:color="000000"/>
              <w:bottom w:val="single" w:sz="8" w:space="0" w:color="000000"/>
              <w:right w:val="single" w:sz="8" w:space="0" w:color="000000"/>
            </w:tcBorders>
          </w:tcPr>
          <w:p w14:paraId="53C01D0E"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često</w:t>
            </w:r>
          </w:p>
          <w:p w14:paraId="0C2775C9"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60DE4F5F"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4B97E7EC"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1DA91E9B" w14:textId="77777777" w:rsidR="00596C07" w:rsidRPr="004500D8" w:rsidRDefault="00596C07" w:rsidP="00596C07">
            <w:pPr>
              <w:widowControl w:val="0"/>
              <w:autoSpaceDE w:val="0"/>
              <w:autoSpaceDN w:val="0"/>
              <w:adjustRightInd w:val="0"/>
              <w:rPr>
                <w:color w:val="000000"/>
                <w:sz w:val="22"/>
                <w:szCs w:val="22"/>
                <w:lang w:val="sr-Latn-ME"/>
              </w:rPr>
            </w:pPr>
          </w:p>
          <w:p w14:paraId="7C07D9ED"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povremeno</w:t>
            </w:r>
          </w:p>
        </w:tc>
        <w:tc>
          <w:tcPr>
            <w:tcW w:w="5030" w:type="dxa"/>
            <w:tcBorders>
              <w:top w:val="single" w:sz="8" w:space="0" w:color="000000"/>
              <w:left w:val="single" w:sz="8" w:space="0" w:color="000000"/>
              <w:bottom w:val="single" w:sz="8" w:space="0" w:color="000000"/>
              <w:right w:val="single" w:sz="8" w:space="0" w:color="000000"/>
            </w:tcBorders>
          </w:tcPr>
          <w:p w14:paraId="54404D16"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smetnje vida, </w:t>
            </w:r>
          </w:p>
          <w:p w14:paraId="41DA25BA"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konjuktivitis</w:t>
            </w:r>
          </w:p>
          <w:p w14:paraId="68E61727"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blefaritis, </w:t>
            </w:r>
          </w:p>
          <w:p w14:paraId="5E13110D"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oticanje očiju </w:t>
            </w:r>
          </w:p>
          <w:p w14:paraId="1C82106B" w14:textId="77777777" w:rsidR="00596C07" w:rsidRPr="004500D8" w:rsidRDefault="00596C07" w:rsidP="00596C07">
            <w:pPr>
              <w:widowControl w:val="0"/>
              <w:autoSpaceDE w:val="0"/>
              <w:autoSpaceDN w:val="0"/>
              <w:adjustRightInd w:val="0"/>
              <w:rPr>
                <w:color w:val="000000"/>
                <w:sz w:val="22"/>
                <w:szCs w:val="22"/>
                <w:lang w:val="sr-Latn-ME"/>
              </w:rPr>
            </w:pPr>
          </w:p>
          <w:p w14:paraId="44BC938A"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diplopija</w:t>
            </w:r>
          </w:p>
        </w:tc>
      </w:tr>
      <w:tr w:rsidR="00596C07" w:rsidRPr="004500D8" w14:paraId="5765639B" w14:textId="77777777" w:rsidTr="00CA3FA1">
        <w:trPr>
          <w:trHeight w:val="1090"/>
        </w:trPr>
        <w:tc>
          <w:tcPr>
            <w:tcW w:w="2522" w:type="dxa"/>
            <w:tcBorders>
              <w:top w:val="single" w:sz="8" w:space="0" w:color="000000"/>
              <w:left w:val="single" w:sz="8" w:space="0" w:color="000000"/>
              <w:bottom w:val="single" w:sz="8" w:space="0" w:color="000000"/>
              <w:right w:val="single" w:sz="8" w:space="0" w:color="000000"/>
            </w:tcBorders>
          </w:tcPr>
          <w:p w14:paraId="4F4B2941"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lastRenderedPageBreak/>
              <w:t xml:space="preserve">Poremećaji uha i </w:t>
            </w:r>
          </w:p>
          <w:p w14:paraId="117A94CF"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 xml:space="preserve">labirinta </w:t>
            </w:r>
          </w:p>
        </w:tc>
        <w:tc>
          <w:tcPr>
            <w:tcW w:w="1393" w:type="dxa"/>
            <w:tcBorders>
              <w:top w:val="single" w:sz="8" w:space="0" w:color="000000"/>
              <w:left w:val="single" w:sz="8" w:space="0" w:color="000000"/>
              <w:bottom w:val="single" w:sz="8" w:space="0" w:color="000000"/>
              <w:right w:val="single" w:sz="8" w:space="0" w:color="000000"/>
            </w:tcBorders>
          </w:tcPr>
          <w:p w14:paraId="26AB75C9"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često</w:t>
            </w:r>
          </w:p>
          <w:p w14:paraId="1AD2566C"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124A1BC5"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povremeno</w:t>
            </w:r>
          </w:p>
          <w:p w14:paraId="40180053" w14:textId="77777777" w:rsidR="00596C07" w:rsidRPr="004500D8" w:rsidRDefault="00596C07" w:rsidP="00596C07">
            <w:pPr>
              <w:widowControl w:val="0"/>
              <w:autoSpaceDE w:val="0"/>
              <w:autoSpaceDN w:val="0"/>
              <w:adjustRightInd w:val="0"/>
              <w:ind w:left="567" w:hanging="567"/>
              <w:rPr>
                <w:color w:val="000000"/>
                <w:sz w:val="22"/>
                <w:szCs w:val="22"/>
                <w:lang w:val="sr-Latn-ME"/>
              </w:rPr>
            </w:pPr>
          </w:p>
        </w:tc>
        <w:tc>
          <w:tcPr>
            <w:tcW w:w="5030" w:type="dxa"/>
            <w:tcBorders>
              <w:top w:val="single" w:sz="8" w:space="0" w:color="000000"/>
              <w:left w:val="single" w:sz="8" w:space="0" w:color="000000"/>
              <w:bottom w:val="single" w:sz="8" w:space="0" w:color="000000"/>
              <w:right w:val="single" w:sz="8" w:space="0" w:color="000000"/>
            </w:tcBorders>
          </w:tcPr>
          <w:p w14:paraId="73D14CFC"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vertigo</w:t>
            </w:r>
          </w:p>
          <w:p w14:paraId="3F8361C6" w14:textId="77777777" w:rsidR="00596C07" w:rsidRPr="004500D8" w:rsidRDefault="00596C07" w:rsidP="00596C07">
            <w:pPr>
              <w:widowControl w:val="0"/>
              <w:autoSpaceDE w:val="0"/>
              <w:autoSpaceDN w:val="0"/>
              <w:adjustRightInd w:val="0"/>
              <w:ind w:left="40"/>
              <w:rPr>
                <w:color w:val="000000"/>
                <w:sz w:val="22"/>
                <w:szCs w:val="22"/>
                <w:lang w:val="sr-Latn-ME"/>
              </w:rPr>
            </w:pPr>
          </w:p>
          <w:p w14:paraId="2E4AB715"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gluvoća, </w:t>
            </w:r>
          </w:p>
          <w:p w14:paraId="035E656B"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tinitus</w:t>
            </w:r>
          </w:p>
        </w:tc>
      </w:tr>
      <w:tr w:rsidR="00596C07" w:rsidRPr="004500D8" w14:paraId="50E66351" w14:textId="77777777" w:rsidTr="00CA3FA1">
        <w:trPr>
          <w:trHeight w:val="517"/>
        </w:trPr>
        <w:tc>
          <w:tcPr>
            <w:tcW w:w="2522" w:type="dxa"/>
            <w:tcBorders>
              <w:top w:val="single" w:sz="8" w:space="0" w:color="000000"/>
              <w:left w:val="single" w:sz="8" w:space="0" w:color="000000"/>
              <w:bottom w:val="single" w:sz="8" w:space="0" w:color="000000"/>
              <w:right w:val="single" w:sz="8" w:space="0" w:color="000000"/>
            </w:tcBorders>
          </w:tcPr>
          <w:p w14:paraId="67AB11D0"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 xml:space="preserve">Srčani poremećaji* </w:t>
            </w:r>
          </w:p>
        </w:tc>
        <w:tc>
          <w:tcPr>
            <w:tcW w:w="1393" w:type="dxa"/>
            <w:tcBorders>
              <w:top w:val="single" w:sz="8" w:space="0" w:color="000000"/>
              <w:left w:val="single" w:sz="8" w:space="0" w:color="000000"/>
              <w:bottom w:val="single" w:sz="8" w:space="0" w:color="000000"/>
              <w:right w:val="single" w:sz="8" w:space="0" w:color="000000"/>
            </w:tcBorders>
          </w:tcPr>
          <w:p w14:paraId="28D756F8"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često</w:t>
            </w:r>
          </w:p>
          <w:p w14:paraId="68302BFA"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1B140564"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povremeno</w:t>
            </w:r>
          </w:p>
          <w:p w14:paraId="6A1F928F"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584671DB"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218ACCB5"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64DBEFAD"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rijetko</w:t>
            </w:r>
          </w:p>
        </w:tc>
        <w:tc>
          <w:tcPr>
            <w:tcW w:w="5030" w:type="dxa"/>
            <w:tcBorders>
              <w:top w:val="single" w:sz="8" w:space="0" w:color="000000"/>
              <w:left w:val="single" w:sz="8" w:space="0" w:color="000000"/>
              <w:bottom w:val="single" w:sz="8" w:space="0" w:color="000000"/>
              <w:right w:val="single" w:sz="8" w:space="0" w:color="000000"/>
            </w:tcBorders>
          </w:tcPr>
          <w:p w14:paraId="6486BB54"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tahikardija</w:t>
            </w:r>
          </w:p>
          <w:p w14:paraId="1FCD6C8B" w14:textId="77777777" w:rsidR="00596C07" w:rsidRPr="004500D8" w:rsidRDefault="00596C07" w:rsidP="00596C07">
            <w:pPr>
              <w:widowControl w:val="0"/>
              <w:autoSpaceDE w:val="0"/>
              <w:autoSpaceDN w:val="0"/>
              <w:adjustRightInd w:val="0"/>
              <w:ind w:left="40"/>
              <w:rPr>
                <w:color w:val="000000"/>
                <w:sz w:val="22"/>
                <w:szCs w:val="22"/>
                <w:lang w:val="sr-Latn-ME"/>
              </w:rPr>
            </w:pPr>
          </w:p>
          <w:p w14:paraId="26C9E0F9"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infarkt miokarda</w:t>
            </w:r>
            <w:r w:rsidRPr="004500D8">
              <w:rPr>
                <w:color w:val="000000"/>
                <w:sz w:val="22"/>
                <w:szCs w:val="22"/>
                <w:vertAlign w:val="superscript"/>
                <w:lang w:val="sr-Latn-ME"/>
              </w:rPr>
              <w:t>1)</w:t>
            </w:r>
            <w:r w:rsidRPr="004500D8">
              <w:rPr>
                <w:color w:val="000000"/>
                <w:sz w:val="22"/>
                <w:szCs w:val="22"/>
                <w:lang w:val="sr-Latn-ME"/>
              </w:rPr>
              <w:t>,</w:t>
            </w:r>
          </w:p>
          <w:p w14:paraId="29C86715"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aritmija, </w:t>
            </w:r>
          </w:p>
          <w:p w14:paraId="08275411"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kongestivna srčana insuficijencija</w:t>
            </w:r>
          </w:p>
          <w:p w14:paraId="67D0D5EF" w14:textId="77777777" w:rsidR="00596C07" w:rsidRPr="004500D8" w:rsidRDefault="00596C07" w:rsidP="00596C07">
            <w:pPr>
              <w:widowControl w:val="0"/>
              <w:autoSpaceDE w:val="0"/>
              <w:autoSpaceDN w:val="0"/>
              <w:adjustRightInd w:val="0"/>
              <w:ind w:left="40"/>
              <w:rPr>
                <w:color w:val="000000"/>
                <w:sz w:val="22"/>
                <w:szCs w:val="22"/>
                <w:lang w:val="sr-Latn-ME"/>
              </w:rPr>
            </w:pPr>
          </w:p>
          <w:p w14:paraId="51AC0FC9"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zastoj srca</w:t>
            </w:r>
          </w:p>
        </w:tc>
      </w:tr>
      <w:tr w:rsidR="00596C07" w:rsidRPr="004500D8" w14:paraId="0A8F0C8A" w14:textId="77777777" w:rsidTr="00CA3FA1">
        <w:trPr>
          <w:trHeight w:val="546"/>
        </w:trPr>
        <w:tc>
          <w:tcPr>
            <w:tcW w:w="2522" w:type="dxa"/>
            <w:tcBorders>
              <w:top w:val="single" w:sz="8" w:space="0" w:color="000000"/>
              <w:left w:val="single" w:sz="8" w:space="0" w:color="000000"/>
              <w:bottom w:val="single" w:sz="8" w:space="0" w:color="000000"/>
              <w:right w:val="single" w:sz="8" w:space="0" w:color="000000"/>
            </w:tcBorders>
          </w:tcPr>
          <w:p w14:paraId="317CF757"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Kardiovaskularni</w:t>
            </w:r>
          </w:p>
          <w:p w14:paraId="22298113"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 xml:space="preserve">poremećaji </w:t>
            </w:r>
          </w:p>
        </w:tc>
        <w:tc>
          <w:tcPr>
            <w:tcW w:w="1393" w:type="dxa"/>
            <w:tcBorders>
              <w:top w:val="single" w:sz="8" w:space="0" w:color="000000"/>
              <w:left w:val="single" w:sz="8" w:space="0" w:color="000000"/>
              <w:bottom w:val="single" w:sz="8" w:space="0" w:color="000000"/>
              <w:right w:val="single" w:sz="8" w:space="0" w:color="000000"/>
            </w:tcBorders>
          </w:tcPr>
          <w:p w14:paraId="2D497FC8" w14:textId="77777777" w:rsidR="00596C07" w:rsidRPr="004500D8" w:rsidRDefault="00596C07" w:rsidP="00596C07">
            <w:pPr>
              <w:widowControl w:val="0"/>
              <w:autoSpaceDE w:val="0"/>
              <w:autoSpaceDN w:val="0"/>
              <w:adjustRightInd w:val="0"/>
              <w:ind w:left="567" w:hanging="567"/>
              <w:jc w:val="both"/>
              <w:rPr>
                <w:color w:val="000000"/>
                <w:sz w:val="22"/>
                <w:szCs w:val="22"/>
                <w:lang w:val="sr-Latn-ME"/>
              </w:rPr>
            </w:pPr>
            <w:r w:rsidRPr="004500D8">
              <w:rPr>
                <w:color w:val="000000"/>
                <w:sz w:val="22"/>
                <w:szCs w:val="22"/>
                <w:lang w:val="sr-Latn-ME"/>
              </w:rPr>
              <w:t>često</w:t>
            </w:r>
          </w:p>
          <w:p w14:paraId="77B7F93D" w14:textId="77777777" w:rsidR="00596C07" w:rsidRPr="004500D8" w:rsidRDefault="00596C07" w:rsidP="00596C07">
            <w:pPr>
              <w:widowControl w:val="0"/>
              <w:autoSpaceDE w:val="0"/>
              <w:autoSpaceDN w:val="0"/>
              <w:adjustRightInd w:val="0"/>
              <w:ind w:left="567" w:hanging="567"/>
              <w:jc w:val="both"/>
              <w:rPr>
                <w:color w:val="000000"/>
                <w:sz w:val="22"/>
                <w:szCs w:val="22"/>
                <w:lang w:val="sr-Latn-ME"/>
              </w:rPr>
            </w:pPr>
          </w:p>
          <w:p w14:paraId="67E19457" w14:textId="77777777" w:rsidR="00596C07" w:rsidRPr="004500D8" w:rsidRDefault="00596C07" w:rsidP="00596C07">
            <w:pPr>
              <w:widowControl w:val="0"/>
              <w:autoSpaceDE w:val="0"/>
              <w:autoSpaceDN w:val="0"/>
              <w:adjustRightInd w:val="0"/>
              <w:ind w:left="567" w:hanging="567"/>
              <w:jc w:val="both"/>
              <w:rPr>
                <w:color w:val="000000"/>
                <w:sz w:val="22"/>
                <w:szCs w:val="22"/>
                <w:lang w:val="sr-Latn-ME"/>
              </w:rPr>
            </w:pPr>
          </w:p>
          <w:p w14:paraId="5404BF1F" w14:textId="77777777" w:rsidR="00596C07" w:rsidRPr="004500D8" w:rsidRDefault="00596C07" w:rsidP="00596C07">
            <w:pPr>
              <w:widowControl w:val="0"/>
              <w:autoSpaceDE w:val="0"/>
              <w:autoSpaceDN w:val="0"/>
              <w:adjustRightInd w:val="0"/>
              <w:ind w:left="567" w:hanging="567"/>
              <w:jc w:val="both"/>
              <w:rPr>
                <w:color w:val="000000"/>
                <w:sz w:val="22"/>
                <w:szCs w:val="22"/>
                <w:lang w:val="sr-Latn-ME"/>
              </w:rPr>
            </w:pPr>
          </w:p>
          <w:p w14:paraId="5524E938" w14:textId="77777777" w:rsidR="00596C07" w:rsidRPr="004500D8" w:rsidRDefault="00596C07" w:rsidP="00596C07">
            <w:pPr>
              <w:widowControl w:val="0"/>
              <w:autoSpaceDE w:val="0"/>
              <w:autoSpaceDN w:val="0"/>
              <w:adjustRightInd w:val="0"/>
              <w:ind w:left="567" w:hanging="567"/>
              <w:jc w:val="both"/>
              <w:rPr>
                <w:color w:val="000000"/>
                <w:sz w:val="22"/>
                <w:szCs w:val="22"/>
                <w:lang w:val="sr-Latn-ME"/>
              </w:rPr>
            </w:pPr>
            <w:r w:rsidRPr="004500D8">
              <w:rPr>
                <w:color w:val="000000"/>
                <w:sz w:val="22"/>
                <w:szCs w:val="22"/>
                <w:lang w:val="sr-Latn-ME"/>
              </w:rPr>
              <w:t>povremeno</w:t>
            </w:r>
          </w:p>
          <w:p w14:paraId="0413E4D6" w14:textId="77777777" w:rsidR="00596C07" w:rsidRPr="004500D8" w:rsidRDefault="00596C07" w:rsidP="00596C07">
            <w:pPr>
              <w:widowControl w:val="0"/>
              <w:autoSpaceDE w:val="0"/>
              <w:autoSpaceDN w:val="0"/>
              <w:adjustRightInd w:val="0"/>
              <w:ind w:left="567" w:hanging="567"/>
              <w:jc w:val="both"/>
              <w:rPr>
                <w:color w:val="000000"/>
                <w:sz w:val="22"/>
                <w:szCs w:val="22"/>
                <w:lang w:val="sr-Latn-ME"/>
              </w:rPr>
            </w:pPr>
          </w:p>
        </w:tc>
        <w:tc>
          <w:tcPr>
            <w:tcW w:w="5030" w:type="dxa"/>
            <w:tcBorders>
              <w:top w:val="single" w:sz="8" w:space="0" w:color="000000"/>
              <w:left w:val="single" w:sz="8" w:space="0" w:color="000000"/>
              <w:bottom w:val="single" w:sz="8" w:space="0" w:color="000000"/>
              <w:right w:val="single" w:sz="8" w:space="0" w:color="000000"/>
            </w:tcBorders>
          </w:tcPr>
          <w:p w14:paraId="0A3E90E8" w14:textId="77777777" w:rsidR="00596C07" w:rsidRPr="004500D8" w:rsidRDefault="00596C07" w:rsidP="00596C07">
            <w:pPr>
              <w:widowControl w:val="0"/>
              <w:autoSpaceDE w:val="0"/>
              <w:autoSpaceDN w:val="0"/>
              <w:adjustRightInd w:val="0"/>
              <w:ind w:left="40"/>
              <w:jc w:val="both"/>
              <w:rPr>
                <w:color w:val="000000"/>
                <w:sz w:val="22"/>
                <w:szCs w:val="22"/>
                <w:lang w:val="sr-Latn-ME"/>
              </w:rPr>
            </w:pPr>
            <w:r w:rsidRPr="004500D8">
              <w:rPr>
                <w:color w:val="000000"/>
                <w:sz w:val="22"/>
                <w:szCs w:val="22"/>
                <w:lang w:val="sr-Latn-ME"/>
              </w:rPr>
              <w:t xml:space="preserve">hipertenzija, </w:t>
            </w:r>
          </w:p>
          <w:p w14:paraId="1D49B960" w14:textId="77777777" w:rsidR="00596C07" w:rsidRPr="004500D8" w:rsidRDefault="00596C07" w:rsidP="00596C07">
            <w:pPr>
              <w:widowControl w:val="0"/>
              <w:autoSpaceDE w:val="0"/>
              <w:autoSpaceDN w:val="0"/>
              <w:adjustRightInd w:val="0"/>
              <w:ind w:left="40"/>
              <w:jc w:val="both"/>
              <w:rPr>
                <w:color w:val="000000"/>
                <w:sz w:val="22"/>
                <w:szCs w:val="22"/>
                <w:lang w:val="sr-Latn-ME"/>
              </w:rPr>
            </w:pPr>
            <w:r w:rsidRPr="004500D8">
              <w:rPr>
                <w:color w:val="000000"/>
                <w:sz w:val="22"/>
                <w:szCs w:val="22"/>
                <w:lang w:val="sr-Latn-ME"/>
              </w:rPr>
              <w:t xml:space="preserve">crvenilo lica </w:t>
            </w:r>
          </w:p>
          <w:p w14:paraId="305947FB" w14:textId="77777777" w:rsidR="00596C07" w:rsidRPr="004500D8" w:rsidRDefault="00596C07" w:rsidP="00596C07">
            <w:pPr>
              <w:widowControl w:val="0"/>
              <w:autoSpaceDE w:val="0"/>
              <w:autoSpaceDN w:val="0"/>
              <w:adjustRightInd w:val="0"/>
              <w:ind w:left="40"/>
              <w:jc w:val="both"/>
              <w:rPr>
                <w:color w:val="000000"/>
                <w:sz w:val="22"/>
                <w:szCs w:val="22"/>
                <w:lang w:val="sr-Latn-ME"/>
              </w:rPr>
            </w:pPr>
            <w:r w:rsidRPr="004500D8">
              <w:rPr>
                <w:color w:val="000000"/>
                <w:sz w:val="22"/>
                <w:szCs w:val="22"/>
                <w:lang w:val="sr-Latn-ME"/>
              </w:rPr>
              <w:t xml:space="preserve">hematomi </w:t>
            </w:r>
          </w:p>
          <w:p w14:paraId="6C2B332F" w14:textId="77777777" w:rsidR="00596C07" w:rsidRPr="004500D8" w:rsidRDefault="00596C07" w:rsidP="00596C07">
            <w:pPr>
              <w:widowControl w:val="0"/>
              <w:autoSpaceDE w:val="0"/>
              <w:autoSpaceDN w:val="0"/>
              <w:adjustRightInd w:val="0"/>
              <w:ind w:left="40"/>
              <w:jc w:val="both"/>
              <w:rPr>
                <w:color w:val="000000"/>
                <w:sz w:val="22"/>
                <w:szCs w:val="22"/>
                <w:lang w:val="sr-Latn-ME"/>
              </w:rPr>
            </w:pPr>
          </w:p>
          <w:p w14:paraId="50578B75" w14:textId="77777777" w:rsidR="00596C07" w:rsidRPr="004500D8" w:rsidRDefault="00596C07" w:rsidP="00596C07">
            <w:pPr>
              <w:widowControl w:val="0"/>
              <w:autoSpaceDE w:val="0"/>
              <w:autoSpaceDN w:val="0"/>
              <w:adjustRightInd w:val="0"/>
              <w:ind w:left="40"/>
              <w:jc w:val="both"/>
              <w:rPr>
                <w:color w:val="000000"/>
                <w:sz w:val="22"/>
                <w:szCs w:val="22"/>
                <w:lang w:val="sr-Latn-ME"/>
              </w:rPr>
            </w:pPr>
            <w:r w:rsidRPr="004500D8">
              <w:rPr>
                <w:color w:val="000000"/>
                <w:sz w:val="22"/>
                <w:szCs w:val="22"/>
                <w:lang w:val="sr-Latn-ME"/>
              </w:rPr>
              <w:t xml:space="preserve">aneurizma aorte, </w:t>
            </w:r>
          </w:p>
          <w:p w14:paraId="498DEB3C" w14:textId="77777777" w:rsidR="00596C07" w:rsidRPr="004500D8" w:rsidRDefault="00596C07" w:rsidP="00596C07">
            <w:pPr>
              <w:widowControl w:val="0"/>
              <w:autoSpaceDE w:val="0"/>
              <w:autoSpaceDN w:val="0"/>
              <w:adjustRightInd w:val="0"/>
              <w:ind w:left="40"/>
              <w:jc w:val="both"/>
              <w:rPr>
                <w:color w:val="000000"/>
                <w:sz w:val="22"/>
                <w:szCs w:val="22"/>
                <w:lang w:val="sr-Latn-ME"/>
              </w:rPr>
            </w:pPr>
            <w:r w:rsidRPr="004500D8">
              <w:rPr>
                <w:color w:val="000000"/>
                <w:sz w:val="22"/>
                <w:szCs w:val="22"/>
                <w:lang w:val="sr-Latn-ME"/>
              </w:rPr>
              <w:t xml:space="preserve">vaskularna okluzija, </w:t>
            </w:r>
          </w:p>
          <w:p w14:paraId="64862D91" w14:textId="77777777" w:rsidR="00596C07" w:rsidRPr="004500D8" w:rsidRDefault="00596C07" w:rsidP="00596C07">
            <w:pPr>
              <w:widowControl w:val="0"/>
              <w:autoSpaceDE w:val="0"/>
              <w:autoSpaceDN w:val="0"/>
              <w:adjustRightInd w:val="0"/>
              <w:ind w:left="40"/>
              <w:jc w:val="both"/>
              <w:rPr>
                <w:color w:val="000000"/>
                <w:sz w:val="22"/>
                <w:szCs w:val="22"/>
                <w:lang w:val="sr-Latn-ME"/>
              </w:rPr>
            </w:pPr>
            <w:r w:rsidRPr="004500D8">
              <w:rPr>
                <w:color w:val="000000"/>
                <w:sz w:val="22"/>
                <w:szCs w:val="22"/>
                <w:lang w:val="sr-Latn-ME"/>
              </w:rPr>
              <w:t xml:space="preserve">tromboflebitis </w:t>
            </w:r>
          </w:p>
        </w:tc>
      </w:tr>
      <w:tr w:rsidR="00596C07" w:rsidRPr="004500D8" w14:paraId="175925D5" w14:textId="77777777" w:rsidTr="00CA3FA1">
        <w:trPr>
          <w:trHeight w:val="547"/>
        </w:trPr>
        <w:tc>
          <w:tcPr>
            <w:tcW w:w="2522" w:type="dxa"/>
            <w:tcBorders>
              <w:top w:val="single" w:sz="8" w:space="0" w:color="000000"/>
              <w:left w:val="single" w:sz="8" w:space="0" w:color="000000"/>
              <w:bottom w:val="single" w:sz="8" w:space="0" w:color="000000"/>
              <w:right w:val="single" w:sz="8" w:space="0" w:color="000000"/>
            </w:tcBorders>
          </w:tcPr>
          <w:p w14:paraId="2CE0BD16" w14:textId="77777777" w:rsidR="00596C07" w:rsidRPr="004500D8" w:rsidRDefault="00596C07" w:rsidP="00596C07">
            <w:pPr>
              <w:widowControl w:val="0"/>
              <w:autoSpaceDE w:val="0"/>
              <w:autoSpaceDN w:val="0"/>
              <w:adjustRightInd w:val="0"/>
              <w:ind w:right="-20"/>
              <w:rPr>
                <w:color w:val="000000"/>
                <w:sz w:val="22"/>
                <w:szCs w:val="22"/>
                <w:lang w:val="sr-Latn-ME"/>
              </w:rPr>
            </w:pPr>
            <w:r w:rsidRPr="004500D8">
              <w:rPr>
                <w:color w:val="000000"/>
                <w:sz w:val="22"/>
                <w:szCs w:val="22"/>
                <w:lang w:val="sr-Latn-ME"/>
              </w:rPr>
              <w:t>Poremećaji respiratornog sistema, torakalni i poremećaji medijastinuma*</w:t>
            </w:r>
          </w:p>
        </w:tc>
        <w:tc>
          <w:tcPr>
            <w:tcW w:w="1393" w:type="dxa"/>
            <w:tcBorders>
              <w:top w:val="single" w:sz="8" w:space="0" w:color="000000"/>
              <w:left w:val="single" w:sz="8" w:space="0" w:color="000000"/>
              <w:bottom w:val="single" w:sz="8" w:space="0" w:color="000000"/>
              <w:right w:val="single" w:sz="8" w:space="0" w:color="000000"/>
            </w:tcBorders>
          </w:tcPr>
          <w:p w14:paraId="44C2BC40"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često</w:t>
            </w:r>
          </w:p>
          <w:p w14:paraId="7DBCB31F"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 xml:space="preserve"> </w:t>
            </w:r>
          </w:p>
          <w:p w14:paraId="4B309E3A"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2332FB8D"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75E919F3"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povremeno</w:t>
            </w:r>
          </w:p>
          <w:p w14:paraId="0A95754B"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22C17505"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72B31230"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5ACD9F51"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1D65C536"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644B79D6"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rijetko</w:t>
            </w:r>
          </w:p>
        </w:tc>
        <w:tc>
          <w:tcPr>
            <w:tcW w:w="5030" w:type="dxa"/>
            <w:tcBorders>
              <w:top w:val="single" w:sz="8" w:space="0" w:color="000000"/>
              <w:left w:val="single" w:sz="8" w:space="0" w:color="000000"/>
              <w:bottom w:val="single" w:sz="8" w:space="0" w:color="000000"/>
              <w:right w:val="single" w:sz="8" w:space="0" w:color="000000"/>
            </w:tcBorders>
          </w:tcPr>
          <w:p w14:paraId="3E8E030C"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astma, </w:t>
            </w:r>
          </w:p>
          <w:p w14:paraId="6917CA4F"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dispnea,</w:t>
            </w:r>
          </w:p>
          <w:p w14:paraId="50B92891"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kašalj</w:t>
            </w:r>
          </w:p>
          <w:p w14:paraId="6A5623C8"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 </w:t>
            </w:r>
          </w:p>
          <w:p w14:paraId="05A79916"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plućna embolija</w:t>
            </w:r>
            <w:r w:rsidRPr="004500D8">
              <w:rPr>
                <w:color w:val="000000"/>
                <w:sz w:val="22"/>
                <w:szCs w:val="22"/>
                <w:vertAlign w:val="superscript"/>
                <w:lang w:val="sr-Latn-ME"/>
              </w:rPr>
              <w:t>1)</w:t>
            </w:r>
            <w:r w:rsidRPr="004500D8">
              <w:rPr>
                <w:color w:val="000000"/>
                <w:sz w:val="22"/>
                <w:szCs w:val="22"/>
                <w:lang w:val="sr-Latn-ME"/>
              </w:rPr>
              <w:t xml:space="preserve">, </w:t>
            </w:r>
          </w:p>
          <w:p w14:paraId="09A883EA"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intersticijalna bolest pluća,</w:t>
            </w:r>
          </w:p>
          <w:p w14:paraId="20D94DD9"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hronična opstruktivna plućna bolest,</w:t>
            </w:r>
          </w:p>
          <w:p w14:paraId="4B8C4D41"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pneumonitis,</w:t>
            </w:r>
          </w:p>
          <w:p w14:paraId="607CA521" w14:textId="77777777" w:rsidR="00596C07" w:rsidRPr="004500D8" w:rsidRDefault="00596C07" w:rsidP="00596C07">
            <w:pPr>
              <w:widowControl w:val="0"/>
              <w:autoSpaceDE w:val="0"/>
              <w:autoSpaceDN w:val="0"/>
              <w:adjustRightInd w:val="0"/>
              <w:ind w:left="40"/>
              <w:rPr>
                <w:color w:val="000000"/>
                <w:sz w:val="22"/>
                <w:szCs w:val="22"/>
                <w:vertAlign w:val="superscript"/>
                <w:lang w:val="sr-Latn-ME"/>
              </w:rPr>
            </w:pPr>
            <w:r w:rsidRPr="004500D8">
              <w:rPr>
                <w:color w:val="000000"/>
                <w:sz w:val="22"/>
                <w:szCs w:val="22"/>
                <w:lang w:val="sr-Latn-ME"/>
              </w:rPr>
              <w:t>pleuralni izliv</w:t>
            </w:r>
            <w:r w:rsidRPr="004500D8">
              <w:rPr>
                <w:color w:val="000000"/>
                <w:sz w:val="22"/>
                <w:szCs w:val="22"/>
                <w:vertAlign w:val="superscript"/>
                <w:lang w:val="sr-Latn-ME"/>
              </w:rPr>
              <w:t>1)</w:t>
            </w:r>
          </w:p>
          <w:p w14:paraId="28D7E01F" w14:textId="77777777" w:rsidR="00596C07" w:rsidRPr="004500D8" w:rsidRDefault="00596C07" w:rsidP="00596C07">
            <w:pPr>
              <w:widowControl w:val="0"/>
              <w:autoSpaceDE w:val="0"/>
              <w:autoSpaceDN w:val="0"/>
              <w:adjustRightInd w:val="0"/>
              <w:ind w:left="40"/>
              <w:rPr>
                <w:color w:val="000000"/>
                <w:sz w:val="22"/>
                <w:szCs w:val="22"/>
                <w:lang w:val="sr-Latn-ME"/>
              </w:rPr>
            </w:pPr>
          </w:p>
          <w:p w14:paraId="7CBDC5C6"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plućna fibroza</w:t>
            </w:r>
            <w:r w:rsidRPr="004500D8">
              <w:rPr>
                <w:color w:val="000000"/>
                <w:sz w:val="22"/>
                <w:szCs w:val="22"/>
                <w:vertAlign w:val="superscript"/>
                <w:lang w:val="sr-Latn-ME"/>
              </w:rPr>
              <w:t>1)</w:t>
            </w:r>
          </w:p>
        </w:tc>
      </w:tr>
      <w:tr w:rsidR="00596C07" w:rsidRPr="004500D8" w14:paraId="4594B666" w14:textId="77777777" w:rsidTr="00CA3FA1">
        <w:trPr>
          <w:trHeight w:val="1640"/>
        </w:trPr>
        <w:tc>
          <w:tcPr>
            <w:tcW w:w="2522" w:type="dxa"/>
            <w:tcBorders>
              <w:top w:val="single" w:sz="8" w:space="0" w:color="000000"/>
              <w:left w:val="single" w:sz="8" w:space="0" w:color="000000"/>
              <w:bottom w:val="single" w:sz="8" w:space="0" w:color="000000"/>
              <w:right w:val="single" w:sz="8" w:space="0" w:color="000000"/>
            </w:tcBorders>
          </w:tcPr>
          <w:p w14:paraId="520D1B3E" w14:textId="77777777" w:rsidR="00596C07" w:rsidRPr="004500D8" w:rsidRDefault="00596C07" w:rsidP="00596C07">
            <w:pPr>
              <w:widowControl w:val="0"/>
              <w:autoSpaceDE w:val="0"/>
              <w:autoSpaceDN w:val="0"/>
              <w:adjustRightInd w:val="0"/>
              <w:rPr>
                <w:color w:val="000000"/>
                <w:sz w:val="22"/>
                <w:szCs w:val="22"/>
                <w:lang w:val="sr-Latn-ME"/>
              </w:rPr>
            </w:pPr>
            <w:r w:rsidRPr="004500D8">
              <w:rPr>
                <w:color w:val="000000"/>
                <w:sz w:val="22"/>
                <w:szCs w:val="22"/>
                <w:lang w:val="sr-Latn-ME"/>
              </w:rPr>
              <w:t>Poremećaji gastrointestinalnog sistema</w:t>
            </w:r>
          </w:p>
        </w:tc>
        <w:tc>
          <w:tcPr>
            <w:tcW w:w="1393" w:type="dxa"/>
            <w:tcBorders>
              <w:top w:val="single" w:sz="8" w:space="0" w:color="000000"/>
              <w:left w:val="single" w:sz="8" w:space="0" w:color="000000"/>
              <w:bottom w:val="single" w:sz="8" w:space="0" w:color="000000"/>
              <w:right w:val="single" w:sz="8" w:space="0" w:color="000000"/>
            </w:tcBorders>
          </w:tcPr>
          <w:p w14:paraId="5BDB0292"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veoma često</w:t>
            </w:r>
          </w:p>
          <w:p w14:paraId="7BFE8E33"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 xml:space="preserve"> </w:t>
            </w:r>
          </w:p>
          <w:p w14:paraId="6FA241B2"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3EBF3D94"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često</w:t>
            </w:r>
          </w:p>
          <w:p w14:paraId="49AA309B"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21177BFC"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1CFC2593"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103A46A1"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26B45A3E"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povremeno</w:t>
            </w:r>
          </w:p>
          <w:p w14:paraId="6FF6C880"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6976B761"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0A65FF33"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05FBFDC8"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rijetko</w:t>
            </w:r>
          </w:p>
        </w:tc>
        <w:tc>
          <w:tcPr>
            <w:tcW w:w="5030" w:type="dxa"/>
            <w:tcBorders>
              <w:top w:val="single" w:sz="8" w:space="0" w:color="000000"/>
              <w:left w:val="single" w:sz="8" w:space="0" w:color="000000"/>
              <w:bottom w:val="single" w:sz="8" w:space="0" w:color="000000"/>
              <w:right w:val="single" w:sz="8" w:space="0" w:color="000000"/>
            </w:tcBorders>
          </w:tcPr>
          <w:p w14:paraId="2F438240"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bolovi u stomaku, </w:t>
            </w:r>
          </w:p>
          <w:p w14:paraId="4BE8AB9D"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mučnina i povraćanje</w:t>
            </w:r>
          </w:p>
          <w:p w14:paraId="380C821F" w14:textId="77777777" w:rsidR="00596C07" w:rsidRPr="004500D8" w:rsidRDefault="00596C07" w:rsidP="00596C07">
            <w:pPr>
              <w:widowControl w:val="0"/>
              <w:autoSpaceDE w:val="0"/>
              <w:autoSpaceDN w:val="0"/>
              <w:adjustRightInd w:val="0"/>
              <w:ind w:left="40"/>
              <w:rPr>
                <w:color w:val="000000"/>
                <w:sz w:val="22"/>
                <w:szCs w:val="22"/>
                <w:lang w:val="sr-Latn-ME"/>
              </w:rPr>
            </w:pPr>
          </w:p>
          <w:p w14:paraId="52E8C22B"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krvarenje probavnog sistema, </w:t>
            </w:r>
          </w:p>
          <w:p w14:paraId="466DBC78"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dispepsija, </w:t>
            </w:r>
          </w:p>
          <w:p w14:paraId="7AE4210E"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gastroezofagealni refluks, </w:t>
            </w:r>
          </w:p>
          <w:p w14:paraId="1CD511A5"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sicca sindrom</w:t>
            </w:r>
          </w:p>
          <w:p w14:paraId="3512AEA6" w14:textId="77777777" w:rsidR="00596C07" w:rsidRPr="004500D8" w:rsidRDefault="00596C07" w:rsidP="00596C07">
            <w:pPr>
              <w:widowControl w:val="0"/>
              <w:autoSpaceDE w:val="0"/>
              <w:autoSpaceDN w:val="0"/>
              <w:adjustRightInd w:val="0"/>
              <w:ind w:left="40"/>
              <w:rPr>
                <w:color w:val="000000"/>
                <w:sz w:val="22"/>
                <w:szCs w:val="22"/>
                <w:lang w:val="sr-Latn-ME"/>
              </w:rPr>
            </w:pPr>
          </w:p>
          <w:p w14:paraId="28C2E9A0"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pankreatitis,</w:t>
            </w:r>
          </w:p>
          <w:p w14:paraId="5889785D"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disfagija, </w:t>
            </w:r>
          </w:p>
          <w:p w14:paraId="2CDB6E70"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edem lica</w:t>
            </w:r>
          </w:p>
          <w:p w14:paraId="792892AE" w14:textId="77777777" w:rsidR="00596C07" w:rsidRPr="004500D8" w:rsidRDefault="00596C07" w:rsidP="00596C07">
            <w:pPr>
              <w:widowControl w:val="0"/>
              <w:autoSpaceDE w:val="0"/>
              <w:autoSpaceDN w:val="0"/>
              <w:adjustRightInd w:val="0"/>
              <w:ind w:left="40"/>
              <w:rPr>
                <w:color w:val="000000"/>
                <w:sz w:val="22"/>
                <w:szCs w:val="22"/>
                <w:lang w:val="sr-Latn-ME"/>
              </w:rPr>
            </w:pPr>
          </w:p>
          <w:p w14:paraId="24900ECE"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intestinalna perforacija</w:t>
            </w:r>
            <w:r w:rsidRPr="004500D8">
              <w:rPr>
                <w:color w:val="000000"/>
                <w:sz w:val="22"/>
                <w:szCs w:val="22"/>
                <w:vertAlign w:val="superscript"/>
                <w:lang w:val="sr-Latn-ME"/>
              </w:rPr>
              <w:t>1)</w:t>
            </w:r>
          </w:p>
        </w:tc>
      </w:tr>
      <w:tr w:rsidR="00596C07" w:rsidRPr="004500D8" w14:paraId="18AE54E7" w14:textId="77777777" w:rsidTr="00CA3FA1">
        <w:trPr>
          <w:trHeight w:val="546"/>
        </w:trPr>
        <w:tc>
          <w:tcPr>
            <w:tcW w:w="2522" w:type="dxa"/>
            <w:tcBorders>
              <w:top w:val="single" w:sz="8" w:space="0" w:color="000000"/>
              <w:left w:val="single" w:sz="8" w:space="0" w:color="000000"/>
              <w:bottom w:val="single" w:sz="8" w:space="0" w:color="000000"/>
              <w:right w:val="single" w:sz="8" w:space="0" w:color="000000"/>
            </w:tcBorders>
          </w:tcPr>
          <w:p w14:paraId="75263E6B"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Poremećaji jetre i žuči*</w:t>
            </w:r>
          </w:p>
        </w:tc>
        <w:tc>
          <w:tcPr>
            <w:tcW w:w="1393" w:type="dxa"/>
            <w:tcBorders>
              <w:top w:val="single" w:sz="8" w:space="0" w:color="000000"/>
              <w:left w:val="single" w:sz="8" w:space="0" w:color="000000"/>
              <w:bottom w:val="single" w:sz="8" w:space="0" w:color="000000"/>
              <w:right w:val="single" w:sz="8" w:space="0" w:color="000000"/>
            </w:tcBorders>
          </w:tcPr>
          <w:p w14:paraId="57358721"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veoma često</w:t>
            </w:r>
          </w:p>
          <w:p w14:paraId="3B8DEB5C"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4E8AF140"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povremeno</w:t>
            </w:r>
          </w:p>
          <w:p w14:paraId="4356135E"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5831E54C"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0D3680E2"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7EFB23A2"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rijetko</w:t>
            </w:r>
          </w:p>
          <w:p w14:paraId="0392ED46"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36A54DCD"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7EA6943A" w14:textId="77777777" w:rsidR="00596C07" w:rsidRPr="004500D8" w:rsidRDefault="00596C07" w:rsidP="00596C07">
            <w:pPr>
              <w:widowControl w:val="0"/>
              <w:autoSpaceDE w:val="0"/>
              <w:autoSpaceDN w:val="0"/>
              <w:adjustRightInd w:val="0"/>
              <w:rPr>
                <w:color w:val="000000"/>
                <w:sz w:val="22"/>
                <w:szCs w:val="22"/>
                <w:lang w:val="sr-Latn-ME"/>
              </w:rPr>
            </w:pPr>
          </w:p>
          <w:p w14:paraId="57915E58" w14:textId="77777777" w:rsidR="00596C07" w:rsidRPr="004500D8" w:rsidRDefault="00596C07" w:rsidP="00596C07">
            <w:pPr>
              <w:widowControl w:val="0"/>
              <w:autoSpaceDE w:val="0"/>
              <w:autoSpaceDN w:val="0"/>
              <w:adjustRightInd w:val="0"/>
              <w:rPr>
                <w:sz w:val="22"/>
                <w:szCs w:val="22"/>
                <w:lang w:val="sr-Latn-ME"/>
              </w:rPr>
            </w:pPr>
            <w:r w:rsidRPr="004500D8">
              <w:rPr>
                <w:sz w:val="22"/>
                <w:szCs w:val="22"/>
                <w:lang w:val="sr-Latn-ME"/>
              </w:rPr>
              <w:t>nepoznato</w:t>
            </w:r>
          </w:p>
        </w:tc>
        <w:tc>
          <w:tcPr>
            <w:tcW w:w="5030" w:type="dxa"/>
            <w:tcBorders>
              <w:top w:val="single" w:sz="8" w:space="0" w:color="000000"/>
              <w:left w:val="single" w:sz="8" w:space="0" w:color="000000"/>
              <w:bottom w:val="single" w:sz="8" w:space="0" w:color="000000"/>
              <w:right w:val="single" w:sz="8" w:space="0" w:color="000000"/>
            </w:tcBorders>
          </w:tcPr>
          <w:p w14:paraId="7EDD37BF" w14:textId="77777777" w:rsidR="00596C07" w:rsidRPr="004500D8" w:rsidRDefault="00596C07" w:rsidP="00596C07">
            <w:pPr>
              <w:widowControl w:val="0"/>
              <w:autoSpaceDE w:val="0"/>
              <w:autoSpaceDN w:val="0"/>
              <w:adjustRightInd w:val="0"/>
              <w:ind w:left="40"/>
              <w:rPr>
                <w:sz w:val="22"/>
                <w:szCs w:val="22"/>
                <w:lang w:val="sr-Latn-ME"/>
              </w:rPr>
            </w:pPr>
            <w:r w:rsidRPr="004500D8">
              <w:rPr>
                <w:sz w:val="22"/>
                <w:szCs w:val="22"/>
                <w:lang w:val="sr-Latn-ME"/>
              </w:rPr>
              <w:t>povišen nivo enzima jetre</w:t>
            </w:r>
          </w:p>
          <w:p w14:paraId="07B09C2B" w14:textId="77777777" w:rsidR="00596C07" w:rsidRPr="004500D8" w:rsidRDefault="00596C07" w:rsidP="00596C07">
            <w:pPr>
              <w:widowControl w:val="0"/>
              <w:autoSpaceDE w:val="0"/>
              <w:autoSpaceDN w:val="0"/>
              <w:adjustRightInd w:val="0"/>
              <w:ind w:left="40"/>
              <w:rPr>
                <w:sz w:val="22"/>
                <w:szCs w:val="22"/>
                <w:lang w:val="sr-Latn-ME"/>
              </w:rPr>
            </w:pPr>
          </w:p>
          <w:p w14:paraId="1D63C1D0" w14:textId="77777777" w:rsidR="00596C07" w:rsidRPr="004500D8" w:rsidRDefault="00596C07" w:rsidP="00596C07">
            <w:pPr>
              <w:widowControl w:val="0"/>
              <w:autoSpaceDE w:val="0"/>
              <w:autoSpaceDN w:val="0"/>
              <w:adjustRightInd w:val="0"/>
              <w:ind w:left="40"/>
              <w:rPr>
                <w:sz w:val="22"/>
                <w:szCs w:val="22"/>
                <w:lang w:val="sr-Latn-ME"/>
              </w:rPr>
            </w:pPr>
            <w:r w:rsidRPr="004500D8">
              <w:rPr>
                <w:sz w:val="22"/>
                <w:szCs w:val="22"/>
                <w:lang w:val="sr-Latn-ME"/>
              </w:rPr>
              <w:t xml:space="preserve">holecistitis i holelitijaza, </w:t>
            </w:r>
          </w:p>
          <w:p w14:paraId="170F1824" w14:textId="77777777" w:rsidR="00596C07" w:rsidRPr="004500D8" w:rsidRDefault="00596C07" w:rsidP="00596C07">
            <w:pPr>
              <w:widowControl w:val="0"/>
              <w:autoSpaceDE w:val="0"/>
              <w:autoSpaceDN w:val="0"/>
              <w:adjustRightInd w:val="0"/>
              <w:ind w:left="40"/>
              <w:rPr>
                <w:sz w:val="22"/>
                <w:szCs w:val="22"/>
                <w:lang w:val="sr-Latn-ME"/>
              </w:rPr>
            </w:pPr>
            <w:r w:rsidRPr="004500D8">
              <w:rPr>
                <w:sz w:val="22"/>
                <w:szCs w:val="22"/>
                <w:lang w:val="sr-Latn-ME"/>
              </w:rPr>
              <w:t>hepatička steatoza,</w:t>
            </w:r>
          </w:p>
          <w:p w14:paraId="391DCCCF" w14:textId="77777777" w:rsidR="00596C07" w:rsidRPr="004500D8" w:rsidRDefault="00596C07" w:rsidP="00596C07">
            <w:pPr>
              <w:widowControl w:val="0"/>
              <w:autoSpaceDE w:val="0"/>
              <w:autoSpaceDN w:val="0"/>
              <w:adjustRightInd w:val="0"/>
              <w:ind w:left="40"/>
              <w:rPr>
                <w:sz w:val="22"/>
                <w:szCs w:val="22"/>
                <w:lang w:val="sr-Latn-ME"/>
              </w:rPr>
            </w:pPr>
            <w:r w:rsidRPr="004500D8">
              <w:rPr>
                <w:sz w:val="22"/>
                <w:szCs w:val="22"/>
                <w:lang w:val="sr-Latn-ME"/>
              </w:rPr>
              <w:t>povišen nivo bilirubina</w:t>
            </w:r>
          </w:p>
          <w:p w14:paraId="4746EFB9" w14:textId="77777777" w:rsidR="00596C07" w:rsidRPr="004500D8" w:rsidRDefault="00596C07" w:rsidP="00596C07">
            <w:pPr>
              <w:widowControl w:val="0"/>
              <w:autoSpaceDE w:val="0"/>
              <w:autoSpaceDN w:val="0"/>
              <w:adjustRightInd w:val="0"/>
              <w:ind w:left="40"/>
              <w:rPr>
                <w:sz w:val="22"/>
                <w:szCs w:val="22"/>
                <w:lang w:val="sr-Latn-ME"/>
              </w:rPr>
            </w:pPr>
          </w:p>
          <w:p w14:paraId="076773D6" w14:textId="77777777" w:rsidR="00596C07" w:rsidRPr="004500D8" w:rsidRDefault="00596C07" w:rsidP="00596C07">
            <w:pPr>
              <w:widowControl w:val="0"/>
              <w:autoSpaceDE w:val="0"/>
              <w:autoSpaceDN w:val="0"/>
              <w:adjustRightInd w:val="0"/>
              <w:ind w:left="40"/>
              <w:rPr>
                <w:sz w:val="22"/>
                <w:szCs w:val="22"/>
                <w:lang w:val="sr-Latn-ME"/>
              </w:rPr>
            </w:pPr>
            <w:r w:rsidRPr="004500D8">
              <w:rPr>
                <w:sz w:val="22"/>
                <w:szCs w:val="22"/>
                <w:lang w:val="sr-Latn-ME"/>
              </w:rPr>
              <w:t>hepatitis,</w:t>
            </w:r>
          </w:p>
          <w:p w14:paraId="26D3943D" w14:textId="77777777" w:rsidR="00596C07" w:rsidRPr="004500D8" w:rsidRDefault="00596C07" w:rsidP="00596C07">
            <w:pPr>
              <w:widowControl w:val="0"/>
              <w:autoSpaceDE w:val="0"/>
              <w:autoSpaceDN w:val="0"/>
              <w:adjustRightInd w:val="0"/>
              <w:ind w:left="40"/>
              <w:rPr>
                <w:sz w:val="22"/>
                <w:szCs w:val="22"/>
                <w:vertAlign w:val="superscript"/>
                <w:lang w:val="sr-Latn-ME"/>
              </w:rPr>
            </w:pPr>
            <w:r w:rsidRPr="004500D8">
              <w:rPr>
                <w:sz w:val="22"/>
                <w:szCs w:val="22"/>
                <w:lang w:val="sr-Latn-ME"/>
              </w:rPr>
              <w:t>reaktivacija hepatitisa B</w:t>
            </w:r>
            <w:r w:rsidRPr="004500D8">
              <w:rPr>
                <w:sz w:val="22"/>
                <w:szCs w:val="22"/>
                <w:vertAlign w:val="superscript"/>
                <w:lang w:val="sr-Latn-ME"/>
              </w:rPr>
              <w:t>1)</w:t>
            </w:r>
          </w:p>
          <w:p w14:paraId="1DEAA42E" w14:textId="77777777" w:rsidR="00596C07" w:rsidRPr="004500D8" w:rsidRDefault="00596C07" w:rsidP="00596C07">
            <w:pPr>
              <w:widowControl w:val="0"/>
              <w:autoSpaceDE w:val="0"/>
              <w:autoSpaceDN w:val="0"/>
              <w:adjustRightInd w:val="0"/>
              <w:ind w:left="40"/>
              <w:rPr>
                <w:sz w:val="22"/>
                <w:szCs w:val="22"/>
                <w:vertAlign w:val="superscript"/>
                <w:lang w:val="sr-Latn-ME"/>
              </w:rPr>
            </w:pPr>
            <w:r w:rsidRPr="004500D8">
              <w:rPr>
                <w:sz w:val="22"/>
                <w:szCs w:val="22"/>
                <w:lang w:val="sr-Latn-ME"/>
              </w:rPr>
              <w:t>autoimuni hepatitis</w:t>
            </w:r>
            <w:r w:rsidRPr="004500D8">
              <w:rPr>
                <w:sz w:val="22"/>
                <w:szCs w:val="22"/>
                <w:vertAlign w:val="superscript"/>
                <w:lang w:val="sr-Latn-ME"/>
              </w:rPr>
              <w:t xml:space="preserve"> 1)</w:t>
            </w:r>
          </w:p>
          <w:p w14:paraId="4DA93F25" w14:textId="77777777" w:rsidR="00596C07" w:rsidRPr="004500D8" w:rsidRDefault="00596C07" w:rsidP="00596C07">
            <w:pPr>
              <w:widowControl w:val="0"/>
              <w:autoSpaceDE w:val="0"/>
              <w:autoSpaceDN w:val="0"/>
              <w:adjustRightInd w:val="0"/>
              <w:rPr>
                <w:sz w:val="22"/>
                <w:szCs w:val="22"/>
                <w:lang w:val="sr-Latn-ME"/>
              </w:rPr>
            </w:pPr>
          </w:p>
          <w:p w14:paraId="70E83E63" w14:textId="77777777" w:rsidR="00596C07" w:rsidRPr="004500D8" w:rsidRDefault="00596C07" w:rsidP="00596C07">
            <w:pPr>
              <w:widowControl w:val="0"/>
              <w:autoSpaceDE w:val="0"/>
              <w:autoSpaceDN w:val="0"/>
              <w:adjustRightInd w:val="0"/>
              <w:rPr>
                <w:sz w:val="22"/>
                <w:szCs w:val="22"/>
                <w:lang w:val="sr-Latn-ME"/>
              </w:rPr>
            </w:pPr>
            <w:r w:rsidRPr="004500D8">
              <w:rPr>
                <w:sz w:val="22"/>
                <w:szCs w:val="22"/>
                <w:lang w:val="sr-Latn-ME"/>
              </w:rPr>
              <w:t>isuficijencija jetre</w:t>
            </w:r>
            <w:r w:rsidRPr="004500D8">
              <w:rPr>
                <w:sz w:val="22"/>
                <w:szCs w:val="22"/>
                <w:vertAlign w:val="superscript"/>
                <w:lang w:val="sr-Latn-ME"/>
              </w:rPr>
              <w:t>1)</w:t>
            </w:r>
          </w:p>
        </w:tc>
      </w:tr>
      <w:tr w:rsidR="00596C07" w:rsidRPr="004500D8" w14:paraId="3B84AA58" w14:textId="77777777" w:rsidTr="00CA3FA1">
        <w:trPr>
          <w:trHeight w:val="253"/>
        </w:trPr>
        <w:tc>
          <w:tcPr>
            <w:tcW w:w="2522" w:type="dxa"/>
            <w:tcBorders>
              <w:top w:val="single" w:sz="8" w:space="0" w:color="000000"/>
              <w:left w:val="single" w:sz="8" w:space="0" w:color="000000"/>
              <w:bottom w:val="single" w:sz="8" w:space="0" w:color="000000"/>
              <w:right w:val="single" w:sz="8" w:space="0" w:color="000000"/>
            </w:tcBorders>
          </w:tcPr>
          <w:p w14:paraId="72FBDBFC" w14:textId="77777777" w:rsidR="00596C07" w:rsidRPr="004500D8" w:rsidRDefault="00596C07" w:rsidP="00596C07">
            <w:pPr>
              <w:widowControl w:val="0"/>
              <w:autoSpaceDE w:val="0"/>
              <w:autoSpaceDN w:val="0"/>
              <w:adjustRightInd w:val="0"/>
              <w:rPr>
                <w:color w:val="000000"/>
                <w:sz w:val="22"/>
                <w:szCs w:val="22"/>
                <w:lang w:val="sr-Latn-ME"/>
              </w:rPr>
            </w:pPr>
            <w:r w:rsidRPr="004500D8">
              <w:rPr>
                <w:color w:val="000000"/>
                <w:sz w:val="22"/>
                <w:szCs w:val="22"/>
                <w:lang w:val="sr-Latn-ME"/>
              </w:rPr>
              <w:t xml:space="preserve">Poremećaji kože i potkožnog tkiva </w:t>
            </w:r>
          </w:p>
        </w:tc>
        <w:tc>
          <w:tcPr>
            <w:tcW w:w="1393" w:type="dxa"/>
            <w:tcBorders>
              <w:top w:val="single" w:sz="8" w:space="0" w:color="000000"/>
              <w:left w:val="single" w:sz="8" w:space="0" w:color="000000"/>
              <w:bottom w:val="single" w:sz="8" w:space="0" w:color="000000"/>
              <w:right w:val="single" w:sz="8" w:space="0" w:color="000000"/>
            </w:tcBorders>
          </w:tcPr>
          <w:p w14:paraId="433349FC"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veoma često</w:t>
            </w:r>
          </w:p>
          <w:p w14:paraId="21AA10B4"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 xml:space="preserve">  </w:t>
            </w:r>
          </w:p>
          <w:p w14:paraId="144FA029"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često</w:t>
            </w:r>
          </w:p>
          <w:p w14:paraId="4DC00568"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5A9C4FAE"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39A9AB71"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3D22D0BD"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7BAEAF75"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778E22AC"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22D51467"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637C66E4"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368430DD"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085367AE" w14:textId="77777777" w:rsidR="00596C07" w:rsidRPr="004500D8" w:rsidRDefault="00596C07" w:rsidP="00596C07">
            <w:pPr>
              <w:widowControl w:val="0"/>
              <w:autoSpaceDE w:val="0"/>
              <w:autoSpaceDN w:val="0"/>
              <w:adjustRightInd w:val="0"/>
              <w:rPr>
                <w:color w:val="000000"/>
                <w:sz w:val="22"/>
                <w:szCs w:val="22"/>
                <w:lang w:val="sr-Latn-ME"/>
              </w:rPr>
            </w:pPr>
            <w:r w:rsidRPr="004500D8">
              <w:rPr>
                <w:color w:val="000000"/>
                <w:sz w:val="22"/>
                <w:szCs w:val="22"/>
                <w:lang w:val="sr-Latn-ME"/>
              </w:rPr>
              <w:t>povremeno</w:t>
            </w:r>
          </w:p>
          <w:p w14:paraId="02BD2614"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2D6A72A8"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67BD6302"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rijetko</w:t>
            </w:r>
          </w:p>
          <w:p w14:paraId="678C3B9C"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09D7C17E"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3526AEE1"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280FB8BE"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7E2F240A"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71869DB9"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nepoznato</w:t>
            </w:r>
          </w:p>
        </w:tc>
        <w:tc>
          <w:tcPr>
            <w:tcW w:w="5030" w:type="dxa"/>
            <w:tcBorders>
              <w:top w:val="single" w:sz="8" w:space="0" w:color="000000"/>
              <w:left w:val="single" w:sz="8" w:space="0" w:color="000000"/>
              <w:bottom w:val="single" w:sz="8" w:space="0" w:color="000000"/>
              <w:right w:val="single" w:sz="8" w:space="0" w:color="000000"/>
            </w:tcBorders>
          </w:tcPr>
          <w:p w14:paraId="545DB96B"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lastRenderedPageBreak/>
              <w:t>osip (uključujući eksfolijativni osip)</w:t>
            </w:r>
          </w:p>
          <w:p w14:paraId="2A9F1769"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 </w:t>
            </w:r>
          </w:p>
          <w:p w14:paraId="3451F34F"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pogoršanje ili ponovna pojava psorijaze (uključujući </w:t>
            </w:r>
            <w:r w:rsidRPr="004500D8">
              <w:rPr>
                <w:color w:val="000000"/>
                <w:sz w:val="22"/>
                <w:szCs w:val="22"/>
                <w:lang w:val="sr-Latn-ME"/>
              </w:rPr>
              <w:lastRenderedPageBreak/>
              <w:t>palmoplantarnu pustularnu psorijazu)</w:t>
            </w:r>
            <w:r w:rsidRPr="004500D8">
              <w:rPr>
                <w:color w:val="000000"/>
                <w:sz w:val="22"/>
                <w:szCs w:val="22"/>
                <w:vertAlign w:val="superscript"/>
                <w:lang w:val="sr-Latn-ME"/>
              </w:rPr>
              <w:t xml:space="preserve"> 1)</w:t>
            </w:r>
            <w:r w:rsidRPr="004500D8">
              <w:rPr>
                <w:color w:val="000000"/>
                <w:sz w:val="22"/>
                <w:szCs w:val="22"/>
                <w:lang w:val="sr-Latn-ME"/>
              </w:rPr>
              <w:t xml:space="preserve">, </w:t>
            </w:r>
          </w:p>
          <w:p w14:paraId="46EFE136"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urtikarija, </w:t>
            </w:r>
          </w:p>
          <w:p w14:paraId="7B9FA157"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povećano stvaranje modrica (uključujući purpuru), </w:t>
            </w:r>
          </w:p>
          <w:p w14:paraId="35FD86CF"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dermatitis (uključujući ekcem), </w:t>
            </w:r>
          </w:p>
          <w:p w14:paraId="5A2984F2"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lomljenje noktiju, </w:t>
            </w:r>
          </w:p>
          <w:p w14:paraId="05DE1847"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hiperhidroza,</w:t>
            </w:r>
          </w:p>
          <w:p w14:paraId="3455FF89"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alopecija</w:t>
            </w:r>
            <w:r w:rsidRPr="004500D8">
              <w:rPr>
                <w:color w:val="000000"/>
                <w:sz w:val="22"/>
                <w:szCs w:val="22"/>
                <w:vertAlign w:val="superscript"/>
                <w:lang w:val="sr-Latn-ME"/>
              </w:rPr>
              <w:t>1)</w:t>
            </w:r>
            <w:r w:rsidRPr="004500D8">
              <w:rPr>
                <w:color w:val="000000"/>
                <w:sz w:val="22"/>
                <w:szCs w:val="22"/>
                <w:lang w:val="sr-Latn-ME"/>
              </w:rPr>
              <w:t>,</w:t>
            </w:r>
          </w:p>
          <w:p w14:paraId="6238F6E5"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pruritus </w:t>
            </w:r>
          </w:p>
          <w:p w14:paraId="3E649E03" w14:textId="77777777" w:rsidR="00596C07" w:rsidRPr="004500D8" w:rsidRDefault="00596C07" w:rsidP="00596C07">
            <w:pPr>
              <w:widowControl w:val="0"/>
              <w:autoSpaceDE w:val="0"/>
              <w:autoSpaceDN w:val="0"/>
              <w:adjustRightInd w:val="0"/>
              <w:rPr>
                <w:color w:val="000000"/>
                <w:sz w:val="22"/>
                <w:szCs w:val="22"/>
                <w:lang w:val="sr-Latn-ME"/>
              </w:rPr>
            </w:pPr>
          </w:p>
          <w:p w14:paraId="350EA55E"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noćno znojenje, </w:t>
            </w:r>
          </w:p>
          <w:p w14:paraId="0DEADD8B"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ožiljci </w:t>
            </w:r>
          </w:p>
          <w:p w14:paraId="0641E189" w14:textId="77777777" w:rsidR="00596C07" w:rsidRPr="004500D8" w:rsidRDefault="00596C07" w:rsidP="00596C07">
            <w:pPr>
              <w:widowControl w:val="0"/>
              <w:autoSpaceDE w:val="0"/>
              <w:autoSpaceDN w:val="0"/>
              <w:adjustRightInd w:val="0"/>
              <w:ind w:left="40"/>
              <w:rPr>
                <w:color w:val="000000"/>
                <w:sz w:val="22"/>
                <w:szCs w:val="22"/>
                <w:lang w:val="sr-Latn-ME"/>
              </w:rPr>
            </w:pPr>
          </w:p>
          <w:p w14:paraId="2875F58D"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multiformni eritem</w:t>
            </w:r>
            <w:r w:rsidRPr="004500D8">
              <w:rPr>
                <w:color w:val="000000"/>
                <w:sz w:val="22"/>
                <w:szCs w:val="22"/>
                <w:vertAlign w:val="superscript"/>
                <w:lang w:val="sr-Latn-ME"/>
              </w:rPr>
              <w:t>1)</w:t>
            </w:r>
            <w:r w:rsidRPr="004500D8">
              <w:rPr>
                <w:color w:val="000000"/>
                <w:sz w:val="22"/>
                <w:szCs w:val="22"/>
                <w:lang w:val="sr-Latn-ME"/>
              </w:rPr>
              <w:t>,</w:t>
            </w:r>
          </w:p>
          <w:p w14:paraId="5059DF37"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Stevens-Johnsonov sindrom</w:t>
            </w:r>
            <w:r w:rsidRPr="004500D8">
              <w:rPr>
                <w:color w:val="000000"/>
                <w:sz w:val="22"/>
                <w:szCs w:val="22"/>
                <w:vertAlign w:val="superscript"/>
                <w:lang w:val="sr-Latn-ME"/>
              </w:rPr>
              <w:t>1)</w:t>
            </w:r>
            <w:r w:rsidRPr="004500D8">
              <w:rPr>
                <w:color w:val="000000"/>
                <w:sz w:val="22"/>
                <w:szCs w:val="22"/>
                <w:lang w:val="sr-Latn-ME"/>
              </w:rPr>
              <w:t>,</w:t>
            </w:r>
          </w:p>
          <w:p w14:paraId="22D51547"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angioedem</w:t>
            </w:r>
            <w:r w:rsidRPr="004500D8">
              <w:rPr>
                <w:color w:val="000000"/>
                <w:sz w:val="22"/>
                <w:szCs w:val="22"/>
                <w:vertAlign w:val="superscript"/>
                <w:lang w:val="sr-Latn-ME"/>
              </w:rPr>
              <w:t>1)</w:t>
            </w:r>
            <w:r w:rsidRPr="004500D8">
              <w:rPr>
                <w:color w:val="000000"/>
                <w:sz w:val="22"/>
                <w:szCs w:val="22"/>
                <w:lang w:val="sr-Latn-ME"/>
              </w:rPr>
              <w:t>,</w:t>
            </w:r>
          </w:p>
          <w:p w14:paraId="639E0587" w14:textId="77777777" w:rsidR="00596C07" w:rsidRPr="004500D8" w:rsidRDefault="00596C07" w:rsidP="00596C07">
            <w:pPr>
              <w:widowControl w:val="0"/>
              <w:autoSpaceDE w:val="0"/>
              <w:autoSpaceDN w:val="0"/>
              <w:adjustRightInd w:val="0"/>
              <w:ind w:left="40"/>
              <w:rPr>
                <w:color w:val="000000"/>
                <w:sz w:val="22"/>
                <w:szCs w:val="22"/>
                <w:vertAlign w:val="superscript"/>
                <w:lang w:val="sr-Latn-ME"/>
              </w:rPr>
            </w:pPr>
            <w:r w:rsidRPr="004500D8">
              <w:rPr>
                <w:color w:val="000000"/>
                <w:sz w:val="22"/>
                <w:szCs w:val="22"/>
                <w:lang w:val="sr-Latn-ME"/>
              </w:rPr>
              <w:t>kožni vaskulitis</w:t>
            </w:r>
            <w:r w:rsidRPr="004500D8">
              <w:rPr>
                <w:color w:val="000000"/>
                <w:sz w:val="22"/>
                <w:szCs w:val="22"/>
                <w:vertAlign w:val="superscript"/>
                <w:lang w:val="sr-Latn-ME"/>
              </w:rPr>
              <w:t>1)</w:t>
            </w:r>
          </w:p>
          <w:p w14:paraId="404709D9" w14:textId="39566FE8" w:rsidR="00596C07" w:rsidRPr="004500D8" w:rsidRDefault="00596C07" w:rsidP="00596C07">
            <w:pPr>
              <w:widowControl w:val="0"/>
              <w:autoSpaceDE w:val="0"/>
              <w:autoSpaceDN w:val="0"/>
              <w:adjustRightInd w:val="0"/>
              <w:jc w:val="both"/>
              <w:rPr>
                <w:color w:val="000000"/>
                <w:sz w:val="22"/>
                <w:szCs w:val="22"/>
                <w:vertAlign w:val="superscript"/>
                <w:lang w:val="sr-Latn-ME"/>
              </w:rPr>
            </w:pPr>
            <w:r w:rsidRPr="004500D8">
              <w:rPr>
                <w:color w:val="000000"/>
                <w:sz w:val="22"/>
                <w:szCs w:val="22"/>
                <w:lang w:val="sr-Latn-ME"/>
              </w:rPr>
              <w:t>lihenoidne reakcije na koži</w:t>
            </w:r>
            <w:r w:rsidRPr="004500D8">
              <w:rPr>
                <w:color w:val="000000"/>
                <w:sz w:val="22"/>
                <w:szCs w:val="22"/>
                <w:vertAlign w:val="superscript"/>
                <w:lang w:val="sr-Latn-ME"/>
              </w:rPr>
              <w:t>1)</w:t>
            </w:r>
          </w:p>
          <w:p w14:paraId="0051A2B4" w14:textId="77777777" w:rsidR="00596C07" w:rsidRPr="004500D8" w:rsidRDefault="00596C07" w:rsidP="00596C07">
            <w:pPr>
              <w:widowControl w:val="0"/>
              <w:autoSpaceDE w:val="0"/>
              <w:autoSpaceDN w:val="0"/>
              <w:adjustRightInd w:val="0"/>
              <w:ind w:left="40"/>
              <w:rPr>
                <w:color w:val="000000"/>
                <w:sz w:val="22"/>
                <w:szCs w:val="22"/>
                <w:lang w:val="sr-Latn-ME"/>
              </w:rPr>
            </w:pPr>
          </w:p>
          <w:p w14:paraId="56DB70D6"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pogoršanje simptoma dermatomiozitisa </w:t>
            </w:r>
            <w:r w:rsidRPr="004500D8">
              <w:rPr>
                <w:color w:val="000000"/>
                <w:sz w:val="22"/>
                <w:szCs w:val="22"/>
                <w:vertAlign w:val="superscript"/>
                <w:lang w:val="sr-Latn-ME"/>
              </w:rPr>
              <w:t>1)</w:t>
            </w:r>
          </w:p>
        </w:tc>
      </w:tr>
      <w:tr w:rsidR="00596C07" w:rsidRPr="004500D8" w14:paraId="1D5CCB80" w14:textId="77777777" w:rsidTr="00CA3FA1">
        <w:trPr>
          <w:trHeight w:val="1051"/>
        </w:trPr>
        <w:tc>
          <w:tcPr>
            <w:tcW w:w="2522" w:type="dxa"/>
            <w:tcBorders>
              <w:top w:val="single" w:sz="8" w:space="0" w:color="000000"/>
              <w:left w:val="single" w:sz="8" w:space="0" w:color="000000"/>
              <w:bottom w:val="single" w:sz="8" w:space="0" w:color="000000"/>
              <w:right w:val="single" w:sz="8" w:space="0" w:color="000000"/>
            </w:tcBorders>
          </w:tcPr>
          <w:p w14:paraId="6B87C9B5" w14:textId="77777777" w:rsidR="00596C07" w:rsidRPr="004500D8" w:rsidRDefault="00596C07" w:rsidP="00596C07">
            <w:pPr>
              <w:widowControl w:val="0"/>
              <w:autoSpaceDE w:val="0"/>
              <w:autoSpaceDN w:val="0"/>
              <w:adjustRightInd w:val="0"/>
              <w:rPr>
                <w:color w:val="000000"/>
                <w:sz w:val="22"/>
                <w:szCs w:val="22"/>
                <w:lang w:val="sr-Latn-ME"/>
              </w:rPr>
            </w:pPr>
            <w:r w:rsidRPr="004500D8">
              <w:rPr>
                <w:color w:val="000000"/>
                <w:sz w:val="22"/>
                <w:szCs w:val="22"/>
                <w:lang w:val="sr-Latn-ME"/>
              </w:rPr>
              <w:lastRenderedPageBreak/>
              <w:t xml:space="preserve">Poremećaji mišićno-skeletnog sistema i vezivnog tkiva </w:t>
            </w:r>
          </w:p>
        </w:tc>
        <w:tc>
          <w:tcPr>
            <w:tcW w:w="1393" w:type="dxa"/>
            <w:tcBorders>
              <w:top w:val="single" w:sz="8" w:space="0" w:color="000000"/>
              <w:left w:val="single" w:sz="8" w:space="0" w:color="000000"/>
              <w:bottom w:val="single" w:sz="8" w:space="0" w:color="000000"/>
              <w:right w:val="single" w:sz="8" w:space="0" w:color="000000"/>
            </w:tcBorders>
          </w:tcPr>
          <w:p w14:paraId="5352197E"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veoma često</w:t>
            </w:r>
          </w:p>
          <w:p w14:paraId="0FA8D09E"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5A57E8B5"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često</w:t>
            </w:r>
          </w:p>
          <w:p w14:paraId="79874124"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54DAF6AA"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6F35C9DF"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povremeno</w:t>
            </w:r>
          </w:p>
          <w:p w14:paraId="7D8E6259"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5A5FF7BA"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2EAF7D1A"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rijetko</w:t>
            </w:r>
          </w:p>
        </w:tc>
        <w:tc>
          <w:tcPr>
            <w:tcW w:w="5030" w:type="dxa"/>
            <w:tcBorders>
              <w:top w:val="single" w:sz="8" w:space="0" w:color="000000"/>
              <w:left w:val="single" w:sz="8" w:space="0" w:color="000000"/>
              <w:bottom w:val="single" w:sz="8" w:space="0" w:color="000000"/>
              <w:right w:val="single" w:sz="8" w:space="0" w:color="000000"/>
            </w:tcBorders>
          </w:tcPr>
          <w:p w14:paraId="1D5F22D1"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mišićno-skeletna bol</w:t>
            </w:r>
          </w:p>
          <w:p w14:paraId="65C773A1"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 </w:t>
            </w:r>
          </w:p>
          <w:p w14:paraId="2FABE12C"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spazmi mišića (uključujući povećanje nivoa kreatinin fosfokinaze u krvi)</w:t>
            </w:r>
          </w:p>
          <w:p w14:paraId="6FEA2E39" w14:textId="77777777" w:rsidR="00596C07" w:rsidRPr="004500D8" w:rsidRDefault="00596C07" w:rsidP="00596C07">
            <w:pPr>
              <w:widowControl w:val="0"/>
              <w:autoSpaceDE w:val="0"/>
              <w:autoSpaceDN w:val="0"/>
              <w:adjustRightInd w:val="0"/>
              <w:ind w:left="40"/>
              <w:rPr>
                <w:color w:val="000000"/>
                <w:sz w:val="22"/>
                <w:szCs w:val="22"/>
                <w:lang w:val="sr-Latn-ME"/>
              </w:rPr>
            </w:pPr>
          </w:p>
          <w:p w14:paraId="05FC275D"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rabdomioliza,</w:t>
            </w:r>
          </w:p>
          <w:p w14:paraId="357EC891"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sistemski eritemski lupus </w:t>
            </w:r>
          </w:p>
          <w:p w14:paraId="5BE13BD7" w14:textId="77777777" w:rsidR="00596C07" w:rsidRPr="004500D8" w:rsidRDefault="00596C07" w:rsidP="00596C07">
            <w:pPr>
              <w:widowControl w:val="0"/>
              <w:autoSpaceDE w:val="0"/>
              <w:autoSpaceDN w:val="0"/>
              <w:adjustRightInd w:val="0"/>
              <w:ind w:left="40"/>
              <w:rPr>
                <w:color w:val="000000"/>
                <w:sz w:val="22"/>
                <w:szCs w:val="22"/>
                <w:lang w:val="sr-Latn-ME"/>
              </w:rPr>
            </w:pPr>
          </w:p>
          <w:p w14:paraId="6AC186C9"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sindrom sličan lupusu</w:t>
            </w:r>
            <w:r w:rsidRPr="004500D8">
              <w:rPr>
                <w:color w:val="000000"/>
                <w:sz w:val="22"/>
                <w:szCs w:val="22"/>
                <w:vertAlign w:val="superscript"/>
                <w:lang w:val="sr-Latn-ME"/>
              </w:rPr>
              <w:t>1)</w:t>
            </w:r>
          </w:p>
        </w:tc>
      </w:tr>
      <w:tr w:rsidR="00596C07" w:rsidRPr="004500D8" w14:paraId="74E93E39" w14:textId="77777777" w:rsidTr="00CA3FA1">
        <w:trPr>
          <w:trHeight w:val="912"/>
        </w:trPr>
        <w:tc>
          <w:tcPr>
            <w:tcW w:w="2522" w:type="dxa"/>
            <w:tcBorders>
              <w:top w:val="single" w:sz="8" w:space="0" w:color="000000"/>
              <w:left w:val="single" w:sz="8" w:space="0" w:color="000000"/>
              <w:bottom w:val="single" w:sz="8" w:space="0" w:color="000000"/>
              <w:right w:val="single" w:sz="8" w:space="0" w:color="000000"/>
            </w:tcBorders>
          </w:tcPr>
          <w:p w14:paraId="0BF7B85B" w14:textId="77777777" w:rsidR="00596C07" w:rsidRPr="004500D8" w:rsidRDefault="00596C07" w:rsidP="00596C07">
            <w:pPr>
              <w:widowControl w:val="0"/>
              <w:autoSpaceDE w:val="0"/>
              <w:autoSpaceDN w:val="0"/>
              <w:adjustRightInd w:val="0"/>
              <w:rPr>
                <w:color w:val="000000"/>
                <w:sz w:val="22"/>
                <w:szCs w:val="22"/>
                <w:lang w:val="sr-Latn-ME"/>
              </w:rPr>
            </w:pPr>
            <w:r w:rsidRPr="004500D8">
              <w:rPr>
                <w:color w:val="000000"/>
                <w:sz w:val="22"/>
                <w:szCs w:val="22"/>
                <w:lang w:val="sr-Latn-ME"/>
              </w:rPr>
              <w:t>Poremećaji  bubrega i mokraćnog sistema</w:t>
            </w:r>
          </w:p>
        </w:tc>
        <w:tc>
          <w:tcPr>
            <w:tcW w:w="1393" w:type="dxa"/>
            <w:tcBorders>
              <w:top w:val="single" w:sz="8" w:space="0" w:color="000000"/>
              <w:left w:val="single" w:sz="8" w:space="0" w:color="000000"/>
              <w:bottom w:val="single" w:sz="8" w:space="0" w:color="000000"/>
              <w:right w:val="single" w:sz="8" w:space="0" w:color="000000"/>
            </w:tcBorders>
          </w:tcPr>
          <w:p w14:paraId="39684025"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često</w:t>
            </w:r>
          </w:p>
          <w:p w14:paraId="6F71910C"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72D66FBE"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2789CBEE"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povremeno</w:t>
            </w:r>
          </w:p>
        </w:tc>
        <w:tc>
          <w:tcPr>
            <w:tcW w:w="5030" w:type="dxa"/>
            <w:tcBorders>
              <w:top w:val="single" w:sz="8" w:space="0" w:color="000000"/>
              <w:left w:val="single" w:sz="8" w:space="0" w:color="000000"/>
              <w:bottom w:val="single" w:sz="8" w:space="0" w:color="000000"/>
              <w:right w:val="single" w:sz="8" w:space="0" w:color="000000"/>
            </w:tcBorders>
          </w:tcPr>
          <w:p w14:paraId="6C611F55"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oštećenje bubrežne funkcije,</w:t>
            </w:r>
          </w:p>
          <w:p w14:paraId="64FBF0B8"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hematurija</w:t>
            </w:r>
          </w:p>
          <w:p w14:paraId="304EB1F7" w14:textId="77777777" w:rsidR="00596C07" w:rsidRPr="004500D8" w:rsidRDefault="00596C07" w:rsidP="00596C07">
            <w:pPr>
              <w:widowControl w:val="0"/>
              <w:autoSpaceDE w:val="0"/>
              <w:autoSpaceDN w:val="0"/>
              <w:adjustRightInd w:val="0"/>
              <w:ind w:left="40"/>
              <w:rPr>
                <w:color w:val="000000"/>
                <w:sz w:val="22"/>
                <w:szCs w:val="22"/>
                <w:lang w:val="sr-Latn-ME"/>
              </w:rPr>
            </w:pPr>
          </w:p>
          <w:p w14:paraId="560E1284"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nokturija</w:t>
            </w:r>
          </w:p>
        </w:tc>
      </w:tr>
      <w:tr w:rsidR="00596C07" w:rsidRPr="004500D8" w14:paraId="36A0DEEC" w14:textId="77777777" w:rsidTr="00CA3FA1">
        <w:trPr>
          <w:trHeight w:val="546"/>
        </w:trPr>
        <w:tc>
          <w:tcPr>
            <w:tcW w:w="2522" w:type="dxa"/>
            <w:tcBorders>
              <w:top w:val="single" w:sz="8" w:space="0" w:color="000000"/>
              <w:left w:val="single" w:sz="8" w:space="0" w:color="000000"/>
              <w:bottom w:val="single" w:sz="8" w:space="0" w:color="000000"/>
              <w:right w:val="single" w:sz="8" w:space="0" w:color="000000"/>
            </w:tcBorders>
          </w:tcPr>
          <w:p w14:paraId="3304FC9B" w14:textId="77777777" w:rsidR="00596C07" w:rsidRPr="004500D8" w:rsidRDefault="00596C07" w:rsidP="00596C07">
            <w:pPr>
              <w:widowControl w:val="0"/>
              <w:autoSpaceDE w:val="0"/>
              <w:autoSpaceDN w:val="0"/>
              <w:adjustRightInd w:val="0"/>
              <w:rPr>
                <w:color w:val="000000"/>
                <w:sz w:val="22"/>
                <w:szCs w:val="22"/>
                <w:lang w:val="sr-Latn-ME"/>
              </w:rPr>
            </w:pPr>
            <w:r w:rsidRPr="004500D8">
              <w:rPr>
                <w:color w:val="000000"/>
                <w:sz w:val="22"/>
                <w:szCs w:val="22"/>
                <w:lang w:val="sr-Latn-ME"/>
              </w:rPr>
              <w:t xml:space="preserve">Poremećaji reproduktivnog sistema i dojki </w:t>
            </w:r>
          </w:p>
        </w:tc>
        <w:tc>
          <w:tcPr>
            <w:tcW w:w="1393" w:type="dxa"/>
            <w:tcBorders>
              <w:top w:val="single" w:sz="8" w:space="0" w:color="000000"/>
              <w:left w:val="single" w:sz="8" w:space="0" w:color="000000"/>
              <w:bottom w:val="single" w:sz="8" w:space="0" w:color="000000"/>
              <w:right w:val="single" w:sz="8" w:space="0" w:color="000000"/>
            </w:tcBorders>
          </w:tcPr>
          <w:p w14:paraId="615B8F5D"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povremeno</w:t>
            </w:r>
          </w:p>
          <w:p w14:paraId="1097C073" w14:textId="77777777" w:rsidR="00596C07" w:rsidRPr="004500D8" w:rsidRDefault="00596C07" w:rsidP="00596C07">
            <w:pPr>
              <w:widowControl w:val="0"/>
              <w:autoSpaceDE w:val="0"/>
              <w:autoSpaceDN w:val="0"/>
              <w:adjustRightInd w:val="0"/>
              <w:ind w:left="567" w:hanging="567"/>
              <w:rPr>
                <w:color w:val="000000"/>
                <w:sz w:val="22"/>
                <w:szCs w:val="22"/>
                <w:lang w:val="sr-Latn-ME"/>
              </w:rPr>
            </w:pPr>
          </w:p>
        </w:tc>
        <w:tc>
          <w:tcPr>
            <w:tcW w:w="5030" w:type="dxa"/>
            <w:tcBorders>
              <w:top w:val="single" w:sz="8" w:space="0" w:color="000000"/>
              <w:left w:val="single" w:sz="8" w:space="0" w:color="000000"/>
              <w:bottom w:val="single" w:sz="8" w:space="0" w:color="000000"/>
              <w:right w:val="single" w:sz="8" w:space="0" w:color="000000"/>
            </w:tcBorders>
          </w:tcPr>
          <w:p w14:paraId="28BEB134"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erektilna disfunkcija</w:t>
            </w:r>
          </w:p>
        </w:tc>
      </w:tr>
      <w:tr w:rsidR="00596C07" w:rsidRPr="004500D8" w14:paraId="0240E8B6" w14:textId="77777777" w:rsidTr="00CA3FA1">
        <w:trPr>
          <w:trHeight w:val="477"/>
        </w:trPr>
        <w:tc>
          <w:tcPr>
            <w:tcW w:w="2522" w:type="dxa"/>
            <w:tcBorders>
              <w:top w:val="single" w:sz="8" w:space="0" w:color="000000"/>
              <w:left w:val="single" w:sz="8" w:space="0" w:color="000000"/>
              <w:bottom w:val="single" w:sz="8" w:space="0" w:color="000000"/>
              <w:right w:val="single" w:sz="8" w:space="0" w:color="000000"/>
            </w:tcBorders>
          </w:tcPr>
          <w:p w14:paraId="5494E511" w14:textId="77777777" w:rsidR="00596C07" w:rsidRPr="004500D8" w:rsidRDefault="00596C07" w:rsidP="00596C07">
            <w:pPr>
              <w:widowControl w:val="0"/>
              <w:autoSpaceDE w:val="0"/>
              <w:autoSpaceDN w:val="0"/>
              <w:adjustRightInd w:val="0"/>
              <w:ind w:right="-20"/>
              <w:rPr>
                <w:color w:val="000000"/>
                <w:sz w:val="22"/>
                <w:szCs w:val="22"/>
                <w:lang w:val="sr-Latn-ME"/>
              </w:rPr>
            </w:pPr>
            <w:r w:rsidRPr="004500D8">
              <w:rPr>
                <w:color w:val="000000"/>
                <w:sz w:val="22"/>
                <w:szCs w:val="22"/>
                <w:lang w:val="sr-Latn-ME"/>
              </w:rPr>
              <w:t>Opšti poremećaji i reakcije na mjestu primijene*</w:t>
            </w:r>
          </w:p>
        </w:tc>
        <w:tc>
          <w:tcPr>
            <w:tcW w:w="1393" w:type="dxa"/>
            <w:tcBorders>
              <w:top w:val="single" w:sz="8" w:space="0" w:color="000000"/>
              <w:left w:val="single" w:sz="8" w:space="0" w:color="000000"/>
              <w:bottom w:val="single" w:sz="8" w:space="0" w:color="000000"/>
              <w:right w:val="single" w:sz="8" w:space="0" w:color="000000"/>
            </w:tcBorders>
          </w:tcPr>
          <w:p w14:paraId="6F249524"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veoma često</w:t>
            </w:r>
          </w:p>
          <w:p w14:paraId="697A695B"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1828BBD3"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često</w:t>
            </w:r>
          </w:p>
          <w:p w14:paraId="6DBA597A"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210796A2" w14:textId="77777777" w:rsidR="00596C07" w:rsidRPr="004500D8" w:rsidRDefault="00596C07" w:rsidP="00596C07">
            <w:pPr>
              <w:widowControl w:val="0"/>
              <w:autoSpaceDE w:val="0"/>
              <w:autoSpaceDN w:val="0"/>
              <w:adjustRightInd w:val="0"/>
              <w:ind w:left="567" w:hanging="567"/>
              <w:rPr>
                <w:color w:val="000000"/>
                <w:sz w:val="22"/>
                <w:szCs w:val="22"/>
                <w:lang w:val="sr-Latn-ME"/>
              </w:rPr>
            </w:pPr>
          </w:p>
          <w:p w14:paraId="3B2A7B53" w14:textId="77777777" w:rsidR="00596C07" w:rsidRPr="004500D8" w:rsidRDefault="00596C07" w:rsidP="00596C07">
            <w:pPr>
              <w:widowControl w:val="0"/>
              <w:autoSpaceDE w:val="0"/>
              <w:autoSpaceDN w:val="0"/>
              <w:adjustRightInd w:val="0"/>
              <w:rPr>
                <w:color w:val="000000"/>
                <w:sz w:val="22"/>
                <w:szCs w:val="22"/>
                <w:lang w:val="sr-Latn-ME"/>
              </w:rPr>
            </w:pPr>
          </w:p>
          <w:p w14:paraId="67C9FB03"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povremeno</w:t>
            </w:r>
          </w:p>
        </w:tc>
        <w:tc>
          <w:tcPr>
            <w:tcW w:w="5030" w:type="dxa"/>
            <w:tcBorders>
              <w:top w:val="single" w:sz="8" w:space="0" w:color="000000"/>
              <w:left w:val="single" w:sz="8" w:space="0" w:color="000000"/>
              <w:bottom w:val="single" w:sz="8" w:space="0" w:color="000000"/>
              <w:right w:val="single" w:sz="8" w:space="0" w:color="000000"/>
            </w:tcBorders>
          </w:tcPr>
          <w:p w14:paraId="4AAF9674"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reakcije na mjestu primijene (uključujući eritem)</w:t>
            </w:r>
          </w:p>
          <w:p w14:paraId="4D2BBD5A" w14:textId="77777777" w:rsidR="00596C07" w:rsidRPr="004500D8" w:rsidRDefault="00596C07" w:rsidP="00596C07">
            <w:pPr>
              <w:widowControl w:val="0"/>
              <w:autoSpaceDE w:val="0"/>
              <w:autoSpaceDN w:val="0"/>
              <w:adjustRightInd w:val="0"/>
              <w:ind w:left="40"/>
              <w:rPr>
                <w:color w:val="000000"/>
                <w:sz w:val="22"/>
                <w:szCs w:val="22"/>
                <w:lang w:val="sr-Latn-ME"/>
              </w:rPr>
            </w:pPr>
          </w:p>
          <w:p w14:paraId="220BFE0A"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bol u grudima,</w:t>
            </w:r>
          </w:p>
          <w:p w14:paraId="411D7F07"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edem,</w:t>
            </w:r>
          </w:p>
          <w:p w14:paraId="239F0EA1" w14:textId="77777777" w:rsidR="00596C07" w:rsidRPr="004500D8" w:rsidRDefault="00596C07" w:rsidP="00596C07">
            <w:pPr>
              <w:widowControl w:val="0"/>
              <w:autoSpaceDE w:val="0"/>
              <w:autoSpaceDN w:val="0"/>
              <w:adjustRightInd w:val="0"/>
              <w:ind w:left="40"/>
              <w:rPr>
                <w:color w:val="000000"/>
                <w:sz w:val="22"/>
                <w:szCs w:val="22"/>
                <w:vertAlign w:val="superscript"/>
                <w:lang w:val="sr-Latn-ME"/>
              </w:rPr>
            </w:pPr>
            <w:r w:rsidRPr="004500D8">
              <w:rPr>
                <w:color w:val="000000"/>
                <w:sz w:val="22"/>
                <w:szCs w:val="22"/>
                <w:lang w:val="sr-Latn-ME"/>
              </w:rPr>
              <w:t>povišena tjelesna temperatura</w:t>
            </w:r>
            <w:r w:rsidRPr="004500D8">
              <w:rPr>
                <w:color w:val="000000"/>
                <w:sz w:val="22"/>
                <w:szCs w:val="22"/>
                <w:vertAlign w:val="superscript"/>
                <w:lang w:val="sr-Latn-ME"/>
              </w:rPr>
              <w:t>1)</w:t>
            </w:r>
          </w:p>
          <w:p w14:paraId="2800FD39" w14:textId="77777777" w:rsidR="00596C07" w:rsidRPr="004500D8" w:rsidRDefault="00596C07" w:rsidP="00596C07">
            <w:pPr>
              <w:widowControl w:val="0"/>
              <w:autoSpaceDE w:val="0"/>
              <w:autoSpaceDN w:val="0"/>
              <w:adjustRightInd w:val="0"/>
              <w:rPr>
                <w:color w:val="000000"/>
                <w:sz w:val="22"/>
                <w:szCs w:val="22"/>
                <w:lang w:val="sr-Latn-ME"/>
              </w:rPr>
            </w:pPr>
          </w:p>
          <w:p w14:paraId="48FF392A"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inflamacija</w:t>
            </w:r>
          </w:p>
        </w:tc>
      </w:tr>
      <w:tr w:rsidR="00CA3FA1" w:rsidRPr="004500D8" w14:paraId="05AF10EE" w14:textId="77777777" w:rsidTr="00CA3FA1">
        <w:trPr>
          <w:trHeight w:val="1615"/>
        </w:trPr>
        <w:tc>
          <w:tcPr>
            <w:tcW w:w="2522" w:type="dxa"/>
            <w:vMerge w:val="restart"/>
            <w:tcBorders>
              <w:top w:val="single" w:sz="8" w:space="0" w:color="000000"/>
              <w:left w:val="single" w:sz="8" w:space="0" w:color="000000"/>
              <w:right w:val="single" w:sz="8" w:space="0" w:color="000000"/>
            </w:tcBorders>
          </w:tcPr>
          <w:p w14:paraId="0F2C498A" w14:textId="77777777" w:rsidR="00CA3FA1" w:rsidRPr="004500D8" w:rsidRDefault="00CA3FA1" w:rsidP="00596C07">
            <w:pPr>
              <w:widowControl w:val="0"/>
              <w:autoSpaceDE w:val="0"/>
              <w:autoSpaceDN w:val="0"/>
              <w:adjustRightInd w:val="0"/>
              <w:ind w:left="567" w:right="-20" w:hanging="567"/>
              <w:rPr>
                <w:color w:val="000000"/>
                <w:sz w:val="22"/>
                <w:szCs w:val="22"/>
                <w:lang w:val="sr-Latn-ME"/>
              </w:rPr>
            </w:pPr>
            <w:r w:rsidRPr="004500D8">
              <w:rPr>
                <w:color w:val="000000"/>
                <w:sz w:val="22"/>
                <w:szCs w:val="22"/>
                <w:lang w:val="sr-Latn-ME"/>
              </w:rPr>
              <w:t>Ispitivanja*</w:t>
            </w:r>
          </w:p>
        </w:tc>
        <w:tc>
          <w:tcPr>
            <w:tcW w:w="1393" w:type="dxa"/>
            <w:tcBorders>
              <w:top w:val="single" w:sz="8" w:space="0" w:color="000000"/>
              <w:left w:val="single" w:sz="8" w:space="0" w:color="000000"/>
              <w:bottom w:val="single" w:sz="4" w:space="0" w:color="auto"/>
              <w:right w:val="single" w:sz="8" w:space="0" w:color="000000"/>
            </w:tcBorders>
          </w:tcPr>
          <w:p w14:paraId="310DE830" w14:textId="77777777" w:rsidR="00CA3FA1" w:rsidRPr="004500D8" w:rsidRDefault="00CA3FA1"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često</w:t>
            </w:r>
          </w:p>
        </w:tc>
        <w:tc>
          <w:tcPr>
            <w:tcW w:w="5030" w:type="dxa"/>
            <w:tcBorders>
              <w:top w:val="single" w:sz="8" w:space="0" w:color="000000"/>
              <w:left w:val="single" w:sz="8" w:space="0" w:color="000000"/>
              <w:bottom w:val="single" w:sz="4" w:space="0" w:color="auto"/>
              <w:right w:val="single" w:sz="8" w:space="0" w:color="000000"/>
            </w:tcBorders>
          </w:tcPr>
          <w:p w14:paraId="7D9134A1" w14:textId="77777777" w:rsidR="00CA3FA1" w:rsidRPr="004500D8" w:rsidRDefault="00CA3FA1"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poremećaji koagulacije i krvarenja (uključujući produženje aktiviranog parcijalnog tromboplastinskog vremena), </w:t>
            </w:r>
          </w:p>
          <w:p w14:paraId="469CF15C" w14:textId="77777777" w:rsidR="00CA3FA1" w:rsidRPr="004500D8" w:rsidRDefault="00CA3FA1"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 xml:space="preserve">pozitivan test autoantitijela (uključujući dvolančana DNK antitijela), </w:t>
            </w:r>
          </w:p>
          <w:p w14:paraId="08529924" w14:textId="77777777" w:rsidR="00CA3FA1" w:rsidRPr="004500D8" w:rsidRDefault="00CA3FA1"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povišen nivo laktat dehidrogenaze u krvi</w:t>
            </w:r>
          </w:p>
          <w:p w14:paraId="0DE42D6B" w14:textId="63C9B63E" w:rsidR="00CA3FA1" w:rsidRPr="004500D8" w:rsidRDefault="00CA3FA1" w:rsidP="00596C07">
            <w:pPr>
              <w:widowControl w:val="0"/>
              <w:autoSpaceDE w:val="0"/>
              <w:autoSpaceDN w:val="0"/>
              <w:adjustRightInd w:val="0"/>
              <w:ind w:left="40"/>
              <w:rPr>
                <w:color w:val="000000"/>
                <w:sz w:val="22"/>
                <w:szCs w:val="22"/>
                <w:lang w:val="sr-Latn-ME"/>
              </w:rPr>
            </w:pPr>
          </w:p>
        </w:tc>
      </w:tr>
      <w:tr w:rsidR="00CA3FA1" w:rsidRPr="004500D8" w14:paraId="7F2DB6E1" w14:textId="77777777" w:rsidTr="00CA3FA1">
        <w:trPr>
          <w:trHeight w:val="401"/>
        </w:trPr>
        <w:tc>
          <w:tcPr>
            <w:tcW w:w="2522" w:type="dxa"/>
            <w:vMerge/>
            <w:tcBorders>
              <w:left w:val="single" w:sz="8" w:space="0" w:color="000000"/>
              <w:bottom w:val="single" w:sz="8" w:space="0" w:color="000000"/>
              <w:right w:val="single" w:sz="8" w:space="0" w:color="000000"/>
            </w:tcBorders>
          </w:tcPr>
          <w:p w14:paraId="6D791359" w14:textId="77777777" w:rsidR="00CA3FA1" w:rsidRPr="004500D8" w:rsidRDefault="00CA3FA1" w:rsidP="00596C07">
            <w:pPr>
              <w:widowControl w:val="0"/>
              <w:autoSpaceDE w:val="0"/>
              <w:autoSpaceDN w:val="0"/>
              <w:adjustRightInd w:val="0"/>
              <w:ind w:left="567" w:right="-20" w:hanging="567"/>
              <w:rPr>
                <w:color w:val="000000"/>
                <w:sz w:val="22"/>
                <w:szCs w:val="22"/>
                <w:lang w:val="sr-Latn-ME"/>
              </w:rPr>
            </w:pPr>
          </w:p>
        </w:tc>
        <w:tc>
          <w:tcPr>
            <w:tcW w:w="1393" w:type="dxa"/>
            <w:tcBorders>
              <w:top w:val="single" w:sz="4" w:space="0" w:color="auto"/>
              <w:left w:val="single" w:sz="8" w:space="0" w:color="000000"/>
              <w:bottom w:val="single" w:sz="8" w:space="0" w:color="000000"/>
              <w:right w:val="single" w:sz="8" w:space="0" w:color="000000"/>
            </w:tcBorders>
          </w:tcPr>
          <w:p w14:paraId="58E825EE" w14:textId="0BA847AF" w:rsidR="00CA3FA1" w:rsidRPr="004500D8" w:rsidRDefault="00CA3FA1"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nepoznato</w:t>
            </w:r>
          </w:p>
        </w:tc>
        <w:tc>
          <w:tcPr>
            <w:tcW w:w="5030" w:type="dxa"/>
            <w:tcBorders>
              <w:top w:val="single" w:sz="4" w:space="0" w:color="auto"/>
              <w:left w:val="single" w:sz="8" w:space="0" w:color="000000"/>
              <w:bottom w:val="single" w:sz="8" w:space="0" w:color="000000"/>
              <w:right w:val="single" w:sz="8" w:space="0" w:color="000000"/>
            </w:tcBorders>
          </w:tcPr>
          <w:p w14:paraId="5D040B2D" w14:textId="19E353CE" w:rsidR="00CA3FA1" w:rsidRPr="004500D8" w:rsidRDefault="00CA3FA1" w:rsidP="00596C07">
            <w:pPr>
              <w:widowControl w:val="0"/>
              <w:autoSpaceDE w:val="0"/>
              <w:autoSpaceDN w:val="0"/>
              <w:adjustRightInd w:val="0"/>
              <w:ind w:left="40"/>
              <w:rPr>
                <w:color w:val="000000"/>
                <w:sz w:val="22"/>
                <w:szCs w:val="22"/>
                <w:lang w:val="sr-Latn-ME"/>
              </w:rPr>
            </w:pPr>
            <w:r w:rsidRPr="003B242C">
              <w:rPr>
                <w:color w:val="000000"/>
                <w:sz w:val="22"/>
                <w:szCs w:val="22"/>
                <w:lang w:val="sr-Latn-ME"/>
              </w:rPr>
              <w:t xml:space="preserve">povećanje tjelesne težine </w:t>
            </w:r>
            <w:r w:rsidRPr="003B242C">
              <w:rPr>
                <w:color w:val="000000"/>
                <w:sz w:val="22"/>
                <w:szCs w:val="22"/>
                <w:vertAlign w:val="superscript"/>
                <w:lang w:val="sr-Latn-ME"/>
              </w:rPr>
              <w:t>2</w:t>
            </w:r>
          </w:p>
        </w:tc>
      </w:tr>
      <w:tr w:rsidR="00596C07" w:rsidRPr="004500D8" w14:paraId="5E69E896" w14:textId="77777777" w:rsidTr="00CA3FA1">
        <w:trPr>
          <w:trHeight w:val="546"/>
        </w:trPr>
        <w:tc>
          <w:tcPr>
            <w:tcW w:w="2522" w:type="dxa"/>
            <w:tcBorders>
              <w:top w:val="single" w:sz="8" w:space="0" w:color="000000"/>
              <w:left w:val="single" w:sz="8" w:space="0" w:color="000000"/>
              <w:bottom w:val="single" w:sz="8" w:space="0" w:color="000000"/>
              <w:right w:val="single" w:sz="8" w:space="0" w:color="000000"/>
            </w:tcBorders>
          </w:tcPr>
          <w:p w14:paraId="282930A3" w14:textId="77777777" w:rsidR="00596C07" w:rsidRPr="004500D8" w:rsidRDefault="00596C07" w:rsidP="00596C07">
            <w:pPr>
              <w:widowControl w:val="0"/>
              <w:autoSpaceDE w:val="0"/>
              <w:autoSpaceDN w:val="0"/>
              <w:adjustRightInd w:val="0"/>
              <w:rPr>
                <w:color w:val="000000"/>
                <w:sz w:val="22"/>
                <w:szCs w:val="22"/>
                <w:lang w:val="sr-Latn-ME"/>
              </w:rPr>
            </w:pPr>
            <w:r w:rsidRPr="004500D8">
              <w:rPr>
                <w:color w:val="000000"/>
                <w:sz w:val="22"/>
                <w:szCs w:val="22"/>
                <w:lang w:val="sr-Latn-ME"/>
              </w:rPr>
              <w:t>Povrede, trovanja i proceduralne komplikacije</w:t>
            </w:r>
          </w:p>
        </w:tc>
        <w:tc>
          <w:tcPr>
            <w:tcW w:w="1393" w:type="dxa"/>
            <w:tcBorders>
              <w:top w:val="single" w:sz="8" w:space="0" w:color="000000"/>
              <w:left w:val="single" w:sz="8" w:space="0" w:color="000000"/>
              <w:bottom w:val="single" w:sz="8" w:space="0" w:color="000000"/>
              <w:right w:val="single" w:sz="8" w:space="0" w:color="000000"/>
            </w:tcBorders>
          </w:tcPr>
          <w:p w14:paraId="4F3B9D34" w14:textId="77777777" w:rsidR="00596C07" w:rsidRPr="004500D8" w:rsidRDefault="00596C07" w:rsidP="00596C07">
            <w:pPr>
              <w:widowControl w:val="0"/>
              <w:autoSpaceDE w:val="0"/>
              <w:autoSpaceDN w:val="0"/>
              <w:adjustRightInd w:val="0"/>
              <w:ind w:left="567" w:hanging="567"/>
              <w:rPr>
                <w:color w:val="000000"/>
                <w:sz w:val="22"/>
                <w:szCs w:val="22"/>
                <w:lang w:val="sr-Latn-ME"/>
              </w:rPr>
            </w:pPr>
            <w:r w:rsidRPr="004500D8">
              <w:rPr>
                <w:color w:val="000000"/>
                <w:sz w:val="22"/>
                <w:szCs w:val="22"/>
                <w:lang w:val="sr-Latn-ME"/>
              </w:rPr>
              <w:t>često</w:t>
            </w:r>
          </w:p>
        </w:tc>
        <w:tc>
          <w:tcPr>
            <w:tcW w:w="5030" w:type="dxa"/>
            <w:tcBorders>
              <w:top w:val="single" w:sz="8" w:space="0" w:color="000000"/>
              <w:left w:val="single" w:sz="8" w:space="0" w:color="000000"/>
              <w:bottom w:val="single" w:sz="8" w:space="0" w:color="000000"/>
              <w:right w:val="single" w:sz="8" w:space="0" w:color="000000"/>
            </w:tcBorders>
          </w:tcPr>
          <w:p w14:paraId="3D0AB260" w14:textId="77777777" w:rsidR="00596C07" w:rsidRPr="004500D8" w:rsidRDefault="00596C07" w:rsidP="00596C07">
            <w:pPr>
              <w:widowControl w:val="0"/>
              <w:autoSpaceDE w:val="0"/>
              <w:autoSpaceDN w:val="0"/>
              <w:adjustRightInd w:val="0"/>
              <w:ind w:left="40"/>
              <w:rPr>
                <w:color w:val="000000"/>
                <w:sz w:val="22"/>
                <w:szCs w:val="22"/>
                <w:lang w:val="sr-Latn-ME"/>
              </w:rPr>
            </w:pPr>
            <w:r w:rsidRPr="004500D8">
              <w:rPr>
                <w:color w:val="000000"/>
                <w:sz w:val="22"/>
                <w:szCs w:val="22"/>
                <w:lang w:val="sr-Latn-ME"/>
              </w:rPr>
              <w:t>otežano zarastanje</w:t>
            </w:r>
          </w:p>
        </w:tc>
      </w:tr>
    </w:tbl>
    <w:p w14:paraId="200CA8EC" w14:textId="440FECED" w:rsidR="00596C07" w:rsidRPr="004500D8" w:rsidRDefault="00596C07" w:rsidP="00596C07">
      <w:pPr>
        <w:widowControl w:val="0"/>
        <w:autoSpaceDE w:val="0"/>
        <w:autoSpaceDN w:val="0"/>
        <w:adjustRightInd w:val="0"/>
        <w:ind w:left="567" w:hanging="567"/>
        <w:jc w:val="both"/>
        <w:rPr>
          <w:sz w:val="22"/>
          <w:szCs w:val="22"/>
          <w:lang w:val="sr-Latn-ME"/>
        </w:rPr>
      </w:pPr>
      <w:r w:rsidRPr="004500D8">
        <w:rPr>
          <w:sz w:val="22"/>
          <w:szCs w:val="22"/>
          <w:lang w:val="sr-Latn-ME"/>
        </w:rPr>
        <w:t xml:space="preserve">*    detaljnije informacije se mogu naći u </w:t>
      </w:r>
      <w:r w:rsidR="00AA731E" w:rsidRPr="004500D8">
        <w:rPr>
          <w:sz w:val="22"/>
          <w:szCs w:val="22"/>
          <w:lang w:val="sr-Latn-ME"/>
        </w:rPr>
        <w:t>djelovima</w:t>
      </w:r>
      <w:r w:rsidRPr="004500D8">
        <w:rPr>
          <w:sz w:val="22"/>
          <w:szCs w:val="22"/>
          <w:lang w:val="sr-Latn-ME"/>
        </w:rPr>
        <w:t xml:space="preserve"> 4.3, 4.4 i 4.8</w:t>
      </w:r>
    </w:p>
    <w:p w14:paraId="20B924D4" w14:textId="77777777" w:rsidR="00596C07" w:rsidRPr="004500D8" w:rsidRDefault="00596C07" w:rsidP="00596C07">
      <w:pPr>
        <w:widowControl w:val="0"/>
        <w:autoSpaceDE w:val="0"/>
        <w:autoSpaceDN w:val="0"/>
        <w:adjustRightInd w:val="0"/>
        <w:ind w:left="567" w:hanging="567"/>
        <w:jc w:val="both"/>
        <w:rPr>
          <w:sz w:val="22"/>
          <w:szCs w:val="22"/>
          <w:lang w:val="sr-Latn-ME"/>
        </w:rPr>
      </w:pPr>
      <w:r w:rsidRPr="004500D8">
        <w:rPr>
          <w:sz w:val="22"/>
          <w:szCs w:val="22"/>
          <w:lang w:val="sr-Latn-ME"/>
        </w:rPr>
        <w:t>**  uključuje otvorene produžene studije</w:t>
      </w:r>
    </w:p>
    <w:p w14:paraId="79C68A3E" w14:textId="1999935C" w:rsidR="00596C07" w:rsidRPr="004500D8" w:rsidRDefault="00AA731E" w:rsidP="002D19E9">
      <w:pPr>
        <w:widowControl w:val="0"/>
        <w:autoSpaceDE w:val="0"/>
        <w:autoSpaceDN w:val="0"/>
        <w:adjustRightInd w:val="0"/>
        <w:spacing w:after="160" w:line="259" w:lineRule="auto"/>
        <w:jc w:val="both"/>
        <w:rPr>
          <w:sz w:val="22"/>
          <w:szCs w:val="22"/>
          <w:lang w:val="sr-Latn-ME"/>
        </w:rPr>
      </w:pPr>
      <w:r w:rsidRPr="003B242C">
        <w:rPr>
          <w:sz w:val="22"/>
          <w:szCs w:val="22"/>
          <w:vertAlign w:val="superscript"/>
          <w:lang w:val="sr-Latn-ME"/>
        </w:rPr>
        <w:t>1)</w:t>
      </w:r>
      <w:r w:rsidR="00596C07" w:rsidRPr="004500D8">
        <w:rPr>
          <w:sz w:val="22"/>
          <w:szCs w:val="22"/>
          <w:lang w:val="sr-Latn-ME"/>
        </w:rPr>
        <w:t>uključujući podatke iz spontanog prijavljivanja</w:t>
      </w:r>
    </w:p>
    <w:p w14:paraId="0649D319" w14:textId="32010B2D" w:rsidR="00596C07" w:rsidRPr="003B242C" w:rsidRDefault="00AA731E" w:rsidP="003B242C">
      <w:pPr>
        <w:autoSpaceDE w:val="0"/>
        <w:jc w:val="both"/>
        <w:rPr>
          <w:sz w:val="22"/>
          <w:szCs w:val="22"/>
          <w:lang w:val="sr-Latn-ME" w:eastAsia="bs-Latn-BA"/>
        </w:rPr>
      </w:pPr>
      <w:r w:rsidRPr="003B242C">
        <w:rPr>
          <w:sz w:val="20"/>
          <w:szCs w:val="20"/>
          <w:vertAlign w:val="superscript"/>
          <w:lang w:val="sr-Latn-ME" w:eastAsia="bs-Latn-BA"/>
        </w:rPr>
        <w:lastRenderedPageBreak/>
        <w:t>2)</w:t>
      </w:r>
      <w:r w:rsidR="00596C07" w:rsidRPr="003B242C">
        <w:rPr>
          <w:sz w:val="20"/>
          <w:szCs w:val="20"/>
          <w:vertAlign w:val="superscript"/>
          <w:lang w:val="sr-Latn-ME" w:eastAsia="bs-Latn-BA"/>
        </w:rPr>
        <w:t xml:space="preserve"> </w:t>
      </w:r>
      <w:r w:rsidR="00596C07" w:rsidRPr="003B242C">
        <w:rPr>
          <w:sz w:val="22"/>
          <w:szCs w:val="22"/>
          <w:lang w:val="sr-Latn-ME"/>
        </w:rPr>
        <w:t xml:space="preserve">Prosječna promjena težine u odnosu na početnu vrijednost za adalimumab kretala se od 0,3 kg do 1,0 kg prema indikacijama za odrasle u poređenju sa – 0,4 kg do 0,4 kg za placebo tokom perioda liječenja od 4-6 mjeseci. Povećanje težine za 5 – 6 kg takođe je primijećeno u dugotrajnim produženim studijama sa prosječnom izloženošću od približno 1 – 2 godine bez kontrolne grupe, posebno kod pacijenata sa Crohnovom bolešću i ulceroznim kolitisom. Mehanizam u pozadini ovakvog djelovanja nije jasan, ali može biti povezan sa </w:t>
      </w:r>
      <w:r w:rsidRPr="003B242C">
        <w:rPr>
          <w:sz w:val="22"/>
          <w:szCs w:val="22"/>
          <w:lang w:val="sr-Latn-ME"/>
        </w:rPr>
        <w:t>antiinflamatornim dejstvom</w:t>
      </w:r>
      <w:r w:rsidR="00596C07" w:rsidRPr="003B242C">
        <w:rPr>
          <w:sz w:val="22"/>
          <w:szCs w:val="22"/>
          <w:lang w:val="sr-Latn-ME"/>
        </w:rPr>
        <w:t xml:space="preserve"> adalimumaba.</w:t>
      </w:r>
    </w:p>
    <w:p w14:paraId="50B25353" w14:textId="77777777" w:rsidR="00596C07" w:rsidRPr="004500D8" w:rsidRDefault="00596C07" w:rsidP="00596C07">
      <w:pPr>
        <w:widowControl w:val="0"/>
        <w:autoSpaceDE w:val="0"/>
        <w:autoSpaceDN w:val="0"/>
        <w:adjustRightInd w:val="0"/>
        <w:jc w:val="both"/>
        <w:rPr>
          <w:sz w:val="22"/>
          <w:szCs w:val="22"/>
          <w:lang w:val="sr-Latn-ME"/>
        </w:rPr>
      </w:pPr>
    </w:p>
    <w:p w14:paraId="64337915" w14:textId="77777777" w:rsidR="00596C07" w:rsidRPr="004500D8" w:rsidRDefault="00596C07" w:rsidP="00596C07">
      <w:pPr>
        <w:widowControl w:val="0"/>
        <w:autoSpaceDE w:val="0"/>
        <w:autoSpaceDN w:val="0"/>
        <w:adjustRightInd w:val="0"/>
        <w:jc w:val="both"/>
        <w:rPr>
          <w:sz w:val="22"/>
          <w:szCs w:val="22"/>
          <w:u w:val="single"/>
          <w:lang w:val="sr-Latn-ME"/>
        </w:rPr>
      </w:pPr>
      <w:r w:rsidRPr="004500D8">
        <w:rPr>
          <w:sz w:val="22"/>
          <w:szCs w:val="22"/>
          <w:u w:val="single"/>
          <w:lang w:val="sr-Latn-ME"/>
        </w:rPr>
        <w:t>Gnojni hidradenitis (</w:t>
      </w:r>
      <w:r w:rsidRPr="004500D8">
        <w:rPr>
          <w:i/>
          <w:sz w:val="22"/>
          <w:szCs w:val="22"/>
          <w:u w:val="single"/>
          <w:lang w:val="sr-Latn-ME"/>
        </w:rPr>
        <w:t>Hidradenitis suppurativa</w:t>
      </w:r>
      <w:r w:rsidRPr="004500D8">
        <w:rPr>
          <w:sz w:val="22"/>
          <w:szCs w:val="22"/>
          <w:u w:val="single"/>
          <w:lang w:val="sr-Latn-ME"/>
        </w:rPr>
        <w:t>)</w:t>
      </w:r>
    </w:p>
    <w:p w14:paraId="25B903FB" w14:textId="77777777" w:rsidR="00596C07" w:rsidRPr="004500D8" w:rsidRDefault="00596C07" w:rsidP="00596C07">
      <w:pPr>
        <w:widowControl w:val="0"/>
        <w:autoSpaceDE w:val="0"/>
        <w:autoSpaceDN w:val="0"/>
        <w:adjustRightInd w:val="0"/>
        <w:jc w:val="both"/>
        <w:rPr>
          <w:sz w:val="22"/>
          <w:szCs w:val="22"/>
          <w:u w:val="single"/>
          <w:lang w:val="sr-Latn-ME"/>
        </w:rPr>
      </w:pPr>
    </w:p>
    <w:p w14:paraId="45DA767F"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Bezbjednosni profil lijeka Humira kod pacijenata s gnojnim hidradenitisom liječenih jednom  nedjeljno  bio je u skladu sa poznatim bezbjednosnim profilom lijeka Humira.</w:t>
      </w:r>
    </w:p>
    <w:p w14:paraId="6900B675" w14:textId="77777777" w:rsidR="00596C07" w:rsidRPr="004500D8" w:rsidRDefault="00596C07" w:rsidP="00596C07">
      <w:pPr>
        <w:widowControl w:val="0"/>
        <w:autoSpaceDE w:val="0"/>
        <w:autoSpaceDN w:val="0"/>
        <w:adjustRightInd w:val="0"/>
        <w:jc w:val="both"/>
        <w:rPr>
          <w:sz w:val="22"/>
          <w:szCs w:val="22"/>
          <w:lang w:val="sr-Latn-ME"/>
        </w:rPr>
      </w:pPr>
    </w:p>
    <w:p w14:paraId="5B649BEA" w14:textId="77777777" w:rsidR="00596C07" w:rsidRPr="004500D8" w:rsidRDefault="00596C07" w:rsidP="00596C07">
      <w:pPr>
        <w:widowControl w:val="0"/>
        <w:autoSpaceDE w:val="0"/>
        <w:autoSpaceDN w:val="0"/>
        <w:adjustRightInd w:val="0"/>
        <w:jc w:val="both"/>
        <w:rPr>
          <w:sz w:val="22"/>
          <w:szCs w:val="22"/>
          <w:u w:val="single"/>
          <w:lang w:val="sr-Latn-ME"/>
        </w:rPr>
      </w:pPr>
      <w:r w:rsidRPr="004500D8">
        <w:rPr>
          <w:sz w:val="22"/>
          <w:szCs w:val="22"/>
          <w:u w:val="single"/>
          <w:lang w:val="sr-Latn-ME"/>
        </w:rPr>
        <w:t>Uveitis</w:t>
      </w:r>
    </w:p>
    <w:p w14:paraId="3DBE520D" w14:textId="77777777" w:rsidR="00596C07" w:rsidRPr="004500D8" w:rsidRDefault="00596C07" w:rsidP="00596C07">
      <w:pPr>
        <w:widowControl w:val="0"/>
        <w:autoSpaceDE w:val="0"/>
        <w:autoSpaceDN w:val="0"/>
        <w:adjustRightInd w:val="0"/>
        <w:jc w:val="both"/>
        <w:rPr>
          <w:sz w:val="22"/>
          <w:szCs w:val="22"/>
          <w:lang w:val="sr-Latn-ME"/>
        </w:rPr>
      </w:pPr>
    </w:p>
    <w:p w14:paraId="495E81BB"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Bezbjednosni profil lijeka Humira kod pacijenata s uveitisom liječenih svake druge nedjelje bio je u skladu s poznatim bezbjednosnim profilom lijeka Humira.</w:t>
      </w:r>
      <w:r w:rsidRPr="004500D8">
        <w:rPr>
          <w:sz w:val="22"/>
          <w:szCs w:val="22"/>
          <w:lang w:val="sr-Latn-ME"/>
        </w:rPr>
        <w:cr/>
      </w:r>
    </w:p>
    <w:p w14:paraId="694A0C7E" w14:textId="77777777" w:rsidR="00106896" w:rsidRPr="004500D8" w:rsidRDefault="00106896" w:rsidP="00596C07">
      <w:pPr>
        <w:widowControl w:val="0"/>
        <w:autoSpaceDE w:val="0"/>
        <w:autoSpaceDN w:val="0"/>
        <w:adjustRightInd w:val="0"/>
        <w:jc w:val="both"/>
        <w:rPr>
          <w:sz w:val="22"/>
          <w:szCs w:val="22"/>
          <w:u w:val="single"/>
          <w:lang w:val="sr-Latn-ME"/>
        </w:rPr>
      </w:pPr>
    </w:p>
    <w:p w14:paraId="49A3C7F0" w14:textId="3055DE9D" w:rsidR="00596C07" w:rsidRPr="004500D8" w:rsidRDefault="00596C07" w:rsidP="00596C07">
      <w:pPr>
        <w:widowControl w:val="0"/>
        <w:autoSpaceDE w:val="0"/>
        <w:autoSpaceDN w:val="0"/>
        <w:adjustRightInd w:val="0"/>
        <w:jc w:val="both"/>
        <w:rPr>
          <w:sz w:val="22"/>
          <w:szCs w:val="22"/>
          <w:u w:val="single"/>
          <w:lang w:val="sr-Latn-ME"/>
        </w:rPr>
      </w:pPr>
      <w:r w:rsidRPr="004500D8">
        <w:rPr>
          <w:sz w:val="22"/>
          <w:szCs w:val="22"/>
          <w:u w:val="single"/>
          <w:lang w:val="sr-Latn-ME"/>
        </w:rPr>
        <w:t>Opis odabranih neželjenih dejstava</w:t>
      </w:r>
    </w:p>
    <w:p w14:paraId="2B3A1655" w14:textId="77777777" w:rsidR="00596C07" w:rsidRPr="004500D8" w:rsidRDefault="00596C07" w:rsidP="00596C07">
      <w:pPr>
        <w:widowControl w:val="0"/>
        <w:autoSpaceDE w:val="0"/>
        <w:autoSpaceDN w:val="0"/>
        <w:adjustRightInd w:val="0"/>
        <w:ind w:left="567" w:hanging="567"/>
        <w:jc w:val="both"/>
        <w:rPr>
          <w:sz w:val="22"/>
          <w:szCs w:val="22"/>
          <w:lang w:val="sr-Latn-ME"/>
        </w:rPr>
      </w:pPr>
    </w:p>
    <w:p w14:paraId="6E77940B" w14:textId="77777777" w:rsidR="00596C07" w:rsidRPr="004500D8" w:rsidRDefault="00596C07" w:rsidP="00596C07">
      <w:pPr>
        <w:widowControl w:val="0"/>
        <w:autoSpaceDE w:val="0"/>
        <w:autoSpaceDN w:val="0"/>
        <w:adjustRightInd w:val="0"/>
        <w:ind w:left="567" w:hanging="567"/>
        <w:jc w:val="both"/>
        <w:rPr>
          <w:i/>
          <w:sz w:val="22"/>
          <w:szCs w:val="22"/>
          <w:lang w:val="sr-Latn-ME"/>
        </w:rPr>
      </w:pPr>
      <w:r w:rsidRPr="004500D8">
        <w:rPr>
          <w:i/>
          <w:sz w:val="22"/>
          <w:szCs w:val="22"/>
          <w:lang w:val="sr-Latn-ME"/>
        </w:rPr>
        <w:t>Reakcije na mjestu primjene injekcije</w:t>
      </w:r>
    </w:p>
    <w:p w14:paraId="7C7749AD" w14:textId="77777777" w:rsidR="00596C07" w:rsidRPr="004500D8" w:rsidRDefault="00596C07" w:rsidP="00596C07">
      <w:pPr>
        <w:widowControl w:val="0"/>
        <w:autoSpaceDE w:val="0"/>
        <w:autoSpaceDN w:val="0"/>
        <w:adjustRightInd w:val="0"/>
        <w:ind w:left="567" w:hanging="567"/>
        <w:jc w:val="both"/>
        <w:rPr>
          <w:sz w:val="22"/>
          <w:szCs w:val="22"/>
          <w:u w:val="single"/>
          <w:lang w:val="sr-Latn-ME"/>
        </w:rPr>
      </w:pPr>
    </w:p>
    <w:p w14:paraId="07527068"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 pivotalnim kontrolisanim kliničkim ispitivanjima kod djece i odraslih, reakcije na mjestu primjene injekcije (eritem i/ili svrab, krvarenje, bol ili otok)  pojavile su se kod 12.9 % pacijenata liječenih lijekom Humira u poređenju sa 7.2% pacijenata koji su dobijali placebo ili aktivni poredbeni lijek. Liječenje obično nije trebalo prekidati zbog reakcija na mjestu primjene injekcije.</w:t>
      </w:r>
    </w:p>
    <w:p w14:paraId="00AEF152" w14:textId="77777777" w:rsidR="00596C07" w:rsidRPr="004500D8" w:rsidRDefault="00596C07" w:rsidP="00596C07">
      <w:pPr>
        <w:widowControl w:val="0"/>
        <w:autoSpaceDE w:val="0"/>
        <w:autoSpaceDN w:val="0"/>
        <w:adjustRightInd w:val="0"/>
        <w:jc w:val="both"/>
        <w:rPr>
          <w:sz w:val="22"/>
          <w:szCs w:val="22"/>
          <w:lang w:val="sr-Latn-ME"/>
        </w:rPr>
      </w:pPr>
    </w:p>
    <w:p w14:paraId="526C785B" w14:textId="77777777" w:rsidR="00596C07" w:rsidRPr="004500D8" w:rsidRDefault="00596C07" w:rsidP="00596C07">
      <w:pPr>
        <w:widowControl w:val="0"/>
        <w:autoSpaceDE w:val="0"/>
        <w:autoSpaceDN w:val="0"/>
        <w:adjustRightInd w:val="0"/>
        <w:jc w:val="both"/>
        <w:rPr>
          <w:i/>
          <w:sz w:val="22"/>
          <w:szCs w:val="22"/>
          <w:lang w:val="sr-Latn-ME"/>
        </w:rPr>
      </w:pPr>
      <w:r w:rsidRPr="004500D8">
        <w:rPr>
          <w:i/>
          <w:sz w:val="22"/>
          <w:szCs w:val="22"/>
          <w:lang w:val="sr-Latn-ME"/>
        </w:rPr>
        <w:t>Infekcije</w:t>
      </w:r>
    </w:p>
    <w:p w14:paraId="26522349" w14:textId="77777777" w:rsidR="00596C07" w:rsidRPr="004500D8" w:rsidRDefault="00596C07" w:rsidP="00596C07">
      <w:pPr>
        <w:widowControl w:val="0"/>
        <w:autoSpaceDE w:val="0"/>
        <w:autoSpaceDN w:val="0"/>
        <w:adjustRightInd w:val="0"/>
        <w:jc w:val="both"/>
        <w:rPr>
          <w:sz w:val="22"/>
          <w:szCs w:val="22"/>
          <w:u w:val="single"/>
          <w:lang w:val="sr-Latn-ME"/>
        </w:rPr>
      </w:pPr>
    </w:p>
    <w:p w14:paraId="38207FDC" w14:textId="31E6BD09"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 pivotalnim kontrolisanim kliničkim ispitivanjima kod odraslih i djece, učestalost infekcija po pacijentu i godini liječenja bila je 1.51 kod pacijenata liječenih lijekom Humira, odnosno 1.46 kod pacijenata liječenih placebom ili aktivnim poredbenim lijekom. I</w:t>
      </w:r>
      <w:r w:rsidR="00E250D2" w:rsidRPr="004500D8">
        <w:rPr>
          <w:sz w:val="22"/>
          <w:szCs w:val="22"/>
          <w:lang w:val="sr-Latn-ME"/>
        </w:rPr>
        <w:t>n</w:t>
      </w:r>
      <w:r w:rsidRPr="004500D8">
        <w:rPr>
          <w:sz w:val="22"/>
          <w:szCs w:val="22"/>
          <w:lang w:val="sr-Latn-ME"/>
        </w:rPr>
        <w:t xml:space="preserve">fekcije su prvenstveno uključivale </w:t>
      </w:r>
      <w:r w:rsidRPr="004500D8">
        <w:rPr>
          <w:color w:val="000000"/>
          <w:sz w:val="22"/>
          <w:szCs w:val="22"/>
          <w:lang w:val="sr-Latn-ME"/>
        </w:rPr>
        <w:t>nazofaringitis, infekciju gornjeg respiratornog trakta i sinuzitis</w:t>
      </w:r>
      <w:r w:rsidRPr="004500D8">
        <w:rPr>
          <w:sz w:val="22"/>
          <w:szCs w:val="22"/>
          <w:lang w:val="sr-Latn-ME"/>
        </w:rPr>
        <w:t>. Većina pacijenata nastavila je uzimati lijek Humira nakon što je infekcija izliječena.</w:t>
      </w:r>
    </w:p>
    <w:p w14:paraId="51D5FAAE"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Učestalost teških infekcija po pacijentu i godini liječenja bila je 0.04 kod pacijenata liječenih lijekom Humira, odnosno 0.03 kod pacijenata liječenih placebom ili aktivnim poredbenim lijekom.</w:t>
      </w:r>
    </w:p>
    <w:p w14:paraId="18FEC44C" w14:textId="77777777" w:rsidR="00596C07" w:rsidRPr="004500D8" w:rsidRDefault="00596C07" w:rsidP="00596C07">
      <w:pPr>
        <w:widowControl w:val="0"/>
        <w:autoSpaceDE w:val="0"/>
        <w:autoSpaceDN w:val="0"/>
        <w:adjustRightInd w:val="0"/>
        <w:jc w:val="both"/>
        <w:rPr>
          <w:sz w:val="22"/>
          <w:szCs w:val="22"/>
          <w:lang w:val="sr-Latn-ME"/>
        </w:rPr>
      </w:pPr>
    </w:p>
    <w:p w14:paraId="00BD5E59"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 kontrolisanim i otvorenim kliničkim ispitivanjima, u odrasloj i pedijatrijskoj populaciji koja je primala lijek Humira, zabilježene su ozbiljne infekcije (u rijetkim slučajevima i sa smrtnim ishodom), među kojima i tuberkuloza (uključujući njen milijarni oblik i ekstrapulmonalne lokalizacije), te invazivne oportunističke infekcije (npr. diseminirana ili ekstrapulmonalna histoplazmoza, blastomikoza, kokcidioidomikoza, pneumocistis,  kandidijaza, aspergiloza i listerioza). Većina slučajeva tuberkuloze nastupila je u prvih osam mjeseci liječenja, što može biti posljedica aktivacije postojećeg latentnog oblika bolesti.</w:t>
      </w:r>
    </w:p>
    <w:p w14:paraId="7BD91B6D" w14:textId="77777777" w:rsidR="00596C07" w:rsidRPr="004500D8" w:rsidRDefault="00596C07" w:rsidP="00596C07">
      <w:pPr>
        <w:widowControl w:val="0"/>
        <w:autoSpaceDE w:val="0"/>
        <w:autoSpaceDN w:val="0"/>
        <w:adjustRightInd w:val="0"/>
        <w:jc w:val="both"/>
        <w:rPr>
          <w:sz w:val="22"/>
          <w:szCs w:val="22"/>
          <w:lang w:val="sr-Latn-ME"/>
        </w:rPr>
      </w:pPr>
    </w:p>
    <w:p w14:paraId="52FE0D0C" w14:textId="77777777" w:rsidR="00596C07" w:rsidRPr="004500D8" w:rsidRDefault="00596C07" w:rsidP="00596C07">
      <w:pPr>
        <w:widowControl w:val="0"/>
        <w:autoSpaceDE w:val="0"/>
        <w:autoSpaceDN w:val="0"/>
        <w:adjustRightInd w:val="0"/>
        <w:jc w:val="both"/>
        <w:rPr>
          <w:i/>
          <w:sz w:val="22"/>
          <w:szCs w:val="22"/>
          <w:lang w:val="sr-Latn-ME"/>
        </w:rPr>
      </w:pPr>
      <w:r w:rsidRPr="004500D8">
        <w:rPr>
          <w:i/>
          <w:sz w:val="22"/>
          <w:szCs w:val="22"/>
          <w:lang w:val="sr-Latn-ME"/>
        </w:rPr>
        <w:t>Maligne i limfoproliferativne bolesti</w:t>
      </w:r>
    </w:p>
    <w:p w14:paraId="774772AD" w14:textId="77777777" w:rsidR="00596C07" w:rsidRPr="004500D8" w:rsidRDefault="00596C07" w:rsidP="00596C07">
      <w:pPr>
        <w:widowControl w:val="0"/>
        <w:autoSpaceDE w:val="0"/>
        <w:autoSpaceDN w:val="0"/>
        <w:adjustRightInd w:val="0"/>
        <w:jc w:val="both"/>
        <w:rPr>
          <w:sz w:val="22"/>
          <w:szCs w:val="22"/>
          <w:lang w:val="sr-Latn-ME"/>
        </w:rPr>
      </w:pPr>
    </w:p>
    <w:p w14:paraId="0B075794" w14:textId="51DBBB9F"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Nijesu primijećene maligne bolesti kod 249 pedijatrijskih pacijenata s</w:t>
      </w:r>
      <w:r w:rsidRPr="004500D8">
        <w:rPr>
          <w:color w:val="000000"/>
          <w:sz w:val="22"/>
          <w:szCs w:val="22"/>
          <w:lang w:val="sr-Latn-ME"/>
        </w:rPr>
        <w:t xml:space="preserve"> juvenilnim idiopatskim artritisom (poliartikularni juvenilni idiopatski artritis i artritisom povezanim sa entezitisom)</w:t>
      </w:r>
      <w:r w:rsidRPr="004500D8">
        <w:rPr>
          <w:sz w:val="22"/>
          <w:szCs w:val="22"/>
          <w:lang w:val="sr-Latn-ME"/>
        </w:rPr>
        <w:t xml:space="preserve"> koji su primili ukupno 655.6 pacijent godina u toku ispitivanja lijeka Humira. U dodatku, nije bilo primijećenih malignih bolesti kod 192 pedijatrijska pacijenta sa Crohnovom bolesti s izloženošću  498.1 pacijent godina u toku ispitivanja lijeka Humira. Maligniteti nisu primijećeni ni kod 77 pedijatrijskih pacijenata sa izloženošću od 80.0 pacijent godina u ispitivanju lijeka Humira sprovedenom na djeci sa hroničnom plak psorijazom. </w:t>
      </w:r>
      <w:r w:rsidRPr="003B242C">
        <w:rPr>
          <w:lang w:val="sr-Latn-ME"/>
        </w:rPr>
        <w:t xml:space="preserve">Maligne bolesti nisu primjećene </w:t>
      </w:r>
      <w:r w:rsidR="00FD5415" w:rsidRPr="003B242C">
        <w:rPr>
          <w:lang w:val="sr-Latn-ME"/>
        </w:rPr>
        <w:t xml:space="preserve">kod </w:t>
      </w:r>
      <w:r w:rsidRPr="003B242C">
        <w:rPr>
          <w:lang w:val="sr-Latn-ME"/>
        </w:rPr>
        <w:t xml:space="preserve">93 pedijatrijska </w:t>
      </w:r>
      <w:r w:rsidR="00FD5415" w:rsidRPr="003B242C">
        <w:rPr>
          <w:lang w:val="sr-Latn-ME"/>
        </w:rPr>
        <w:t xml:space="preserve">pacijenta </w:t>
      </w:r>
      <w:r w:rsidRPr="003B242C">
        <w:rPr>
          <w:lang w:val="sr-Latn-ME"/>
        </w:rPr>
        <w:t xml:space="preserve">s izloženošću od 65,3 </w:t>
      </w:r>
      <w:r w:rsidR="00FD5415" w:rsidRPr="003B242C">
        <w:rPr>
          <w:lang w:val="sr-Latn-ME"/>
        </w:rPr>
        <w:t>pacijent</w:t>
      </w:r>
      <w:r w:rsidRPr="003B242C">
        <w:rPr>
          <w:lang w:val="sr-Latn-ME"/>
        </w:rPr>
        <w:t xml:space="preserve">-godine u ispitivanju lijeka Humira kod pedijatrijskih </w:t>
      </w:r>
      <w:r w:rsidR="00FD5415" w:rsidRPr="003B242C">
        <w:rPr>
          <w:lang w:val="sr-Latn-ME"/>
        </w:rPr>
        <w:t xml:space="preserve">pacijenata </w:t>
      </w:r>
      <w:r w:rsidRPr="003B242C">
        <w:rPr>
          <w:lang w:val="sr-Latn-ME"/>
        </w:rPr>
        <w:t xml:space="preserve">s ulceroznim kolitisom.  </w:t>
      </w:r>
      <w:r w:rsidRPr="004500D8">
        <w:rPr>
          <w:sz w:val="22"/>
          <w:szCs w:val="22"/>
          <w:lang w:val="sr-Latn-ME"/>
        </w:rPr>
        <w:t xml:space="preserve">Nisu primijećene maligne bolesti kod 60 pedijatrijskih pacijenata </w:t>
      </w:r>
      <w:r w:rsidR="00FD5415" w:rsidRPr="004500D8">
        <w:rPr>
          <w:sz w:val="22"/>
          <w:szCs w:val="22"/>
          <w:lang w:val="sr-Latn-ME"/>
        </w:rPr>
        <w:t xml:space="preserve">sa izloženošću </w:t>
      </w:r>
      <w:r w:rsidRPr="004500D8">
        <w:rPr>
          <w:sz w:val="22"/>
          <w:szCs w:val="22"/>
          <w:lang w:val="sr-Latn-ME"/>
        </w:rPr>
        <w:t xml:space="preserve"> 58.4 pacijent godina tokom ispitivanja uveitisa kod pedijatrijskih pacijenata.</w:t>
      </w:r>
    </w:p>
    <w:p w14:paraId="33B77EA4" w14:textId="77777777" w:rsidR="00596C07" w:rsidRPr="004500D8" w:rsidRDefault="00596C07" w:rsidP="00596C07">
      <w:pPr>
        <w:widowControl w:val="0"/>
        <w:autoSpaceDE w:val="0"/>
        <w:autoSpaceDN w:val="0"/>
        <w:adjustRightInd w:val="0"/>
        <w:jc w:val="both"/>
        <w:rPr>
          <w:sz w:val="22"/>
          <w:szCs w:val="22"/>
          <w:lang w:val="sr-Latn-ME"/>
        </w:rPr>
      </w:pPr>
    </w:p>
    <w:p w14:paraId="2182240F"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U kontrolisanim pivotalnim ispitivanjima kod odraslih koja su trajala najmanje 12 nedjelja kod pacijenata s umjerenim do teškim aktivnim reumatoidnim artritisom, </w:t>
      </w:r>
      <w:r w:rsidRPr="004500D8">
        <w:rPr>
          <w:color w:val="000000"/>
          <w:sz w:val="22"/>
          <w:szCs w:val="22"/>
          <w:lang w:val="sr-Latn-ME"/>
        </w:rPr>
        <w:t xml:space="preserve">ankilozirajućim spondilitisom, aksijalnim spondiloartritisom bez radiološkog nalaza AS-a, psorijatičnim artritisom, psorijazom, gnojnim hidradenitisom, Crohnovom bolešću, ulceroznim kolitisom i uveitisom </w:t>
      </w:r>
      <w:r w:rsidRPr="004500D8">
        <w:rPr>
          <w:sz w:val="22"/>
          <w:szCs w:val="22"/>
          <w:lang w:val="sr-Latn-ME"/>
        </w:rPr>
        <w:t>dijagnostikovane su maligne bolesti, isključujući limfome i nemelanomske tumore kože, kod 5291 pacijenata na lijeku Humira u stopi od 6</w:t>
      </w:r>
      <w:r w:rsidRPr="004500D8">
        <w:rPr>
          <w:color w:val="000000"/>
          <w:sz w:val="22"/>
          <w:szCs w:val="22"/>
          <w:lang w:val="sr-Latn-ME"/>
        </w:rPr>
        <w:t>.8 (4.4; 10.5)</w:t>
      </w:r>
      <w:r w:rsidRPr="004500D8">
        <w:rPr>
          <w:sz w:val="22"/>
          <w:szCs w:val="22"/>
          <w:lang w:val="sr-Latn-ME"/>
        </w:rPr>
        <w:t xml:space="preserve"> na 1000 pacijent-godina (interval pouzdanosti od 95%), nasuprot stope 6.3</w:t>
      </w:r>
      <w:r w:rsidRPr="004500D8">
        <w:rPr>
          <w:color w:val="000000"/>
          <w:sz w:val="22"/>
          <w:szCs w:val="22"/>
          <w:lang w:val="sr-Latn-ME"/>
        </w:rPr>
        <w:t xml:space="preserve"> (3.4; 11.8)</w:t>
      </w:r>
      <w:r w:rsidRPr="004500D8">
        <w:rPr>
          <w:sz w:val="22"/>
          <w:szCs w:val="22"/>
          <w:lang w:val="sr-Latn-ME"/>
        </w:rPr>
        <w:t xml:space="preserve"> kod 3444 pacijenata iz kontrolne grupe (medijan trajanja terapije bio je 4.0 mjeseci kod pacijenata na lijeku  Humira i 3.8 mjeseci u kontrolnoj grupi pacijenata). Stopa pojavljivanja nemelanomskih tumora (interval pouzdanosti od 95%) bila je </w:t>
      </w:r>
      <w:r w:rsidRPr="004500D8">
        <w:rPr>
          <w:color w:val="000000"/>
          <w:sz w:val="22"/>
          <w:szCs w:val="22"/>
          <w:lang w:val="sr-Latn-ME"/>
        </w:rPr>
        <w:t>8.8 (6.0; 13.0)</w:t>
      </w:r>
      <w:r w:rsidRPr="004500D8">
        <w:rPr>
          <w:sz w:val="22"/>
          <w:szCs w:val="22"/>
          <w:lang w:val="sr-Latn-ME"/>
        </w:rPr>
        <w:t xml:space="preserve"> na 1000 pacijent-godina kod pacijenata na lijeku Humira, odnosno 3.2</w:t>
      </w:r>
      <w:r w:rsidRPr="004500D8">
        <w:rPr>
          <w:color w:val="000000"/>
          <w:sz w:val="22"/>
          <w:szCs w:val="22"/>
          <w:lang w:val="sr-Latn-ME"/>
        </w:rPr>
        <w:t xml:space="preserve"> (1.3; 7.6)</w:t>
      </w:r>
      <w:r w:rsidRPr="004500D8">
        <w:rPr>
          <w:sz w:val="22"/>
          <w:szCs w:val="22"/>
          <w:lang w:val="sr-Latn-ME"/>
        </w:rPr>
        <w:t xml:space="preserve"> na 1000 pacijent-godina u kontrolnoj grupi pacijenata. Od tih tumora kože, karcinom skvamoznih ćelija se javljao  (interval pouzdanosti od 95%) u stopi od 2.7</w:t>
      </w:r>
      <w:r w:rsidRPr="004500D8">
        <w:rPr>
          <w:color w:val="000000"/>
          <w:sz w:val="22"/>
          <w:szCs w:val="22"/>
          <w:lang w:val="sr-Latn-ME"/>
        </w:rPr>
        <w:t xml:space="preserve"> (1.4; 5.4)</w:t>
      </w:r>
      <w:r w:rsidRPr="004500D8">
        <w:rPr>
          <w:sz w:val="22"/>
          <w:szCs w:val="22"/>
          <w:lang w:val="sr-Latn-ME"/>
        </w:rPr>
        <w:t xml:space="preserve"> na 1000 pacijent-godina kod pacijenata na lijeku Humira i u stopi od 0.6 (0.1; 4.5) na 1000 pacijent-godina u kontrolnoj grupi. Limfomi su se javljali u stopi (interval pouzdanosti od 95%) od </w:t>
      </w:r>
      <w:r w:rsidRPr="004500D8">
        <w:rPr>
          <w:color w:val="000000"/>
          <w:sz w:val="22"/>
          <w:szCs w:val="22"/>
          <w:lang w:val="sr-Latn-ME"/>
        </w:rPr>
        <w:t>0.7 (0.2; 2.7)</w:t>
      </w:r>
      <w:r w:rsidRPr="004500D8">
        <w:rPr>
          <w:sz w:val="22"/>
          <w:szCs w:val="22"/>
          <w:lang w:val="sr-Latn-ME"/>
        </w:rPr>
        <w:t xml:space="preserve"> na 1000 pacijent-godina kod pacijenata na lijeku Humira, odnosno u stopi od 0.6</w:t>
      </w:r>
      <w:r w:rsidRPr="004500D8">
        <w:rPr>
          <w:color w:val="000000"/>
          <w:sz w:val="22"/>
          <w:szCs w:val="22"/>
          <w:lang w:val="sr-Latn-ME"/>
        </w:rPr>
        <w:t xml:space="preserve"> (0.1; 4.5)</w:t>
      </w:r>
      <w:r w:rsidRPr="004500D8">
        <w:rPr>
          <w:sz w:val="22"/>
          <w:szCs w:val="22"/>
          <w:lang w:val="sr-Latn-ME"/>
        </w:rPr>
        <w:t xml:space="preserve"> na 1000 pacijent-godina u kontrolnoj grupi.</w:t>
      </w:r>
    </w:p>
    <w:p w14:paraId="18AE1C0F" w14:textId="77777777" w:rsidR="00596C07" w:rsidRPr="004500D8" w:rsidRDefault="00596C07" w:rsidP="00596C07">
      <w:pPr>
        <w:widowControl w:val="0"/>
        <w:autoSpaceDE w:val="0"/>
        <w:autoSpaceDN w:val="0"/>
        <w:adjustRightInd w:val="0"/>
        <w:ind w:left="567" w:hanging="567"/>
        <w:jc w:val="both"/>
        <w:rPr>
          <w:sz w:val="22"/>
          <w:szCs w:val="22"/>
          <w:lang w:val="sr-Latn-ME"/>
        </w:rPr>
      </w:pPr>
    </w:p>
    <w:p w14:paraId="6A771F4C"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Analizom zbirnih rezultata kontrolisanih ispitivanja, te ispitivanja koja su u toku i dovršenih otvorenih ispitivanja kod ukupno 6,427 pacijenata i više od 26,439 pacijenata-godina terapije i medijanom trajanja terapije od 3.3 godine, dobijena je prosječna učestalost malignih bolesti, isključujući limfome i nemelanomske tumore kože, od približno 8.5 na 1000 pacijent godina terapije. Učestalost nemelanomskih tumora kože bila je približno 9.6 na 1000 pacijent godina terapije, a limfoma 1.3 na 1000 pacijent godina terapije.</w:t>
      </w:r>
    </w:p>
    <w:p w14:paraId="76F89B1F" w14:textId="77777777" w:rsidR="00596C07" w:rsidRPr="004500D8" w:rsidRDefault="00596C07" w:rsidP="00596C07">
      <w:pPr>
        <w:widowControl w:val="0"/>
        <w:autoSpaceDE w:val="0"/>
        <w:autoSpaceDN w:val="0"/>
        <w:adjustRightInd w:val="0"/>
        <w:jc w:val="both"/>
        <w:rPr>
          <w:sz w:val="22"/>
          <w:szCs w:val="22"/>
          <w:lang w:val="sr-Latn-ME"/>
        </w:rPr>
      </w:pPr>
    </w:p>
    <w:p w14:paraId="3A63DF69" w14:textId="2F510EF6"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Iskustva nakon stavljanja lijeka u promet od januara 2003. godine do decembra 2010. godine, pretežno za liječenje reumatoidnog artritisa, ukazala su na učestalost malignih bolesti od približno 2.7 na 1000 </w:t>
      </w:r>
      <w:r w:rsidR="00B700AB" w:rsidRPr="004500D8">
        <w:rPr>
          <w:sz w:val="22"/>
          <w:szCs w:val="22"/>
          <w:lang w:val="sr-Latn-ME"/>
        </w:rPr>
        <w:t xml:space="preserve">pacijent - </w:t>
      </w:r>
      <w:r w:rsidRPr="004500D8">
        <w:rPr>
          <w:sz w:val="22"/>
          <w:szCs w:val="22"/>
          <w:lang w:val="sr-Latn-ME"/>
        </w:rPr>
        <w:t xml:space="preserve">godina terapije. </w:t>
      </w:r>
      <w:r w:rsidR="00B700AB" w:rsidRPr="004500D8">
        <w:rPr>
          <w:sz w:val="22"/>
          <w:szCs w:val="22"/>
          <w:lang w:val="sr-Latn-ME"/>
        </w:rPr>
        <w:t>Prijavljenje stope</w:t>
      </w:r>
      <w:r w:rsidRPr="004500D8">
        <w:rPr>
          <w:sz w:val="22"/>
          <w:szCs w:val="22"/>
          <w:lang w:val="sr-Latn-ME"/>
        </w:rPr>
        <w:t xml:space="preserve"> nemelanomskih tumora kože i limfoma bil</w:t>
      </w:r>
      <w:r w:rsidR="00B700AB" w:rsidRPr="004500D8">
        <w:rPr>
          <w:sz w:val="22"/>
          <w:szCs w:val="22"/>
          <w:lang w:val="sr-Latn-ME"/>
        </w:rPr>
        <w:t>e su oko</w:t>
      </w:r>
      <w:r w:rsidRPr="004500D8">
        <w:rPr>
          <w:sz w:val="22"/>
          <w:szCs w:val="22"/>
          <w:lang w:val="sr-Latn-ME"/>
        </w:rPr>
        <w:t xml:space="preserve"> 0.2, odnosno 0.3 na 1000 pacijent</w:t>
      </w:r>
      <w:r w:rsidR="00B700AB" w:rsidRPr="004500D8">
        <w:rPr>
          <w:sz w:val="22"/>
          <w:szCs w:val="22"/>
          <w:lang w:val="sr-Latn-ME"/>
        </w:rPr>
        <w:t>-</w:t>
      </w:r>
      <w:r w:rsidRPr="004500D8">
        <w:rPr>
          <w:sz w:val="22"/>
          <w:szCs w:val="22"/>
          <w:lang w:val="sr-Latn-ME"/>
        </w:rPr>
        <w:t xml:space="preserve">godina terapije (vidjeti </w:t>
      </w:r>
      <w:r w:rsidR="00B700AB" w:rsidRPr="004500D8">
        <w:rPr>
          <w:sz w:val="22"/>
          <w:szCs w:val="22"/>
          <w:lang w:val="sr-Latn-ME"/>
        </w:rPr>
        <w:t>dio</w:t>
      </w:r>
      <w:r w:rsidRPr="004500D8">
        <w:rPr>
          <w:sz w:val="22"/>
          <w:szCs w:val="22"/>
          <w:lang w:val="sr-Latn-ME"/>
        </w:rPr>
        <w:t xml:space="preserve"> 4.4).</w:t>
      </w:r>
    </w:p>
    <w:p w14:paraId="247E8F65" w14:textId="53B7B0E2"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Zabilježeni su i rijetki slučajevi hepatospleničnog T-ćelijskog limfoma u postmarketinškom praćenju primijene adalimumaba (vidjeti </w:t>
      </w:r>
      <w:r w:rsidR="00B700AB" w:rsidRPr="004500D8">
        <w:rPr>
          <w:sz w:val="22"/>
          <w:szCs w:val="22"/>
          <w:lang w:val="sr-Latn-ME"/>
        </w:rPr>
        <w:t xml:space="preserve">dio </w:t>
      </w:r>
      <w:r w:rsidRPr="004500D8">
        <w:rPr>
          <w:sz w:val="22"/>
          <w:szCs w:val="22"/>
          <w:lang w:val="sr-Latn-ME"/>
        </w:rPr>
        <w:t>4.4).</w:t>
      </w:r>
    </w:p>
    <w:p w14:paraId="264FDDC6" w14:textId="77777777" w:rsidR="00596C07" w:rsidRPr="004500D8" w:rsidRDefault="00596C07" w:rsidP="00596C07">
      <w:pPr>
        <w:widowControl w:val="0"/>
        <w:autoSpaceDE w:val="0"/>
        <w:autoSpaceDN w:val="0"/>
        <w:adjustRightInd w:val="0"/>
        <w:jc w:val="both"/>
        <w:rPr>
          <w:sz w:val="22"/>
          <w:szCs w:val="22"/>
          <w:lang w:val="sr-Latn-ME"/>
        </w:rPr>
      </w:pPr>
    </w:p>
    <w:p w14:paraId="60FBC4BA" w14:textId="77777777" w:rsidR="00596C07" w:rsidRPr="004500D8" w:rsidRDefault="00596C07" w:rsidP="00596C07">
      <w:pPr>
        <w:widowControl w:val="0"/>
        <w:autoSpaceDE w:val="0"/>
        <w:autoSpaceDN w:val="0"/>
        <w:adjustRightInd w:val="0"/>
        <w:jc w:val="both"/>
        <w:rPr>
          <w:i/>
          <w:sz w:val="22"/>
          <w:szCs w:val="22"/>
          <w:lang w:val="sr-Latn-ME"/>
        </w:rPr>
      </w:pPr>
      <w:r w:rsidRPr="004500D8">
        <w:rPr>
          <w:i/>
          <w:sz w:val="22"/>
          <w:szCs w:val="22"/>
          <w:lang w:val="sr-Latn-ME"/>
        </w:rPr>
        <w:t>Autoantitijela</w:t>
      </w:r>
    </w:p>
    <w:p w14:paraId="35B6FE92" w14:textId="77777777" w:rsidR="00596C07" w:rsidRPr="004500D8" w:rsidRDefault="00596C07" w:rsidP="00596C07">
      <w:pPr>
        <w:widowControl w:val="0"/>
        <w:autoSpaceDE w:val="0"/>
        <w:autoSpaceDN w:val="0"/>
        <w:adjustRightInd w:val="0"/>
        <w:jc w:val="both"/>
        <w:rPr>
          <w:sz w:val="22"/>
          <w:szCs w:val="22"/>
          <w:u w:val="single"/>
          <w:lang w:val="sr-Latn-ME"/>
        </w:rPr>
      </w:pPr>
    </w:p>
    <w:p w14:paraId="4850E933" w14:textId="4909ACD0"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U ispitivanjima (I – V) reumatoidnog artritisa uzorci seruma pacijenata višekratno su testirani na prisustvo autoantitijela. U tim </w:t>
      </w:r>
      <w:r w:rsidRPr="004500D8">
        <w:rPr>
          <w:iCs/>
          <w:sz w:val="22"/>
          <w:szCs w:val="22"/>
          <w:lang w:val="sr-Latn-ME"/>
        </w:rPr>
        <w:t>ispitivanjima</w:t>
      </w:r>
      <w:r w:rsidRPr="004500D8">
        <w:rPr>
          <w:i/>
          <w:iCs/>
          <w:sz w:val="22"/>
          <w:szCs w:val="22"/>
          <w:lang w:val="sr-Latn-ME"/>
        </w:rPr>
        <w:t xml:space="preserve"> </w:t>
      </w:r>
      <w:r w:rsidRPr="004500D8">
        <w:rPr>
          <w:sz w:val="22"/>
          <w:szCs w:val="22"/>
          <w:lang w:val="sr-Latn-ME"/>
        </w:rPr>
        <w:t>kod 11.9% pacijenata liječenih lijekom Humira i 8.1% pacijenata liječenih placebom i aktivnim poredbenim lijekom koji su prije početka liječenja imali negativan titar antinuklearnih antitijela nađen je pozitivan titar nakon 24 nedjelje primijene lijeka. Klinički simptomi koji upućuju na razvoj sindroma sličnog lupusu zabilježeni su kod dva od ukupno 3441 pacijenata liječenih lijekom Humira iz svih ispitivanja kod reumatoidnog i psorijatičnog artritisa. Ti pacijenti su se oporavili nakon prekida liječenja. Ni kod jednog pacijenta nije se razvio lupusni nefritis niti su se pojavili simptomi u centralnom nervnom sistemu.</w:t>
      </w:r>
    </w:p>
    <w:p w14:paraId="630F3246" w14:textId="77777777" w:rsidR="00596C07" w:rsidRPr="004500D8" w:rsidRDefault="00596C07" w:rsidP="00596C07">
      <w:pPr>
        <w:widowControl w:val="0"/>
        <w:autoSpaceDE w:val="0"/>
        <w:autoSpaceDN w:val="0"/>
        <w:adjustRightInd w:val="0"/>
        <w:jc w:val="both"/>
        <w:rPr>
          <w:sz w:val="22"/>
          <w:szCs w:val="22"/>
          <w:lang w:val="sr-Latn-ME"/>
        </w:rPr>
      </w:pPr>
    </w:p>
    <w:p w14:paraId="5908A515" w14:textId="77777777" w:rsidR="00596C07" w:rsidRPr="004500D8" w:rsidRDefault="00596C07" w:rsidP="00596C07">
      <w:pPr>
        <w:widowControl w:val="0"/>
        <w:autoSpaceDE w:val="0"/>
        <w:autoSpaceDN w:val="0"/>
        <w:adjustRightInd w:val="0"/>
        <w:jc w:val="both"/>
        <w:rPr>
          <w:i/>
          <w:sz w:val="22"/>
          <w:szCs w:val="22"/>
          <w:lang w:val="sr-Latn-ME"/>
        </w:rPr>
      </w:pPr>
      <w:r w:rsidRPr="004500D8">
        <w:rPr>
          <w:i/>
          <w:sz w:val="22"/>
          <w:szCs w:val="22"/>
          <w:lang w:val="sr-Latn-ME"/>
        </w:rPr>
        <w:t>Hepatobilijarni događaji</w:t>
      </w:r>
    </w:p>
    <w:p w14:paraId="3BB207EC" w14:textId="77777777" w:rsidR="00596C07" w:rsidRPr="004500D8" w:rsidRDefault="00596C07" w:rsidP="00596C07">
      <w:pPr>
        <w:widowControl w:val="0"/>
        <w:autoSpaceDE w:val="0"/>
        <w:autoSpaceDN w:val="0"/>
        <w:adjustRightInd w:val="0"/>
        <w:jc w:val="both"/>
        <w:rPr>
          <w:sz w:val="22"/>
          <w:szCs w:val="22"/>
          <w:u w:val="single"/>
          <w:lang w:val="sr-Latn-ME"/>
        </w:rPr>
      </w:pPr>
    </w:p>
    <w:p w14:paraId="37E6B4CA" w14:textId="77777777" w:rsidR="00596C07" w:rsidRPr="004500D8" w:rsidRDefault="00596C07" w:rsidP="00596C07">
      <w:pPr>
        <w:widowControl w:val="0"/>
        <w:autoSpaceDE w:val="0"/>
        <w:autoSpaceDN w:val="0"/>
        <w:adjustRightInd w:val="0"/>
        <w:jc w:val="both"/>
        <w:rPr>
          <w:iCs/>
          <w:sz w:val="22"/>
          <w:szCs w:val="22"/>
          <w:lang w:val="sr-Latn-ME"/>
        </w:rPr>
      </w:pPr>
      <w:r w:rsidRPr="004500D8">
        <w:rPr>
          <w:iCs/>
          <w:sz w:val="22"/>
          <w:szCs w:val="22"/>
          <w:lang w:val="sr-Latn-ME"/>
        </w:rPr>
        <w:t>U kontrolisanoj fazi 3 ispitivanja sa lijekom Humira, kod pacijenata sa reumatoidnim artritisom i</w:t>
      </w:r>
      <w:r w:rsidRPr="004500D8">
        <w:rPr>
          <w:color w:val="000000"/>
          <w:sz w:val="22"/>
          <w:szCs w:val="22"/>
          <w:lang w:val="sr-Latn-ME"/>
        </w:rPr>
        <w:t xml:space="preserve"> </w:t>
      </w:r>
      <w:r w:rsidRPr="004500D8">
        <w:rPr>
          <w:iCs/>
          <w:sz w:val="22"/>
          <w:szCs w:val="22"/>
          <w:lang w:val="sr-Latn-ME"/>
        </w:rPr>
        <w:t>psorijatičnim artritisom sa kontrolnim periodom trajanja od 4 do 104 nedjelje, ALT elevacije ≥3 x ULN su se pojavile kod  3.7 % pacijenata liječenih lijekom Humira i 1.6% pacijenata koji su uzimali placebo.</w:t>
      </w:r>
    </w:p>
    <w:p w14:paraId="28B26ADF" w14:textId="77777777" w:rsidR="00596C07" w:rsidRPr="004500D8" w:rsidRDefault="00596C07" w:rsidP="00596C07">
      <w:pPr>
        <w:widowControl w:val="0"/>
        <w:autoSpaceDE w:val="0"/>
        <w:autoSpaceDN w:val="0"/>
        <w:adjustRightInd w:val="0"/>
        <w:jc w:val="both"/>
        <w:rPr>
          <w:sz w:val="22"/>
          <w:szCs w:val="22"/>
          <w:lang w:val="sr-Latn-ME"/>
        </w:rPr>
      </w:pPr>
    </w:p>
    <w:p w14:paraId="5FBABD68"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 kontrolisanoj fazi 3 ispitivanja sa lijekom Humira, kod pacijenata sa poliartikularnim juvenilnim idiopatskim artritisom uzrasta od 4 do 17 godina i sa artritisom povezanim sa entezitisom uzrasta od 6 do 17 godina, ALT elevacije ≥3 x ULN su se pojavile kod  6.1 % pacijenata liječenih lijekom Humira i 1.3 % pacijenata koji su uzimali placebo. Uglavnom su se ALT elevacije javljale kod pacijenata koji su uzimali kombinaciju sa metotreksaatom. Nije bilo ALT elevacije ≥3 x ULN u fazi 3 kod pacijenata liječenih lijekom Humira sa poliartikularnim juvenilnim idiopatskim artritisom koji su bili uzrasta od 2 do &lt; 4 godine.</w:t>
      </w:r>
    </w:p>
    <w:p w14:paraId="1A013B2A" w14:textId="77777777" w:rsidR="00596C07" w:rsidRPr="004500D8" w:rsidRDefault="00596C07" w:rsidP="00596C07">
      <w:pPr>
        <w:widowControl w:val="0"/>
        <w:autoSpaceDE w:val="0"/>
        <w:autoSpaceDN w:val="0"/>
        <w:adjustRightInd w:val="0"/>
        <w:jc w:val="both"/>
        <w:rPr>
          <w:sz w:val="22"/>
          <w:szCs w:val="22"/>
          <w:lang w:val="sr-Latn-ME"/>
        </w:rPr>
      </w:pPr>
    </w:p>
    <w:p w14:paraId="3C4781D1"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U kontrolisanoj fazi 3 ispitivanja sa lijekom Humira, kod pacijenata sa Crohnovom bolešću i ulceroznim </w:t>
      </w:r>
      <w:r w:rsidRPr="004500D8">
        <w:rPr>
          <w:sz w:val="22"/>
          <w:szCs w:val="22"/>
          <w:lang w:val="sr-Latn-ME"/>
        </w:rPr>
        <w:lastRenderedPageBreak/>
        <w:t>kolitisom  sa kontrolnim periodom trajanja od 4 do 52 nedjelje, ALT elevacije ≥3 x ULN su se pojavile kod  0.9 % pacijenata liječenih lijekom Humira i 0.9 % pacijenata koji su uzimali placebo.</w:t>
      </w:r>
    </w:p>
    <w:p w14:paraId="1E4BF450" w14:textId="77777777" w:rsidR="00596C07" w:rsidRPr="004500D8" w:rsidRDefault="00596C07" w:rsidP="00596C07">
      <w:pPr>
        <w:widowControl w:val="0"/>
        <w:autoSpaceDE w:val="0"/>
        <w:autoSpaceDN w:val="0"/>
        <w:adjustRightInd w:val="0"/>
        <w:jc w:val="both"/>
        <w:rPr>
          <w:sz w:val="22"/>
          <w:szCs w:val="22"/>
          <w:lang w:val="sr-Latn-ME"/>
        </w:rPr>
      </w:pPr>
    </w:p>
    <w:p w14:paraId="62E85C2E"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 fazi 3 ispitivanja sa lijekom Humira, kod pedijatrijskih pacijenata sa Chronovom bolesti, evaluirala se efikasnost i bezbjednost dva tjelesnoj težini prilagođena režima doziranja nakon tjelesnoj težini prilagođene uvodne terapije sve do 52. nedjelje, povišenje ALT-a ≥3 x ULN javilo se kod 2.6% (5/192) pacijenata od kojih je njih četvoro na početku liječenja bilo izloženo istovremenoj terapiji imunosupresivima.</w:t>
      </w:r>
    </w:p>
    <w:p w14:paraId="0725369E" w14:textId="77777777" w:rsidR="00596C07" w:rsidRPr="004500D8" w:rsidRDefault="00596C07" w:rsidP="00596C07">
      <w:pPr>
        <w:widowControl w:val="0"/>
        <w:autoSpaceDE w:val="0"/>
        <w:autoSpaceDN w:val="0"/>
        <w:adjustRightInd w:val="0"/>
        <w:jc w:val="both"/>
        <w:rPr>
          <w:sz w:val="22"/>
          <w:szCs w:val="22"/>
          <w:lang w:val="sr-Latn-ME"/>
        </w:rPr>
      </w:pPr>
    </w:p>
    <w:p w14:paraId="39AD0013"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 kontrolisanim ispitivanjima faze 3 kod pacijenata sa plak psorijazom, tokom kontrolisanog perioda trajanja ispitivanja od 12 do 24 nedjelje, povišenje nivoa ALT ≥ 3 x ULN (upper limit of normal, gornja granica) javilo se kod 1.8% pacijenata koji su primali lijek Humira i kod 1.8% pacijenata koji su primali placebo.</w:t>
      </w:r>
    </w:p>
    <w:p w14:paraId="3CE8A6FA" w14:textId="77777777" w:rsidR="00596C07" w:rsidRPr="004500D8" w:rsidRDefault="00596C07" w:rsidP="00596C07">
      <w:pPr>
        <w:widowControl w:val="0"/>
        <w:autoSpaceDE w:val="0"/>
        <w:autoSpaceDN w:val="0"/>
        <w:adjustRightInd w:val="0"/>
        <w:jc w:val="both"/>
        <w:rPr>
          <w:sz w:val="22"/>
          <w:szCs w:val="22"/>
          <w:lang w:val="sr-Latn-ME"/>
        </w:rPr>
      </w:pPr>
    </w:p>
    <w:p w14:paraId="445AA900"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 ispitivanju faze 3 u kojem se Humira primjenjivala kod pedijatrijskih pacijenata s plak psorijazom,</w:t>
      </w:r>
    </w:p>
    <w:p w14:paraId="65123938"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nisu primijećena povišenja nivoa ALT-a ≥ 3 x GGN.</w:t>
      </w:r>
    </w:p>
    <w:p w14:paraId="0729F97B" w14:textId="77777777" w:rsidR="00596C07" w:rsidRPr="004500D8" w:rsidRDefault="00596C07" w:rsidP="00596C07">
      <w:pPr>
        <w:widowControl w:val="0"/>
        <w:autoSpaceDE w:val="0"/>
        <w:autoSpaceDN w:val="0"/>
        <w:adjustRightInd w:val="0"/>
        <w:jc w:val="both"/>
        <w:rPr>
          <w:sz w:val="22"/>
          <w:szCs w:val="22"/>
          <w:lang w:val="sr-Latn-ME"/>
        </w:rPr>
      </w:pPr>
    </w:p>
    <w:p w14:paraId="705498E1"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 kontrolisanim ispitivanjima lijeka Humira (početne doze od 160 mg u nultoj nedjelji i 80 mg u drugoj nedjelji, a zatim 40 mg svake nedjelje, počevši od 4. nedjelje) kod pacijenata s gnojnim hidradenitisom, sa kontrolnim periodom u trajanju od 12 do 16 nedjelja, povišenje nivoa ALT a ≥ 3 x GGN zabilježeno je kod 0.3% pacijenata liječenih lijekom Humira i 0.6% pacijenata iz kontrolne grupe.</w:t>
      </w:r>
    </w:p>
    <w:p w14:paraId="7879EE97" w14:textId="77777777" w:rsidR="00596C07" w:rsidRPr="004500D8" w:rsidRDefault="00596C07" w:rsidP="00596C07">
      <w:pPr>
        <w:widowControl w:val="0"/>
        <w:autoSpaceDE w:val="0"/>
        <w:autoSpaceDN w:val="0"/>
        <w:adjustRightInd w:val="0"/>
        <w:jc w:val="both"/>
        <w:rPr>
          <w:sz w:val="22"/>
          <w:szCs w:val="22"/>
          <w:lang w:val="sr-Latn-ME"/>
        </w:rPr>
      </w:pPr>
    </w:p>
    <w:p w14:paraId="78C3049F"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 kontrolisanim ispitivanjima lijeka Humira (početne doze od 80 mg u nultoj nedjelji, nakon kojih slijede doze od 40 mg svake druge nedjelje, počevši od 1. nedjelje) kod odraslih pacijenata sa uveitisom u trajanju do 80 nedjelja, uz medijanu izloženosti od 166.5 dana kod pacijenata liječenih lijekom Humira te 105.0 dana kod pacijenata iz kontrolne grupe, povišenje nivoa ALT-a ≥ 3 x GGN zabilježena su kod 2.4% pacijenata liječenih lijekom Humira i 2.4% pacijenata iz kontrolne grupe.</w:t>
      </w:r>
    </w:p>
    <w:p w14:paraId="3691D97F" w14:textId="77777777" w:rsidR="00596C07" w:rsidRPr="003B242C" w:rsidRDefault="00596C07" w:rsidP="00596C07">
      <w:pPr>
        <w:widowControl w:val="0"/>
        <w:autoSpaceDE w:val="0"/>
        <w:autoSpaceDN w:val="0"/>
        <w:adjustRightInd w:val="0"/>
        <w:jc w:val="both"/>
        <w:rPr>
          <w:lang w:val="sr-Latn-ME"/>
        </w:rPr>
      </w:pPr>
    </w:p>
    <w:p w14:paraId="14519EDA" w14:textId="0AABD1CF" w:rsidR="00596C07" w:rsidRPr="003B242C" w:rsidRDefault="00596C07" w:rsidP="00596C07">
      <w:pPr>
        <w:widowControl w:val="0"/>
        <w:autoSpaceDE w:val="0"/>
        <w:autoSpaceDN w:val="0"/>
        <w:adjustRightInd w:val="0"/>
        <w:jc w:val="both"/>
        <w:rPr>
          <w:lang w:val="sr-Latn-ME" w:eastAsia="bs-Latn-BA"/>
        </w:rPr>
      </w:pPr>
      <w:r w:rsidRPr="003B242C">
        <w:rPr>
          <w:lang w:val="sr-Latn-ME" w:eastAsia="bs-Latn-BA"/>
        </w:rPr>
        <w:t xml:space="preserve">U kontrolisanom ispitivanju faze III lijeka Humirakodu pedijatrijskih bolesnika s ulceroznim kolitisom (N = 93) kojim se procjenjivala efikasnost i sigurnost doze održavanja od 0,6 mg/kg (maksimalno 40 mg) svake druge </w:t>
      </w:r>
      <w:r w:rsidR="00944BB0" w:rsidRPr="003B242C">
        <w:rPr>
          <w:lang w:val="sr-Latn-ME" w:eastAsia="bs-Latn-BA"/>
        </w:rPr>
        <w:t>nedjelje</w:t>
      </w:r>
      <w:r w:rsidRPr="003B242C">
        <w:rPr>
          <w:lang w:val="sr-Latn-ME" w:eastAsia="bs-Latn-BA"/>
        </w:rPr>
        <w:t xml:space="preserve"> (N = 31) i doze održavanja od 0,6 mg/kg (maksimalno 40  mg) svake </w:t>
      </w:r>
      <w:r w:rsidR="00944BB0" w:rsidRPr="003B242C">
        <w:rPr>
          <w:lang w:val="sr-Latn-ME" w:eastAsia="bs-Latn-BA"/>
        </w:rPr>
        <w:t>nedjelje</w:t>
      </w:r>
      <w:r w:rsidRPr="003B242C">
        <w:rPr>
          <w:lang w:val="sr-Latn-ME" w:eastAsia="bs-Latn-BA"/>
        </w:rPr>
        <w:t xml:space="preserve"> (N = 32), nakon indukcijskog doziranja prilagođenog tjelesnoj težini od 2,4 mg/kg (maksimalno 160 mg) u </w:t>
      </w:r>
      <w:r w:rsidR="00944BB0" w:rsidRPr="003B242C">
        <w:rPr>
          <w:lang w:val="sr-Latn-ME" w:eastAsia="bs-Latn-BA"/>
        </w:rPr>
        <w:t>nultoj nedjelji</w:t>
      </w:r>
      <w:r w:rsidRPr="003B242C">
        <w:rPr>
          <w:lang w:val="sr-Latn-ME" w:eastAsia="bs-Latn-BA"/>
        </w:rPr>
        <w:t xml:space="preserve"> </w:t>
      </w:r>
      <w:r w:rsidR="00944BB0" w:rsidRPr="003B242C">
        <w:rPr>
          <w:lang w:val="sr-Latn-ME" w:eastAsia="bs-Latn-BA"/>
        </w:rPr>
        <w:t>i prvoj nedjelji</w:t>
      </w:r>
      <w:r w:rsidRPr="003B242C">
        <w:rPr>
          <w:lang w:val="sr-Latn-ME" w:eastAsia="bs-Latn-BA"/>
        </w:rPr>
        <w:t xml:space="preserve"> ; 1,2 mg/kg (maksimalno 80 mg) u </w:t>
      </w:r>
      <w:r w:rsidR="00944BB0" w:rsidRPr="003B242C">
        <w:rPr>
          <w:lang w:val="sr-Latn-ME" w:eastAsia="bs-Latn-BA"/>
        </w:rPr>
        <w:t>drugoj nedjelji</w:t>
      </w:r>
      <w:r w:rsidRPr="003B242C">
        <w:rPr>
          <w:lang w:val="sr-Latn-ME" w:eastAsia="bs-Latn-BA"/>
        </w:rPr>
        <w:t xml:space="preserve"> (N = 63) ili indukcijske doze od 2,4 mg/kg (maksimalno 160 mg) u </w:t>
      </w:r>
      <w:r w:rsidR="00944BB0" w:rsidRPr="003B242C">
        <w:rPr>
          <w:lang w:val="sr-Latn-ME" w:eastAsia="bs-Latn-BA"/>
        </w:rPr>
        <w:t>nultoj nedjelji</w:t>
      </w:r>
      <w:r w:rsidRPr="003B242C">
        <w:rPr>
          <w:lang w:val="sr-Latn-ME" w:eastAsia="bs-Latn-BA"/>
        </w:rPr>
        <w:t xml:space="preserve"> placeba u </w:t>
      </w:r>
      <w:r w:rsidR="00944BB0" w:rsidRPr="003B242C">
        <w:rPr>
          <w:lang w:val="sr-Latn-ME" w:eastAsia="bs-Latn-BA"/>
        </w:rPr>
        <w:t>prvoj nedjelji</w:t>
      </w:r>
      <w:r w:rsidRPr="003B242C">
        <w:rPr>
          <w:lang w:val="sr-Latn-ME" w:eastAsia="bs-Latn-BA"/>
        </w:rPr>
        <w:t xml:space="preserve">; 1,2 mg/kg (maksimalno 80 mg) u </w:t>
      </w:r>
      <w:r w:rsidR="00944BB0" w:rsidRPr="003B242C">
        <w:rPr>
          <w:lang w:val="sr-Latn-ME" w:eastAsia="bs-Latn-BA"/>
        </w:rPr>
        <w:t xml:space="preserve">drugoj nedjelji </w:t>
      </w:r>
      <w:r w:rsidRPr="003B242C">
        <w:rPr>
          <w:lang w:val="sr-Latn-ME" w:eastAsia="bs-Latn-BA"/>
        </w:rPr>
        <w:t xml:space="preserve">(N = 30), povišenja nivoa ALT-a ≥ 3 X GGN zabilježena su </w:t>
      </w:r>
      <w:r w:rsidR="00944BB0" w:rsidRPr="003B242C">
        <w:rPr>
          <w:lang w:val="sr-Latn-ME" w:eastAsia="bs-Latn-BA"/>
        </w:rPr>
        <w:t>kod</w:t>
      </w:r>
      <w:r w:rsidRPr="003B242C">
        <w:rPr>
          <w:lang w:val="sr-Latn-ME" w:eastAsia="bs-Latn-BA"/>
        </w:rPr>
        <w:t xml:space="preserve"> 1,1% (1/93) </w:t>
      </w:r>
      <w:r w:rsidR="00944BB0" w:rsidRPr="003B242C">
        <w:rPr>
          <w:lang w:val="sr-Latn-ME" w:eastAsia="bs-Latn-BA"/>
        </w:rPr>
        <w:t>pacijenata</w:t>
      </w:r>
      <w:r w:rsidRPr="003B242C">
        <w:rPr>
          <w:lang w:val="sr-Latn-ME" w:eastAsia="bs-Latn-BA"/>
        </w:rPr>
        <w:t>.</w:t>
      </w:r>
    </w:p>
    <w:p w14:paraId="5008985E" w14:textId="77777777" w:rsidR="00596C07" w:rsidRPr="004500D8" w:rsidRDefault="00596C07" w:rsidP="00596C07">
      <w:pPr>
        <w:widowControl w:val="0"/>
        <w:autoSpaceDE w:val="0"/>
        <w:autoSpaceDN w:val="0"/>
        <w:adjustRightInd w:val="0"/>
        <w:jc w:val="both"/>
        <w:rPr>
          <w:sz w:val="22"/>
          <w:szCs w:val="22"/>
          <w:lang w:val="sr-Latn-ME"/>
        </w:rPr>
      </w:pPr>
    </w:p>
    <w:p w14:paraId="74CA3D30"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U kliničkim ispitivanjima kod svih indikacija, pacijenti sa povišenim nivoima ALT nisu imali simptome i u većini slučajeva povišenje je bilo prolazno i povuklo se nastavkom liječenja. Ipak, nakon stavljanja lijeka u promet zabilježene su prijave oštećenja jetre, kao i manje teških poremećaja jetre, koji mogu prethoditi oštećenju jetre, kao što su hepatitis, uključujući autoimuni hepatitis, kod pacijenata koji su primali adalimumab. </w:t>
      </w:r>
    </w:p>
    <w:p w14:paraId="0D9A61FC" w14:textId="77777777" w:rsidR="00596C07" w:rsidRPr="004500D8" w:rsidRDefault="00596C07" w:rsidP="00596C07">
      <w:pPr>
        <w:widowControl w:val="0"/>
        <w:autoSpaceDE w:val="0"/>
        <w:autoSpaceDN w:val="0"/>
        <w:adjustRightInd w:val="0"/>
        <w:jc w:val="both"/>
        <w:rPr>
          <w:sz w:val="22"/>
          <w:szCs w:val="22"/>
          <w:lang w:val="sr-Latn-ME"/>
        </w:rPr>
      </w:pPr>
    </w:p>
    <w:p w14:paraId="76ADCAA6" w14:textId="77777777" w:rsidR="00596C07" w:rsidRPr="004500D8" w:rsidRDefault="00596C07" w:rsidP="00596C07">
      <w:pPr>
        <w:widowControl w:val="0"/>
        <w:autoSpaceDE w:val="0"/>
        <w:autoSpaceDN w:val="0"/>
        <w:adjustRightInd w:val="0"/>
        <w:jc w:val="both"/>
        <w:rPr>
          <w:sz w:val="22"/>
          <w:szCs w:val="22"/>
          <w:u w:val="single"/>
          <w:lang w:val="sr-Latn-ME"/>
        </w:rPr>
      </w:pPr>
      <w:r w:rsidRPr="004500D8">
        <w:rPr>
          <w:sz w:val="22"/>
          <w:szCs w:val="22"/>
          <w:u w:val="single"/>
          <w:lang w:val="sr-Latn-ME"/>
        </w:rPr>
        <w:t>Istovremeno liječenje azatioprinom/6-merkaptopurinom</w:t>
      </w:r>
    </w:p>
    <w:p w14:paraId="044434CD" w14:textId="77777777" w:rsidR="00596C07" w:rsidRPr="004500D8" w:rsidRDefault="00596C07" w:rsidP="00596C07">
      <w:pPr>
        <w:widowControl w:val="0"/>
        <w:autoSpaceDE w:val="0"/>
        <w:autoSpaceDN w:val="0"/>
        <w:adjustRightInd w:val="0"/>
        <w:jc w:val="both"/>
        <w:rPr>
          <w:i/>
          <w:sz w:val="22"/>
          <w:szCs w:val="22"/>
          <w:u w:val="single"/>
          <w:lang w:val="sr-Latn-ME"/>
        </w:rPr>
      </w:pPr>
    </w:p>
    <w:p w14:paraId="47AA3E91"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U kliničkim ispitivanjima kod odraslih </w:t>
      </w:r>
      <w:r w:rsidRPr="004500D8">
        <w:rPr>
          <w:iCs/>
          <w:sz w:val="22"/>
          <w:szCs w:val="22"/>
          <w:lang w:val="sr-Latn-ME"/>
        </w:rPr>
        <w:t>pacijenata</w:t>
      </w:r>
      <w:r w:rsidRPr="004500D8">
        <w:rPr>
          <w:sz w:val="22"/>
          <w:szCs w:val="22"/>
          <w:lang w:val="sr-Latn-ME"/>
        </w:rPr>
        <w:t xml:space="preserve"> s Crohnovom bolesti, primijećena je veća incidenca neželjenih dejstava vezanih za maligne bolesti i ozbiljne infekcije prilikom liječenja lijekom Humira u kombinaciji sa azatioprinom/6-merkaptopurinom u odnosu na monoterapiju lijekom Humira.</w:t>
      </w:r>
    </w:p>
    <w:p w14:paraId="692F0CF3" w14:textId="77777777" w:rsidR="00596C07" w:rsidRPr="004500D8" w:rsidRDefault="00596C07" w:rsidP="00596C07">
      <w:pPr>
        <w:widowControl w:val="0"/>
        <w:autoSpaceDE w:val="0"/>
        <w:autoSpaceDN w:val="0"/>
        <w:adjustRightInd w:val="0"/>
        <w:jc w:val="both"/>
        <w:rPr>
          <w:sz w:val="22"/>
          <w:szCs w:val="22"/>
          <w:lang w:val="sr-Latn-ME"/>
        </w:rPr>
      </w:pPr>
    </w:p>
    <w:p w14:paraId="3D88500A" w14:textId="77777777" w:rsidR="00596C07" w:rsidRPr="003B242C" w:rsidRDefault="00596C07" w:rsidP="00596C07">
      <w:pPr>
        <w:spacing w:after="200" w:line="276" w:lineRule="auto"/>
        <w:rPr>
          <w:rFonts w:eastAsia="Calibri"/>
          <w:sz w:val="22"/>
          <w:szCs w:val="22"/>
          <w:u w:val="single"/>
          <w:lang w:val="sr-Latn-ME"/>
        </w:rPr>
      </w:pPr>
      <w:r w:rsidRPr="003B242C">
        <w:rPr>
          <w:rFonts w:eastAsia="Calibri"/>
          <w:sz w:val="22"/>
          <w:szCs w:val="22"/>
          <w:u w:val="single"/>
          <w:lang w:val="sr-Latn-ME"/>
        </w:rPr>
        <w:t>Prijavljivanje sumnji na neželjena dejstva</w:t>
      </w:r>
    </w:p>
    <w:p w14:paraId="31736ABF" w14:textId="77777777" w:rsidR="00596C07" w:rsidRPr="003B242C" w:rsidRDefault="00596C07" w:rsidP="00596C07">
      <w:pPr>
        <w:spacing w:after="200"/>
        <w:jc w:val="both"/>
        <w:rPr>
          <w:rFonts w:eastAsia="Calibri"/>
          <w:sz w:val="22"/>
          <w:szCs w:val="22"/>
          <w:lang w:val="sr-Latn-ME"/>
        </w:rPr>
      </w:pPr>
      <w:r w:rsidRPr="003B242C">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3D2F66E" w14:textId="77777777" w:rsidR="00596C07" w:rsidRPr="003B242C" w:rsidRDefault="00596C07" w:rsidP="00596C07">
      <w:pPr>
        <w:pStyle w:val="NoSpacing"/>
        <w:jc w:val="both"/>
        <w:rPr>
          <w:rFonts w:eastAsia="Calibri"/>
          <w:sz w:val="22"/>
          <w:szCs w:val="22"/>
          <w:lang w:val="sr-Latn-ME"/>
        </w:rPr>
      </w:pPr>
      <w:r w:rsidRPr="003B242C">
        <w:rPr>
          <w:rFonts w:eastAsia="Calibri"/>
          <w:sz w:val="22"/>
          <w:szCs w:val="22"/>
          <w:lang w:val="sr-Latn-ME"/>
        </w:rPr>
        <w:t xml:space="preserve">Institut za ljekove i medicinska sredstva </w:t>
      </w:r>
    </w:p>
    <w:p w14:paraId="3F44BA05" w14:textId="77777777" w:rsidR="00596C07" w:rsidRPr="003B242C" w:rsidRDefault="00596C07" w:rsidP="00596C07">
      <w:pPr>
        <w:pStyle w:val="NoSpacing"/>
        <w:jc w:val="both"/>
        <w:rPr>
          <w:rFonts w:eastAsia="Calibri"/>
          <w:sz w:val="22"/>
          <w:szCs w:val="22"/>
          <w:lang w:val="sr-Latn-ME"/>
        </w:rPr>
      </w:pPr>
      <w:r w:rsidRPr="003B242C">
        <w:rPr>
          <w:rFonts w:eastAsia="Calibri"/>
          <w:sz w:val="22"/>
          <w:szCs w:val="22"/>
          <w:lang w:val="sr-Latn-ME"/>
        </w:rPr>
        <w:t>Odjeljenje za farmakovigilancu</w:t>
      </w:r>
    </w:p>
    <w:p w14:paraId="4AA12669" w14:textId="77777777" w:rsidR="00596C07" w:rsidRPr="003B242C" w:rsidRDefault="00596C07" w:rsidP="00596C07">
      <w:pPr>
        <w:pStyle w:val="NoSpacing"/>
        <w:jc w:val="both"/>
        <w:rPr>
          <w:rFonts w:eastAsia="Calibri"/>
          <w:sz w:val="22"/>
          <w:szCs w:val="22"/>
          <w:lang w:val="sr-Latn-ME"/>
        </w:rPr>
      </w:pPr>
      <w:r w:rsidRPr="003B242C">
        <w:rPr>
          <w:rFonts w:eastAsia="Calibri"/>
          <w:sz w:val="22"/>
          <w:szCs w:val="22"/>
          <w:lang w:val="sr-Latn-ME"/>
        </w:rPr>
        <w:lastRenderedPageBreak/>
        <w:t>Bulevar Ivana Crnojevića 64a, 81000 Podgorica</w:t>
      </w:r>
    </w:p>
    <w:p w14:paraId="234B66C2" w14:textId="77777777" w:rsidR="00596C07" w:rsidRPr="003B242C" w:rsidRDefault="00596C07" w:rsidP="00596C07">
      <w:pPr>
        <w:pStyle w:val="NoSpacing"/>
        <w:rPr>
          <w:rFonts w:eastAsia="Calibri"/>
          <w:sz w:val="22"/>
          <w:szCs w:val="22"/>
          <w:lang w:val="sr-Latn-ME"/>
        </w:rPr>
      </w:pPr>
    </w:p>
    <w:p w14:paraId="1EB1E770" w14:textId="77777777" w:rsidR="00596C07" w:rsidRPr="003B242C" w:rsidRDefault="00596C07" w:rsidP="00596C07">
      <w:pPr>
        <w:pStyle w:val="NoSpacing"/>
        <w:jc w:val="both"/>
        <w:rPr>
          <w:rFonts w:eastAsia="Calibri"/>
          <w:sz w:val="22"/>
          <w:szCs w:val="22"/>
          <w:lang w:val="sr-Latn-ME"/>
        </w:rPr>
      </w:pPr>
      <w:r w:rsidRPr="003B242C">
        <w:rPr>
          <w:rFonts w:eastAsia="Calibri"/>
          <w:sz w:val="22"/>
          <w:szCs w:val="22"/>
          <w:lang w:val="sr-Latn-ME"/>
        </w:rPr>
        <w:t>tel: +382 (0) 20 310 280</w:t>
      </w:r>
    </w:p>
    <w:p w14:paraId="2A0867B0" w14:textId="77777777" w:rsidR="00596C07" w:rsidRPr="003B242C" w:rsidRDefault="00596C07" w:rsidP="00596C07">
      <w:pPr>
        <w:pStyle w:val="NoSpacing"/>
        <w:jc w:val="both"/>
        <w:rPr>
          <w:rFonts w:eastAsia="Calibri"/>
          <w:sz w:val="22"/>
          <w:szCs w:val="22"/>
          <w:lang w:val="sr-Latn-ME"/>
        </w:rPr>
      </w:pPr>
      <w:r w:rsidRPr="003B242C">
        <w:rPr>
          <w:rFonts w:eastAsia="Calibri"/>
          <w:sz w:val="22"/>
          <w:szCs w:val="22"/>
          <w:lang w:val="sr-Latn-ME"/>
        </w:rPr>
        <w:t>fax: +382 (0) 20 310 581</w:t>
      </w:r>
    </w:p>
    <w:p w14:paraId="1F7EA707" w14:textId="77777777" w:rsidR="00596C07" w:rsidRPr="003B242C" w:rsidRDefault="002F7637" w:rsidP="00596C07">
      <w:pPr>
        <w:pStyle w:val="NoSpacing"/>
        <w:jc w:val="both"/>
        <w:rPr>
          <w:rFonts w:eastAsia="Calibri"/>
          <w:sz w:val="22"/>
          <w:szCs w:val="22"/>
          <w:lang w:val="sr-Latn-ME"/>
        </w:rPr>
      </w:pPr>
      <w:hyperlink r:id="rId8" w:history="1">
        <w:r w:rsidR="00596C07" w:rsidRPr="003B242C">
          <w:rPr>
            <w:rStyle w:val="Hyperlink"/>
            <w:rFonts w:eastAsia="Calibri"/>
            <w:sz w:val="22"/>
            <w:szCs w:val="22"/>
            <w:lang w:val="sr-Latn-ME"/>
          </w:rPr>
          <w:t>www.cinmed.me</w:t>
        </w:r>
      </w:hyperlink>
    </w:p>
    <w:p w14:paraId="58DA7415" w14:textId="77777777" w:rsidR="00596C07" w:rsidRPr="003B242C" w:rsidRDefault="002F7637" w:rsidP="00596C07">
      <w:pPr>
        <w:pStyle w:val="NoSpacing"/>
        <w:jc w:val="both"/>
        <w:rPr>
          <w:rFonts w:eastAsia="Calibri"/>
          <w:color w:val="0000FF"/>
          <w:sz w:val="22"/>
          <w:szCs w:val="22"/>
          <w:u w:val="single"/>
          <w:lang w:val="sr-Latn-ME"/>
        </w:rPr>
      </w:pPr>
      <w:hyperlink r:id="rId9" w:history="1">
        <w:r w:rsidR="00596C07" w:rsidRPr="003B242C">
          <w:rPr>
            <w:rStyle w:val="Hyperlink"/>
            <w:rFonts w:eastAsia="Calibri"/>
            <w:sz w:val="22"/>
            <w:szCs w:val="22"/>
            <w:lang w:val="sr-Latn-ME"/>
          </w:rPr>
          <w:t>nezeljenadejstva@cinmed.me</w:t>
        </w:r>
      </w:hyperlink>
    </w:p>
    <w:p w14:paraId="4FA440D7" w14:textId="77777777" w:rsidR="00596C07" w:rsidRPr="003B242C" w:rsidRDefault="00596C07" w:rsidP="00596C07">
      <w:pPr>
        <w:pStyle w:val="NoSpacing"/>
        <w:jc w:val="both"/>
        <w:rPr>
          <w:rFonts w:eastAsia="Calibri"/>
          <w:sz w:val="22"/>
          <w:szCs w:val="22"/>
          <w:lang w:val="sr-Latn-ME"/>
        </w:rPr>
      </w:pPr>
      <w:r w:rsidRPr="003B242C">
        <w:rPr>
          <w:rFonts w:eastAsia="Calibri"/>
          <w:sz w:val="22"/>
          <w:szCs w:val="22"/>
          <w:lang w:val="sr-Latn-ME"/>
        </w:rPr>
        <w:t>putem IS zdravstvene zaštite</w:t>
      </w:r>
    </w:p>
    <w:p w14:paraId="28F0D789" w14:textId="77777777" w:rsidR="00596C07" w:rsidRPr="004500D8" w:rsidRDefault="00596C07" w:rsidP="00596C07">
      <w:pPr>
        <w:rPr>
          <w:rFonts w:eastAsia="Calibri"/>
          <w:sz w:val="22"/>
          <w:szCs w:val="22"/>
          <w:lang w:val="sr-Latn-ME"/>
        </w:rPr>
      </w:pPr>
    </w:p>
    <w:p w14:paraId="3A896E13"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 xml:space="preserve">4.9. </w:t>
      </w:r>
      <w:r w:rsidRPr="004500D8">
        <w:rPr>
          <w:b/>
          <w:bCs/>
          <w:sz w:val="22"/>
          <w:szCs w:val="22"/>
          <w:lang w:val="sr-Latn-ME"/>
        </w:rPr>
        <w:tab/>
        <w:t>Predoziranje i mjere koje je potrebno preduzeti</w:t>
      </w:r>
    </w:p>
    <w:p w14:paraId="4550976F" w14:textId="77777777" w:rsidR="00596C07" w:rsidRPr="004500D8" w:rsidRDefault="00596C07" w:rsidP="00596C07">
      <w:pPr>
        <w:tabs>
          <w:tab w:val="left" w:pos="540"/>
          <w:tab w:val="left" w:pos="569"/>
        </w:tabs>
        <w:rPr>
          <w:b/>
          <w:bCs/>
          <w:sz w:val="22"/>
          <w:szCs w:val="22"/>
          <w:lang w:val="sr-Latn-ME"/>
        </w:rPr>
      </w:pPr>
    </w:p>
    <w:p w14:paraId="3FCE5092"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 kliničkim ispitivanjima nisu primijećene toksične reakcije koje bi ograničavale dozu. Najveća ispitivana doza bila je multipla intravenska doza od 10 mg/kg, koja je oko 15 puta veća od preporučene doze.</w:t>
      </w:r>
    </w:p>
    <w:p w14:paraId="68F5C34F" w14:textId="77777777" w:rsidR="00596C07" w:rsidRPr="004500D8" w:rsidRDefault="00596C07" w:rsidP="00596C07">
      <w:pPr>
        <w:widowControl w:val="0"/>
        <w:autoSpaceDE w:val="0"/>
        <w:autoSpaceDN w:val="0"/>
        <w:adjustRightInd w:val="0"/>
        <w:jc w:val="both"/>
        <w:rPr>
          <w:sz w:val="22"/>
          <w:szCs w:val="22"/>
          <w:lang w:val="sr-Latn-ME"/>
        </w:rPr>
      </w:pPr>
    </w:p>
    <w:p w14:paraId="37529879"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 xml:space="preserve">5. </w:t>
      </w:r>
      <w:r w:rsidRPr="004500D8">
        <w:rPr>
          <w:b/>
          <w:bCs/>
          <w:sz w:val="22"/>
          <w:szCs w:val="22"/>
          <w:lang w:val="sr-Latn-ME"/>
        </w:rPr>
        <w:tab/>
        <w:t>FARMAKOLOŠKI PODACI</w:t>
      </w:r>
    </w:p>
    <w:p w14:paraId="76B02D93" w14:textId="77777777" w:rsidR="00596C07" w:rsidRPr="004500D8" w:rsidRDefault="00596C07" w:rsidP="00596C07">
      <w:pPr>
        <w:tabs>
          <w:tab w:val="left" w:pos="540"/>
          <w:tab w:val="left" w:pos="569"/>
        </w:tabs>
        <w:rPr>
          <w:b/>
          <w:bCs/>
          <w:sz w:val="22"/>
          <w:szCs w:val="22"/>
          <w:lang w:val="sr-Latn-ME"/>
        </w:rPr>
      </w:pPr>
    </w:p>
    <w:p w14:paraId="5FD15583"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 xml:space="preserve">5.1. </w:t>
      </w:r>
      <w:r w:rsidRPr="004500D8">
        <w:rPr>
          <w:b/>
          <w:bCs/>
          <w:sz w:val="22"/>
          <w:szCs w:val="22"/>
          <w:lang w:val="sr-Latn-ME"/>
        </w:rPr>
        <w:tab/>
        <w:t>Farmakodinamski podaci</w:t>
      </w:r>
    </w:p>
    <w:p w14:paraId="7CCA7F31" w14:textId="77777777" w:rsidR="00596C07" w:rsidRPr="004500D8" w:rsidRDefault="00596C07" w:rsidP="00596C07">
      <w:pPr>
        <w:tabs>
          <w:tab w:val="left" w:pos="540"/>
          <w:tab w:val="left" w:pos="569"/>
        </w:tabs>
        <w:rPr>
          <w:b/>
          <w:bCs/>
          <w:sz w:val="22"/>
          <w:szCs w:val="22"/>
          <w:lang w:val="sr-Latn-ME"/>
        </w:rPr>
      </w:pPr>
    </w:p>
    <w:p w14:paraId="7F7E7D9F" w14:textId="77777777" w:rsidR="00596C07" w:rsidRPr="004500D8" w:rsidRDefault="00596C07" w:rsidP="00596C07">
      <w:pPr>
        <w:tabs>
          <w:tab w:val="left" w:pos="540"/>
          <w:tab w:val="left" w:pos="569"/>
        </w:tabs>
        <w:rPr>
          <w:bCs/>
          <w:sz w:val="22"/>
          <w:szCs w:val="22"/>
          <w:lang w:val="sr-Latn-ME"/>
        </w:rPr>
      </w:pPr>
      <w:r w:rsidRPr="004500D8">
        <w:rPr>
          <w:bCs/>
          <w:sz w:val="22"/>
          <w:szCs w:val="22"/>
          <w:lang w:val="sr-Latn-ME"/>
        </w:rPr>
        <w:t>Farmakoterapijska grupa: Imunosupresivni ljekovi, Inhibitori faktora nekroze tumora alfa (TNF α)</w:t>
      </w:r>
    </w:p>
    <w:p w14:paraId="32A642A9" w14:textId="77777777" w:rsidR="00596C07" w:rsidRPr="004500D8" w:rsidRDefault="00596C07" w:rsidP="00596C07">
      <w:pPr>
        <w:tabs>
          <w:tab w:val="left" w:pos="540"/>
          <w:tab w:val="left" w:pos="569"/>
        </w:tabs>
        <w:rPr>
          <w:bCs/>
          <w:sz w:val="22"/>
          <w:szCs w:val="22"/>
          <w:lang w:val="sr-Latn-ME"/>
        </w:rPr>
      </w:pPr>
    </w:p>
    <w:p w14:paraId="2F5817A6" w14:textId="77777777" w:rsidR="00596C07" w:rsidRPr="004500D8" w:rsidRDefault="00596C07" w:rsidP="00596C07">
      <w:pPr>
        <w:tabs>
          <w:tab w:val="left" w:pos="540"/>
          <w:tab w:val="left" w:pos="569"/>
        </w:tabs>
        <w:rPr>
          <w:bCs/>
          <w:sz w:val="22"/>
          <w:szCs w:val="22"/>
          <w:lang w:val="sr-Latn-ME"/>
        </w:rPr>
      </w:pPr>
      <w:r w:rsidRPr="004500D8">
        <w:rPr>
          <w:bCs/>
          <w:sz w:val="22"/>
          <w:szCs w:val="22"/>
          <w:lang w:val="sr-Latn-ME"/>
        </w:rPr>
        <w:t>ATC kod: L04AB04</w:t>
      </w:r>
    </w:p>
    <w:p w14:paraId="6190155E" w14:textId="77777777" w:rsidR="00596C07" w:rsidRPr="004500D8" w:rsidRDefault="00596C07" w:rsidP="00596C07">
      <w:pPr>
        <w:tabs>
          <w:tab w:val="left" w:pos="540"/>
          <w:tab w:val="left" w:pos="569"/>
        </w:tabs>
        <w:rPr>
          <w:b/>
          <w:bCs/>
          <w:sz w:val="22"/>
          <w:szCs w:val="22"/>
          <w:lang w:val="sr-Latn-ME"/>
        </w:rPr>
      </w:pPr>
    </w:p>
    <w:p w14:paraId="6F909DB9" w14:textId="77777777" w:rsidR="00596C07" w:rsidRPr="004500D8" w:rsidRDefault="00596C07" w:rsidP="00596C07">
      <w:pPr>
        <w:widowControl w:val="0"/>
        <w:autoSpaceDE w:val="0"/>
        <w:autoSpaceDN w:val="0"/>
        <w:adjustRightInd w:val="0"/>
        <w:ind w:left="567" w:hanging="567"/>
        <w:jc w:val="both"/>
        <w:rPr>
          <w:sz w:val="22"/>
          <w:szCs w:val="22"/>
          <w:u w:val="single"/>
          <w:lang w:val="sr-Latn-ME"/>
        </w:rPr>
      </w:pPr>
      <w:r w:rsidRPr="004500D8">
        <w:rPr>
          <w:sz w:val="22"/>
          <w:szCs w:val="22"/>
          <w:u w:val="single"/>
          <w:lang w:val="sr-Latn-ME"/>
        </w:rPr>
        <w:t>Mehanizam djelovanja</w:t>
      </w:r>
    </w:p>
    <w:p w14:paraId="19FFB599" w14:textId="77777777" w:rsidR="00596C07" w:rsidRPr="004500D8" w:rsidRDefault="00596C07" w:rsidP="00596C07">
      <w:pPr>
        <w:widowControl w:val="0"/>
        <w:autoSpaceDE w:val="0"/>
        <w:autoSpaceDN w:val="0"/>
        <w:adjustRightInd w:val="0"/>
        <w:ind w:left="567" w:hanging="567"/>
        <w:jc w:val="both"/>
        <w:rPr>
          <w:sz w:val="22"/>
          <w:szCs w:val="22"/>
          <w:u w:val="single"/>
          <w:lang w:val="sr-Latn-ME"/>
        </w:rPr>
      </w:pPr>
    </w:p>
    <w:p w14:paraId="01E67DEF"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Adalimumab se specifično veže za TNF (faktor tumorske nekroze) i neutralizuje biološku funkciju TNF-a blokirajući njegovu interakciju sa površinskim ćelijskim TNF-receptorima p55 i p75.</w:t>
      </w:r>
    </w:p>
    <w:p w14:paraId="0279FB04" w14:textId="77777777" w:rsidR="00596C07" w:rsidRPr="004500D8" w:rsidRDefault="00596C07" w:rsidP="00596C07">
      <w:pPr>
        <w:widowControl w:val="0"/>
        <w:autoSpaceDE w:val="0"/>
        <w:autoSpaceDN w:val="0"/>
        <w:adjustRightInd w:val="0"/>
        <w:jc w:val="both"/>
        <w:rPr>
          <w:sz w:val="22"/>
          <w:szCs w:val="22"/>
          <w:lang w:val="sr-Latn-ME"/>
        </w:rPr>
      </w:pPr>
    </w:p>
    <w:p w14:paraId="1C9F7CFC"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Adalimumab takođe modifikuje biološke odgovore koje indukuje ili reguliše TNF, uključujući promjene u nivoima adhezijskih molekula koje su odgovorne za migraciju leukocita (ELAM-1, VCAM-1 i ICAM-1 uz IC</w:t>
      </w:r>
      <w:r w:rsidRPr="004500D8">
        <w:rPr>
          <w:position w:val="-8"/>
          <w:sz w:val="22"/>
          <w:szCs w:val="22"/>
          <w:vertAlign w:val="subscript"/>
          <w:lang w:val="sr-Latn-ME"/>
        </w:rPr>
        <w:t>50</w:t>
      </w:r>
      <w:r w:rsidRPr="004500D8">
        <w:rPr>
          <w:sz w:val="22"/>
          <w:szCs w:val="22"/>
          <w:lang w:val="sr-Latn-ME"/>
        </w:rPr>
        <w:t xml:space="preserve"> od 0,1-0,2 nM).</w:t>
      </w:r>
    </w:p>
    <w:p w14:paraId="2D8A8052" w14:textId="77777777" w:rsidR="00596C07" w:rsidRPr="004500D8" w:rsidRDefault="00596C07" w:rsidP="00596C07">
      <w:pPr>
        <w:widowControl w:val="0"/>
        <w:autoSpaceDE w:val="0"/>
        <w:autoSpaceDN w:val="0"/>
        <w:adjustRightInd w:val="0"/>
        <w:jc w:val="both"/>
        <w:rPr>
          <w:sz w:val="22"/>
          <w:szCs w:val="22"/>
          <w:lang w:val="sr-Latn-ME"/>
        </w:rPr>
      </w:pPr>
    </w:p>
    <w:p w14:paraId="3569A581" w14:textId="77777777" w:rsidR="00596C07" w:rsidRPr="004500D8" w:rsidRDefault="00596C07" w:rsidP="00596C07">
      <w:pPr>
        <w:widowControl w:val="0"/>
        <w:autoSpaceDE w:val="0"/>
        <w:autoSpaceDN w:val="0"/>
        <w:adjustRightInd w:val="0"/>
        <w:jc w:val="both"/>
        <w:rPr>
          <w:sz w:val="22"/>
          <w:szCs w:val="22"/>
          <w:u w:val="single"/>
          <w:lang w:val="sr-Latn-ME"/>
        </w:rPr>
      </w:pPr>
      <w:r w:rsidRPr="004500D8">
        <w:rPr>
          <w:sz w:val="22"/>
          <w:szCs w:val="22"/>
          <w:u w:val="single"/>
          <w:lang w:val="sr-Latn-ME"/>
        </w:rPr>
        <w:t>Farmakodinamski efekti</w:t>
      </w:r>
    </w:p>
    <w:p w14:paraId="30FF05EE" w14:textId="77777777" w:rsidR="00596C07" w:rsidRPr="004500D8" w:rsidRDefault="00596C07" w:rsidP="00596C07">
      <w:pPr>
        <w:widowControl w:val="0"/>
        <w:autoSpaceDE w:val="0"/>
        <w:autoSpaceDN w:val="0"/>
        <w:adjustRightInd w:val="0"/>
        <w:jc w:val="both"/>
        <w:rPr>
          <w:sz w:val="22"/>
          <w:szCs w:val="22"/>
          <w:u w:val="single"/>
          <w:lang w:val="sr-Latn-ME"/>
        </w:rPr>
      </w:pPr>
    </w:p>
    <w:p w14:paraId="42933A8D"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Nakon liječenja lijekom Humira kod pacijenata sa reumatoidnim artritisom primijećeno je naglo snižavanje nivoa reaktanata akutne faze upale (C-reaktivni protein [CRP] i brzina sedimentacije eritrocita [ESR]) i serumskih citokina (IL-6), u poređenju sa početnim vrijednostima. Serumske vrijednosti matriksnih metaloproteinaza (MMP-1 i MMP-3) koje uzrokuju preoblikovanje tkiva odgovornog za uništavanje hrskavice, takođe su se smanjile nakon primjene lijeka Humira. Pacijenti liječeni lijekom Humira obično pokazuju poboljšanje hematoloških znakova hronične upale.</w:t>
      </w:r>
    </w:p>
    <w:p w14:paraId="253A0AD1" w14:textId="77777777" w:rsidR="00596C07" w:rsidRPr="004500D8" w:rsidRDefault="00596C07" w:rsidP="00596C07">
      <w:pPr>
        <w:widowControl w:val="0"/>
        <w:autoSpaceDE w:val="0"/>
        <w:autoSpaceDN w:val="0"/>
        <w:adjustRightInd w:val="0"/>
        <w:jc w:val="both"/>
        <w:rPr>
          <w:sz w:val="22"/>
          <w:szCs w:val="22"/>
          <w:lang w:val="sr-Latn-ME"/>
        </w:rPr>
      </w:pPr>
    </w:p>
    <w:p w14:paraId="3EBDB45D"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Kod pacijenata sa </w:t>
      </w:r>
      <w:r w:rsidRPr="004500D8">
        <w:rPr>
          <w:color w:val="000000"/>
          <w:sz w:val="22"/>
          <w:szCs w:val="22"/>
          <w:lang w:val="sr-Latn-ME"/>
        </w:rPr>
        <w:t>poliartikularnim juvenilnim idiopatskim artritisom,</w:t>
      </w:r>
      <w:r w:rsidRPr="004500D8">
        <w:rPr>
          <w:sz w:val="22"/>
          <w:szCs w:val="22"/>
          <w:lang w:val="sr-Latn-ME"/>
        </w:rPr>
        <w:t xml:space="preserve"> Crohn-ovom bolešću, ulceroznim kolitisom i gnojnim hidradenitisom takođe je primijećeno naglo smanjenje nivoa CRP-a nakon liječenja lijekom Humira. Kod pacijenata sa Crohn-ovom bolešću, primijećeno je smanjenje broja ćelija u debelom crijevu koje ispoljavaju markere inflamacije, uključujući i značajno sniženje ekspresije TNFα. Endoskopske studije intestinalne mukoze pokazale su znakove zarastanja mukoze kod pacijenata liječenih adalimumabom.</w:t>
      </w:r>
    </w:p>
    <w:p w14:paraId="0EBD35B8" w14:textId="77777777" w:rsidR="00596C07" w:rsidRPr="004500D8" w:rsidRDefault="00596C07" w:rsidP="00596C07">
      <w:pPr>
        <w:widowControl w:val="0"/>
        <w:autoSpaceDE w:val="0"/>
        <w:autoSpaceDN w:val="0"/>
        <w:adjustRightInd w:val="0"/>
        <w:jc w:val="both"/>
        <w:rPr>
          <w:sz w:val="22"/>
          <w:szCs w:val="22"/>
          <w:lang w:val="sr-Latn-ME"/>
        </w:rPr>
      </w:pPr>
    </w:p>
    <w:p w14:paraId="0BC296D5" w14:textId="77777777" w:rsidR="00596C07" w:rsidRPr="004500D8" w:rsidRDefault="00596C07" w:rsidP="00596C07">
      <w:pPr>
        <w:widowControl w:val="0"/>
        <w:autoSpaceDE w:val="0"/>
        <w:autoSpaceDN w:val="0"/>
        <w:adjustRightInd w:val="0"/>
        <w:jc w:val="both"/>
        <w:rPr>
          <w:sz w:val="22"/>
          <w:szCs w:val="22"/>
          <w:u w:val="single"/>
          <w:lang w:val="sr-Latn-ME"/>
        </w:rPr>
      </w:pPr>
      <w:r w:rsidRPr="004500D8">
        <w:rPr>
          <w:sz w:val="22"/>
          <w:szCs w:val="22"/>
          <w:u w:val="single"/>
          <w:lang w:val="sr-Latn-ME"/>
        </w:rPr>
        <w:t>Klinička efikasnost i bezbjednost</w:t>
      </w:r>
    </w:p>
    <w:p w14:paraId="43212BB1" w14:textId="77777777" w:rsidR="00596C07" w:rsidRPr="004500D8" w:rsidRDefault="00596C07" w:rsidP="00596C07">
      <w:pPr>
        <w:autoSpaceDE w:val="0"/>
        <w:autoSpaceDN w:val="0"/>
        <w:adjustRightInd w:val="0"/>
        <w:jc w:val="both"/>
        <w:rPr>
          <w:sz w:val="22"/>
          <w:szCs w:val="22"/>
          <w:lang w:val="sr-Latn-ME"/>
        </w:rPr>
      </w:pPr>
    </w:p>
    <w:p w14:paraId="6A95F59F" w14:textId="77777777" w:rsidR="00596C07" w:rsidRPr="004500D8" w:rsidRDefault="00596C07" w:rsidP="00596C07">
      <w:pPr>
        <w:widowControl w:val="0"/>
        <w:autoSpaceDE w:val="0"/>
        <w:autoSpaceDN w:val="0"/>
        <w:adjustRightInd w:val="0"/>
        <w:jc w:val="both"/>
        <w:rPr>
          <w:i/>
          <w:sz w:val="22"/>
          <w:szCs w:val="22"/>
          <w:lang w:val="sr-Latn-ME"/>
        </w:rPr>
      </w:pPr>
      <w:r w:rsidRPr="004500D8">
        <w:rPr>
          <w:i/>
          <w:sz w:val="22"/>
          <w:szCs w:val="22"/>
          <w:lang w:val="sr-Latn-ME"/>
        </w:rPr>
        <w:t xml:space="preserve">Reumatoidni artritis </w:t>
      </w:r>
    </w:p>
    <w:p w14:paraId="15FCCA2D" w14:textId="77777777" w:rsidR="00596C07" w:rsidRPr="004500D8" w:rsidRDefault="00596C07" w:rsidP="00596C07">
      <w:pPr>
        <w:widowControl w:val="0"/>
        <w:autoSpaceDE w:val="0"/>
        <w:autoSpaceDN w:val="0"/>
        <w:adjustRightInd w:val="0"/>
        <w:jc w:val="both"/>
        <w:rPr>
          <w:sz w:val="22"/>
          <w:szCs w:val="22"/>
          <w:u w:val="single"/>
          <w:lang w:val="sr-Latn-ME"/>
        </w:rPr>
      </w:pPr>
    </w:p>
    <w:p w14:paraId="1DE4EC07" w14:textId="7C9CAA51"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 xml:space="preserve">Efikasnost lijeka Humira ispitivana je kod više od 3000 pacijenata u svim kliničkim ispitivanjima reumatoidnog artritisa (RA). Efikasnost i bezbjednost lijeka Humira u liječenju reumatoidnog artritisa procjenjivane su u pet randomiziranih, dvostruko slijepih, dobro kontrolisanih ispitivanja. Neki su pacijenti liječeni kroz period i do 120 mjeseci. </w:t>
      </w:r>
      <w:r w:rsidRPr="004500D8">
        <w:rPr>
          <w:sz w:val="22"/>
          <w:szCs w:val="22"/>
          <w:lang w:val="sr-Latn-ME" w:eastAsia="sr-Latn-ME"/>
        </w:rPr>
        <w:t>Bol na mjestu primjene lijeka Humira 40 mg/0,4 ml ocjenjivala se u dva randomizirana, aktivnim lijekom kontrolisana, jednostruko slijepa, ukrštena ispitivanja sa dva razdoblja.</w:t>
      </w:r>
    </w:p>
    <w:p w14:paraId="723F8D8D" w14:textId="77777777" w:rsidR="00596C07" w:rsidRPr="004500D8" w:rsidRDefault="00596C07" w:rsidP="00596C07">
      <w:pPr>
        <w:widowControl w:val="0"/>
        <w:autoSpaceDE w:val="0"/>
        <w:autoSpaceDN w:val="0"/>
        <w:adjustRightInd w:val="0"/>
        <w:jc w:val="both"/>
        <w:rPr>
          <w:sz w:val="22"/>
          <w:szCs w:val="22"/>
          <w:lang w:val="sr-Latn-ME"/>
        </w:rPr>
      </w:pPr>
    </w:p>
    <w:p w14:paraId="0B263F3B"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RA ispitivanje I obuhvatilo je 271 pacijenta s umjereno teškim do teškim aktivnim reumatoidnim artritisom u uzrastu od 18 godina i starijih, kod kojih prethodna terapija barem jednim antireumatskim lijekom koji modifikuje tok bolesti nije bila efikasna, i kod kojih nije bio dovoljno efikasan metotreksat u dozi od 12,5 do 25 mg (10 mg ako pacijent ne podnosi metotreksat) jednom nedjeljno i kod kojih je doza metotreksata bila konstantno 10 do 25 mg </w:t>
      </w:r>
      <w:r w:rsidRPr="004500D8">
        <w:rPr>
          <w:iCs/>
          <w:sz w:val="22"/>
          <w:szCs w:val="22"/>
          <w:lang w:val="sr-Latn-ME"/>
        </w:rPr>
        <w:t>jednom</w:t>
      </w:r>
      <w:r w:rsidRPr="004500D8">
        <w:rPr>
          <w:i/>
          <w:iCs/>
          <w:sz w:val="22"/>
          <w:szCs w:val="22"/>
          <w:lang w:val="sr-Latn-ME"/>
        </w:rPr>
        <w:t xml:space="preserve"> </w:t>
      </w:r>
      <w:r w:rsidRPr="004500D8">
        <w:rPr>
          <w:iCs/>
          <w:sz w:val="22"/>
          <w:szCs w:val="22"/>
          <w:lang w:val="sr-Latn-ME"/>
        </w:rPr>
        <w:t>nedjeljno</w:t>
      </w:r>
      <w:r w:rsidRPr="004500D8">
        <w:rPr>
          <w:sz w:val="22"/>
          <w:szCs w:val="22"/>
          <w:lang w:val="sr-Latn-ME"/>
        </w:rPr>
        <w:t>. Svake druge nedjelje u periodu od 24 nedjelje dobijali su lijek Humira ili placebo u dozi od 20, 40 ili 80 mg.</w:t>
      </w:r>
    </w:p>
    <w:p w14:paraId="55546837" w14:textId="77777777" w:rsidR="00596C07" w:rsidRPr="004500D8" w:rsidRDefault="00596C07" w:rsidP="00596C07">
      <w:pPr>
        <w:widowControl w:val="0"/>
        <w:autoSpaceDE w:val="0"/>
        <w:autoSpaceDN w:val="0"/>
        <w:adjustRightInd w:val="0"/>
        <w:jc w:val="both"/>
        <w:rPr>
          <w:sz w:val="22"/>
          <w:szCs w:val="22"/>
          <w:lang w:val="sr-Latn-ME"/>
        </w:rPr>
      </w:pPr>
    </w:p>
    <w:p w14:paraId="222EDF26" w14:textId="213EE781"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RA ispitivanje II obuhvatilo je 544 pacijenta s umjereno teškim do teškim aktivnim reumatoidnim artritisom u uzrastu od 18 godina i starijih kod kojih prethodna terapija barem jednim antireumatskim lijekom koji modifikuje tok bolesti nije bila efikasna. Pacijenti su svake dvije nedjelje u periodu od 26 nedjelja dobijali naizmjenično su</w:t>
      </w:r>
      <w:r w:rsidR="00A7113D" w:rsidRPr="004500D8">
        <w:rPr>
          <w:sz w:val="22"/>
          <w:szCs w:val="22"/>
          <w:lang w:val="sr-Latn-ME"/>
        </w:rPr>
        <w:t>p</w:t>
      </w:r>
      <w:r w:rsidRPr="004500D8">
        <w:rPr>
          <w:sz w:val="22"/>
          <w:szCs w:val="22"/>
          <w:lang w:val="sr-Latn-ME"/>
        </w:rPr>
        <w:t>kutane injekcije lijeka Humira u dozi od 20 ili 40 mg, odnosno placeba (jednu nedjelju aktivni lijek, drugu nedjelju placebo) ili po jednu injekciju lijeka Humira i placeba svake nedjelje. Pacijenti nisu smjeli uzimati nikakve druge antireumatske ljekove koji modifikuju tok bolesti.</w:t>
      </w:r>
    </w:p>
    <w:p w14:paraId="7B336E1F" w14:textId="77777777" w:rsidR="00596C07" w:rsidRPr="004500D8" w:rsidRDefault="00596C07" w:rsidP="00596C07">
      <w:pPr>
        <w:widowControl w:val="0"/>
        <w:autoSpaceDE w:val="0"/>
        <w:autoSpaceDN w:val="0"/>
        <w:adjustRightInd w:val="0"/>
        <w:jc w:val="both"/>
        <w:rPr>
          <w:sz w:val="22"/>
          <w:szCs w:val="22"/>
          <w:lang w:val="sr-Latn-ME"/>
        </w:rPr>
      </w:pPr>
    </w:p>
    <w:p w14:paraId="7F1499BD"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RA ispitivanje III obuhvatilo je 619 pacijenata s umjereno teškim do teškim aktivnim reumatoidnim artritisom u uzrastu ≥18 godina kod kojih prethodna terapija metotreksatom u dozi od 12,5 do 25 mg </w:t>
      </w:r>
      <w:r w:rsidRPr="004500D8">
        <w:rPr>
          <w:iCs/>
          <w:sz w:val="22"/>
          <w:szCs w:val="22"/>
          <w:lang w:val="sr-Latn-ME"/>
        </w:rPr>
        <w:t>jednom</w:t>
      </w:r>
      <w:r w:rsidRPr="004500D8">
        <w:rPr>
          <w:i/>
          <w:iCs/>
          <w:sz w:val="22"/>
          <w:szCs w:val="22"/>
          <w:lang w:val="sr-Latn-ME"/>
        </w:rPr>
        <w:t xml:space="preserve"> </w:t>
      </w:r>
      <w:r w:rsidRPr="004500D8">
        <w:rPr>
          <w:iCs/>
          <w:sz w:val="22"/>
          <w:szCs w:val="22"/>
          <w:lang w:val="sr-Latn-ME"/>
        </w:rPr>
        <w:t>nedjeljno</w:t>
      </w:r>
      <w:r w:rsidRPr="004500D8">
        <w:rPr>
          <w:i/>
          <w:iCs/>
          <w:sz w:val="22"/>
          <w:szCs w:val="22"/>
          <w:lang w:val="sr-Latn-ME"/>
        </w:rPr>
        <w:t xml:space="preserve"> </w:t>
      </w:r>
      <w:r w:rsidRPr="004500D8">
        <w:rPr>
          <w:sz w:val="22"/>
          <w:szCs w:val="22"/>
          <w:lang w:val="sr-Latn-ME"/>
        </w:rPr>
        <w:t>nije dala zadovoljavajuće rezultate ili nisu podnosili metotreksat u dozi od 10 mg jednom nedjeljno. Pacijenti su podijeljeni u tri grupe. Prva je dobijala injekcije placeba svake nedjelje u periodu od 52 nedjelje. Druga je dobijala 20 mg lijeka Humira svake nedjelje u periodu od 52 nedjelje. Treća grupa je dobijala 40 mg lijeka Humira svake druge nedjelje, sa placebo injekcijama, naizmjenično. Po završetku prve 52 nedjelje, 457 pacijenata je uključeno u otvorenu produženu fazu u kojoj je davano 40 mg lijeka Humira/MTX svake druge nedjelje u trajanju od 10 godina.</w:t>
      </w:r>
    </w:p>
    <w:p w14:paraId="545AD8E0" w14:textId="77777777" w:rsidR="00596C07" w:rsidRPr="004500D8" w:rsidRDefault="00596C07" w:rsidP="00596C07">
      <w:pPr>
        <w:widowControl w:val="0"/>
        <w:autoSpaceDE w:val="0"/>
        <w:autoSpaceDN w:val="0"/>
        <w:adjustRightInd w:val="0"/>
        <w:jc w:val="both"/>
        <w:rPr>
          <w:sz w:val="22"/>
          <w:szCs w:val="22"/>
          <w:lang w:val="sr-Latn-ME"/>
        </w:rPr>
      </w:pPr>
    </w:p>
    <w:p w14:paraId="3C3EF4E6"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U RA ispitivanju IV prvenstveno je ocjenjivana bezbjednost kod 636 pacijenata u uzrastu ≥18 godina s umjereno teškim do teškim aktivnim reumatoidnim artritisom. U ispitivanje su uključeni i pacijenti koji su prethodno liječeni antireumatskim ljekovima </w:t>
      </w:r>
      <w:r w:rsidRPr="004500D8">
        <w:rPr>
          <w:iCs/>
          <w:sz w:val="22"/>
          <w:szCs w:val="22"/>
          <w:lang w:val="sr-Latn-ME"/>
        </w:rPr>
        <w:t>koji modifikuju</w:t>
      </w:r>
      <w:r w:rsidRPr="004500D8">
        <w:rPr>
          <w:sz w:val="22"/>
          <w:szCs w:val="22"/>
          <w:lang w:val="sr-Latn-ME"/>
        </w:rPr>
        <w:t xml:space="preserve"> tok bolesti, koji prethodno nisu bili liječeni, i oni koji već dobijaju antireumatsku terapiju pod uslovom da je ta terapija stabilna najmanje 28 dana. Ove terapije uključuju metotreksat, leflunomid, hidroksihlorohin, sulfasalazin i/ili soli zlata. Pacijenti su podijeljeni u dvije grupe, od kojih je jedna dobijala 40 mg lijeka Humira, a druga placebo svake druge nedjelje u periodu od 24 nedjelje.</w:t>
      </w:r>
    </w:p>
    <w:p w14:paraId="5645E821" w14:textId="77777777" w:rsidR="00596C07" w:rsidRPr="004500D8" w:rsidRDefault="00596C07" w:rsidP="00596C07">
      <w:pPr>
        <w:widowControl w:val="0"/>
        <w:autoSpaceDE w:val="0"/>
        <w:autoSpaceDN w:val="0"/>
        <w:adjustRightInd w:val="0"/>
        <w:jc w:val="both"/>
        <w:rPr>
          <w:sz w:val="22"/>
          <w:szCs w:val="22"/>
          <w:lang w:val="sr-Latn-ME"/>
        </w:rPr>
      </w:pPr>
    </w:p>
    <w:p w14:paraId="52E72C41"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RA ispitivanjem V obuhvaćeno je 799 odraslih pacijenata s umjereno teškim do teškim aktivnim ranim reumatoidnim artritisom u ranoj fazi (prosječno trajanje bolesti kraće od 9 mjeseci) koji do tada nisu bili liječeni metotreksatom. Tokom 104 nedjelje poređena je efikasnost kombinovanog liječenja (40 mg lijeka Humira svake druge nedjelje/metotreksat), monoterapije lijekom Humira (40 mg svake druge nedjelje), kao i monoterapije metotreksatom, na smanjenje simptoma i znakova te brzine napredovanja oštećenja zglobova kod reumatoidnog artritisa. Po završetku prve 104 nedjelje, 497 pacijenata uključeno je u otvoreni produžetak studije, u kojem se lijek Humira u dozi od 40 mg primenjivao svake dvije nedjelje tokom razdoblja do 10 godina.</w:t>
      </w:r>
    </w:p>
    <w:p w14:paraId="09999388" w14:textId="77777777" w:rsidR="00596C07" w:rsidRPr="004500D8" w:rsidRDefault="00596C07" w:rsidP="00596C07">
      <w:pPr>
        <w:widowControl w:val="0"/>
        <w:autoSpaceDE w:val="0"/>
        <w:autoSpaceDN w:val="0"/>
        <w:adjustRightInd w:val="0"/>
        <w:jc w:val="both"/>
        <w:rPr>
          <w:sz w:val="22"/>
          <w:szCs w:val="22"/>
          <w:lang w:val="sr-Latn-ME"/>
        </w:rPr>
      </w:pPr>
    </w:p>
    <w:p w14:paraId="63BD7AAE"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U ispitivanjima RA VI i RA VII ocjenjivano je po 60 pacijenata sa umjereno teškim do teškim aktivnim reumatoidnim artritisom u uzrastu od ≥18 godina. Uključeni pacijenti su ili već tada primali lijek Humira u dozi od 40 mg/0,8 ml i ocijenili prosječnu bol na mjestu primjene kao najmanje 3 cm (prema vizuelnoj analognoj skali [engl. </w:t>
      </w:r>
      <w:r w:rsidRPr="004500D8">
        <w:rPr>
          <w:i/>
          <w:sz w:val="22"/>
          <w:szCs w:val="22"/>
          <w:lang w:val="sr-Latn-ME"/>
        </w:rPr>
        <w:t>visual analogue scale</w:t>
      </w:r>
      <w:r w:rsidRPr="004500D8">
        <w:rPr>
          <w:sz w:val="22"/>
          <w:szCs w:val="22"/>
          <w:lang w:val="sr-Latn-ME"/>
        </w:rPr>
        <w:t>, VAS] od 0-10 cm), ili prethodno nisu primali biološke ljekove i započeli su liječenje lijekom Humira u dozi od 40 mg/0,8 ml. Pacijenti su bili randomizovani za primanje jednokratne doze lijeka Humira od 40 mg/0,8 ml ili 40 mg/0,4 ml, nakon koje su pri sljedećoj primjeni primili jednu injekciju suprotne doze.</w:t>
      </w:r>
    </w:p>
    <w:p w14:paraId="771860D7" w14:textId="77777777" w:rsidR="00596C07" w:rsidRPr="004500D8" w:rsidRDefault="00596C07" w:rsidP="00596C07">
      <w:pPr>
        <w:widowControl w:val="0"/>
        <w:autoSpaceDE w:val="0"/>
        <w:autoSpaceDN w:val="0"/>
        <w:adjustRightInd w:val="0"/>
        <w:jc w:val="both"/>
        <w:rPr>
          <w:sz w:val="22"/>
          <w:szCs w:val="22"/>
          <w:lang w:val="sr-Latn-ME"/>
        </w:rPr>
      </w:pPr>
    </w:p>
    <w:p w14:paraId="7D480D11" w14:textId="1CBE0C8E"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Primarna mjera ishoda RA ispitivanja I, II i III te sekundarna mjera ishoda RA ispitivanja IV bio je utvrditi procenat pacijenata kod kojih je postignut terapijski odgovor ACR 20 nakon 24, odnosno 26 nedjelja liječenja. Primarna mjera  ishoda RA ispitivanja V bio je procenat pacijenata kod kojih je postignut terapijski odgovor ACR 50 nakon 52 nedjelje liječenja. Dodatna primarna mjera ishoda RA ispitivanja III i RA V bila je usporavanje napredovanja bolesti (na osnovu radioloških nalaza) nakon 52 nedjelje liječenja. Primarn</w:t>
      </w:r>
      <w:r w:rsidR="00A7113D" w:rsidRPr="004500D8">
        <w:rPr>
          <w:sz w:val="22"/>
          <w:szCs w:val="22"/>
          <w:lang w:val="sr-Latn-ME"/>
        </w:rPr>
        <w:t>a mjera</w:t>
      </w:r>
      <w:r w:rsidRPr="004500D8">
        <w:rPr>
          <w:sz w:val="22"/>
          <w:szCs w:val="22"/>
          <w:lang w:val="sr-Latn-ME"/>
        </w:rPr>
        <w:t xml:space="preserve"> isho</w:t>
      </w:r>
      <w:r w:rsidR="00A7113D" w:rsidRPr="004500D8">
        <w:rPr>
          <w:sz w:val="22"/>
          <w:szCs w:val="22"/>
          <w:lang w:val="sr-Latn-ME"/>
        </w:rPr>
        <w:t>da</w:t>
      </w:r>
      <w:r w:rsidRPr="004500D8">
        <w:rPr>
          <w:sz w:val="22"/>
          <w:szCs w:val="22"/>
          <w:lang w:val="sr-Latn-ME"/>
        </w:rPr>
        <w:t xml:space="preserve"> RA ispitivanja III, takođe su bile promjene u kvalitetu života. </w:t>
      </w:r>
      <w:r w:rsidRPr="004500D8">
        <w:rPr>
          <w:sz w:val="22"/>
          <w:szCs w:val="22"/>
          <w:lang w:val="sr-Latn-ME" w:eastAsia="sr-Latn-ME"/>
        </w:rPr>
        <w:t>Primarna mjera ishoda u ispitivanjima RA VI i RA VII bio je bol na mjestu primjene neposredno nakon injekcije, ocijenjen prema VAS skali od 0-10 cm.</w:t>
      </w:r>
    </w:p>
    <w:p w14:paraId="502A33D8" w14:textId="77777777" w:rsidR="00596C07" w:rsidRPr="004500D8" w:rsidRDefault="00596C07" w:rsidP="00596C07">
      <w:pPr>
        <w:widowControl w:val="0"/>
        <w:autoSpaceDE w:val="0"/>
        <w:autoSpaceDN w:val="0"/>
        <w:adjustRightInd w:val="0"/>
        <w:jc w:val="both"/>
        <w:rPr>
          <w:sz w:val="22"/>
          <w:szCs w:val="22"/>
          <w:lang w:val="sr-Latn-ME"/>
        </w:rPr>
      </w:pPr>
    </w:p>
    <w:p w14:paraId="7E13CA3E" w14:textId="77777777" w:rsidR="00596C07" w:rsidRPr="004500D8" w:rsidRDefault="00596C07" w:rsidP="00596C07">
      <w:pPr>
        <w:widowControl w:val="0"/>
        <w:autoSpaceDE w:val="0"/>
        <w:autoSpaceDN w:val="0"/>
        <w:adjustRightInd w:val="0"/>
        <w:ind w:left="567" w:hanging="567"/>
        <w:jc w:val="both"/>
        <w:rPr>
          <w:i/>
          <w:sz w:val="22"/>
          <w:szCs w:val="22"/>
          <w:u w:val="single"/>
          <w:lang w:val="sr-Latn-ME"/>
        </w:rPr>
      </w:pPr>
      <w:r w:rsidRPr="004500D8">
        <w:rPr>
          <w:i/>
          <w:sz w:val="22"/>
          <w:szCs w:val="22"/>
          <w:u w:val="single"/>
          <w:lang w:val="sr-Latn-ME"/>
        </w:rPr>
        <w:t>ACR odgovor</w:t>
      </w:r>
    </w:p>
    <w:p w14:paraId="5842B87D" w14:textId="77777777" w:rsidR="00596C07" w:rsidRPr="004500D8" w:rsidRDefault="00596C07" w:rsidP="00596C07">
      <w:pPr>
        <w:widowControl w:val="0"/>
        <w:autoSpaceDE w:val="0"/>
        <w:autoSpaceDN w:val="0"/>
        <w:adjustRightInd w:val="0"/>
        <w:ind w:left="567" w:hanging="567"/>
        <w:jc w:val="both"/>
        <w:rPr>
          <w:sz w:val="22"/>
          <w:szCs w:val="22"/>
          <w:lang w:val="sr-Latn-ME"/>
        </w:rPr>
      </w:pPr>
    </w:p>
    <w:p w14:paraId="12AC78F1" w14:textId="108AE1E5"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Procenat pacijenata liječenih lijekom Humira kod kojih je postignut terapijski odgovor ACR 20, 50 i 70 bio je podjednak u RA ispitivanjima I, II i III. Rezultati zabilježeni u grupi koja je dobijala 40 mg svake dvije nedjelje prikazani su u Tabeli 5.</w:t>
      </w:r>
    </w:p>
    <w:p w14:paraId="3B08CB1C" w14:textId="77777777" w:rsidR="00CD4F09" w:rsidRPr="004500D8" w:rsidRDefault="00CD4F09" w:rsidP="00596C07">
      <w:pPr>
        <w:widowControl w:val="0"/>
        <w:autoSpaceDE w:val="0"/>
        <w:autoSpaceDN w:val="0"/>
        <w:adjustRightInd w:val="0"/>
        <w:jc w:val="both"/>
        <w:rPr>
          <w:sz w:val="22"/>
          <w:szCs w:val="22"/>
          <w:lang w:val="sr-Latn-ME"/>
        </w:rPr>
      </w:pPr>
    </w:p>
    <w:p w14:paraId="77263D8E" w14:textId="5566965D" w:rsidR="00596C07" w:rsidRPr="004500D8" w:rsidRDefault="00596C07" w:rsidP="003B242C">
      <w:pPr>
        <w:widowControl w:val="0"/>
        <w:autoSpaceDE w:val="0"/>
        <w:autoSpaceDN w:val="0"/>
        <w:adjustRightInd w:val="0"/>
        <w:ind w:left="567" w:hanging="567"/>
        <w:jc w:val="both"/>
        <w:rPr>
          <w:sz w:val="22"/>
          <w:szCs w:val="22"/>
          <w:lang w:val="sr-Latn-ME"/>
        </w:rPr>
      </w:pPr>
      <w:r w:rsidRPr="004500D8">
        <w:rPr>
          <w:b/>
          <w:bCs/>
          <w:sz w:val="22"/>
          <w:szCs w:val="22"/>
          <w:lang w:val="sr-Latn-ME"/>
        </w:rPr>
        <w:t>Tabela 5.</w:t>
      </w:r>
      <w:r w:rsidR="00A7113D" w:rsidRPr="004500D8">
        <w:rPr>
          <w:b/>
          <w:bCs/>
          <w:sz w:val="22"/>
          <w:szCs w:val="22"/>
          <w:lang w:val="sr-Latn-ME"/>
        </w:rPr>
        <w:t xml:space="preserve"> </w:t>
      </w:r>
      <w:r w:rsidRPr="004500D8">
        <w:rPr>
          <w:b/>
          <w:bCs/>
          <w:sz w:val="22"/>
          <w:szCs w:val="22"/>
          <w:lang w:val="sr-Latn-ME"/>
        </w:rPr>
        <w:t>ACR odgovori pacijenata u ispitivanjima kontrolisanim placebom</w:t>
      </w:r>
      <w:r w:rsidR="00A7113D" w:rsidRPr="004500D8">
        <w:rPr>
          <w:b/>
          <w:bCs/>
          <w:sz w:val="22"/>
          <w:szCs w:val="22"/>
          <w:lang w:val="sr-Latn-ME"/>
        </w:rPr>
        <w:t xml:space="preserve"> </w:t>
      </w:r>
      <w:r w:rsidRPr="004500D8">
        <w:rPr>
          <w:b/>
          <w:bCs/>
          <w:sz w:val="22"/>
          <w:szCs w:val="22"/>
          <w:lang w:val="sr-Latn-ME"/>
        </w:rPr>
        <w:t>(procenat pacijenata)</w:t>
      </w:r>
    </w:p>
    <w:tbl>
      <w:tblPr>
        <w:tblW w:w="0" w:type="auto"/>
        <w:jc w:val="center"/>
        <w:tblCellMar>
          <w:left w:w="0" w:type="dxa"/>
        </w:tblCellMar>
        <w:tblLook w:val="0000" w:firstRow="0" w:lastRow="0" w:firstColumn="0" w:lastColumn="0" w:noHBand="0" w:noVBand="0"/>
      </w:tblPr>
      <w:tblGrid>
        <w:gridCol w:w="1537"/>
        <w:gridCol w:w="2348"/>
        <w:gridCol w:w="2119"/>
        <w:gridCol w:w="2568"/>
      </w:tblGrid>
      <w:tr w:rsidR="00596C07" w:rsidRPr="004500D8" w14:paraId="04EBC50C" w14:textId="77777777" w:rsidTr="00596C07">
        <w:trPr>
          <w:trHeight w:val="324"/>
          <w:jc w:val="center"/>
        </w:trPr>
        <w:tc>
          <w:tcPr>
            <w:tcW w:w="1537" w:type="dxa"/>
            <w:vMerge w:val="restart"/>
            <w:tcBorders>
              <w:top w:val="single" w:sz="8" w:space="0" w:color="000000"/>
              <w:left w:val="single" w:sz="8" w:space="0" w:color="000000"/>
              <w:bottom w:val="single" w:sz="8" w:space="0" w:color="000000"/>
              <w:right w:val="single" w:sz="8" w:space="0" w:color="000000"/>
            </w:tcBorders>
          </w:tcPr>
          <w:p w14:paraId="11145D63"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b/>
                <w:bCs/>
                <w:sz w:val="22"/>
                <w:szCs w:val="22"/>
                <w:lang w:val="sr-Latn-ME"/>
              </w:rPr>
              <w:t xml:space="preserve">Odgovor </w:t>
            </w:r>
          </w:p>
        </w:tc>
        <w:tc>
          <w:tcPr>
            <w:tcW w:w="2348" w:type="dxa"/>
            <w:tcBorders>
              <w:top w:val="single" w:sz="8" w:space="0" w:color="000000"/>
              <w:left w:val="single" w:sz="8" w:space="0" w:color="000000"/>
              <w:bottom w:val="single" w:sz="8" w:space="0" w:color="000000"/>
              <w:right w:val="single" w:sz="8" w:space="0" w:color="000000"/>
            </w:tcBorders>
          </w:tcPr>
          <w:p w14:paraId="554F488D"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b/>
                <w:bCs/>
                <w:sz w:val="22"/>
                <w:szCs w:val="22"/>
                <w:lang w:val="sr-Latn-ME"/>
              </w:rPr>
              <w:t>RA ispitivanje I</w:t>
            </w:r>
            <w:r w:rsidRPr="004500D8">
              <w:rPr>
                <w:b/>
                <w:bCs/>
                <w:position w:val="8"/>
                <w:sz w:val="22"/>
                <w:szCs w:val="22"/>
                <w:vertAlign w:val="superscript"/>
                <w:lang w:val="sr-Latn-ME"/>
              </w:rPr>
              <w:t>a</w:t>
            </w:r>
            <w:r w:rsidRPr="004500D8">
              <w:rPr>
                <w:b/>
                <w:bCs/>
                <w:sz w:val="22"/>
                <w:szCs w:val="22"/>
                <w:lang w:val="sr-Latn-ME"/>
              </w:rPr>
              <w:t>**</w:t>
            </w:r>
          </w:p>
        </w:tc>
        <w:tc>
          <w:tcPr>
            <w:tcW w:w="2119" w:type="dxa"/>
            <w:tcBorders>
              <w:top w:val="single" w:sz="8" w:space="0" w:color="000000"/>
              <w:left w:val="single" w:sz="8" w:space="0" w:color="000000"/>
              <w:bottom w:val="single" w:sz="8" w:space="0" w:color="000000"/>
              <w:right w:val="single" w:sz="8" w:space="0" w:color="000000"/>
            </w:tcBorders>
          </w:tcPr>
          <w:p w14:paraId="5D9F1BCB"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b/>
                <w:bCs/>
                <w:sz w:val="22"/>
                <w:szCs w:val="22"/>
                <w:lang w:val="sr-Latn-ME"/>
              </w:rPr>
              <w:t>RA ispitivanje II</w:t>
            </w:r>
            <w:r w:rsidRPr="004500D8">
              <w:rPr>
                <w:b/>
                <w:bCs/>
                <w:position w:val="8"/>
                <w:sz w:val="22"/>
                <w:szCs w:val="22"/>
                <w:vertAlign w:val="superscript"/>
                <w:lang w:val="sr-Latn-ME"/>
              </w:rPr>
              <w:t>a</w:t>
            </w:r>
            <w:r w:rsidRPr="004500D8">
              <w:rPr>
                <w:b/>
                <w:bCs/>
                <w:sz w:val="22"/>
                <w:szCs w:val="22"/>
                <w:lang w:val="sr-Latn-ME"/>
              </w:rPr>
              <w:t>**</w:t>
            </w:r>
          </w:p>
        </w:tc>
        <w:tc>
          <w:tcPr>
            <w:tcW w:w="2568" w:type="dxa"/>
            <w:tcBorders>
              <w:top w:val="single" w:sz="8" w:space="0" w:color="000000"/>
              <w:left w:val="single" w:sz="8" w:space="0" w:color="000000"/>
              <w:bottom w:val="single" w:sz="8" w:space="0" w:color="000000"/>
              <w:right w:val="single" w:sz="8" w:space="0" w:color="000000"/>
            </w:tcBorders>
          </w:tcPr>
          <w:p w14:paraId="3BFA1B08"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b/>
                <w:bCs/>
                <w:sz w:val="22"/>
                <w:szCs w:val="22"/>
                <w:lang w:val="sr-Latn-ME"/>
              </w:rPr>
              <w:t>RA ispitivanje III</w:t>
            </w:r>
            <w:r w:rsidRPr="004500D8">
              <w:rPr>
                <w:b/>
                <w:bCs/>
                <w:position w:val="8"/>
                <w:sz w:val="22"/>
                <w:szCs w:val="22"/>
                <w:vertAlign w:val="superscript"/>
                <w:lang w:val="sr-Latn-ME"/>
              </w:rPr>
              <w:t>a</w:t>
            </w:r>
            <w:r w:rsidRPr="004500D8">
              <w:rPr>
                <w:b/>
                <w:bCs/>
                <w:sz w:val="22"/>
                <w:szCs w:val="22"/>
                <w:lang w:val="sr-Latn-ME"/>
              </w:rPr>
              <w:t>**</w:t>
            </w:r>
          </w:p>
        </w:tc>
      </w:tr>
      <w:tr w:rsidR="00596C07" w:rsidRPr="004500D8" w14:paraId="5AAD2078" w14:textId="77777777" w:rsidTr="00596C07">
        <w:trPr>
          <w:trHeight w:val="819"/>
          <w:jc w:val="center"/>
        </w:trPr>
        <w:tc>
          <w:tcPr>
            <w:tcW w:w="1537" w:type="dxa"/>
            <w:vMerge/>
            <w:tcBorders>
              <w:top w:val="single" w:sz="8" w:space="0" w:color="000000"/>
              <w:left w:val="single" w:sz="8" w:space="0" w:color="000000"/>
              <w:bottom w:val="single" w:sz="8" w:space="0" w:color="000000"/>
              <w:right w:val="single" w:sz="8" w:space="0" w:color="000000"/>
            </w:tcBorders>
          </w:tcPr>
          <w:p w14:paraId="63F3073E" w14:textId="77777777" w:rsidR="00596C07" w:rsidRPr="004500D8" w:rsidRDefault="00596C07" w:rsidP="00596C07">
            <w:pPr>
              <w:widowControl w:val="0"/>
              <w:autoSpaceDE w:val="0"/>
              <w:autoSpaceDN w:val="0"/>
              <w:adjustRightInd w:val="0"/>
              <w:ind w:left="567" w:hanging="567"/>
              <w:rPr>
                <w:sz w:val="22"/>
                <w:szCs w:val="22"/>
                <w:lang w:val="sr-Latn-ME"/>
              </w:rPr>
            </w:pPr>
          </w:p>
        </w:tc>
        <w:tc>
          <w:tcPr>
            <w:tcW w:w="2348" w:type="dxa"/>
            <w:tcBorders>
              <w:top w:val="single" w:sz="8" w:space="0" w:color="000000"/>
              <w:left w:val="single" w:sz="8" w:space="0" w:color="000000"/>
              <w:bottom w:val="single" w:sz="8" w:space="0" w:color="000000"/>
              <w:right w:val="single" w:sz="8" w:space="0" w:color="000000"/>
            </w:tcBorders>
          </w:tcPr>
          <w:p w14:paraId="7D69C3F7"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Placebo/    Humira</w:t>
            </w:r>
            <w:r w:rsidRPr="004500D8">
              <w:rPr>
                <w:position w:val="8"/>
                <w:sz w:val="22"/>
                <w:szCs w:val="22"/>
                <w:vertAlign w:val="superscript"/>
                <w:lang w:val="sr-Latn-ME"/>
              </w:rPr>
              <w:t>b</w:t>
            </w:r>
            <w:r w:rsidRPr="004500D8">
              <w:rPr>
                <w:sz w:val="22"/>
                <w:szCs w:val="22"/>
                <w:lang w:val="sr-Latn-ME"/>
              </w:rPr>
              <w:t>/</w:t>
            </w:r>
          </w:p>
          <w:p w14:paraId="5D8FD0E4"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MTX</w:t>
            </w:r>
            <w:r w:rsidRPr="004500D8">
              <w:rPr>
                <w:position w:val="8"/>
                <w:sz w:val="22"/>
                <w:szCs w:val="22"/>
                <w:vertAlign w:val="superscript"/>
                <w:lang w:val="sr-Latn-ME"/>
              </w:rPr>
              <w:t>c</w:t>
            </w:r>
            <w:r w:rsidRPr="004500D8">
              <w:rPr>
                <w:sz w:val="22"/>
                <w:szCs w:val="22"/>
                <w:lang w:val="sr-Latn-ME"/>
              </w:rPr>
              <w:t xml:space="preserve">         MTX</w:t>
            </w:r>
            <w:r w:rsidRPr="004500D8">
              <w:rPr>
                <w:position w:val="8"/>
                <w:sz w:val="22"/>
                <w:szCs w:val="22"/>
                <w:vertAlign w:val="superscript"/>
                <w:lang w:val="sr-Latn-ME"/>
              </w:rPr>
              <w:t>c</w:t>
            </w:r>
          </w:p>
          <w:p w14:paraId="714DA5E6"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n=60          n=63 </w:t>
            </w:r>
          </w:p>
        </w:tc>
        <w:tc>
          <w:tcPr>
            <w:tcW w:w="2119" w:type="dxa"/>
            <w:tcBorders>
              <w:top w:val="single" w:sz="8" w:space="0" w:color="000000"/>
              <w:left w:val="single" w:sz="8" w:space="0" w:color="000000"/>
              <w:bottom w:val="single" w:sz="8" w:space="0" w:color="000000"/>
              <w:right w:val="single" w:sz="8" w:space="0" w:color="000000"/>
            </w:tcBorders>
          </w:tcPr>
          <w:p w14:paraId="4AE2580C"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Placebo   Humira</w:t>
            </w:r>
            <w:r w:rsidRPr="004500D8">
              <w:rPr>
                <w:position w:val="8"/>
                <w:sz w:val="22"/>
                <w:szCs w:val="22"/>
                <w:vertAlign w:val="superscript"/>
                <w:lang w:val="sr-Latn-ME"/>
              </w:rPr>
              <w:t>b</w:t>
            </w:r>
          </w:p>
          <w:p w14:paraId="6858A8FC"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n=110      n=113 </w:t>
            </w:r>
          </w:p>
        </w:tc>
        <w:tc>
          <w:tcPr>
            <w:tcW w:w="2568" w:type="dxa"/>
            <w:tcBorders>
              <w:top w:val="single" w:sz="8" w:space="0" w:color="000000"/>
              <w:left w:val="single" w:sz="8" w:space="0" w:color="000000"/>
              <w:bottom w:val="single" w:sz="8" w:space="0" w:color="000000"/>
              <w:right w:val="single" w:sz="8" w:space="0" w:color="000000"/>
            </w:tcBorders>
          </w:tcPr>
          <w:p w14:paraId="2C57C994"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Placebo/      Humira</w:t>
            </w:r>
            <w:r w:rsidRPr="004500D8">
              <w:rPr>
                <w:position w:val="8"/>
                <w:sz w:val="22"/>
                <w:szCs w:val="22"/>
                <w:vertAlign w:val="superscript"/>
                <w:lang w:val="sr-Latn-ME"/>
              </w:rPr>
              <w:t>b</w:t>
            </w:r>
            <w:r w:rsidRPr="004500D8">
              <w:rPr>
                <w:sz w:val="22"/>
                <w:szCs w:val="22"/>
                <w:lang w:val="sr-Latn-ME"/>
              </w:rPr>
              <w:t xml:space="preserve">/ </w:t>
            </w:r>
          </w:p>
          <w:p w14:paraId="3EDCFA2C"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MTX</w:t>
            </w:r>
            <w:r w:rsidRPr="004500D8">
              <w:rPr>
                <w:position w:val="8"/>
                <w:sz w:val="22"/>
                <w:szCs w:val="22"/>
                <w:vertAlign w:val="superscript"/>
                <w:lang w:val="sr-Latn-ME"/>
              </w:rPr>
              <w:t>c</w:t>
            </w:r>
            <w:r w:rsidRPr="004500D8">
              <w:rPr>
                <w:sz w:val="22"/>
                <w:szCs w:val="22"/>
                <w:lang w:val="sr-Latn-ME"/>
              </w:rPr>
              <w:t xml:space="preserve">            MTX</w:t>
            </w:r>
            <w:r w:rsidRPr="004500D8">
              <w:rPr>
                <w:position w:val="8"/>
                <w:sz w:val="22"/>
                <w:szCs w:val="22"/>
                <w:vertAlign w:val="superscript"/>
                <w:lang w:val="sr-Latn-ME"/>
              </w:rPr>
              <w:t>c</w:t>
            </w:r>
          </w:p>
          <w:p w14:paraId="3E7647CC"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n=200          n=207 </w:t>
            </w:r>
          </w:p>
        </w:tc>
      </w:tr>
      <w:tr w:rsidR="00596C07" w:rsidRPr="004500D8" w14:paraId="239F3AF5" w14:textId="77777777" w:rsidTr="00596C07">
        <w:trPr>
          <w:trHeight w:val="2822"/>
          <w:jc w:val="center"/>
        </w:trPr>
        <w:tc>
          <w:tcPr>
            <w:tcW w:w="1537" w:type="dxa"/>
            <w:tcBorders>
              <w:top w:val="single" w:sz="8" w:space="0" w:color="000000"/>
              <w:left w:val="single" w:sz="8" w:space="0" w:color="000000"/>
              <w:bottom w:val="single" w:sz="8" w:space="0" w:color="000000"/>
              <w:right w:val="single" w:sz="8" w:space="0" w:color="000000"/>
            </w:tcBorders>
          </w:tcPr>
          <w:p w14:paraId="3EC380BF"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ACR 20</w:t>
            </w:r>
          </w:p>
          <w:p w14:paraId="6D2F0177"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6 mjeseci</w:t>
            </w:r>
          </w:p>
          <w:p w14:paraId="3F582984"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12 mjeseci</w:t>
            </w:r>
          </w:p>
          <w:p w14:paraId="343D8D63"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p w14:paraId="3865E00A"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ACR 50</w:t>
            </w:r>
          </w:p>
          <w:p w14:paraId="3750A7A4"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6 mjeseci</w:t>
            </w:r>
          </w:p>
          <w:p w14:paraId="2C3C0769"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12 mjeseci</w:t>
            </w:r>
          </w:p>
          <w:p w14:paraId="15F50FE7"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p w14:paraId="756FD2B4"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ACR 70</w:t>
            </w:r>
          </w:p>
          <w:p w14:paraId="5DF32FA9"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6 mjeseci</w:t>
            </w:r>
          </w:p>
          <w:p w14:paraId="5578525D"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12 mjeseci</w:t>
            </w:r>
          </w:p>
        </w:tc>
        <w:tc>
          <w:tcPr>
            <w:tcW w:w="2348" w:type="dxa"/>
            <w:tcBorders>
              <w:top w:val="single" w:sz="8" w:space="0" w:color="000000"/>
              <w:left w:val="single" w:sz="8" w:space="0" w:color="000000"/>
              <w:bottom w:val="single" w:sz="8" w:space="0" w:color="000000"/>
              <w:right w:val="single" w:sz="8" w:space="0" w:color="000000"/>
            </w:tcBorders>
          </w:tcPr>
          <w:p w14:paraId="03FCB02D"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p w14:paraId="0FFF6187"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13,3 %      65,1 % </w:t>
            </w:r>
          </w:p>
          <w:p w14:paraId="534D2DD7"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NA             NA </w:t>
            </w:r>
          </w:p>
          <w:p w14:paraId="52E47AFA"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p w14:paraId="224EBBEA"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p w14:paraId="418BB37C"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6,7 %        52,4 % </w:t>
            </w:r>
          </w:p>
          <w:p w14:paraId="27716DB8"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NA            NA </w:t>
            </w:r>
          </w:p>
          <w:p w14:paraId="458B053C"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p w14:paraId="01549D07"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p w14:paraId="2618BAEF"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3,3 %       23,8 % </w:t>
            </w:r>
          </w:p>
          <w:p w14:paraId="1DC82ECE"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NA            NA </w:t>
            </w:r>
          </w:p>
        </w:tc>
        <w:tc>
          <w:tcPr>
            <w:tcW w:w="2119" w:type="dxa"/>
            <w:tcBorders>
              <w:top w:val="single" w:sz="8" w:space="0" w:color="000000"/>
              <w:left w:val="single" w:sz="8" w:space="0" w:color="000000"/>
              <w:bottom w:val="single" w:sz="8" w:space="0" w:color="000000"/>
              <w:right w:val="single" w:sz="8" w:space="0" w:color="000000"/>
            </w:tcBorders>
          </w:tcPr>
          <w:p w14:paraId="23B85ADC"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p w14:paraId="728266B9"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19,1 %      46,0 % </w:t>
            </w:r>
          </w:p>
          <w:p w14:paraId="0FABC3A1"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NA            NA </w:t>
            </w:r>
          </w:p>
          <w:p w14:paraId="4B7CAF76"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p w14:paraId="09640FA5"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p w14:paraId="5EB8F53F"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8,2 %        22,1 % </w:t>
            </w:r>
          </w:p>
          <w:p w14:paraId="78A55696"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NA            NA </w:t>
            </w:r>
          </w:p>
          <w:p w14:paraId="79F7BD7D"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p w14:paraId="302D4E23"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p w14:paraId="551B5394"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1,8 %       12,4 % </w:t>
            </w:r>
          </w:p>
          <w:p w14:paraId="14623DD1"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NA            NA </w:t>
            </w:r>
          </w:p>
        </w:tc>
        <w:tc>
          <w:tcPr>
            <w:tcW w:w="2568" w:type="dxa"/>
            <w:tcBorders>
              <w:top w:val="single" w:sz="8" w:space="0" w:color="000000"/>
              <w:left w:val="single" w:sz="8" w:space="0" w:color="000000"/>
              <w:bottom w:val="single" w:sz="8" w:space="0" w:color="000000"/>
              <w:right w:val="single" w:sz="8" w:space="0" w:color="000000"/>
            </w:tcBorders>
          </w:tcPr>
          <w:p w14:paraId="17EA47BB"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p w14:paraId="11CE8B61"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29,5 %         63,3 % </w:t>
            </w:r>
          </w:p>
          <w:p w14:paraId="3BC5D5CA"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24,0 %         58,9 % </w:t>
            </w:r>
          </w:p>
          <w:p w14:paraId="2FA78026"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p w14:paraId="47EBFC82"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p w14:paraId="4342E4BD"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9,5 %           39,1 % </w:t>
            </w:r>
          </w:p>
          <w:p w14:paraId="784DF482"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9,5 %           41,5 % </w:t>
            </w:r>
          </w:p>
          <w:p w14:paraId="61AA14DD"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p w14:paraId="54EF4304"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p w14:paraId="79EADD65"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2,5 %          20,8 % </w:t>
            </w:r>
          </w:p>
          <w:p w14:paraId="423C6FF1"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4,5 %          23,2 % </w:t>
            </w:r>
          </w:p>
        </w:tc>
      </w:tr>
    </w:tbl>
    <w:p w14:paraId="2EA58AA4" w14:textId="77777777" w:rsidR="00596C07" w:rsidRPr="004500D8" w:rsidRDefault="00596C07" w:rsidP="00596C07">
      <w:pPr>
        <w:widowControl w:val="0"/>
        <w:autoSpaceDE w:val="0"/>
        <w:autoSpaceDN w:val="0"/>
        <w:adjustRightInd w:val="0"/>
        <w:jc w:val="both"/>
        <w:rPr>
          <w:sz w:val="22"/>
          <w:szCs w:val="22"/>
          <w:lang w:val="sr-Latn-ME"/>
        </w:rPr>
      </w:pPr>
      <w:r w:rsidRPr="004500D8">
        <w:rPr>
          <w:position w:val="8"/>
          <w:sz w:val="22"/>
          <w:szCs w:val="22"/>
          <w:vertAlign w:val="superscript"/>
          <w:lang w:val="sr-Latn-ME"/>
        </w:rPr>
        <w:t>a</w:t>
      </w:r>
      <w:r w:rsidRPr="004500D8">
        <w:rPr>
          <w:sz w:val="22"/>
          <w:szCs w:val="22"/>
          <w:lang w:val="sr-Latn-ME"/>
        </w:rPr>
        <w:t>RA ispitivanje I nakon 24 nedjelje, RA ispitivanje II nakon 26 nedjelja, RA ispitivanje III nakon 24 nedjelje i nakon 52 nedjelje</w:t>
      </w:r>
    </w:p>
    <w:p w14:paraId="1FC493EA" w14:textId="77777777" w:rsidR="00596C07" w:rsidRPr="004500D8" w:rsidRDefault="00596C07" w:rsidP="00596C07">
      <w:pPr>
        <w:widowControl w:val="0"/>
        <w:autoSpaceDE w:val="0"/>
        <w:autoSpaceDN w:val="0"/>
        <w:adjustRightInd w:val="0"/>
        <w:ind w:left="567" w:hanging="567"/>
        <w:jc w:val="both"/>
        <w:rPr>
          <w:sz w:val="22"/>
          <w:szCs w:val="22"/>
          <w:lang w:val="sr-Latn-ME"/>
        </w:rPr>
      </w:pPr>
      <w:r w:rsidRPr="004500D8">
        <w:rPr>
          <w:position w:val="8"/>
          <w:sz w:val="22"/>
          <w:szCs w:val="22"/>
          <w:vertAlign w:val="superscript"/>
          <w:lang w:val="sr-Latn-ME"/>
        </w:rPr>
        <w:t>b</w:t>
      </w:r>
      <w:r w:rsidRPr="004500D8">
        <w:rPr>
          <w:sz w:val="22"/>
          <w:szCs w:val="22"/>
          <w:lang w:val="sr-Latn-ME"/>
        </w:rPr>
        <w:t>40 mg lijeka Humira primijenjenog svake druge nedjelje</w:t>
      </w:r>
    </w:p>
    <w:p w14:paraId="536B45C8" w14:textId="77777777" w:rsidR="00596C07" w:rsidRPr="004500D8" w:rsidRDefault="00596C07" w:rsidP="00596C07">
      <w:pPr>
        <w:widowControl w:val="0"/>
        <w:autoSpaceDE w:val="0"/>
        <w:autoSpaceDN w:val="0"/>
        <w:adjustRightInd w:val="0"/>
        <w:ind w:left="567" w:hanging="567"/>
        <w:jc w:val="both"/>
        <w:rPr>
          <w:sz w:val="22"/>
          <w:szCs w:val="22"/>
          <w:lang w:val="sr-Latn-ME"/>
        </w:rPr>
      </w:pPr>
      <w:r w:rsidRPr="004500D8">
        <w:rPr>
          <w:position w:val="8"/>
          <w:sz w:val="22"/>
          <w:szCs w:val="22"/>
          <w:vertAlign w:val="superscript"/>
          <w:lang w:val="sr-Latn-ME"/>
        </w:rPr>
        <w:t>c</w:t>
      </w:r>
      <w:r w:rsidRPr="004500D8">
        <w:rPr>
          <w:sz w:val="22"/>
          <w:szCs w:val="22"/>
          <w:lang w:val="sr-Latn-ME"/>
        </w:rPr>
        <w:t>MTX = metotreksat</w:t>
      </w:r>
    </w:p>
    <w:p w14:paraId="5560F853" w14:textId="77777777" w:rsidR="00596C07" w:rsidRPr="004500D8" w:rsidRDefault="00596C07" w:rsidP="00596C07">
      <w:pPr>
        <w:widowControl w:val="0"/>
        <w:autoSpaceDE w:val="0"/>
        <w:autoSpaceDN w:val="0"/>
        <w:adjustRightInd w:val="0"/>
        <w:ind w:left="567" w:hanging="567"/>
        <w:jc w:val="both"/>
        <w:rPr>
          <w:sz w:val="22"/>
          <w:szCs w:val="22"/>
          <w:lang w:val="sr-Latn-ME"/>
        </w:rPr>
      </w:pPr>
      <w:r w:rsidRPr="004500D8">
        <w:rPr>
          <w:sz w:val="22"/>
          <w:szCs w:val="22"/>
          <w:lang w:val="sr-Latn-ME"/>
        </w:rPr>
        <w:t>**p&lt;0,01, lijek Humira u poređenju sa placebom</w:t>
      </w:r>
    </w:p>
    <w:p w14:paraId="04236CDC" w14:textId="77777777" w:rsidR="00596C07" w:rsidRPr="004500D8" w:rsidRDefault="00596C07" w:rsidP="00596C07">
      <w:pPr>
        <w:widowControl w:val="0"/>
        <w:autoSpaceDE w:val="0"/>
        <w:autoSpaceDN w:val="0"/>
        <w:adjustRightInd w:val="0"/>
        <w:ind w:left="567" w:hanging="567"/>
        <w:jc w:val="both"/>
        <w:rPr>
          <w:sz w:val="22"/>
          <w:szCs w:val="22"/>
          <w:lang w:val="sr-Latn-ME"/>
        </w:rPr>
      </w:pPr>
    </w:p>
    <w:p w14:paraId="5E13EC31"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U RA ispitivanjima I – IV, sve pojedinačne komponente kriterijuma ACR odgovora (broj bolnih i otečenih zglobova, ljekarska i pacijentova ocjena aktivnosti bolesti i bola, indeks funkcionalne nesposobnosti (HAQ) i nivoa CRP-a (mg/dl)) pokazale su poboljšanje nakon 24 ili 26 nedjelja u odnosu na placebo. U RA ispitivanju III to se poboljšanje održalo 52 nedjelje. </w:t>
      </w:r>
    </w:p>
    <w:p w14:paraId="3D58FD73" w14:textId="77777777" w:rsidR="00596C07" w:rsidRPr="004500D8" w:rsidRDefault="00596C07" w:rsidP="00596C07">
      <w:pPr>
        <w:widowControl w:val="0"/>
        <w:autoSpaceDE w:val="0"/>
        <w:autoSpaceDN w:val="0"/>
        <w:adjustRightInd w:val="0"/>
        <w:jc w:val="both"/>
        <w:rPr>
          <w:sz w:val="22"/>
          <w:szCs w:val="22"/>
          <w:lang w:val="sr-Latn-ME"/>
        </w:rPr>
      </w:pPr>
    </w:p>
    <w:p w14:paraId="1A0002F7" w14:textId="667EB0CB"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Kod većine pacijenata postignuti ACR odgovor je zadržan u produženoj otvorenoj fazi RA III kada su praćeni do 10 godina.</w:t>
      </w:r>
      <w:r w:rsidR="00A7113D" w:rsidRPr="004500D8">
        <w:rPr>
          <w:sz w:val="22"/>
          <w:szCs w:val="22"/>
          <w:lang w:val="sr-Latn-ME"/>
        </w:rPr>
        <w:t xml:space="preserve"> </w:t>
      </w:r>
      <w:r w:rsidRPr="004500D8">
        <w:rPr>
          <w:sz w:val="22"/>
          <w:szCs w:val="22"/>
          <w:lang w:val="sr-Latn-ME"/>
        </w:rPr>
        <w:t>Od ukupno 207 pacijenata koji su bili randomizovani i bili na terapiji lijekom Humira 40 mg svake druge nedjelje, nastavilo je 114 pacijenata tokom 5 godina. Među njima je 86 (75,4%) odnosno 72 (63,2%) odnosno 41 (36%) pacijenata imalo odgovor ACR 20, ACR 50, odnosno ACR 70. Kroz 10 godina terapije lijekom Humira 40 mg svake druge nedjelje nastavilo je 81 od 207 pacijenata. Među njima je njih 64 (79%), odnosno 56 (69,1%), odnosno 43 (53,1%) imalo odgovor ACR 20, ACR 50, odnosno ACR 70.</w:t>
      </w:r>
    </w:p>
    <w:p w14:paraId="0D7E7D93" w14:textId="77777777" w:rsidR="00596C07" w:rsidRPr="004500D8" w:rsidRDefault="00596C07" w:rsidP="00596C07">
      <w:pPr>
        <w:widowControl w:val="0"/>
        <w:autoSpaceDE w:val="0"/>
        <w:autoSpaceDN w:val="0"/>
        <w:adjustRightInd w:val="0"/>
        <w:jc w:val="both"/>
        <w:rPr>
          <w:sz w:val="22"/>
          <w:szCs w:val="22"/>
          <w:lang w:val="sr-Latn-ME"/>
        </w:rPr>
      </w:pPr>
    </w:p>
    <w:p w14:paraId="48A41A96"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 RA ispitivanju IV, odgovor ACR 20 pacijenata liječenih lijekom Humira uz standardnu njegu bio je statistički značajno bolji nego kod pacijenata liječenih placebom uz standardnu njegu (p&lt;0,001).</w:t>
      </w:r>
    </w:p>
    <w:p w14:paraId="5A9CD072"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 RA ispitivanjima I – IV, pacijenti liječeni lijekom Humira postigli su statistički značajno bolje odgovore ACR 20 i 50 u poređenju sa placebom već jednu do dvije nedjelje nakon početka liječenja.</w:t>
      </w:r>
    </w:p>
    <w:p w14:paraId="4CF58B17" w14:textId="77777777" w:rsidR="00596C07" w:rsidRPr="004500D8" w:rsidRDefault="00596C07" w:rsidP="00596C07">
      <w:pPr>
        <w:widowControl w:val="0"/>
        <w:autoSpaceDE w:val="0"/>
        <w:autoSpaceDN w:val="0"/>
        <w:adjustRightInd w:val="0"/>
        <w:jc w:val="both"/>
        <w:rPr>
          <w:sz w:val="22"/>
          <w:szCs w:val="22"/>
          <w:lang w:val="sr-Latn-ME"/>
        </w:rPr>
      </w:pPr>
    </w:p>
    <w:p w14:paraId="02E5DDDB" w14:textId="77777777" w:rsidR="00596C07" w:rsidRPr="004500D8" w:rsidRDefault="00596C07" w:rsidP="00596C07">
      <w:pPr>
        <w:widowControl w:val="0"/>
        <w:autoSpaceDE w:val="0"/>
        <w:autoSpaceDN w:val="0"/>
        <w:adjustRightInd w:val="0"/>
        <w:jc w:val="both"/>
        <w:rPr>
          <w:b/>
          <w:bCs/>
          <w:sz w:val="22"/>
          <w:szCs w:val="22"/>
          <w:lang w:val="sr-Latn-ME"/>
        </w:rPr>
      </w:pPr>
      <w:r w:rsidRPr="004500D8">
        <w:rPr>
          <w:sz w:val="22"/>
          <w:szCs w:val="22"/>
          <w:lang w:val="sr-Latn-ME"/>
        </w:rPr>
        <w:t>U RA ispitivanju V kojim su obuhvaćeni pacijenti u ranoj fazi reumatoidnog artritisa koji do tada nisu bili liječeni metotreksatom, kombinovanom primjenom lijeka Humira i metotreksata tokom 52 nedjelje postignut je brži i statistički značajno bolji ACR odgovor nego uz monoterapiju metotreksatom, odnosno lijekom Humira. Postignuti ACR odgovor nije se mijenjao tokom 104 nedjelje liječenja (Tabela 6).</w:t>
      </w:r>
    </w:p>
    <w:p w14:paraId="35B964BF" w14:textId="5925A94F" w:rsidR="00A7113D" w:rsidRPr="004500D8" w:rsidRDefault="00A7113D" w:rsidP="003B242C">
      <w:pPr>
        <w:widowControl w:val="0"/>
        <w:autoSpaceDE w:val="0"/>
        <w:autoSpaceDN w:val="0"/>
        <w:adjustRightInd w:val="0"/>
        <w:jc w:val="center"/>
        <w:rPr>
          <w:b/>
          <w:bCs/>
          <w:sz w:val="22"/>
          <w:szCs w:val="22"/>
          <w:lang w:val="sr-Latn-ME"/>
        </w:rPr>
      </w:pPr>
    </w:p>
    <w:p w14:paraId="11BCE51C" w14:textId="77777777" w:rsidR="008A0AAA" w:rsidRPr="004500D8" w:rsidRDefault="008A0AAA" w:rsidP="003B242C">
      <w:pPr>
        <w:widowControl w:val="0"/>
        <w:autoSpaceDE w:val="0"/>
        <w:autoSpaceDN w:val="0"/>
        <w:adjustRightInd w:val="0"/>
        <w:jc w:val="center"/>
        <w:rPr>
          <w:b/>
          <w:bCs/>
          <w:sz w:val="22"/>
          <w:szCs w:val="22"/>
          <w:lang w:val="sr-Latn-ME"/>
        </w:rPr>
      </w:pPr>
    </w:p>
    <w:p w14:paraId="44427487" w14:textId="77777777" w:rsidR="008A0AAA" w:rsidRPr="004500D8" w:rsidRDefault="008A0AAA" w:rsidP="003B242C">
      <w:pPr>
        <w:widowControl w:val="0"/>
        <w:autoSpaceDE w:val="0"/>
        <w:autoSpaceDN w:val="0"/>
        <w:adjustRightInd w:val="0"/>
        <w:jc w:val="center"/>
        <w:rPr>
          <w:b/>
          <w:bCs/>
          <w:sz w:val="22"/>
          <w:szCs w:val="22"/>
          <w:lang w:val="sr-Latn-ME"/>
        </w:rPr>
      </w:pPr>
    </w:p>
    <w:p w14:paraId="3E04420D" w14:textId="77777777" w:rsidR="008A0AAA" w:rsidRPr="004500D8" w:rsidRDefault="008A0AAA" w:rsidP="003B242C">
      <w:pPr>
        <w:widowControl w:val="0"/>
        <w:autoSpaceDE w:val="0"/>
        <w:autoSpaceDN w:val="0"/>
        <w:adjustRightInd w:val="0"/>
        <w:jc w:val="center"/>
        <w:rPr>
          <w:b/>
          <w:bCs/>
          <w:sz w:val="22"/>
          <w:szCs w:val="22"/>
          <w:lang w:val="sr-Latn-ME"/>
        </w:rPr>
      </w:pPr>
    </w:p>
    <w:p w14:paraId="013DF453" w14:textId="77777777" w:rsidR="008A0AAA" w:rsidRPr="004500D8" w:rsidRDefault="008A0AAA" w:rsidP="003B242C">
      <w:pPr>
        <w:widowControl w:val="0"/>
        <w:autoSpaceDE w:val="0"/>
        <w:autoSpaceDN w:val="0"/>
        <w:adjustRightInd w:val="0"/>
        <w:jc w:val="center"/>
        <w:rPr>
          <w:b/>
          <w:bCs/>
          <w:sz w:val="22"/>
          <w:szCs w:val="22"/>
          <w:lang w:val="sr-Latn-ME"/>
        </w:rPr>
      </w:pPr>
    </w:p>
    <w:p w14:paraId="3A3C4564" w14:textId="77777777" w:rsidR="008A0AAA" w:rsidRPr="004500D8" w:rsidRDefault="008A0AAA" w:rsidP="003B242C">
      <w:pPr>
        <w:widowControl w:val="0"/>
        <w:autoSpaceDE w:val="0"/>
        <w:autoSpaceDN w:val="0"/>
        <w:adjustRightInd w:val="0"/>
        <w:jc w:val="center"/>
        <w:rPr>
          <w:b/>
          <w:bCs/>
          <w:sz w:val="22"/>
          <w:szCs w:val="22"/>
          <w:lang w:val="sr-Latn-ME"/>
        </w:rPr>
      </w:pPr>
    </w:p>
    <w:p w14:paraId="2B255C6A" w14:textId="77777777" w:rsidR="008A0AAA" w:rsidRPr="004500D8" w:rsidRDefault="008A0AAA" w:rsidP="003B242C">
      <w:pPr>
        <w:widowControl w:val="0"/>
        <w:autoSpaceDE w:val="0"/>
        <w:autoSpaceDN w:val="0"/>
        <w:adjustRightInd w:val="0"/>
        <w:jc w:val="center"/>
        <w:rPr>
          <w:b/>
          <w:bCs/>
          <w:sz w:val="22"/>
          <w:szCs w:val="22"/>
          <w:lang w:val="sr-Latn-ME"/>
        </w:rPr>
      </w:pPr>
    </w:p>
    <w:p w14:paraId="6C4240AB" w14:textId="77777777" w:rsidR="008A0AAA" w:rsidRPr="004500D8" w:rsidRDefault="008A0AAA" w:rsidP="003B242C">
      <w:pPr>
        <w:widowControl w:val="0"/>
        <w:autoSpaceDE w:val="0"/>
        <w:autoSpaceDN w:val="0"/>
        <w:adjustRightInd w:val="0"/>
        <w:jc w:val="center"/>
        <w:rPr>
          <w:b/>
          <w:bCs/>
          <w:sz w:val="22"/>
          <w:szCs w:val="22"/>
          <w:lang w:val="sr-Latn-ME"/>
        </w:rPr>
      </w:pPr>
    </w:p>
    <w:p w14:paraId="72D95D11" w14:textId="233608D5" w:rsidR="00596C07" w:rsidRPr="004500D8" w:rsidRDefault="00596C07" w:rsidP="003B242C">
      <w:pPr>
        <w:widowControl w:val="0"/>
        <w:autoSpaceDE w:val="0"/>
        <w:autoSpaceDN w:val="0"/>
        <w:adjustRightInd w:val="0"/>
        <w:jc w:val="center"/>
        <w:rPr>
          <w:sz w:val="22"/>
          <w:szCs w:val="22"/>
          <w:lang w:val="sr-Latn-ME"/>
        </w:rPr>
      </w:pPr>
      <w:r w:rsidRPr="004500D8">
        <w:rPr>
          <w:b/>
          <w:bCs/>
          <w:sz w:val="22"/>
          <w:szCs w:val="22"/>
          <w:lang w:val="sr-Latn-ME"/>
        </w:rPr>
        <w:t>Tabela 6.</w:t>
      </w:r>
      <w:r w:rsidR="00A7113D" w:rsidRPr="004500D8">
        <w:rPr>
          <w:b/>
          <w:bCs/>
          <w:sz w:val="22"/>
          <w:szCs w:val="22"/>
          <w:lang w:val="sr-Latn-ME"/>
        </w:rPr>
        <w:t xml:space="preserve"> </w:t>
      </w:r>
      <w:r w:rsidRPr="004500D8">
        <w:rPr>
          <w:b/>
          <w:bCs/>
          <w:sz w:val="22"/>
          <w:szCs w:val="22"/>
          <w:lang w:val="sr-Latn-ME"/>
        </w:rPr>
        <w:t>ACR odgovori pacijenata u RA ispitivanju V</w:t>
      </w:r>
      <w:r w:rsidR="00CD4F09" w:rsidRPr="004500D8">
        <w:rPr>
          <w:b/>
          <w:bCs/>
          <w:sz w:val="22"/>
          <w:szCs w:val="22"/>
          <w:lang w:val="sr-Latn-ME"/>
        </w:rPr>
        <w:t xml:space="preserve"> </w:t>
      </w:r>
      <w:r w:rsidRPr="004500D8">
        <w:rPr>
          <w:b/>
          <w:bCs/>
          <w:sz w:val="22"/>
          <w:szCs w:val="22"/>
          <w:lang w:val="sr-Latn-ME"/>
        </w:rPr>
        <w:t>(procenat pacijenata)</w:t>
      </w:r>
    </w:p>
    <w:p w14:paraId="17D443B3"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b/>
          <w:bCs/>
          <w:sz w:val="22"/>
          <w:szCs w:val="22"/>
          <w:lang w:val="sr-Latn-ME"/>
        </w:rPr>
        <w:t xml:space="preserve"> </w:t>
      </w:r>
    </w:p>
    <w:tbl>
      <w:tblPr>
        <w:tblW w:w="0" w:type="auto"/>
        <w:tblLayout w:type="fixed"/>
        <w:tblCellMar>
          <w:left w:w="0" w:type="dxa"/>
        </w:tblCellMar>
        <w:tblLook w:val="0000" w:firstRow="0" w:lastRow="0" w:firstColumn="0" w:lastColumn="0" w:noHBand="0" w:noVBand="0"/>
      </w:tblPr>
      <w:tblGrid>
        <w:gridCol w:w="10"/>
        <w:gridCol w:w="1273"/>
        <w:gridCol w:w="896"/>
        <w:gridCol w:w="1030"/>
        <w:gridCol w:w="1599"/>
        <w:gridCol w:w="1439"/>
        <w:gridCol w:w="1392"/>
        <w:gridCol w:w="1466"/>
        <w:gridCol w:w="18"/>
      </w:tblGrid>
      <w:tr w:rsidR="00596C07" w:rsidRPr="004500D8" w14:paraId="7FDAFFB3" w14:textId="77777777" w:rsidTr="00596C07">
        <w:trPr>
          <w:gridAfter w:val="1"/>
          <w:wAfter w:w="18" w:type="dxa"/>
          <w:trHeight w:val="306"/>
          <w:tblHeader/>
        </w:trPr>
        <w:tc>
          <w:tcPr>
            <w:tcW w:w="1283" w:type="dxa"/>
            <w:gridSpan w:val="2"/>
            <w:tcBorders>
              <w:top w:val="single" w:sz="8" w:space="0" w:color="000000"/>
              <w:left w:val="single" w:sz="8" w:space="0" w:color="000000"/>
              <w:bottom w:val="single" w:sz="8" w:space="0" w:color="000000"/>
              <w:right w:val="single" w:sz="8" w:space="0" w:color="000000"/>
            </w:tcBorders>
          </w:tcPr>
          <w:p w14:paraId="4535DA82"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b/>
                <w:bCs/>
                <w:sz w:val="22"/>
                <w:szCs w:val="22"/>
                <w:lang w:val="sr-Latn-ME"/>
              </w:rPr>
              <w:t xml:space="preserve">Odgovor </w:t>
            </w:r>
          </w:p>
        </w:tc>
        <w:tc>
          <w:tcPr>
            <w:tcW w:w="896" w:type="dxa"/>
            <w:tcBorders>
              <w:top w:val="single" w:sz="8" w:space="0" w:color="000000"/>
              <w:left w:val="single" w:sz="8" w:space="0" w:color="000000"/>
              <w:bottom w:val="single" w:sz="8" w:space="0" w:color="000000"/>
              <w:right w:val="single" w:sz="8" w:space="0" w:color="000000"/>
            </w:tcBorders>
          </w:tcPr>
          <w:p w14:paraId="3E0C74B5" w14:textId="77777777" w:rsidR="00596C07" w:rsidRPr="004500D8" w:rsidRDefault="00596C07" w:rsidP="00596C07">
            <w:pPr>
              <w:widowControl w:val="0"/>
              <w:autoSpaceDE w:val="0"/>
              <w:autoSpaceDN w:val="0"/>
              <w:adjustRightInd w:val="0"/>
              <w:ind w:left="567" w:hanging="567"/>
              <w:jc w:val="center"/>
              <w:rPr>
                <w:b/>
                <w:bCs/>
                <w:sz w:val="22"/>
                <w:szCs w:val="22"/>
                <w:lang w:val="sr-Latn-ME"/>
              </w:rPr>
            </w:pPr>
            <w:r w:rsidRPr="004500D8">
              <w:rPr>
                <w:b/>
                <w:bCs/>
                <w:sz w:val="22"/>
                <w:szCs w:val="22"/>
                <w:lang w:val="sr-Latn-ME"/>
              </w:rPr>
              <w:t>MTX</w:t>
            </w:r>
          </w:p>
          <w:p w14:paraId="7EE62887"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b/>
                <w:bCs/>
                <w:sz w:val="22"/>
                <w:szCs w:val="22"/>
                <w:lang w:val="sr-Latn-ME"/>
              </w:rPr>
              <w:t>n=257</w:t>
            </w:r>
          </w:p>
        </w:tc>
        <w:tc>
          <w:tcPr>
            <w:tcW w:w="1030" w:type="dxa"/>
            <w:tcBorders>
              <w:top w:val="single" w:sz="8" w:space="0" w:color="000000"/>
              <w:left w:val="single" w:sz="8" w:space="0" w:color="000000"/>
              <w:bottom w:val="single" w:sz="8" w:space="0" w:color="000000"/>
              <w:right w:val="single" w:sz="8" w:space="0" w:color="000000"/>
            </w:tcBorders>
          </w:tcPr>
          <w:p w14:paraId="5EADCF02" w14:textId="77777777" w:rsidR="00596C07" w:rsidRPr="004500D8" w:rsidRDefault="00596C07" w:rsidP="00596C07">
            <w:pPr>
              <w:widowControl w:val="0"/>
              <w:autoSpaceDE w:val="0"/>
              <w:autoSpaceDN w:val="0"/>
              <w:adjustRightInd w:val="0"/>
              <w:ind w:left="567" w:hanging="567"/>
              <w:jc w:val="center"/>
              <w:rPr>
                <w:b/>
                <w:bCs/>
                <w:sz w:val="22"/>
                <w:szCs w:val="22"/>
                <w:lang w:val="sr-Latn-ME"/>
              </w:rPr>
            </w:pPr>
            <w:r w:rsidRPr="004500D8">
              <w:rPr>
                <w:b/>
                <w:bCs/>
                <w:sz w:val="22"/>
                <w:szCs w:val="22"/>
                <w:lang w:val="sr-Latn-ME"/>
              </w:rPr>
              <w:t>Humira</w:t>
            </w:r>
          </w:p>
          <w:p w14:paraId="4CEB6541"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b/>
                <w:bCs/>
                <w:sz w:val="22"/>
                <w:szCs w:val="22"/>
                <w:lang w:val="sr-Latn-ME"/>
              </w:rPr>
              <w:t>n=274</w:t>
            </w:r>
          </w:p>
        </w:tc>
        <w:tc>
          <w:tcPr>
            <w:tcW w:w="1599" w:type="dxa"/>
            <w:tcBorders>
              <w:top w:val="single" w:sz="8" w:space="0" w:color="000000"/>
              <w:left w:val="single" w:sz="8" w:space="0" w:color="000000"/>
              <w:bottom w:val="single" w:sz="8" w:space="0" w:color="000000"/>
              <w:right w:val="single" w:sz="8" w:space="0" w:color="000000"/>
            </w:tcBorders>
          </w:tcPr>
          <w:p w14:paraId="7D984D2B" w14:textId="77777777" w:rsidR="00596C07" w:rsidRPr="004500D8" w:rsidRDefault="00596C07" w:rsidP="00596C07">
            <w:pPr>
              <w:widowControl w:val="0"/>
              <w:autoSpaceDE w:val="0"/>
              <w:autoSpaceDN w:val="0"/>
              <w:adjustRightInd w:val="0"/>
              <w:ind w:left="567" w:hanging="567"/>
              <w:jc w:val="center"/>
              <w:rPr>
                <w:b/>
                <w:bCs/>
                <w:sz w:val="22"/>
                <w:szCs w:val="22"/>
                <w:lang w:val="sr-Latn-ME"/>
              </w:rPr>
            </w:pPr>
            <w:r w:rsidRPr="004500D8">
              <w:rPr>
                <w:b/>
                <w:bCs/>
                <w:sz w:val="22"/>
                <w:szCs w:val="22"/>
                <w:lang w:val="sr-Latn-ME"/>
              </w:rPr>
              <w:t>Humira/ MTX</w:t>
            </w:r>
          </w:p>
          <w:p w14:paraId="56D573AA"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b/>
                <w:bCs/>
                <w:sz w:val="22"/>
                <w:szCs w:val="22"/>
                <w:lang w:val="sr-Latn-ME"/>
              </w:rPr>
              <w:t>n=268</w:t>
            </w:r>
          </w:p>
        </w:tc>
        <w:tc>
          <w:tcPr>
            <w:tcW w:w="1439" w:type="dxa"/>
            <w:tcBorders>
              <w:top w:val="single" w:sz="8" w:space="0" w:color="000000"/>
              <w:left w:val="single" w:sz="8" w:space="0" w:color="000000"/>
              <w:bottom w:val="single" w:sz="8" w:space="0" w:color="000000"/>
              <w:right w:val="single" w:sz="8" w:space="0" w:color="000000"/>
            </w:tcBorders>
          </w:tcPr>
          <w:p w14:paraId="55C32323" w14:textId="77777777" w:rsidR="00596C07" w:rsidRPr="004500D8" w:rsidRDefault="00596C07" w:rsidP="00596C07">
            <w:pPr>
              <w:widowControl w:val="0"/>
              <w:autoSpaceDE w:val="0"/>
              <w:autoSpaceDN w:val="0"/>
              <w:adjustRightInd w:val="0"/>
              <w:ind w:left="567" w:right="-108" w:hanging="567"/>
              <w:rPr>
                <w:sz w:val="22"/>
                <w:szCs w:val="22"/>
                <w:lang w:val="sr-Latn-ME"/>
              </w:rPr>
            </w:pPr>
            <w:r w:rsidRPr="004500D8">
              <w:rPr>
                <w:b/>
                <w:bCs/>
                <w:sz w:val="22"/>
                <w:szCs w:val="22"/>
                <w:lang w:val="sr-Latn-ME"/>
              </w:rPr>
              <w:t>p vrijednost</w:t>
            </w:r>
            <w:r w:rsidRPr="004500D8">
              <w:rPr>
                <w:b/>
                <w:bCs/>
                <w:position w:val="8"/>
                <w:sz w:val="22"/>
                <w:szCs w:val="22"/>
                <w:vertAlign w:val="superscript"/>
                <w:lang w:val="sr-Latn-ME"/>
              </w:rPr>
              <w:t>a</w:t>
            </w:r>
          </w:p>
        </w:tc>
        <w:tc>
          <w:tcPr>
            <w:tcW w:w="1392" w:type="dxa"/>
            <w:tcBorders>
              <w:top w:val="single" w:sz="8" w:space="0" w:color="000000"/>
              <w:left w:val="single" w:sz="8" w:space="0" w:color="000000"/>
              <w:bottom w:val="single" w:sz="8" w:space="0" w:color="000000"/>
              <w:right w:val="single" w:sz="8" w:space="0" w:color="000000"/>
            </w:tcBorders>
          </w:tcPr>
          <w:p w14:paraId="3A27E283" w14:textId="77777777" w:rsidR="00596C07" w:rsidRPr="004500D8" w:rsidRDefault="00596C07" w:rsidP="00596C07">
            <w:pPr>
              <w:widowControl w:val="0"/>
              <w:autoSpaceDE w:val="0"/>
              <w:autoSpaceDN w:val="0"/>
              <w:adjustRightInd w:val="0"/>
              <w:ind w:left="567" w:right="-134" w:hanging="567"/>
              <w:rPr>
                <w:sz w:val="22"/>
                <w:szCs w:val="22"/>
                <w:lang w:val="sr-Latn-ME"/>
              </w:rPr>
            </w:pPr>
            <w:r w:rsidRPr="004500D8">
              <w:rPr>
                <w:b/>
                <w:bCs/>
                <w:sz w:val="22"/>
                <w:szCs w:val="22"/>
                <w:lang w:val="sr-Latn-ME"/>
              </w:rPr>
              <w:t>p vrijednost</w:t>
            </w:r>
            <w:r w:rsidRPr="004500D8">
              <w:rPr>
                <w:b/>
                <w:bCs/>
                <w:position w:val="8"/>
                <w:sz w:val="22"/>
                <w:szCs w:val="22"/>
                <w:vertAlign w:val="superscript"/>
                <w:lang w:val="sr-Latn-ME"/>
              </w:rPr>
              <w:t>b</w:t>
            </w:r>
          </w:p>
        </w:tc>
        <w:tc>
          <w:tcPr>
            <w:tcW w:w="1466" w:type="dxa"/>
            <w:tcBorders>
              <w:top w:val="single" w:sz="8" w:space="0" w:color="000000"/>
              <w:left w:val="single" w:sz="8" w:space="0" w:color="000000"/>
              <w:bottom w:val="single" w:sz="8" w:space="0" w:color="000000"/>
              <w:right w:val="single" w:sz="8" w:space="0" w:color="000000"/>
            </w:tcBorders>
          </w:tcPr>
          <w:p w14:paraId="27298B8A" w14:textId="77777777" w:rsidR="00596C07" w:rsidRPr="004500D8" w:rsidRDefault="00596C07" w:rsidP="00596C07">
            <w:pPr>
              <w:widowControl w:val="0"/>
              <w:autoSpaceDE w:val="0"/>
              <w:autoSpaceDN w:val="0"/>
              <w:adjustRightInd w:val="0"/>
              <w:ind w:left="567" w:right="-85" w:hanging="567"/>
              <w:rPr>
                <w:sz w:val="22"/>
                <w:szCs w:val="22"/>
                <w:lang w:val="sr-Latn-ME"/>
              </w:rPr>
            </w:pPr>
            <w:r w:rsidRPr="004500D8">
              <w:rPr>
                <w:b/>
                <w:bCs/>
                <w:sz w:val="22"/>
                <w:szCs w:val="22"/>
                <w:lang w:val="sr-Latn-ME"/>
              </w:rPr>
              <w:t>p vrijednost</w:t>
            </w:r>
            <w:r w:rsidRPr="004500D8">
              <w:rPr>
                <w:b/>
                <w:bCs/>
                <w:position w:val="8"/>
                <w:sz w:val="22"/>
                <w:szCs w:val="22"/>
                <w:vertAlign w:val="superscript"/>
                <w:lang w:val="sr-Latn-ME"/>
              </w:rPr>
              <w:t>c</w:t>
            </w:r>
          </w:p>
        </w:tc>
      </w:tr>
      <w:tr w:rsidR="00596C07" w:rsidRPr="004500D8" w14:paraId="781EECC9" w14:textId="77777777" w:rsidTr="00596C07">
        <w:trPr>
          <w:gridAfter w:val="1"/>
          <w:wAfter w:w="18" w:type="dxa"/>
          <w:trHeight w:hRule="exact" w:val="340"/>
        </w:trPr>
        <w:tc>
          <w:tcPr>
            <w:tcW w:w="1283" w:type="dxa"/>
            <w:gridSpan w:val="2"/>
            <w:tcBorders>
              <w:top w:val="single" w:sz="8" w:space="0" w:color="000000"/>
              <w:left w:val="single" w:sz="8" w:space="0" w:color="000000"/>
              <w:bottom w:val="single" w:sz="4" w:space="0" w:color="auto"/>
              <w:right w:val="single" w:sz="8" w:space="0" w:color="000000"/>
            </w:tcBorders>
          </w:tcPr>
          <w:p w14:paraId="0F907CAD"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ACR 20</w:t>
            </w:r>
          </w:p>
        </w:tc>
        <w:tc>
          <w:tcPr>
            <w:tcW w:w="896" w:type="dxa"/>
            <w:tcBorders>
              <w:top w:val="single" w:sz="8" w:space="0" w:color="000000"/>
              <w:left w:val="single" w:sz="8" w:space="0" w:color="000000"/>
              <w:bottom w:val="single" w:sz="4" w:space="0" w:color="auto"/>
              <w:right w:val="single" w:sz="8" w:space="0" w:color="000000"/>
            </w:tcBorders>
          </w:tcPr>
          <w:p w14:paraId="350BBC0F" w14:textId="77777777" w:rsidR="00596C07" w:rsidRPr="004500D8" w:rsidRDefault="00596C07" w:rsidP="00596C07">
            <w:pPr>
              <w:widowControl w:val="0"/>
              <w:autoSpaceDE w:val="0"/>
              <w:autoSpaceDN w:val="0"/>
              <w:adjustRightInd w:val="0"/>
              <w:ind w:left="567" w:hanging="567"/>
              <w:jc w:val="center"/>
              <w:rPr>
                <w:sz w:val="22"/>
                <w:szCs w:val="22"/>
                <w:lang w:val="sr-Latn-ME"/>
              </w:rPr>
            </w:pPr>
          </w:p>
        </w:tc>
        <w:tc>
          <w:tcPr>
            <w:tcW w:w="1030" w:type="dxa"/>
            <w:tcBorders>
              <w:top w:val="single" w:sz="8" w:space="0" w:color="000000"/>
              <w:left w:val="single" w:sz="8" w:space="0" w:color="000000"/>
              <w:bottom w:val="single" w:sz="4" w:space="0" w:color="auto"/>
              <w:right w:val="single" w:sz="8" w:space="0" w:color="000000"/>
            </w:tcBorders>
          </w:tcPr>
          <w:p w14:paraId="1E3A62AB" w14:textId="77777777" w:rsidR="00596C07" w:rsidRPr="004500D8" w:rsidRDefault="00596C07" w:rsidP="00596C07">
            <w:pPr>
              <w:widowControl w:val="0"/>
              <w:autoSpaceDE w:val="0"/>
              <w:autoSpaceDN w:val="0"/>
              <w:adjustRightInd w:val="0"/>
              <w:ind w:left="567" w:hanging="567"/>
              <w:jc w:val="center"/>
              <w:rPr>
                <w:sz w:val="22"/>
                <w:szCs w:val="22"/>
                <w:lang w:val="sr-Latn-ME"/>
              </w:rPr>
            </w:pPr>
          </w:p>
        </w:tc>
        <w:tc>
          <w:tcPr>
            <w:tcW w:w="1599" w:type="dxa"/>
            <w:tcBorders>
              <w:top w:val="single" w:sz="8" w:space="0" w:color="000000"/>
              <w:left w:val="single" w:sz="8" w:space="0" w:color="000000"/>
              <w:bottom w:val="single" w:sz="4" w:space="0" w:color="auto"/>
              <w:right w:val="single" w:sz="8" w:space="0" w:color="000000"/>
            </w:tcBorders>
          </w:tcPr>
          <w:p w14:paraId="40E7FE15" w14:textId="77777777" w:rsidR="00596C07" w:rsidRPr="004500D8" w:rsidRDefault="00596C07" w:rsidP="00596C07">
            <w:pPr>
              <w:widowControl w:val="0"/>
              <w:autoSpaceDE w:val="0"/>
              <w:autoSpaceDN w:val="0"/>
              <w:adjustRightInd w:val="0"/>
              <w:ind w:left="567" w:hanging="567"/>
              <w:jc w:val="center"/>
              <w:rPr>
                <w:sz w:val="22"/>
                <w:szCs w:val="22"/>
                <w:lang w:val="sr-Latn-ME"/>
              </w:rPr>
            </w:pPr>
          </w:p>
        </w:tc>
        <w:tc>
          <w:tcPr>
            <w:tcW w:w="1439" w:type="dxa"/>
            <w:tcBorders>
              <w:top w:val="single" w:sz="8" w:space="0" w:color="000000"/>
              <w:left w:val="single" w:sz="8" w:space="0" w:color="000000"/>
              <w:bottom w:val="single" w:sz="4" w:space="0" w:color="auto"/>
              <w:right w:val="single" w:sz="8" w:space="0" w:color="000000"/>
            </w:tcBorders>
          </w:tcPr>
          <w:p w14:paraId="1F0B3BCE"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tc>
        <w:tc>
          <w:tcPr>
            <w:tcW w:w="1392" w:type="dxa"/>
            <w:tcBorders>
              <w:top w:val="single" w:sz="8" w:space="0" w:color="000000"/>
              <w:left w:val="single" w:sz="8" w:space="0" w:color="000000"/>
              <w:bottom w:val="single" w:sz="4" w:space="0" w:color="auto"/>
              <w:right w:val="single" w:sz="8" w:space="0" w:color="000000"/>
            </w:tcBorders>
          </w:tcPr>
          <w:p w14:paraId="0D020EF4"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tc>
        <w:tc>
          <w:tcPr>
            <w:tcW w:w="1466" w:type="dxa"/>
            <w:tcBorders>
              <w:top w:val="single" w:sz="8" w:space="0" w:color="000000"/>
              <w:left w:val="single" w:sz="8" w:space="0" w:color="000000"/>
              <w:bottom w:val="single" w:sz="4" w:space="0" w:color="auto"/>
              <w:right w:val="single" w:sz="8" w:space="0" w:color="000000"/>
            </w:tcBorders>
          </w:tcPr>
          <w:p w14:paraId="23045433"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tc>
      </w:tr>
      <w:tr w:rsidR="00596C07" w:rsidRPr="004500D8" w14:paraId="65DF8C13" w14:textId="77777777" w:rsidTr="00596C07">
        <w:trPr>
          <w:gridAfter w:val="1"/>
          <w:wAfter w:w="18" w:type="dxa"/>
          <w:trHeight w:hRule="exact" w:val="340"/>
        </w:trPr>
        <w:tc>
          <w:tcPr>
            <w:tcW w:w="1283" w:type="dxa"/>
            <w:gridSpan w:val="2"/>
            <w:tcBorders>
              <w:top w:val="single" w:sz="4" w:space="0" w:color="auto"/>
              <w:left w:val="single" w:sz="8" w:space="0" w:color="000000"/>
              <w:bottom w:val="single" w:sz="4" w:space="0" w:color="auto"/>
              <w:right w:val="single" w:sz="8" w:space="0" w:color="000000"/>
            </w:tcBorders>
          </w:tcPr>
          <w:p w14:paraId="556EC711"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52 nedjelje</w:t>
            </w:r>
          </w:p>
        </w:tc>
        <w:tc>
          <w:tcPr>
            <w:tcW w:w="896" w:type="dxa"/>
            <w:tcBorders>
              <w:top w:val="single" w:sz="4" w:space="0" w:color="auto"/>
              <w:left w:val="single" w:sz="8" w:space="0" w:color="000000"/>
              <w:bottom w:val="single" w:sz="4" w:space="0" w:color="auto"/>
              <w:right w:val="single" w:sz="8" w:space="0" w:color="000000"/>
            </w:tcBorders>
          </w:tcPr>
          <w:p w14:paraId="15D7AE52"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62,6 %</w:t>
            </w:r>
          </w:p>
        </w:tc>
        <w:tc>
          <w:tcPr>
            <w:tcW w:w="1030" w:type="dxa"/>
            <w:tcBorders>
              <w:top w:val="single" w:sz="4" w:space="0" w:color="auto"/>
              <w:left w:val="single" w:sz="8" w:space="0" w:color="000000"/>
              <w:bottom w:val="single" w:sz="4" w:space="0" w:color="auto"/>
              <w:right w:val="single" w:sz="8" w:space="0" w:color="000000"/>
            </w:tcBorders>
          </w:tcPr>
          <w:p w14:paraId="0E473CC9"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54,4 %</w:t>
            </w:r>
          </w:p>
        </w:tc>
        <w:tc>
          <w:tcPr>
            <w:tcW w:w="1599" w:type="dxa"/>
            <w:tcBorders>
              <w:top w:val="single" w:sz="4" w:space="0" w:color="auto"/>
              <w:left w:val="single" w:sz="8" w:space="0" w:color="000000"/>
              <w:bottom w:val="single" w:sz="4" w:space="0" w:color="auto"/>
              <w:right w:val="single" w:sz="8" w:space="0" w:color="000000"/>
            </w:tcBorders>
          </w:tcPr>
          <w:p w14:paraId="5DF398F3"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72,8 %</w:t>
            </w:r>
          </w:p>
        </w:tc>
        <w:tc>
          <w:tcPr>
            <w:tcW w:w="1439" w:type="dxa"/>
            <w:tcBorders>
              <w:top w:val="single" w:sz="4" w:space="0" w:color="auto"/>
              <w:left w:val="single" w:sz="8" w:space="0" w:color="000000"/>
              <w:bottom w:val="single" w:sz="4" w:space="0" w:color="auto"/>
              <w:right w:val="single" w:sz="8" w:space="0" w:color="000000"/>
            </w:tcBorders>
          </w:tcPr>
          <w:p w14:paraId="653F8960"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0,013 </w:t>
            </w:r>
          </w:p>
        </w:tc>
        <w:tc>
          <w:tcPr>
            <w:tcW w:w="1392" w:type="dxa"/>
            <w:tcBorders>
              <w:top w:val="single" w:sz="4" w:space="0" w:color="auto"/>
              <w:left w:val="single" w:sz="8" w:space="0" w:color="000000"/>
              <w:bottom w:val="single" w:sz="4" w:space="0" w:color="auto"/>
              <w:right w:val="single" w:sz="8" w:space="0" w:color="000000"/>
            </w:tcBorders>
          </w:tcPr>
          <w:p w14:paraId="518625AE"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&lt; 0,001 </w:t>
            </w:r>
          </w:p>
        </w:tc>
        <w:tc>
          <w:tcPr>
            <w:tcW w:w="1466" w:type="dxa"/>
            <w:tcBorders>
              <w:top w:val="single" w:sz="4" w:space="0" w:color="auto"/>
              <w:left w:val="single" w:sz="8" w:space="0" w:color="000000"/>
              <w:bottom w:val="single" w:sz="4" w:space="0" w:color="auto"/>
              <w:right w:val="single" w:sz="8" w:space="0" w:color="000000"/>
            </w:tcBorders>
          </w:tcPr>
          <w:p w14:paraId="22605D14"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0,043 </w:t>
            </w:r>
          </w:p>
        </w:tc>
      </w:tr>
      <w:tr w:rsidR="00596C07" w:rsidRPr="004500D8" w14:paraId="599C0F24" w14:textId="77777777" w:rsidTr="00596C07">
        <w:trPr>
          <w:gridAfter w:val="1"/>
          <w:wAfter w:w="18" w:type="dxa"/>
          <w:trHeight w:hRule="exact" w:val="340"/>
        </w:trPr>
        <w:tc>
          <w:tcPr>
            <w:tcW w:w="1283" w:type="dxa"/>
            <w:gridSpan w:val="2"/>
            <w:tcBorders>
              <w:top w:val="single" w:sz="4" w:space="0" w:color="auto"/>
              <w:left w:val="single" w:sz="8" w:space="0" w:color="000000"/>
              <w:bottom w:val="single" w:sz="4" w:space="0" w:color="auto"/>
              <w:right w:val="single" w:sz="8" w:space="0" w:color="000000"/>
            </w:tcBorders>
          </w:tcPr>
          <w:p w14:paraId="4C0D9D80"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104 nedjelje </w:t>
            </w:r>
          </w:p>
        </w:tc>
        <w:tc>
          <w:tcPr>
            <w:tcW w:w="896" w:type="dxa"/>
            <w:tcBorders>
              <w:top w:val="single" w:sz="4" w:space="0" w:color="auto"/>
              <w:left w:val="single" w:sz="8" w:space="0" w:color="000000"/>
              <w:bottom w:val="single" w:sz="4" w:space="0" w:color="auto"/>
              <w:right w:val="single" w:sz="8" w:space="0" w:color="000000"/>
            </w:tcBorders>
          </w:tcPr>
          <w:p w14:paraId="41602738"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56,0 %</w:t>
            </w:r>
          </w:p>
        </w:tc>
        <w:tc>
          <w:tcPr>
            <w:tcW w:w="1030" w:type="dxa"/>
            <w:tcBorders>
              <w:top w:val="single" w:sz="4" w:space="0" w:color="auto"/>
              <w:left w:val="single" w:sz="8" w:space="0" w:color="000000"/>
              <w:bottom w:val="single" w:sz="4" w:space="0" w:color="auto"/>
              <w:right w:val="single" w:sz="8" w:space="0" w:color="000000"/>
            </w:tcBorders>
          </w:tcPr>
          <w:p w14:paraId="20CD6284"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49,3 %</w:t>
            </w:r>
          </w:p>
        </w:tc>
        <w:tc>
          <w:tcPr>
            <w:tcW w:w="1599" w:type="dxa"/>
            <w:tcBorders>
              <w:top w:val="single" w:sz="4" w:space="0" w:color="auto"/>
              <w:left w:val="single" w:sz="8" w:space="0" w:color="000000"/>
              <w:bottom w:val="single" w:sz="4" w:space="0" w:color="auto"/>
              <w:right w:val="single" w:sz="8" w:space="0" w:color="000000"/>
            </w:tcBorders>
          </w:tcPr>
          <w:p w14:paraId="02492D43"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69,4 %</w:t>
            </w:r>
          </w:p>
        </w:tc>
        <w:tc>
          <w:tcPr>
            <w:tcW w:w="1439" w:type="dxa"/>
            <w:tcBorders>
              <w:top w:val="single" w:sz="4" w:space="0" w:color="auto"/>
              <w:left w:val="single" w:sz="8" w:space="0" w:color="000000"/>
              <w:bottom w:val="single" w:sz="4" w:space="0" w:color="auto"/>
              <w:right w:val="single" w:sz="8" w:space="0" w:color="000000"/>
            </w:tcBorders>
          </w:tcPr>
          <w:p w14:paraId="4C5A0582"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0,002 </w:t>
            </w:r>
            <w:r w:rsidRPr="004500D8">
              <w:rPr>
                <w:sz w:val="22"/>
                <w:szCs w:val="22"/>
                <w:lang w:val="sr-Latn-ME"/>
              </w:rPr>
              <w:tab/>
            </w:r>
          </w:p>
        </w:tc>
        <w:tc>
          <w:tcPr>
            <w:tcW w:w="1392" w:type="dxa"/>
            <w:tcBorders>
              <w:top w:val="single" w:sz="4" w:space="0" w:color="auto"/>
              <w:left w:val="single" w:sz="8" w:space="0" w:color="000000"/>
              <w:bottom w:val="single" w:sz="4" w:space="0" w:color="auto"/>
              <w:right w:val="single" w:sz="8" w:space="0" w:color="000000"/>
            </w:tcBorders>
          </w:tcPr>
          <w:p w14:paraId="34921F7A"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&lt; 0,001  </w:t>
            </w:r>
          </w:p>
        </w:tc>
        <w:tc>
          <w:tcPr>
            <w:tcW w:w="1466" w:type="dxa"/>
            <w:tcBorders>
              <w:top w:val="single" w:sz="4" w:space="0" w:color="auto"/>
              <w:left w:val="single" w:sz="8" w:space="0" w:color="000000"/>
              <w:bottom w:val="single" w:sz="4" w:space="0" w:color="auto"/>
              <w:right w:val="single" w:sz="8" w:space="0" w:color="000000"/>
            </w:tcBorders>
          </w:tcPr>
          <w:p w14:paraId="64CE4E3B"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0,140  </w:t>
            </w:r>
          </w:p>
        </w:tc>
      </w:tr>
      <w:tr w:rsidR="00596C07" w:rsidRPr="004500D8" w14:paraId="6EBEA838" w14:textId="77777777" w:rsidTr="00596C07">
        <w:trPr>
          <w:gridAfter w:val="1"/>
          <w:wAfter w:w="18" w:type="dxa"/>
          <w:trHeight w:hRule="exact" w:val="340"/>
        </w:trPr>
        <w:tc>
          <w:tcPr>
            <w:tcW w:w="1283" w:type="dxa"/>
            <w:gridSpan w:val="2"/>
            <w:tcBorders>
              <w:top w:val="single" w:sz="4" w:space="0" w:color="auto"/>
              <w:left w:val="single" w:sz="8" w:space="0" w:color="000000"/>
              <w:bottom w:val="single" w:sz="4" w:space="0" w:color="auto"/>
              <w:right w:val="single" w:sz="8" w:space="0" w:color="000000"/>
            </w:tcBorders>
          </w:tcPr>
          <w:p w14:paraId="52FDAC85"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ACR 50</w:t>
            </w:r>
          </w:p>
        </w:tc>
        <w:tc>
          <w:tcPr>
            <w:tcW w:w="896" w:type="dxa"/>
            <w:tcBorders>
              <w:top w:val="single" w:sz="4" w:space="0" w:color="auto"/>
              <w:left w:val="single" w:sz="8" w:space="0" w:color="000000"/>
              <w:bottom w:val="single" w:sz="4" w:space="0" w:color="auto"/>
              <w:right w:val="single" w:sz="8" w:space="0" w:color="000000"/>
            </w:tcBorders>
          </w:tcPr>
          <w:p w14:paraId="68D05F5A" w14:textId="77777777" w:rsidR="00596C07" w:rsidRPr="004500D8" w:rsidRDefault="00596C07" w:rsidP="00596C07">
            <w:pPr>
              <w:widowControl w:val="0"/>
              <w:autoSpaceDE w:val="0"/>
              <w:autoSpaceDN w:val="0"/>
              <w:adjustRightInd w:val="0"/>
              <w:ind w:left="567" w:hanging="567"/>
              <w:jc w:val="center"/>
              <w:rPr>
                <w:sz w:val="22"/>
                <w:szCs w:val="22"/>
                <w:lang w:val="sr-Latn-ME"/>
              </w:rPr>
            </w:pPr>
          </w:p>
        </w:tc>
        <w:tc>
          <w:tcPr>
            <w:tcW w:w="1030" w:type="dxa"/>
            <w:tcBorders>
              <w:top w:val="single" w:sz="4" w:space="0" w:color="auto"/>
              <w:left w:val="single" w:sz="8" w:space="0" w:color="000000"/>
              <w:bottom w:val="single" w:sz="4" w:space="0" w:color="auto"/>
              <w:right w:val="single" w:sz="8" w:space="0" w:color="000000"/>
            </w:tcBorders>
          </w:tcPr>
          <w:p w14:paraId="1CE6F543" w14:textId="77777777" w:rsidR="00596C07" w:rsidRPr="004500D8" w:rsidRDefault="00596C07" w:rsidP="00596C07">
            <w:pPr>
              <w:widowControl w:val="0"/>
              <w:autoSpaceDE w:val="0"/>
              <w:autoSpaceDN w:val="0"/>
              <w:adjustRightInd w:val="0"/>
              <w:ind w:left="567" w:hanging="567"/>
              <w:jc w:val="center"/>
              <w:rPr>
                <w:sz w:val="22"/>
                <w:szCs w:val="22"/>
                <w:lang w:val="sr-Latn-ME"/>
              </w:rPr>
            </w:pPr>
          </w:p>
        </w:tc>
        <w:tc>
          <w:tcPr>
            <w:tcW w:w="1599" w:type="dxa"/>
            <w:tcBorders>
              <w:top w:val="single" w:sz="4" w:space="0" w:color="auto"/>
              <w:left w:val="single" w:sz="8" w:space="0" w:color="000000"/>
              <w:bottom w:val="single" w:sz="4" w:space="0" w:color="auto"/>
              <w:right w:val="single" w:sz="8" w:space="0" w:color="000000"/>
            </w:tcBorders>
          </w:tcPr>
          <w:p w14:paraId="635BBE97" w14:textId="77777777" w:rsidR="00596C07" w:rsidRPr="004500D8" w:rsidRDefault="00596C07" w:rsidP="00596C07">
            <w:pPr>
              <w:widowControl w:val="0"/>
              <w:autoSpaceDE w:val="0"/>
              <w:autoSpaceDN w:val="0"/>
              <w:adjustRightInd w:val="0"/>
              <w:ind w:left="567" w:hanging="567"/>
              <w:jc w:val="center"/>
              <w:rPr>
                <w:sz w:val="22"/>
                <w:szCs w:val="22"/>
                <w:lang w:val="sr-Latn-ME"/>
              </w:rPr>
            </w:pPr>
          </w:p>
        </w:tc>
        <w:tc>
          <w:tcPr>
            <w:tcW w:w="1439" w:type="dxa"/>
            <w:tcBorders>
              <w:top w:val="single" w:sz="4" w:space="0" w:color="auto"/>
              <w:left w:val="single" w:sz="8" w:space="0" w:color="000000"/>
              <w:bottom w:val="single" w:sz="4" w:space="0" w:color="auto"/>
              <w:right w:val="single" w:sz="8" w:space="0" w:color="000000"/>
            </w:tcBorders>
          </w:tcPr>
          <w:p w14:paraId="51AB89FC"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tc>
        <w:tc>
          <w:tcPr>
            <w:tcW w:w="1392" w:type="dxa"/>
            <w:tcBorders>
              <w:top w:val="single" w:sz="4" w:space="0" w:color="auto"/>
              <w:left w:val="single" w:sz="8" w:space="0" w:color="000000"/>
              <w:bottom w:val="single" w:sz="4" w:space="0" w:color="auto"/>
              <w:right w:val="single" w:sz="8" w:space="0" w:color="000000"/>
            </w:tcBorders>
          </w:tcPr>
          <w:p w14:paraId="3CD96E4D"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tc>
        <w:tc>
          <w:tcPr>
            <w:tcW w:w="1466" w:type="dxa"/>
            <w:tcBorders>
              <w:top w:val="single" w:sz="4" w:space="0" w:color="auto"/>
              <w:left w:val="single" w:sz="8" w:space="0" w:color="000000"/>
              <w:bottom w:val="single" w:sz="4" w:space="0" w:color="auto"/>
              <w:right w:val="single" w:sz="8" w:space="0" w:color="000000"/>
            </w:tcBorders>
          </w:tcPr>
          <w:p w14:paraId="7C694D12"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tc>
      </w:tr>
      <w:tr w:rsidR="00596C07" w:rsidRPr="004500D8" w14:paraId="2DF1A6B9" w14:textId="77777777" w:rsidTr="00596C07">
        <w:trPr>
          <w:gridAfter w:val="1"/>
          <w:wAfter w:w="18" w:type="dxa"/>
          <w:trHeight w:hRule="exact" w:val="340"/>
        </w:trPr>
        <w:tc>
          <w:tcPr>
            <w:tcW w:w="1283" w:type="dxa"/>
            <w:gridSpan w:val="2"/>
            <w:tcBorders>
              <w:top w:val="single" w:sz="4" w:space="0" w:color="auto"/>
              <w:left w:val="single" w:sz="8" w:space="0" w:color="000000"/>
              <w:bottom w:val="single" w:sz="4" w:space="0" w:color="auto"/>
              <w:right w:val="single" w:sz="8" w:space="0" w:color="000000"/>
            </w:tcBorders>
          </w:tcPr>
          <w:p w14:paraId="23484FC7"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52 nedjelje</w:t>
            </w:r>
          </w:p>
        </w:tc>
        <w:tc>
          <w:tcPr>
            <w:tcW w:w="896" w:type="dxa"/>
            <w:tcBorders>
              <w:top w:val="single" w:sz="4" w:space="0" w:color="auto"/>
              <w:left w:val="single" w:sz="8" w:space="0" w:color="000000"/>
              <w:bottom w:val="single" w:sz="4" w:space="0" w:color="auto"/>
              <w:right w:val="single" w:sz="8" w:space="0" w:color="000000"/>
            </w:tcBorders>
          </w:tcPr>
          <w:p w14:paraId="28293A45"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45,9 %</w:t>
            </w:r>
          </w:p>
        </w:tc>
        <w:tc>
          <w:tcPr>
            <w:tcW w:w="1030" w:type="dxa"/>
            <w:tcBorders>
              <w:top w:val="single" w:sz="4" w:space="0" w:color="auto"/>
              <w:left w:val="single" w:sz="8" w:space="0" w:color="000000"/>
              <w:bottom w:val="single" w:sz="4" w:space="0" w:color="auto"/>
              <w:right w:val="single" w:sz="8" w:space="0" w:color="000000"/>
            </w:tcBorders>
          </w:tcPr>
          <w:p w14:paraId="50AD2CA7"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41,2 %</w:t>
            </w:r>
          </w:p>
        </w:tc>
        <w:tc>
          <w:tcPr>
            <w:tcW w:w="1599" w:type="dxa"/>
            <w:tcBorders>
              <w:top w:val="single" w:sz="4" w:space="0" w:color="auto"/>
              <w:left w:val="single" w:sz="8" w:space="0" w:color="000000"/>
              <w:bottom w:val="single" w:sz="4" w:space="0" w:color="auto"/>
              <w:right w:val="single" w:sz="8" w:space="0" w:color="000000"/>
            </w:tcBorders>
          </w:tcPr>
          <w:p w14:paraId="1E96D65E"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61,6%</w:t>
            </w:r>
          </w:p>
        </w:tc>
        <w:tc>
          <w:tcPr>
            <w:tcW w:w="1439" w:type="dxa"/>
            <w:tcBorders>
              <w:top w:val="single" w:sz="4" w:space="0" w:color="auto"/>
              <w:left w:val="single" w:sz="8" w:space="0" w:color="000000"/>
              <w:bottom w:val="single" w:sz="4" w:space="0" w:color="auto"/>
              <w:right w:val="single" w:sz="8" w:space="0" w:color="000000"/>
            </w:tcBorders>
          </w:tcPr>
          <w:p w14:paraId="1BAA8381"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&lt; 0,001 </w:t>
            </w:r>
          </w:p>
        </w:tc>
        <w:tc>
          <w:tcPr>
            <w:tcW w:w="1392" w:type="dxa"/>
            <w:tcBorders>
              <w:top w:val="single" w:sz="4" w:space="0" w:color="auto"/>
              <w:left w:val="single" w:sz="8" w:space="0" w:color="000000"/>
              <w:bottom w:val="single" w:sz="4" w:space="0" w:color="auto"/>
              <w:right w:val="single" w:sz="8" w:space="0" w:color="000000"/>
            </w:tcBorders>
          </w:tcPr>
          <w:p w14:paraId="7783BDE8"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&lt; 0,001 </w:t>
            </w:r>
          </w:p>
        </w:tc>
        <w:tc>
          <w:tcPr>
            <w:tcW w:w="1466" w:type="dxa"/>
            <w:tcBorders>
              <w:top w:val="single" w:sz="4" w:space="0" w:color="auto"/>
              <w:left w:val="single" w:sz="8" w:space="0" w:color="000000"/>
              <w:bottom w:val="single" w:sz="4" w:space="0" w:color="auto"/>
              <w:right w:val="single" w:sz="8" w:space="0" w:color="000000"/>
            </w:tcBorders>
          </w:tcPr>
          <w:p w14:paraId="14196984"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0,317 </w:t>
            </w:r>
          </w:p>
        </w:tc>
      </w:tr>
      <w:tr w:rsidR="00596C07" w:rsidRPr="004500D8" w14:paraId="4C6330D3" w14:textId="77777777" w:rsidTr="00596C07">
        <w:trPr>
          <w:gridAfter w:val="1"/>
          <w:wAfter w:w="18" w:type="dxa"/>
          <w:trHeight w:hRule="exact" w:val="340"/>
        </w:trPr>
        <w:tc>
          <w:tcPr>
            <w:tcW w:w="1283" w:type="dxa"/>
            <w:gridSpan w:val="2"/>
            <w:tcBorders>
              <w:top w:val="single" w:sz="4" w:space="0" w:color="auto"/>
              <w:left w:val="single" w:sz="8" w:space="0" w:color="000000"/>
              <w:bottom w:val="single" w:sz="4" w:space="0" w:color="auto"/>
              <w:right w:val="single" w:sz="8" w:space="0" w:color="000000"/>
            </w:tcBorders>
          </w:tcPr>
          <w:p w14:paraId="2A95E2C5"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104 nedjelje  </w:t>
            </w:r>
          </w:p>
        </w:tc>
        <w:tc>
          <w:tcPr>
            <w:tcW w:w="896" w:type="dxa"/>
            <w:tcBorders>
              <w:top w:val="single" w:sz="4" w:space="0" w:color="auto"/>
              <w:left w:val="single" w:sz="8" w:space="0" w:color="000000"/>
              <w:bottom w:val="single" w:sz="4" w:space="0" w:color="auto"/>
              <w:right w:val="single" w:sz="8" w:space="0" w:color="000000"/>
            </w:tcBorders>
          </w:tcPr>
          <w:p w14:paraId="5329780E"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42,8 %</w:t>
            </w:r>
          </w:p>
        </w:tc>
        <w:tc>
          <w:tcPr>
            <w:tcW w:w="1030" w:type="dxa"/>
            <w:tcBorders>
              <w:top w:val="single" w:sz="4" w:space="0" w:color="auto"/>
              <w:left w:val="single" w:sz="8" w:space="0" w:color="000000"/>
              <w:bottom w:val="single" w:sz="4" w:space="0" w:color="auto"/>
              <w:right w:val="single" w:sz="8" w:space="0" w:color="000000"/>
            </w:tcBorders>
          </w:tcPr>
          <w:p w14:paraId="78EF9EC7"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36,9 %</w:t>
            </w:r>
          </w:p>
        </w:tc>
        <w:tc>
          <w:tcPr>
            <w:tcW w:w="1599" w:type="dxa"/>
            <w:tcBorders>
              <w:top w:val="single" w:sz="4" w:space="0" w:color="auto"/>
              <w:left w:val="single" w:sz="8" w:space="0" w:color="000000"/>
              <w:bottom w:val="single" w:sz="4" w:space="0" w:color="auto"/>
              <w:right w:val="single" w:sz="8" w:space="0" w:color="000000"/>
            </w:tcBorders>
          </w:tcPr>
          <w:p w14:paraId="1BAB3580"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59,0 %</w:t>
            </w:r>
          </w:p>
        </w:tc>
        <w:tc>
          <w:tcPr>
            <w:tcW w:w="1439" w:type="dxa"/>
            <w:tcBorders>
              <w:top w:val="single" w:sz="4" w:space="0" w:color="auto"/>
              <w:left w:val="single" w:sz="8" w:space="0" w:color="000000"/>
              <w:bottom w:val="single" w:sz="4" w:space="0" w:color="auto"/>
              <w:right w:val="single" w:sz="8" w:space="0" w:color="000000"/>
            </w:tcBorders>
          </w:tcPr>
          <w:p w14:paraId="1230370F"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&lt; 0,001 </w:t>
            </w:r>
          </w:p>
        </w:tc>
        <w:tc>
          <w:tcPr>
            <w:tcW w:w="1392" w:type="dxa"/>
            <w:tcBorders>
              <w:top w:val="single" w:sz="4" w:space="0" w:color="auto"/>
              <w:left w:val="single" w:sz="8" w:space="0" w:color="000000"/>
              <w:bottom w:val="single" w:sz="4" w:space="0" w:color="auto"/>
              <w:right w:val="single" w:sz="8" w:space="0" w:color="000000"/>
            </w:tcBorders>
          </w:tcPr>
          <w:p w14:paraId="5EBCFFD5"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&lt; 0,001  </w:t>
            </w:r>
          </w:p>
        </w:tc>
        <w:tc>
          <w:tcPr>
            <w:tcW w:w="1466" w:type="dxa"/>
            <w:tcBorders>
              <w:top w:val="single" w:sz="4" w:space="0" w:color="auto"/>
              <w:left w:val="single" w:sz="8" w:space="0" w:color="000000"/>
              <w:bottom w:val="single" w:sz="4" w:space="0" w:color="auto"/>
              <w:right w:val="single" w:sz="8" w:space="0" w:color="000000"/>
            </w:tcBorders>
          </w:tcPr>
          <w:p w14:paraId="13AF6FDD"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0,162  </w:t>
            </w:r>
          </w:p>
        </w:tc>
      </w:tr>
      <w:tr w:rsidR="00596C07" w:rsidRPr="004500D8" w14:paraId="56A6B040" w14:textId="77777777" w:rsidTr="00596C07">
        <w:trPr>
          <w:gridAfter w:val="1"/>
          <w:wAfter w:w="18" w:type="dxa"/>
          <w:trHeight w:hRule="exact" w:val="340"/>
        </w:trPr>
        <w:tc>
          <w:tcPr>
            <w:tcW w:w="1283" w:type="dxa"/>
            <w:gridSpan w:val="2"/>
            <w:tcBorders>
              <w:top w:val="single" w:sz="4" w:space="0" w:color="auto"/>
              <w:left w:val="single" w:sz="8" w:space="0" w:color="000000"/>
              <w:bottom w:val="single" w:sz="4" w:space="0" w:color="auto"/>
              <w:right w:val="single" w:sz="8" w:space="0" w:color="000000"/>
            </w:tcBorders>
          </w:tcPr>
          <w:p w14:paraId="1454E9B1"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ACR 70</w:t>
            </w:r>
          </w:p>
        </w:tc>
        <w:tc>
          <w:tcPr>
            <w:tcW w:w="896" w:type="dxa"/>
            <w:tcBorders>
              <w:top w:val="single" w:sz="4" w:space="0" w:color="auto"/>
              <w:left w:val="single" w:sz="8" w:space="0" w:color="000000"/>
              <w:bottom w:val="single" w:sz="4" w:space="0" w:color="auto"/>
              <w:right w:val="single" w:sz="8" w:space="0" w:color="000000"/>
            </w:tcBorders>
          </w:tcPr>
          <w:p w14:paraId="1895F961" w14:textId="77777777" w:rsidR="00596C07" w:rsidRPr="004500D8" w:rsidRDefault="00596C07" w:rsidP="00596C07">
            <w:pPr>
              <w:widowControl w:val="0"/>
              <w:autoSpaceDE w:val="0"/>
              <w:autoSpaceDN w:val="0"/>
              <w:adjustRightInd w:val="0"/>
              <w:ind w:left="567" w:hanging="567"/>
              <w:jc w:val="center"/>
              <w:rPr>
                <w:sz w:val="22"/>
                <w:szCs w:val="22"/>
                <w:lang w:val="sr-Latn-ME"/>
              </w:rPr>
            </w:pPr>
          </w:p>
        </w:tc>
        <w:tc>
          <w:tcPr>
            <w:tcW w:w="1030" w:type="dxa"/>
            <w:tcBorders>
              <w:top w:val="single" w:sz="4" w:space="0" w:color="auto"/>
              <w:left w:val="single" w:sz="8" w:space="0" w:color="000000"/>
              <w:bottom w:val="single" w:sz="4" w:space="0" w:color="auto"/>
              <w:right w:val="single" w:sz="8" w:space="0" w:color="000000"/>
            </w:tcBorders>
          </w:tcPr>
          <w:p w14:paraId="4C8CBC0E" w14:textId="77777777" w:rsidR="00596C07" w:rsidRPr="004500D8" w:rsidRDefault="00596C07" w:rsidP="00596C07">
            <w:pPr>
              <w:widowControl w:val="0"/>
              <w:autoSpaceDE w:val="0"/>
              <w:autoSpaceDN w:val="0"/>
              <w:adjustRightInd w:val="0"/>
              <w:ind w:left="567" w:hanging="567"/>
              <w:jc w:val="center"/>
              <w:rPr>
                <w:sz w:val="22"/>
                <w:szCs w:val="22"/>
                <w:lang w:val="sr-Latn-ME"/>
              </w:rPr>
            </w:pPr>
          </w:p>
        </w:tc>
        <w:tc>
          <w:tcPr>
            <w:tcW w:w="1599" w:type="dxa"/>
            <w:tcBorders>
              <w:top w:val="single" w:sz="4" w:space="0" w:color="auto"/>
              <w:left w:val="single" w:sz="8" w:space="0" w:color="000000"/>
              <w:bottom w:val="single" w:sz="4" w:space="0" w:color="auto"/>
              <w:right w:val="single" w:sz="8" w:space="0" w:color="000000"/>
            </w:tcBorders>
          </w:tcPr>
          <w:p w14:paraId="4E17394E" w14:textId="77777777" w:rsidR="00596C07" w:rsidRPr="004500D8" w:rsidRDefault="00596C07" w:rsidP="00596C07">
            <w:pPr>
              <w:widowControl w:val="0"/>
              <w:autoSpaceDE w:val="0"/>
              <w:autoSpaceDN w:val="0"/>
              <w:adjustRightInd w:val="0"/>
              <w:ind w:left="567" w:hanging="567"/>
              <w:jc w:val="center"/>
              <w:rPr>
                <w:sz w:val="22"/>
                <w:szCs w:val="22"/>
                <w:lang w:val="sr-Latn-ME"/>
              </w:rPr>
            </w:pPr>
          </w:p>
        </w:tc>
        <w:tc>
          <w:tcPr>
            <w:tcW w:w="1439" w:type="dxa"/>
            <w:tcBorders>
              <w:top w:val="single" w:sz="4" w:space="0" w:color="auto"/>
              <w:left w:val="single" w:sz="8" w:space="0" w:color="000000"/>
              <w:bottom w:val="single" w:sz="4" w:space="0" w:color="auto"/>
              <w:right w:val="single" w:sz="8" w:space="0" w:color="000000"/>
            </w:tcBorders>
          </w:tcPr>
          <w:p w14:paraId="6BFE4577"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tc>
        <w:tc>
          <w:tcPr>
            <w:tcW w:w="1392" w:type="dxa"/>
            <w:tcBorders>
              <w:top w:val="single" w:sz="4" w:space="0" w:color="auto"/>
              <w:left w:val="single" w:sz="8" w:space="0" w:color="000000"/>
              <w:bottom w:val="single" w:sz="4" w:space="0" w:color="auto"/>
              <w:right w:val="single" w:sz="8" w:space="0" w:color="000000"/>
            </w:tcBorders>
          </w:tcPr>
          <w:p w14:paraId="14BBE829"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tc>
        <w:tc>
          <w:tcPr>
            <w:tcW w:w="1466" w:type="dxa"/>
            <w:tcBorders>
              <w:top w:val="single" w:sz="4" w:space="0" w:color="auto"/>
              <w:left w:val="single" w:sz="8" w:space="0" w:color="000000"/>
              <w:bottom w:val="single" w:sz="4" w:space="0" w:color="auto"/>
              <w:right w:val="single" w:sz="8" w:space="0" w:color="000000"/>
            </w:tcBorders>
          </w:tcPr>
          <w:p w14:paraId="07C61F2D"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tc>
      </w:tr>
      <w:tr w:rsidR="00596C07" w:rsidRPr="004500D8" w14:paraId="31ACC375" w14:textId="77777777" w:rsidTr="00596C07">
        <w:trPr>
          <w:gridAfter w:val="1"/>
          <w:wAfter w:w="18" w:type="dxa"/>
          <w:trHeight w:hRule="exact" w:val="340"/>
        </w:trPr>
        <w:tc>
          <w:tcPr>
            <w:tcW w:w="1283" w:type="dxa"/>
            <w:gridSpan w:val="2"/>
            <w:tcBorders>
              <w:top w:val="single" w:sz="4" w:space="0" w:color="auto"/>
              <w:left w:val="single" w:sz="8" w:space="0" w:color="000000"/>
              <w:bottom w:val="single" w:sz="4" w:space="0" w:color="auto"/>
              <w:right w:val="single" w:sz="8" w:space="0" w:color="000000"/>
            </w:tcBorders>
          </w:tcPr>
          <w:p w14:paraId="53C47C36"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52 nedjelje</w:t>
            </w:r>
          </w:p>
        </w:tc>
        <w:tc>
          <w:tcPr>
            <w:tcW w:w="896" w:type="dxa"/>
            <w:tcBorders>
              <w:top w:val="single" w:sz="4" w:space="0" w:color="auto"/>
              <w:left w:val="single" w:sz="8" w:space="0" w:color="000000"/>
              <w:bottom w:val="single" w:sz="4" w:space="0" w:color="auto"/>
              <w:right w:val="single" w:sz="8" w:space="0" w:color="000000"/>
            </w:tcBorders>
          </w:tcPr>
          <w:p w14:paraId="33DE1236"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27,2 %</w:t>
            </w:r>
          </w:p>
        </w:tc>
        <w:tc>
          <w:tcPr>
            <w:tcW w:w="1030" w:type="dxa"/>
            <w:tcBorders>
              <w:top w:val="single" w:sz="4" w:space="0" w:color="auto"/>
              <w:left w:val="single" w:sz="8" w:space="0" w:color="000000"/>
              <w:bottom w:val="single" w:sz="4" w:space="0" w:color="auto"/>
              <w:right w:val="single" w:sz="8" w:space="0" w:color="000000"/>
            </w:tcBorders>
          </w:tcPr>
          <w:p w14:paraId="696D7F5A"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25,9 %</w:t>
            </w:r>
          </w:p>
        </w:tc>
        <w:tc>
          <w:tcPr>
            <w:tcW w:w="1599" w:type="dxa"/>
            <w:tcBorders>
              <w:top w:val="single" w:sz="4" w:space="0" w:color="auto"/>
              <w:left w:val="single" w:sz="8" w:space="0" w:color="000000"/>
              <w:bottom w:val="single" w:sz="4" w:space="0" w:color="auto"/>
              <w:right w:val="single" w:sz="8" w:space="0" w:color="000000"/>
            </w:tcBorders>
          </w:tcPr>
          <w:p w14:paraId="28BB8274"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45,5 %</w:t>
            </w:r>
          </w:p>
        </w:tc>
        <w:tc>
          <w:tcPr>
            <w:tcW w:w="1439" w:type="dxa"/>
            <w:tcBorders>
              <w:top w:val="single" w:sz="4" w:space="0" w:color="auto"/>
              <w:left w:val="single" w:sz="8" w:space="0" w:color="000000"/>
              <w:bottom w:val="single" w:sz="4" w:space="0" w:color="auto"/>
              <w:right w:val="single" w:sz="8" w:space="0" w:color="000000"/>
            </w:tcBorders>
          </w:tcPr>
          <w:p w14:paraId="3C885F0D"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&lt; 0,001 </w:t>
            </w:r>
          </w:p>
        </w:tc>
        <w:tc>
          <w:tcPr>
            <w:tcW w:w="1392" w:type="dxa"/>
            <w:tcBorders>
              <w:top w:val="single" w:sz="4" w:space="0" w:color="auto"/>
              <w:left w:val="single" w:sz="8" w:space="0" w:color="000000"/>
              <w:bottom w:val="single" w:sz="4" w:space="0" w:color="auto"/>
              <w:right w:val="single" w:sz="8" w:space="0" w:color="000000"/>
            </w:tcBorders>
          </w:tcPr>
          <w:p w14:paraId="56B3576E"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&lt; 0,001 </w:t>
            </w:r>
          </w:p>
        </w:tc>
        <w:tc>
          <w:tcPr>
            <w:tcW w:w="1466" w:type="dxa"/>
            <w:tcBorders>
              <w:top w:val="single" w:sz="4" w:space="0" w:color="auto"/>
              <w:left w:val="single" w:sz="8" w:space="0" w:color="000000"/>
              <w:bottom w:val="single" w:sz="4" w:space="0" w:color="auto"/>
              <w:right w:val="single" w:sz="8" w:space="0" w:color="000000"/>
            </w:tcBorders>
          </w:tcPr>
          <w:p w14:paraId="392DEB68"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0,656 </w:t>
            </w:r>
          </w:p>
        </w:tc>
      </w:tr>
      <w:tr w:rsidR="00596C07" w:rsidRPr="004500D8" w14:paraId="68E7D5C8" w14:textId="77777777" w:rsidTr="00596C07">
        <w:trPr>
          <w:gridAfter w:val="1"/>
          <w:wAfter w:w="18" w:type="dxa"/>
          <w:trHeight w:hRule="exact" w:val="340"/>
        </w:trPr>
        <w:tc>
          <w:tcPr>
            <w:tcW w:w="1283" w:type="dxa"/>
            <w:gridSpan w:val="2"/>
            <w:tcBorders>
              <w:top w:val="single" w:sz="4" w:space="0" w:color="auto"/>
              <w:left w:val="single" w:sz="8" w:space="0" w:color="000000"/>
              <w:bottom w:val="single" w:sz="8" w:space="0" w:color="000000"/>
              <w:right w:val="single" w:sz="8" w:space="0" w:color="000000"/>
            </w:tcBorders>
          </w:tcPr>
          <w:p w14:paraId="4BD32EB4"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104 nedjelje </w:t>
            </w:r>
          </w:p>
        </w:tc>
        <w:tc>
          <w:tcPr>
            <w:tcW w:w="896" w:type="dxa"/>
            <w:tcBorders>
              <w:top w:val="single" w:sz="4" w:space="0" w:color="auto"/>
              <w:left w:val="single" w:sz="8" w:space="0" w:color="000000"/>
              <w:bottom w:val="single" w:sz="8" w:space="0" w:color="000000"/>
              <w:right w:val="single" w:sz="8" w:space="0" w:color="000000"/>
            </w:tcBorders>
          </w:tcPr>
          <w:p w14:paraId="7FB38900"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28,4 %</w:t>
            </w:r>
          </w:p>
        </w:tc>
        <w:tc>
          <w:tcPr>
            <w:tcW w:w="1030" w:type="dxa"/>
            <w:tcBorders>
              <w:top w:val="single" w:sz="4" w:space="0" w:color="auto"/>
              <w:left w:val="single" w:sz="8" w:space="0" w:color="000000"/>
              <w:bottom w:val="single" w:sz="8" w:space="0" w:color="000000"/>
              <w:right w:val="single" w:sz="8" w:space="0" w:color="000000"/>
            </w:tcBorders>
          </w:tcPr>
          <w:p w14:paraId="259BCE7F"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28,1 %</w:t>
            </w:r>
          </w:p>
        </w:tc>
        <w:tc>
          <w:tcPr>
            <w:tcW w:w="1599" w:type="dxa"/>
            <w:tcBorders>
              <w:top w:val="single" w:sz="4" w:space="0" w:color="auto"/>
              <w:left w:val="single" w:sz="8" w:space="0" w:color="000000"/>
              <w:bottom w:val="single" w:sz="8" w:space="0" w:color="000000"/>
              <w:right w:val="single" w:sz="8" w:space="0" w:color="000000"/>
            </w:tcBorders>
          </w:tcPr>
          <w:p w14:paraId="654D9D99"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46,6 %</w:t>
            </w:r>
          </w:p>
        </w:tc>
        <w:tc>
          <w:tcPr>
            <w:tcW w:w="1439" w:type="dxa"/>
            <w:tcBorders>
              <w:top w:val="single" w:sz="4" w:space="0" w:color="auto"/>
              <w:left w:val="single" w:sz="8" w:space="0" w:color="000000"/>
              <w:bottom w:val="single" w:sz="8" w:space="0" w:color="000000"/>
              <w:right w:val="single" w:sz="8" w:space="0" w:color="000000"/>
            </w:tcBorders>
          </w:tcPr>
          <w:p w14:paraId="6DA3F103"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&lt; 0,001 </w:t>
            </w:r>
          </w:p>
        </w:tc>
        <w:tc>
          <w:tcPr>
            <w:tcW w:w="1392" w:type="dxa"/>
            <w:tcBorders>
              <w:top w:val="single" w:sz="4" w:space="0" w:color="auto"/>
              <w:left w:val="single" w:sz="8" w:space="0" w:color="000000"/>
              <w:bottom w:val="single" w:sz="8" w:space="0" w:color="000000"/>
              <w:right w:val="single" w:sz="8" w:space="0" w:color="000000"/>
            </w:tcBorders>
          </w:tcPr>
          <w:p w14:paraId="4561F8A6"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&lt; 0,001 </w:t>
            </w:r>
          </w:p>
        </w:tc>
        <w:tc>
          <w:tcPr>
            <w:tcW w:w="1466" w:type="dxa"/>
            <w:tcBorders>
              <w:top w:val="single" w:sz="4" w:space="0" w:color="auto"/>
              <w:left w:val="single" w:sz="8" w:space="0" w:color="000000"/>
              <w:bottom w:val="single" w:sz="8" w:space="0" w:color="000000"/>
              <w:right w:val="single" w:sz="8" w:space="0" w:color="000000"/>
            </w:tcBorders>
          </w:tcPr>
          <w:p w14:paraId="5A8CDC2F"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0,864 </w:t>
            </w:r>
          </w:p>
        </w:tc>
      </w:tr>
      <w:tr w:rsidR="00596C07" w:rsidRPr="004500D8" w14:paraId="3BBAB2B9" w14:textId="77777777" w:rsidTr="00596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4A0" w:firstRow="1" w:lastRow="0" w:firstColumn="1" w:lastColumn="0" w:noHBand="0" w:noVBand="1"/>
        </w:tblPrEx>
        <w:trPr>
          <w:gridBefore w:val="1"/>
          <w:wBefore w:w="10" w:type="dxa"/>
        </w:trPr>
        <w:tc>
          <w:tcPr>
            <w:tcW w:w="9113" w:type="dxa"/>
            <w:gridSpan w:val="8"/>
            <w:shd w:val="clear" w:color="auto" w:fill="auto"/>
          </w:tcPr>
          <w:p w14:paraId="21014A47" w14:textId="6AFD95B0" w:rsidR="00596C07" w:rsidRPr="004500D8" w:rsidRDefault="00596C07" w:rsidP="00596C07">
            <w:pPr>
              <w:widowControl w:val="0"/>
              <w:autoSpaceDE w:val="0"/>
              <w:autoSpaceDN w:val="0"/>
              <w:adjustRightInd w:val="0"/>
              <w:rPr>
                <w:sz w:val="22"/>
                <w:szCs w:val="22"/>
                <w:lang w:val="sr-Latn-ME"/>
              </w:rPr>
            </w:pPr>
            <w:r w:rsidRPr="003B242C">
              <w:rPr>
                <w:sz w:val="22"/>
                <w:szCs w:val="22"/>
                <w:vertAlign w:val="superscript"/>
                <w:lang w:val="sr-Latn-ME"/>
              </w:rPr>
              <w:t>a</w:t>
            </w:r>
            <w:r w:rsidRPr="004500D8">
              <w:rPr>
                <w:sz w:val="22"/>
                <w:szCs w:val="22"/>
                <w:lang w:val="sr-Latn-ME"/>
              </w:rPr>
              <w:t>p vrijednost dobijena poređenjem monoterapije metotreksatom i kombinovane terapije lijekom Humira i metotreksatom uz primjenu Mann-Whitney U testa</w:t>
            </w:r>
          </w:p>
          <w:p w14:paraId="46A114C2" w14:textId="324E042D" w:rsidR="00A7113D" w:rsidRPr="004500D8" w:rsidRDefault="00596C07" w:rsidP="00596C07">
            <w:pPr>
              <w:widowControl w:val="0"/>
              <w:autoSpaceDE w:val="0"/>
              <w:autoSpaceDN w:val="0"/>
              <w:adjustRightInd w:val="0"/>
              <w:rPr>
                <w:sz w:val="22"/>
                <w:szCs w:val="22"/>
                <w:lang w:val="sr-Latn-ME"/>
              </w:rPr>
            </w:pPr>
            <w:r w:rsidRPr="003B242C">
              <w:rPr>
                <w:sz w:val="22"/>
                <w:szCs w:val="22"/>
                <w:vertAlign w:val="superscript"/>
                <w:lang w:val="sr-Latn-ME"/>
              </w:rPr>
              <w:t>b</w:t>
            </w:r>
            <w:r w:rsidRPr="004500D8">
              <w:rPr>
                <w:sz w:val="22"/>
                <w:szCs w:val="22"/>
                <w:lang w:val="sr-Latn-ME"/>
              </w:rPr>
              <w:t>p vrijednost dobijena poređenjem monoterapije lijekom Humira i kombinovane terapije lijekom Humira i metotreksatom uz primjenu Mann-Whitney U testa</w:t>
            </w:r>
          </w:p>
          <w:p w14:paraId="7D297D59" w14:textId="7602FE06" w:rsidR="00596C07" w:rsidRPr="004500D8" w:rsidRDefault="00A7113D" w:rsidP="00596C07">
            <w:pPr>
              <w:widowControl w:val="0"/>
              <w:autoSpaceDE w:val="0"/>
              <w:autoSpaceDN w:val="0"/>
              <w:adjustRightInd w:val="0"/>
              <w:rPr>
                <w:position w:val="8"/>
                <w:sz w:val="22"/>
                <w:szCs w:val="22"/>
                <w:vertAlign w:val="superscript"/>
                <w:lang w:val="sr-Latn-ME"/>
              </w:rPr>
            </w:pPr>
            <w:r w:rsidRPr="003B242C">
              <w:rPr>
                <w:sz w:val="22"/>
                <w:szCs w:val="22"/>
                <w:vertAlign w:val="superscript"/>
                <w:lang w:val="sr-Latn-ME"/>
              </w:rPr>
              <w:t>c</w:t>
            </w:r>
            <w:r w:rsidR="00596C07" w:rsidRPr="004500D8">
              <w:rPr>
                <w:sz w:val="22"/>
                <w:szCs w:val="22"/>
                <w:lang w:val="sr-Latn-ME"/>
              </w:rPr>
              <w:t>p vrijednost dobijena poređenjem monoterapije lijekom Humira i monoterapije metotreksatom uz primjenu Mann-Whitney U testa</w:t>
            </w:r>
          </w:p>
        </w:tc>
      </w:tr>
    </w:tbl>
    <w:p w14:paraId="0467328F" w14:textId="77777777" w:rsidR="00596C07" w:rsidRPr="004500D8" w:rsidRDefault="00596C07" w:rsidP="00596C07">
      <w:pPr>
        <w:widowControl w:val="0"/>
        <w:autoSpaceDE w:val="0"/>
        <w:autoSpaceDN w:val="0"/>
        <w:adjustRightInd w:val="0"/>
        <w:rPr>
          <w:sz w:val="22"/>
          <w:szCs w:val="22"/>
          <w:lang w:val="sr-Latn-ME"/>
        </w:rPr>
      </w:pPr>
    </w:p>
    <w:p w14:paraId="060B5924"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 otvorenom produžetku studije RA V, stope ACR odgovora održale su se tokom praćenja u trajanju do 10 godina. Od 542 pacijenta randomizovana za primanje lijeka Humira u dozi od 40 mg svake dvije nedjelje, njih 170 je nastavilo liječenje lijekom Humira u dozi od 40 mg svake druge nedjelje tokom 10 godina. Među njima, 154 pacijenta (90,6%) je imalo odgovor ACR 20, 127 pacijenata (74,7%) je imalo odgovor ACR 50, a 102 pacijenta (60,0%) je imalo odgovor ACR 70.</w:t>
      </w:r>
    </w:p>
    <w:p w14:paraId="7C676E99" w14:textId="77777777" w:rsidR="00596C07" w:rsidRPr="004500D8" w:rsidRDefault="00596C07" w:rsidP="00596C07">
      <w:pPr>
        <w:widowControl w:val="0"/>
        <w:autoSpaceDE w:val="0"/>
        <w:autoSpaceDN w:val="0"/>
        <w:adjustRightInd w:val="0"/>
        <w:jc w:val="both"/>
        <w:rPr>
          <w:sz w:val="22"/>
          <w:szCs w:val="22"/>
          <w:lang w:val="sr-Latn-ME"/>
        </w:rPr>
      </w:pPr>
    </w:p>
    <w:p w14:paraId="270AF073"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Nakon 52 nedjelje liječenja, klinička remisija (DAS28 (CRP)&lt; 2,6) postignuta je kod 42,9 % pacijenata liječenih kombinacijom lijeka Humira i metotreksata u poređenju sa 20,6 % pacijenata koji su dobijali monoterapiju metotreksatom, odnosno 23,4 % pacijenata koji su dobili monoterapiju lijekom Humira. Kombinovana primjena lijeka Humira i metotreksata pokazala se klinički i statistički efikasnijom od monoterapije metotreksatom (p &lt; 0,001) i lijekom Humira (p &lt; 0,001) u suzbijanju simptoma bolesti kod pacijenata s nedavno dijagnostikovanim umjereno teškim do teškim reumatoidnim artritisom. Terapijski odgovor pacijenata liječenih monoterapijom bio je sličan (p=0,447). Od 342 ispitanika, inicijalno randomizovanih za monoterapiju lijekom Humira ili za liječenje kombinacijom lijeka Humira i metotreksata, koji su ušli u otvoreni produžetak studije, njih 171 je završilo desetogodišnje liječenje lijekom Humira. Među njima, kod 109 ispitanika (63,7%) stopa kliničke remisije je zadržana tokom 10 godina.</w:t>
      </w:r>
    </w:p>
    <w:p w14:paraId="69B731D5" w14:textId="77777777" w:rsidR="00596C07" w:rsidRPr="004500D8" w:rsidRDefault="00596C07" w:rsidP="00596C07">
      <w:pPr>
        <w:widowControl w:val="0"/>
        <w:autoSpaceDE w:val="0"/>
        <w:autoSpaceDN w:val="0"/>
        <w:adjustRightInd w:val="0"/>
        <w:jc w:val="both"/>
        <w:rPr>
          <w:sz w:val="22"/>
          <w:szCs w:val="22"/>
          <w:lang w:val="sr-Latn-ME"/>
        </w:rPr>
      </w:pPr>
    </w:p>
    <w:p w14:paraId="33FFB237" w14:textId="77777777" w:rsidR="00596C07" w:rsidRPr="004500D8" w:rsidRDefault="00596C07" w:rsidP="00596C07">
      <w:pPr>
        <w:widowControl w:val="0"/>
        <w:autoSpaceDE w:val="0"/>
        <w:autoSpaceDN w:val="0"/>
        <w:adjustRightInd w:val="0"/>
        <w:jc w:val="both"/>
        <w:rPr>
          <w:i/>
          <w:sz w:val="22"/>
          <w:szCs w:val="22"/>
          <w:u w:val="single"/>
          <w:lang w:val="sr-Latn-ME"/>
        </w:rPr>
      </w:pPr>
      <w:r w:rsidRPr="004500D8">
        <w:rPr>
          <w:i/>
          <w:sz w:val="22"/>
          <w:szCs w:val="22"/>
          <w:u w:val="single"/>
          <w:lang w:val="sr-Latn-ME"/>
        </w:rPr>
        <w:t>Radiološki odgovor</w:t>
      </w:r>
    </w:p>
    <w:p w14:paraId="7364A8CA" w14:textId="77777777" w:rsidR="00596C07" w:rsidRPr="004500D8" w:rsidRDefault="00596C07" w:rsidP="00596C07">
      <w:pPr>
        <w:widowControl w:val="0"/>
        <w:autoSpaceDE w:val="0"/>
        <w:autoSpaceDN w:val="0"/>
        <w:adjustRightInd w:val="0"/>
        <w:jc w:val="both"/>
        <w:rPr>
          <w:sz w:val="22"/>
          <w:szCs w:val="22"/>
          <w:lang w:val="sr-Latn-ME"/>
        </w:rPr>
      </w:pPr>
    </w:p>
    <w:p w14:paraId="77AC5227" w14:textId="5C0C614D"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 RA ispitivanju III u kojem je prosječno trajanje reumatoidnog artritisa kod pacijenata liječenih lijekom Humira bilo 11 godina, strukturno oštećenje zglobova procjenjivano je radiološki, a stepen oštećenja izražen je promjenom ukupnog zbira bodova po modifikovano</w:t>
      </w:r>
      <w:r w:rsidR="00E75926" w:rsidRPr="004500D8">
        <w:rPr>
          <w:sz w:val="22"/>
          <w:szCs w:val="22"/>
          <w:lang w:val="sr-Latn-ME"/>
        </w:rPr>
        <w:t>j</w:t>
      </w:r>
      <w:r w:rsidRPr="004500D8">
        <w:rPr>
          <w:sz w:val="22"/>
          <w:szCs w:val="22"/>
          <w:lang w:val="sr-Latn-ME"/>
        </w:rPr>
        <w:t xml:space="preserve"> </w:t>
      </w:r>
      <w:r w:rsidR="00E75926" w:rsidRPr="004500D8">
        <w:rPr>
          <w:sz w:val="22"/>
          <w:szCs w:val="22"/>
          <w:lang w:val="sr-Latn-ME"/>
        </w:rPr>
        <w:t xml:space="preserve">ljestvici po </w:t>
      </w:r>
      <w:r w:rsidRPr="004500D8">
        <w:rPr>
          <w:sz w:val="22"/>
          <w:szCs w:val="22"/>
          <w:lang w:val="sr-Latn-ME"/>
        </w:rPr>
        <w:t>Sharp-u (</w:t>
      </w:r>
      <w:r w:rsidRPr="004500D8">
        <w:rPr>
          <w:i/>
          <w:sz w:val="22"/>
          <w:szCs w:val="22"/>
          <w:lang w:val="sr-Latn-ME"/>
        </w:rPr>
        <w:t>Total Sharp Score</w:t>
      </w:r>
      <w:r w:rsidRPr="004500D8">
        <w:rPr>
          <w:sz w:val="22"/>
          <w:szCs w:val="22"/>
          <w:lang w:val="sr-Latn-ME"/>
        </w:rPr>
        <w:t xml:space="preserve"> - TSS) i njegovih komponenti, stepenu erozije zglobnih hrskavica i suženju zglobnih prostora. Radiološki nalazi kod pacijenata liječenih kombinacijom lijeka Humira i metotreksata su nakon 6 i 12 mjeseci pokazali su znatno manje napredovanje strukturnih oštećenja zglobova nego kod pacijenata liječenih samo metotreksatom (vidjeti Tabelu </w:t>
      </w:r>
      <w:r w:rsidR="00E75926" w:rsidRPr="004500D8">
        <w:rPr>
          <w:sz w:val="22"/>
          <w:szCs w:val="22"/>
          <w:lang w:val="sr-Latn-ME"/>
        </w:rPr>
        <w:t>7</w:t>
      </w:r>
      <w:r w:rsidRPr="004500D8">
        <w:rPr>
          <w:sz w:val="22"/>
          <w:szCs w:val="22"/>
          <w:lang w:val="sr-Latn-ME"/>
        </w:rPr>
        <w:t xml:space="preserve">). </w:t>
      </w:r>
    </w:p>
    <w:p w14:paraId="28D89D47" w14:textId="77777777" w:rsidR="00596C07" w:rsidRPr="004500D8" w:rsidRDefault="00596C07" w:rsidP="00596C07">
      <w:pPr>
        <w:widowControl w:val="0"/>
        <w:autoSpaceDE w:val="0"/>
        <w:autoSpaceDN w:val="0"/>
        <w:adjustRightInd w:val="0"/>
        <w:jc w:val="both"/>
        <w:rPr>
          <w:sz w:val="22"/>
          <w:szCs w:val="22"/>
          <w:lang w:val="sr-Latn-ME"/>
        </w:rPr>
      </w:pPr>
    </w:p>
    <w:p w14:paraId="1916710E" w14:textId="61FDA229"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Podaci iz </w:t>
      </w:r>
      <w:r w:rsidRPr="004500D8">
        <w:rPr>
          <w:iCs/>
          <w:sz w:val="22"/>
          <w:szCs w:val="22"/>
          <w:lang w:val="sr-Latn-ME"/>
        </w:rPr>
        <w:t xml:space="preserve">otvorenog produženog </w:t>
      </w:r>
      <w:r w:rsidRPr="004500D8">
        <w:rPr>
          <w:sz w:val="22"/>
          <w:szCs w:val="22"/>
          <w:lang w:val="sr-Latn-ME"/>
        </w:rPr>
        <w:t xml:space="preserve">dijela RA ispitivanja III pokazuju da je smanjenje stepena strukturnog oštećenja kod određenog dijela pacijenata održano kroz 8-10 godina. Među pacijentima koji su </w:t>
      </w:r>
      <w:r w:rsidRPr="004500D8">
        <w:rPr>
          <w:sz w:val="22"/>
          <w:szCs w:val="22"/>
          <w:lang w:val="sr-Latn-ME"/>
        </w:rPr>
        <w:lastRenderedPageBreak/>
        <w:t>prvobitno liječeni lijekom Humira 40 mg svake druge nedjelje (njih 81 od 207), urađena je radiografska kontrola nakon 8 godina. Njih 48 nije imalo znakove progresije strukturnog oštećenja, definisane kao promjena početne vrijednosti mTSS jednaka 0,5 ili manje. Među pacijentima koji su prvobitno bili liječeni lijekom Humira 40 mg svake druge nedjelje (njih 79 od 207), urađena je radiološk</w:t>
      </w:r>
      <w:r w:rsidR="00C31A67" w:rsidRPr="004500D8">
        <w:rPr>
          <w:sz w:val="22"/>
          <w:szCs w:val="22"/>
          <w:lang w:val="sr-Latn-ME"/>
        </w:rPr>
        <w:t xml:space="preserve">a </w:t>
      </w:r>
      <w:r w:rsidRPr="004500D8">
        <w:rPr>
          <w:sz w:val="22"/>
          <w:szCs w:val="22"/>
          <w:lang w:val="sr-Latn-ME"/>
        </w:rPr>
        <w:t>kontrola nakon 10 godina. Njih 40 nije imalo znakove progresije strukturnog oštećenja, definisane kao promjena početne vrijednosti mTSS jednaka 0,5 ili manje.</w:t>
      </w:r>
    </w:p>
    <w:p w14:paraId="0CFBEBC6" w14:textId="77777777" w:rsidR="00596C07" w:rsidRPr="004500D8" w:rsidRDefault="00596C07" w:rsidP="00596C07">
      <w:pPr>
        <w:widowControl w:val="0"/>
        <w:autoSpaceDE w:val="0"/>
        <w:autoSpaceDN w:val="0"/>
        <w:adjustRightInd w:val="0"/>
        <w:jc w:val="both"/>
        <w:rPr>
          <w:sz w:val="22"/>
          <w:szCs w:val="22"/>
          <w:lang w:val="sr-Latn-ME"/>
        </w:rPr>
      </w:pPr>
    </w:p>
    <w:p w14:paraId="3790BB8F" w14:textId="77777777" w:rsidR="00596C07" w:rsidRPr="004500D8" w:rsidRDefault="00596C07" w:rsidP="00596C07">
      <w:pPr>
        <w:widowControl w:val="0"/>
        <w:autoSpaceDE w:val="0"/>
        <w:autoSpaceDN w:val="0"/>
        <w:adjustRightInd w:val="0"/>
        <w:ind w:left="567" w:hanging="567"/>
        <w:jc w:val="center"/>
        <w:rPr>
          <w:b/>
          <w:bCs/>
          <w:sz w:val="22"/>
          <w:szCs w:val="22"/>
          <w:lang w:val="sr-Latn-ME"/>
        </w:rPr>
      </w:pPr>
      <w:r w:rsidRPr="004500D8">
        <w:rPr>
          <w:b/>
          <w:bCs/>
          <w:sz w:val="22"/>
          <w:szCs w:val="22"/>
          <w:lang w:val="sr-Latn-ME"/>
        </w:rPr>
        <w:t>Tabela 7. Radiološke promjene tokom 12 mjeseci u RA ispitivanju III</w:t>
      </w:r>
    </w:p>
    <w:p w14:paraId="4678325E"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tbl>
      <w:tblPr>
        <w:tblW w:w="9356" w:type="dxa"/>
        <w:tblInd w:w="250" w:type="dxa"/>
        <w:tblLayout w:type="fixed"/>
        <w:tblLook w:val="0000" w:firstRow="0" w:lastRow="0" w:firstColumn="0" w:lastColumn="0" w:noHBand="0" w:noVBand="0"/>
      </w:tblPr>
      <w:tblGrid>
        <w:gridCol w:w="2693"/>
        <w:gridCol w:w="1276"/>
        <w:gridCol w:w="1701"/>
        <w:gridCol w:w="2410"/>
        <w:gridCol w:w="1276"/>
      </w:tblGrid>
      <w:tr w:rsidR="00596C07" w:rsidRPr="004500D8" w14:paraId="12B0B365" w14:textId="77777777" w:rsidTr="00596C07">
        <w:trPr>
          <w:trHeight w:val="755"/>
        </w:trPr>
        <w:tc>
          <w:tcPr>
            <w:tcW w:w="2693" w:type="dxa"/>
            <w:tcBorders>
              <w:top w:val="single" w:sz="8" w:space="0" w:color="000000"/>
              <w:left w:val="single" w:sz="8" w:space="0" w:color="000000"/>
              <w:bottom w:val="single" w:sz="8" w:space="0" w:color="000000"/>
              <w:right w:val="single" w:sz="8" w:space="0" w:color="000000"/>
            </w:tcBorders>
          </w:tcPr>
          <w:p w14:paraId="0C311CB0"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tc>
        <w:tc>
          <w:tcPr>
            <w:tcW w:w="1276" w:type="dxa"/>
            <w:tcBorders>
              <w:top w:val="single" w:sz="8" w:space="0" w:color="000000"/>
              <w:left w:val="single" w:sz="8" w:space="0" w:color="000000"/>
              <w:bottom w:val="single" w:sz="8" w:space="0" w:color="000000"/>
              <w:right w:val="single" w:sz="8" w:space="0" w:color="000000"/>
            </w:tcBorders>
          </w:tcPr>
          <w:p w14:paraId="53264BED" w14:textId="77777777" w:rsidR="00596C07" w:rsidRPr="004500D8" w:rsidRDefault="00596C07" w:rsidP="00596C07">
            <w:pPr>
              <w:widowControl w:val="0"/>
              <w:autoSpaceDE w:val="0"/>
              <w:autoSpaceDN w:val="0"/>
              <w:adjustRightInd w:val="0"/>
              <w:jc w:val="center"/>
              <w:rPr>
                <w:sz w:val="22"/>
                <w:szCs w:val="22"/>
                <w:lang w:val="sr-Latn-ME"/>
              </w:rPr>
            </w:pPr>
            <w:r w:rsidRPr="004500D8">
              <w:rPr>
                <w:sz w:val="22"/>
                <w:szCs w:val="22"/>
                <w:lang w:val="sr-Latn-ME"/>
              </w:rPr>
              <w:t>Placebo/ MTX</w:t>
            </w:r>
            <w:r w:rsidRPr="004500D8">
              <w:rPr>
                <w:position w:val="8"/>
                <w:sz w:val="22"/>
                <w:szCs w:val="22"/>
                <w:vertAlign w:val="superscript"/>
                <w:lang w:val="sr-Latn-ME"/>
              </w:rPr>
              <w:t>a</w:t>
            </w:r>
          </w:p>
        </w:tc>
        <w:tc>
          <w:tcPr>
            <w:tcW w:w="1701" w:type="dxa"/>
            <w:tcBorders>
              <w:top w:val="single" w:sz="8" w:space="0" w:color="000000"/>
              <w:left w:val="single" w:sz="8" w:space="0" w:color="000000"/>
              <w:bottom w:val="single" w:sz="8" w:space="0" w:color="000000"/>
              <w:right w:val="single" w:sz="8" w:space="0" w:color="000000"/>
            </w:tcBorders>
          </w:tcPr>
          <w:p w14:paraId="7F3BA194" w14:textId="77777777" w:rsidR="00596C07" w:rsidRPr="004500D8" w:rsidRDefault="00596C07" w:rsidP="00596C07">
            <w:pPr>
              <w:widowControl w:val="0"/>
              <w:autoSpaceDE w:val="0"/>
              <w:autoSpaceDN w:val="0"/>
              <w:adjustRightInd w:val="0"/>
              <w:jc w:val="center"/>
              <w:rPr>
                <w:sz w:val="22"/>
                <w:szCs w:val="22"/>
                <w:lang w:val="sr-Latn-ME"/>
              </w:rPr>
            </w:pPr>
            <w:r w:rsidRPr="004500D8">
              <w:rPr>
                <w:sz w:val="22"/>
                <w:szCs w:val="22"/>
                <w:lang w:val="sr-Latn-ME"/>
              </w:rPr>
              <w:t xml:space="preserve">Humira/MTX </w:t>
            </w:r>
          </w:p>
          <w:p w14:paraId="2DB2ACD8" w14:textId="77777777" w:rsidR="00596C07" w:rsidRPr="004500D8" w:rsidRDefault="00596C07" w:rsidP="00596C07">
            <w:pPr>
              <w:widowControl w:val="0"/>
              <w:autoSpaceDE w:val="0"/>
              <w:autoSpaceDN w:val="0"/>
              <w:adjustRightInd w:val="0"/>
              <w:jc w:val="center"/>
              <w:rPr>
                <w:sz w:val="22"/>
                <w:szCs w:val="22"/>
                <w:lang w:val="sr-Latn-ME"/>
              </w:rPr>
            </w:pPr>
            <w:r w:rsidRPr="004500D8">
              <w:rPr>
                <w:sz w:val="22"/>
                <w:szCs w:val="22"/>
                <w:lang w:val="sr-Latn-ME"/>
              </w:rPr>
              <w:t xml:space="preserve">40 mg svake druge nedjelje </w:t>
            </w:r>
          </w:p>
        </w:tc>
        <w:tc>
          <w:tcPr>
            <w:tcW w:w="2410" w:type="dxa"/>
            <w:tcBorders>
              <w:top w:val="single" w:sz="8" w:space="0" w:color="000000"/>
              <w:left w:val="single" w:sz="8" w:space="0" w:color="000000"/>
              <w:bottom w:val="single" w:sz="8" w:space="0" w:color="000000"/>
              <w:right w:val="single" w:sz="8" w:space="0" w:color="000000"/>
            </w:tcBorders>
          </w:tcPr>
          <w:p w14:paraId="3A9D9A88" w14:textId="77777777" w:rsidR="00596C07" w:rsidRPr="004500D8" w:rsidRDefault="00596C07" w:rsidP="00596C07">
            <w:pPr>
              <w:widowControl w:val="0"/>
              <w:autoSpaceDE w:val="0"/>
              <w:autoSpaceDN w:val="0"/>
              <w:adjustRightInd w:val="0"/>
              <w:jc w:val="center"/>
              <w:rPr>
                <w:sz w:val="22"/>
                <w:szCs w:val="22"/>
                <w:lang w:val="sr-Latn-ME"/>
              </w:rPr>
            </w:pPr>
            <w:r w:rsidRPr="004500D8">
              <w:rPr>
                <w:sz w:val="22"/>
                <w:szCs w:val="22"/>
                <w:lang w:val="sr-Latn-ME"/>
              </w:rPr>
              <w:t xml:space="preserve">Placebo/MTX - Humira/MTX </w:t>
            </w:r>
          </w:p>
          <w:p w14:paraId="4B3E38DC" w14:textId="77777777" w:rsidR="00596C07" w:rsidRPr="004500D8" w:rsidRDefault="00596C07" w:rsidP="00596C07">
            <w:pPr>
              <w:widowControl w:val="0"/>
              <w:autoSpaceDE w:val="0"/>
              <w:autoSpaceDN w:val="0"/>
              <w:adjustRightInd w:val="0"/>
              <w:jc w:val="center"/>
              <w:rPr>
                <w:sz w:val="22"/>
                <w:szCs w:val="22"/>
                <w:lang w:val="sr-Latn-ME"/>
              </w:rPr>
            </w:pPr>
            <w:r w:rsidRPr="004500D8">
              <w:rPr>
                <w:sz w:val="22"/>
                <w:szCs w:val="22"/>
                <w:lang w:val="sr-Latn-ME"/>
              </w:rPr>
              <w:t>(interval pouzdanosti od 95 %</w:t>
            </w:r>
            <w:r w:rsidRPr="004500D8">
              <w:rPr>
                <w:position w:val="8"/>
                <w:sz w:val="22"/>
                <w:szCs w:val="22"/>
                <w:vertAlign w:val="superscript"/>
                <w:lang w:val="sr-Latn-ME"/>
              </w:rPr>
              <w:t>b</w:t>
            </w:r>
            <w:r w:rsidRPr="004500D8">
              <w:rPr>
                <w:sz w:val="22"/>
                <w:szCs w:val="22"/>
                <w:lang w:val="sr-Latn-ME"/>
              </w:rPr>
              <w:t xml:space="preserve">) </w:t>
            </w:r>
          </w:p>
        </w:tc>
        <w:tc>
          <w:tcPr>
            <w:tcW w:w="1276" w:type="dxa"/>
            <w:tcBorders>
              <w:top w:val="single" w:sz="8" w:space="0" w:color="000000"/>
              <w:left w:val="single" w:sz="8" w:space="0" w:color="000000"/>
              <w:bottom w:val="single" w:sz="8" w:space="0" w:color="000000"/>
              <w:right w:val="single" w:sz="8" w:space="0" w:color="000000"/>
            </w:tcBorders>
          </w:tcPr>
          <w:p w14:paraId="2D182784" w14:textId="77777777" w:rsidR="00596C07" w:rsidRPr="004500D8" w:rsidRDefault="00596C07" w:rsidP="00596C07">
            <w:pPr>
              <w:widowControl w:val="0"/>
              <w:autoSpaceDE w:val="0"/>
              <w:autoSpaceDN w:val="0"/>
              <w:adjustRightInd w:val="0"/>
              <w:jc w:val="center"/>
              <w:rPr>
                <w:sz w:val="22"/>
                <w:szCs w:val="22"/>
                <w:lang w:val="sr-Latn-ME"/>
              </w:rPr>
            </w:pPr>
            <w:r w:rsidRPr="004500D8">
              <w:rPr>
                <w:sz w:val="22"/>
                <w:szCs w:val="22"/>
                <w:lang w:val="sr-Latn-ME"/>
              </w:rPr>
              <w:t>p vrijednost</w:t>
            </w:r>
          </w:p>
        </w:tc>
      </w:tr>
      <w:tr w:rsidR="00596C07" w:rsidRPr="004500D8" w14:paraId="527883B5" w14:textId="77777777" w:rsidTr="003B242C">
        <w:trPr>
          <w:trHeight w:hRule="exact" w:val="903"/>
        </w:trPr>
        <w:tc>
          <w:tcPr>
            <w:tcW w:w="2693" w:type="dxa"/>
            <w:tcBorders>
              <w:top w:val="single" w:sz="8" w:space="0" w:color="000000"/>
              <w:left w:val="single" w:sz="8" w:space="0" w:color="000000"/>
              <w:bottom w:val="single" w:sz="8" w:space="0" w:color="000000"/>
              <w:right w:val="single" w:sz="8" w:space="0" w:color="000000"/>
            </w:tcBorders>
          </w:tcPr>
          <w:p w14:paraId="79591620" w14:textId="77777777" w:rsidR="00596C07" w:rsidRPr="004500D8" w:rsidRDefault="00596C07" w:rsidP="00596C07">
            <w:pPr>
              <w:widowControl w:val="0"/>
              <w:autoSpaceDE w:val="0"/>
              <w:autoSpaceDN w:val="0"/>
              <w:adjustRightInd w:val="0"/>
              <w:rPr>
                <w:sz w:val="22"/>
                <w:szCs w:val="22"/>
                <w:lang w:val="sr-Latn-ME"/>
              </w:rPr>
            </w:pPr>
            <w:r w:rsidRPr="004500D8">
              <w:rPr>
                <w:sz w:val="22"/>
                <w:szCs w:val="22"/>
                <w:lang w:val="sr-Latn-ME"/>
              </w:rPr>
              <w:t xml:space="preserve">ukupan zbir bodova po Sharp-u </w:t>
            </w:r>
          </w:p>
          <w:p w14:paraId="1FDEE543" w14:textId="16CAB39C" w:rsidR="00C31A67" w:rsidRPr="004500D8" w:rsidRDefault="00C31A67" w:rsidP="00596C07">
            <w:pPr>
              <w:widowControl w:val="0"/>
              <w:autoSpaceDE w:val="0"/>
              <w:autoSpaceDN w:val="0"/>
              <w:adjustRightInd w:val="0"/>
              <w:rPr>
                <w:sz w:val="22"/>
                <w:szCs w:val="22"/>
                <w:lang w:val="sr-Latn-ME"/>
              </w:rPr>
            </w:pPr>
          </w:p>
        </w:tc>
        <w:tc>
          <w:tcPr>
            <w:tcW w:w="1276" w:type="dxa"/>
            <w:tcBorders>
              <w:top w:val="single" w:sz="8" w:space="0" w:color="000000"/>
              <w:left w:val="single" w:sz="8" w:space="0" w:color="000000"/>
              <w:bottom w:val="single" w:sz="8" w:space="0" w:color="000000"/>
              <w:right w:val="single" w:sz="8" w:space="0" w:color="000000"/>
            </w:tcBorders>
          </w:tcPr>
          <w:p w14:paraId="450DFE53"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 xml:space="preserve">2,7 </w:t>
            </w:r>
          </w:p>
        </w:tc>
        <w:tc>
          <w:tcPr>
            <w:tcW w:w="1701" w:type="dxa"/>
            <w:tcBorders>
              <w:top w:val="single" w:sz="8" w:space="0" w:color="000000"/>
              <w:left w:val="single" w:sz="8" w:space="0" w:color="000000"/>
              <w:bottom w:val="single" w:sz="8" w:space="0" w:color="000000"/>
              <w:right w:val="single" w:sz="8" w:space="0" w:color="000000"/>
            </w:tcBorders>
          </w:tcPr>
          <w:p w14:paraId="44E29ED4"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 xml:space="preserve">0,1 </w:t>
            </w:r>
          </w:p>
        </w:tc>
        <w:tc>
          <w:tcPr>
            <w:tcW w:w="2410" w:type="dxa"/>
            <w:tcBorders>
              <w:top w:val="single" w:sz="8" w:space="0" w:color="000000"/>
              <w:left w:val="single" w:sz="8" w:space="0" w:color="000000"/>
              <w:bottom w:val="single" w:sz="8" w:space="0" w:color="000000"/>
              <w:right w:val="single" w:sz="8" w:space="0" w:color="000000"/>
            </w:tcBorders>
          </w:tcPr>
          <w:p w14:paraId="44F3FB57"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 xml:space="preserve">2,6 (1,4; 3,8) </w:t>
            </w:r>
          </w:p>
        </w:tc>
        <w:tc>
          <w:tcPr>
            <w:tcW w:w="1276" w:type="dxa"/>
            <w:tcBorders>
              <w:top w:val="single" w:sz="8" w:space="0" w:color="000000"/>
              <w:left w:val="single" w:sz="8" w:space="0" w:color="000000"/>
              <w:bottom w:val="single" w:sz="8" w:space="0" w:color="000000"/>
              <w:right w:val="single" w:sz="8" w:space="0" w:color="000000"/>
            </w:tcBorders>
          </w:tcPr>
          <w:p w14:paraId="5EFE07A7"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&lt; 0,001</w:t>
            </w:r>
            <w:r w:rsidRPr="004500D8">
              <w:rPr>
                <w:position w:val="8"/>
                <w:sz w:val="22"/>
                <w:szCs w:val="22"/>
                <w:vertAlign w:val="superscript"/>
                <w:lang w:val="sr-Latn-ME"/>
              </w:rPr>
              <w:t>c</w:t>
            </w:r>
          </w:p>
        </w:tc>
      </w:tr>
      <w:tr w:rsidR="00596C07" w:rsidRPr="004500D8" w14:paraId="4EA799D4" w14:textId="77777777" w:rsidTr="00596C07">
        <w:trPr>
          <w:trHeight w:hRule="exact" w:val="397"/>
        </w:trPr>
        <w:tc>
          <w:tcPr>
            <w:tcW w:w="2693" w:type="dxa"/>
            <w:tcBorders>
              <w:top w:val="single" w:sz="8" w:space="0" w:color="000000"/>
              <w:left w:val="single" w:sz="8" w:space="0" w:color="000000"/>
              <w:bottom w:val="single" w:sz="8" w:space="0" w:color="000000"/>
              <w:right w:val="single" w:sz="8" w:space="0" w:color="000000"/>
            </w:tcBorders>
          </w:tcPr>
          <w:p w14:paraId="7461A220"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erozija </w:t>
            </w:r>
          </w:p>
        </w:tc>
        <w:tc>
          <w:tcPr>
            <w:tcW w:w="1276" w:type="dxa"/>
            <w:tcBorders>
              <w:top w:val="single" w:sz="8" w:space="0" w:color="000000"/>
              <w:left w:val="single" w:sz="8" w:space="0" w:color="000000"/>
              <w:bottom w:val="single" w:sz="8" w:space="0" w:color="000000"/>
              <w:right w:val="single" w:sz="8" w:space="0" w:color="000000"/>
            </w:tcBorders>
          </w:tcPr>
          <w:p w14:paraId="60958AA0"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 xml:space="preserve">1,6 </w:t>
            </w:r>
          </w:p>
        </w:tc>
        <w:tc>
          <w:tcPr>
            <w:tcW w:w="1701" w:type="dxa"/>
            <w:tcBorders>
              <w:top w:val="single" w:sz="8" w:space="0" w:color="000000"/>
              <w:left w:val="single" w:sz="8" w:space="0" w:color="000000"/>
              <w:bottom w:val="single" w:sz="8" w:space="0" w:color="000000"/>
              <w:right w:val="single" w:sz="8" w:space="0" w:color="000000"/>
            </w:tcBorders>
          </w:tcPr>
          <w:p w14:paraId="63F416A2"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 xml:space="preserve">0,0 </w:t>
            </w:r>
          </w:p>
        </w:tc>
        <w:tc>
          <w:tcPr>
            <w:tcW w:w="2410" w:type="dxa"/>
            <w:tcBorders>
              <w:top w:val="single" w:sz="8" w:space="0" w:color="000000"/>
              <w:left w:val="single" w:sz="8" w:space="0" w:color="000000"/>
              <w:bottom w:val="single" w:sz="8" w:space="0" w:color="000000"/>
              <w:right w:val="single" w:sz="8" w:space="0" w:color="000000"/>
            </w:tcBorders>
          </w:tcPr>
          <w:p w14:paraId="26151E05"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 xml:space="preserve">1,6 (0,9; 2,2) </w:t>
            </w:r>
          </w:p>
        </w:tc>
        <w:tc>
          <w:tcPr>
            <w:tcW w:w="1276" w:type="dxa"/>
            <w:tcBorders>
              <w:top w:val="single" w:sz="8" w:space="0" w:color="000000"/>
              <w:left w:val="single" w:sz="8" w:space="0" w:color="000000"/>
              <w:bottom w:val="single" w:sz="8" w:space="0" w:color="000000"/>
              <w:right w:val="single" w:sz="8" w:space="0" w:color="000000"/>
            </w:tcBorders>
          </w:tcPr>
          <w:p w14:paraId="132D5F24"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 xml:space="preserve">&lt; 0,001 </w:t>
            </w:r>
          </w:p>
        </w:tc>
      </w:tr>
      <w:tr w:rsidR="00596C07" w:rsidRPr="004500D8" w14:paraId="727D558F" w14:textId="77777777" w:rsidTr="003B242C">
        <w:trPr>
          <w:trHeight w:hRule="exact" w:val="672"/>
        </w:trPr>
        <w:tc>
          <w:tcPr>
            <w:tcW w:w="2693" w:type="dxa"/>
            <w:tcBorders>
              <w:top w:val="single" w:sz="8" w:space="0" w:color="000000"/>
              <w:left w:val="single" w:sz="8" w:space="0" w:color="000000"/>
              <w:bottom w:val="single" w:sz="8" w:space="0" w:color="000000"/>
              <w:right w:val="single" w:sz="8" w:space="0" w:color="000000"/>
            </w:tcBorders>
          </w:tcPr>
          <w:p w14:paraId="0EC54B3C" w14:textId="77777777" w:rsidR="00596C07" w:rsidRPr="004500D8" w:rsidRDefault="00596C07" w:rsidP="00596C07">
            <w:pPr>
              <w:widowControl w:val="0"/>
              <w:autoSpaceDE w:val="0"/>
              <w:autoSpaceDN w:val="0"/>
              <w:adjustRightInd w:val="0"/>
              <w:rPr>
                <w:sz w:val="22"/>
                <w:szCs w:val="22"/>
                <w:lang w:val="sr-Latn-ME"/>
              </w:rPr>
            </w:pPr>
            <w:r w:rsidRPr="004500D8">
              <w:rPr>
                <w:sz w:val="22"/>
                <w:szCs w:val="22"/>
                <w:lang w:val="sr-Latn-ME"/>
              </w:rPr>
              <w:t>JSN zbir</w:t>
            </w:r>
            <w:r w:rsidRPr="004500D8">
              <w:rPr>
                <w:sz w:val="22"/>
                <w:szCs w:val="22"/>
                <w:vertAlign w:val="superscript"/>
                <w:lang w:val="sr-Latn-ME"/>
              </w:rPr>
              <w:t>d</w:t>
            </w:r>
            <w:r w:rsidRPr="004500D8">
              <w:rPr>
                <w:sz w:val="22"/>
                <w:szCs w:val="22"/>
                <w:lang w:val="sr-Latn-ME"/>
              </w:rPr>
              <w:t xml:space="preserve"> </w:t>
            </w:r>
          </w:p>
        </w:tc>
        <w:tc>
          <w:tcPr>
            <w:tcW w:w="1276" w:type="dxa"/>
            <w:tcBorders>
              <w:top w:val="single" w:sz="8" w:space="0" w:color="000000"/>
              <w:left w:val="single" w:sz="8" w:space="0" w:color="000000"/>
              <w:bottom w:val="single" w:sz="8" w:space="0" w:color="000000"/>
              <w:right w:val="single" w:sz="8" w:space="0" w:color="000000"/>
            </w:tcBorders>
          </w:tcPr>
          <w:p w14:paraId="41E401E2"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 xml:space="preserve">1,0 </w:t>
            </w:r>
          </w:p>
        </w:tc>
        <w:tc>
          <w:tcPr>
            <w:tcW w:w="1701" w:type="dxa"/>
            <w:tcBorders>
              <w:top w:val="single" w:sz="8" w:space="0" w:color="000000"/>
              <w:left w:val="single" w:sz="8" w:space="0" w:color="000000"/>
              <w:bottom w:val="single" w:sz="8" w:space="0" w:color="000000"/>
              <w:right w:val="single" w:sz="8" w:space="0" w:color="000000"/>
            </w:tcBorders>
          </w:tcPr>
          <w:p w14:paraId="632900B5"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 xml:space="preserve">0,1 </w:t>
            </w:r>
          </w:p>
        </w:tc>
        <w:tc>
          <w:tcPr>
            <w:tcW w:w="2410" w:type="dxa"/>
            <w:tcBorders>
              <w:top w:val="single" w:sz="8" w:space="0" w:color="000000"/>
              <w:left w:val="single" w:sz="8" w:space="0" w:color="000000"/>
              <w:bottom w:val="single" w:sz="8" w:space="0" w:color="000000"/>
              <w:right w:val="single" w:sz="8" w:space="0" w:color="000000"/>
            </w:tcBorders>
          </w:tcPr>
          <w:p w14:paraId="370D1624"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 xml:space="preserve">0,9 (0,3; 1,4) </w:t>
            </w:r>
          </w:p>
        </w:tc>
        <w:tc>
          <w:tcPr>
            <w:tcW w:w="1276" w:type="dxa"/>
            <w:tcBorders>
              <w:top w:val="single" w:sz="8" w:space="0" w:color="000000"/>
              <w:left w:val="single" w:sz="8" w:space="0" w:color="000000"/>
              <w:bottom w:val="single" w:sz="8" w:space="0" w:color="000000"/>
              <w:right w:val="single" w:sz="8" w:space="0" w:color="000000"/>
            </w:tcBorders>
          </w:tcPr>
          <w:p w14:paraId="0C173C9F" w14:textId="77777777" w:rsidR="00596C07" w:rsidRPr="004500D8" w:rsidRDefault="00596C07" w:rsidP="00596C07">
            <w:pPr>
              <w:widowControl w:val="0"/>
              <w:autoSpaceDE w:val="0"/>
              <w:autoSpaceDN w:val="0"/>
              <w:adjustRightInd w:val="0"/>
              <w:ind w:left="567" w:hanging="567"/>
              <w:jc w:val="center"/>
              <w:rPr>
                <w:sz w:val="22"/>
                <w:szCs w:val="22"/>
                <w:lang w:val="sr-Latn-ME"/>
              </w:rPr>
            </w:pPr>
            <w:r w:rsidRPr="004500D8">
              <w:rPr>
                <w:sz w:val="22"/>
                <w:szCs w:val="22"/>
                <w:lang w:val="sr-Latn-ME"/>
              </w:rPr>
              <w:t xml:space="preserve">0,002 </w:t>
            </w:r>
          </w:p>
        </w:tc>
      </w:tr>
    </w:tbl>
    <w:p w14:paraId="4D4838D3" w14:textId="77777777" w:rsidR="00596C07" w:rsidRPr="004500D8" w:rsidRDefault="00596C07" w:rsidP="003B242C">
      <w:pPr>
        <w:widowControl w:val="0"/>
        <w:autoSpaceDE w:val="0"/>
        <w:autoSpaceDN w:val="0"/>
        <w:adjustRightInd w:val="0"/>
        <w:ind w:left="125"/>
        <w:jc w:val="both"/>
        <w:rPr>
          <w:sz w:val="22"/>
          <w:szCs w:val="22"/>
          <w:lang w:val="sr-Latn-ME"/>
        </w:rPr>
      </w:pPr>
      <w:r w:rsidRPr="004500D8">
        <w:rPr>
          <w:position w:val="8"/>
          <w:sz w:val="22"/>
          <w:szCs w:val="22"/>
          <w:vertAlign w:val="superscript"/>
          <w:lang w:val="sr-Latn-ME"/>
        </w:rPr>
        <w:t>a</w:t>
      </w:r>
      <w:r w:rsidRPr="004500D8">
        <w:rPr>
          <w:sz w:val="22"/>
          <w:szCs w:val="22"/>
          <w:lang w:val="sr-Latn-ME"/>
        </w:rPr>
        <w:t>metotreksat</w:t>
      </w:r>
    </w:p>
    <w:p w14:paraId="66B8C374" w14:textId="77777777" w:rsidR="00596C07" w:rsidRPr="004500D8" w:rsidRDefault="00596C07" w:rsidP="003B242C">
      <w:pPr>
        <w:widowControl w:val="0"/>
        <w:autoSpaceDE w:val="0"/>
        <w:autoSpaceDN w:val="0"/>
        <w:adjustRightInd w:val="0"/>
        <w:ind w:left="125"/>
        <w:jc w:val="both"/>
        <w:rPr>
          <w:sz w:val="22"/>
          <w:szCs w:val="22"/>
          <w:lang w:val="sr-Latn-ME"/>
        </w:rPr>
      </w:pPr>
      <w:r w:rsidRPr="004500D8">
        <w:rPr>
          <w:position w:val="8"/>
          <w:sz w:val="22"/>
          <w:szCs w:val="22"/>
          <w:vertAlign w:val="superscript"/>
          <w:lang w:val="sr-Latn-ME"/>
        </w:rPr>
        <w:t>b</w:t>
      </w:r>
      <w:r w:rsidRPr="004500D8">
        <w:rPr>
          <w:sz w:val="22"/>
          <w:szCs w:val="22"/>
          <w:lang w:val="sr-Latn-ME"/>
        </w:rPr>
        <w:t>intervali pouzdanosti od 95% razlike između metotreksata i lijeka Humira s obzirom na promjene rezultata</w:t>
      </w:r>
    </w:p>
    <w:p w14:paraId="592F19F2" w14:textId="77777777" w:rsidR="00596C07" w:rsidRPr="004500D8" w:rsidRDefault="00596C07" w:rsidP="003B242C">
      <w:pPr>
        <w:widowControl w:val="0"/>
        <w:autoSpaceDE w:val="0"/>
        <w:autoSpaceDN w:val="0"/>
        <w:adjustRightInd w:val="0"/>
        <w:ind w:left="125"/>
        <w:jc w:val="both"/>
        <w:rPr>
          <w:sz w:val="22"/>
          <w:szCs w:val="22"/>
          <w:lang w:val="sr-Latn-ME"/>
        </w:rPr>
      </w:pPr>
      <w:r w:rsidRPr="004500D8">
        <w:rPr>
          <w:position w:val="8"/>
          <w:sz w:val="22"/>
          <w:szCs w:val="22"/>
          <w:vertAlign w:val="superscript"/>
          <w:lang w:val="sr-Latn-ME"/>
        </w:rPr>
        <w:t>c</w:t>
      </w:r>
      <w:r w:rsidRPr="004500D8">
        <w:rPr>
          <w:sz w:val="22"/>
          <w:szCs w:val="22"/>
          <w:lang w:val="sr-Latn-ME"/>
        </w:rPr>
        <w:t>na osnovu analize ranga</w:t>
      </w:r>
    </w:p>
    <w:p w14:paraId="7F034CD3" w14:textId="77777777" w:rsidR="00596C07" w:rsidRPr="004500D8" w:rsidRDefault="00596C07" w:rsidP="003B242C">
      <w:pPr>
        <w:widowControl w:val="0"/>
        <w:autoSpaceDE w:val="0"/>
        <w:autoSpaceDN w:val="0"/>
        <w:adjustRightInd w:val="0"/>
        <w:ind w:left="125"/>
        <w:jc w:val="both"/>
        <w:rPr>
          <w:sz w:val="22"/>
          <w:szCs w:val="22"/>
          <w:lang w:val="sr-Latn-ME"/>
        </w:rPr>
      </w:pPr>
      <w:r w:rsidRPr="004500D8">
        <w:rPr>
          <w:sz w:val="22"/>
          <w:szCs w:val="22"/>
          <w:vertAlign w:val="superscript"/>
          <w:lang w:val="sr-Latn-ME"/>
        </w:rPr>
        <w:t xml:space="preserve">d </w:t>
      </w:r>
      <w:r w:rsidRPr="004500D8">
        <w:rPr>
          <w:sz w:val="22"/>
          <w:szCs w:val="22"/>
          <w:lang w:val="sr-Latn-ME"/>
        </w:rPr>
        <w:t>suženje zglobnih prostora</w:t>
      </w:r>
    </w:p>
    <w:p w14:paraId="3CA73AC8" w14:textId="77777777" w:rsidR="00596C07" w:rsidRPr="004500D8" w:rsidRDefault="00596C07" w:rsidP="00596C07">
      <w:pPr>
        <w:widowControl w:val="0"/>
        <w:autoSpaceDE w:val="0"/>
        <w:autoSpaceDN w:val="0"/>
        <w:adjustRightInd w:val="0"/>
        <w:ind w:left="567" w:hanging="567"/>
        <w:jc w:val="both"/>
        <w:rPr>
          <w:sz w:val="22"/>
          <w:szCs w:val="22"/>
          <w:lang w:val="sr-Latn-ME"/>
        </w:rPr>
      </w:pPr>
    </w:p>
    <w:p w14:paraId="7686D582"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 RA ispitivanju V, strukturno oštećenje zglobova procjenjivano je radiološki, a stepen oštećenja izražen je promjenom ukupnog zbira bodova po Sharp-u (Tabela 8).</w:t>
      </w:r>
    </w:p>
    <w:p w14:paraId="2DB9C7AD" w14:textId="77777777" w:rsidR="00596C07" w:rsidRPr="004500D8" w:rsidRDefault="00596C07" w:rsidP="00596C07">
      <w:pPr>
        <w:widowControl w:val="0"/>
        <w:autoSpaceDE w:val="0"/>
        <w:autoSpaceDN w:val="0"/>
        <w:adjustRightInd w:val="0"/>
        <w:ind w:left="567" w:hanging="567"/>
        <w:jc w:val="both"/>
        <w:rPr>
          <w:sz w:val="22"/>
          <w:szCs w:val="22"/>
          <w:lang w:val="sr-Latn-ME"/>
        </w:rPr>
      </w:pPr>
      <w:r w:rsidRPr="004500D8">
        <w:rPr>
          <w:sz w:val="22"/>
          <w:szCs w:val="22"/>
          <w:lang w:val="sr-Latn-ME"/>
        </w:rPr>
        <w:t xml:space="preserve"> </w:t>
      </w:r>
    </w:p>
    <w:p w14:paraId="3E670145" w14:textId="5A42DAE8" w:rsidR="00596C07" w:rsidRPr="004500D8" w:rsidRDefault="00596C07">
      <w:pPr>
        <w:widowControl w:val="0"/>
        <w:autoSpaceDE w:val="0"/>
        <w:autoSpaceDN w:val="0"/>
        <w:adjustRightInd w:val="0"/>
        <w:ind w:left="567" w:hanging="567"/>
        <w:jc w:val="center"/>
        <w:rPr>
          <w:sz w:val="22"/>
          <w:szCs w:val="22"/>
          <w:lang w:val="sr-Latn-ME"/>
        </w:rPr>
      </w:pPr>
      <w:r w:rsidRPr="004500D8">
        <w:rPr>
          <w:b/>
          <w:bCs/>
          <w:sz w:val="22"/>
          <w:szCs w:val="22"/>
          <w:lang w:val="sr-Latn-ME"/>
        </w:rPr>
        <w:t>Tabela 8.Radiološke promjene nakon 52 nedjelje u RA ispitivanju V</w:t>
      </w:r>
    </w:p>
    <w:p w14:paraId="10A8855E" w14:textId="77777777" w:rsidR="00596C07" w:rsidRPr="004500D8" w:rsidRDefault="00596C07" w:rsidP="00596C07">
      <w:pPr>
        <w:widowControl w:val="0"/>
        <w:autoSpaceDE w:val="0"/>
        <w:autoSpaceDN w:val="0"/>
        <w:adjustRightInd w:val="0"/>
        <w:ind w:left="567" w:hanging="567"/>
        <w:jc w:val="center"/>
        <w:rPr>
          <w:sz w:val="22"/>
          <w:szCs w:val="22"/>
          <w:lang w:val="sr-Latn-ME"/>
        </w:rPr>
      </w:pPr>
    </w:p>
    <w:tbl>
      <w:tblPr>
        <w:tblW w:w="0" w:type="auto"/>
        <w:tblInd w:w="-34" w:type="dxa"/>
        <w:tblLook w:val="0000" w:firstRow="0" w:lastRow="0" w:firstColumn="0" w:lastColumn="0" w:noHBand="0" w:noVBand="0"/>
      </w:tblPr>
      <w:tblGrid>
        <w:gridCol w:w="1219"/>
        <w:gridCol w:w="1280"/>
        <w:gridCol w:w="1280"/>
        <w:gridCol w:w="1588"/>
        <w:gridCol w:w="1240"/>
        <w:gridCol w:w="1248"/>
        <w:gridCol w:w="1232"/>
      </w:tblGrid>
      <w:tr w:rsidR="00596C07" w:rsidRPr="004500D8" w14:paraId="7ECE19E7" w14:textId="77777777" w:rsidTr="00596C07">
        <w:trPr>
          <w:trHeight w:val="902"/>
        </w:trPr>
        <w:tc>
          <w:tcPr>
            <w:tcW w:w="1640" w:type="dxa"/>
            <w:tcBorders>
              <w:top w:val="single" w:sz="8" w:space="0" w:color="000000"/>
              <w:left w:val="single" w:sz="8" w:space="0" w:color="000000"/>
              <w:bottom w:val="single" w:sz="8" w:space="0" w:color="000000"/>
              <w:right w:val="single" w:sz="8" w:space="0" w:color="000000"/>
            </w:tcBorders>
          </w:tcPr>
          <w:p w14:paraId="2C111DB3" w14:textId="77777777" w:rsidR="00596C07" w:rsidRPr="004500D8" w:rsidRDefault="00596C07" w:rsidP="00596C07">
            <w:pPr>
              <w:widowControl w:val="0"/>
              <w:autoSpaceDE w:val="0"/>
              <w:autoSpaceDN w:val="0"/>
              <w:adjustRightInd w:val="0"/>
              <w:ind w:left="567" w:hanging="567"/>
              <w:rPr>
                <w:sz w:val="22"/>
                <w:szCs w:val="22"/>
                <w:lang w:val="sr-Latn-ME"/>
              </w:rPr>
            </w:pPr>
            <w:r w:rsidRPr="004500D8">
              <w:rPr>
                <w:sz w:val="22"/>
                <w:szCs w:val="22"/>
                <w:lang w:val="sr-Latn-ME"/>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27AD187F" w14:textId="77777777" w:rsidR="00596C07" w:rsidRPr="004500D8" w:rsidRDefault="00596C07" w:rsidP="00596C07">
            <w:pPr>
              <w:widowControl w:val="0"/>
              <w:autoSpaceDE w:val="0"/>
              <w:autoSpaceDN w:val="0"/>
              <w:adjustRightInd w:val="0"/>
              <w:jc w:val="center"/>
              <w:rPr>
                <w:sz w:val="22"/>
                <w:szCs w:val="22"/>
                <w:lang w:val="sr-Latn-ME"/>
              </w:rPr>
            </w:pPr>
            <w:r w:rsidRPr="004500D8">
              <w:rPr>
                <w:sz w:val="22"/>
                <w:szCs w:val="22"/>
                <w:lang w:val="sr-Latn-ME"/>
              </w:rPr>
              <w:t xml:space="preserve">MTX </w:t>
            </w:r>
          </w:p>
          <w:p w14:paraId="36918A04" w14:textId="77777777" w:rsidR="00596C07" w:rsidRPr="004500D8" w:rsidRDefault="00596C07" w:rsidP="00596C07">
            <w:pPr>
              <w:widowControl w:val="0"/>
              <w:autoSpaceDE w:val="0"/>
              <w:autoSpaceDN w:val="0"/>
              <w:adjustRightInd w:val="0"/>
              <w:jc w:val="center"/>
              <w:rPr>
                <w:sz w:val="22"/>
                <w:szCs w:val="22"/>
                <w:lang w:val="sr-Latn-ME"/>
              </w:rPr>
            </w:pPr>
            <w:r w:rsidRPr="004500D8">
              <w:rPr>
                <w:sz w:val="22"/>
                <w:szCs w:val="22"/>
                <w:lang w:val="sr-Latn-ME"/>
              </w:rPr>
              <w:t xml:space="preserve">n=257 </w:t>
            </w:r>
          </w:p>
          <w:p w14:paraId="0868990B" w14:textId="77777777" w:rsidR="00596C07" w:rsidRPr="004500D8" w:rsidRDefault="00596C07" w:rsidP="00596C07">
            <w:pPr>
              <w:widowControl w:val="0"/>
              <w:autoSpaceDE w:val="0"/>
              <w:autoSpaceDN w:val="0"/>
              <w:adjustRightInd w:val="0"/>
              <w:jc w:val="center"/>
              <w:rPr>
                <w:sz w:val="22"/>
                <w:szCs w:val="22"/>
                <w:lang w:val="sr-Latn-ME"/>
              </w:rPr>
            </w:pPr>
            <w:r w:rsidRPr="004500D8">
              <w:rPr>
                <w:sz w:val="22"/>
                <w:szCs w:val="22"/>
                <w:lang w:val="sr-Latn-ME"/>
              </w:rPr>
              <w:t xml:space="preserve">(interval pouzdanosti  od 95 %) </w:t>
            </w:r>
          </w:p>
        </w:tc>
        <w:tc>
          <w:tcPr>
            <w:tcW w:w="0" w:type="auto"/>
            <w:tcBorders>
              <w:top w:val="single" w:sz="8" w:space="0" w:color="000000"/>
              <w:left w:val="single" w:sz="8" w:space="0" w:color="000000"/>
              <w:bottom w:val="single" w:sz="8" w:space="0" w:color="000000"/>
              <w:right w:val="single" w:sz="8" w:space="0" w:color="000000"/>
            </w:tcBorders>
          </w:tcPr>
          <w:p w14:paraId="2FC3E974" w14:textId="77777777" w:rsidR="00596C07" w:rsidRPr="004500D8" w:rsidRDefault="00596C07" w:rsidP="00596C07">
            <w:pPr>
              <w:widowControl w:val="0"/>
              <w:autoSpaceDE w:val="0"/>
              <w:autoSpaceDN w:val="0"/>
              <w:adjustRightInd w:val="0"/>
              <w:jc w:val="center"/>
              <w:rPr>
                <w:sz w:val="22"/>
                <w:szCs w:val="22"/>
                <w:lang w:val="sr-Latn-ME"/>
              </w:rPr>
            </w:pPr>
            <w:r w:rsidRPr="004500D8">
              <w:rPr>
                <w:sz w:val="22"/>
                <w:szCs w:val="22"/>
                <w:lang w:val="sr-Latn-ME"/>
              </w:rPr>
              <w:t xml:space="preserve">Humira </w:t>
            </w:r>
          </w:p>
          <w:p w14:paraId="09DFD24C" w14:textId="77777777" w:rsidR="00596C07" w:rsidRPr="004500D8" w:rsidRDefault="00596C07" w:rsidP="00596C07">
            <w:pPr>
              <w:widowControl w:val="0"/>
              <w:autoSpaceDE w:val="0"/>
              <w:autoSpaceDN w:val="0"/>
              <w:adjustRightInd w:val="0"/>
              <w:jc w:val="center"/>
              <w:rPr>
                <w:sz w:val="22"/>
                <w:szCs w:val="22"/>
                <w:lang w:val="sr-Latn-ME"/>
              </w:rPr>
            </w:pPr>
            <w:r w:rsidRPr="004500D8">
              <w:rPr>
                <w:sz w:val="22"/>
                <w:szCs w:val="22"/>
                <w:lang w:val="sr-Latn-ME"/>
              </w:rPr>
              <w:t xml:space="preserve">n=274 </w:t>
            </w:r>
          </w:p>
          <w:p w14:paraId="6A936833" w14:textId="77777777" w:rsidR="00596C07" w:rsidRPr="004500D8" w:rsidRDefault="00596C07" w:rsidP="00596C07">
            <w:pPr>
              <w:widowControl w:val="0"/>
              <w:autoSpaceDE w:val="0"/>
              <w:autoSpaceDN w:val="0"/>
              <w:adjustRightInd w:val="0"/>
              <w:jc w:val="center"/>
              <w:rPr>
                <w:sz w:val="22"/>
                <w:szCs w:val="22"/>
                <w:lang w:val="sr-Latn-ME"/>
              </w:rPr>
            </w:pPr>
            <w:r w:rsidRPr="004500D8">
              <w:rPr>
                <w:sz w:val="22"/>
                <w:szCs w:val="22"/>
                <w:lang w:val="sr-Latn-ME"/>
              </w:rPr>
              <w:t xml:space="preserve">(interval pouzdanosti  od 95 %) </w:t>
            </w:r>
          </w:p>
        </w:tc>
        <w:tc>
          <w:tcPr>
            <w:tcW w:w="1785" w:type="dxa"/>
            <w:tcBorders>
              <w:top w:val="single" w:sz="8" w:space="0" w:color="000000"/>
              <w:left w:val="single" w:sz="8" w:space="0" w:color="000000"/>
              <w:bottom w:val="single" w:sz="8" w:space="0" w:color="000000"/>
              <w:right w:val="single" w:sz="8" w:space="0" w:color="000000"/>
            </w:tcBorders>
          </w:tcPr>
          <w:p w14:paraId="34116E61" w14:textId="77777777" w:rsidR="00596C07" w:rsidRPr="004500D8" w:rsidRDefault="00596C07" w:rsidP="00596C07">
            <w:pPr>
              <w:widowControl w:val="0"/>
              <w:autoSpaceDE w:val="0"/>
              <w:autoSpaceDN w:val="0"/>
              <w:adjustRightInd w:val="0"/>
              <w:jc w:val="center"/>
              <w:rPr>
                <w:sz w:val="22"/>
                <w:szCs w:val="22"/>
                <w:lang w:val="sr-Latn-ME"/>
              </w:rPr>
            </w:pPr>
            <w:r w:rsidRPr="004500D8">
              <w:rPr>
                <w:sz w:val="22"/>
                <w:szCs w:val="22"/>
                <w:lang w:val="sr-Latn-ME"/>
              </w:rPr>
              <w:t xml:space="preserve">Humira/MTX </w:t>
            </w:r>
          </w:p>
          <w:p w14:paraId="1BC450C3" w14:textId="77777777" w:rsidR="00596C07" w:rsidRPr="004500D8" w:rsidRDefault="00596C07" w:rsidP="00596C07">
            <w:pPr>
              <w:widowControl w:val="0"/>
              <w:autoSpaceDE w:val="0"/>
              <w:autoSpaceDN w:val="0"/>
              <w:adjustRightInd w:val="0"/>
              <w:jc w:val="center"/>
              <w:rPr>
                <w:sz w:val="22"/>
                <w:szCs w:val="22"/>
                <w:lang w:val="sr-Latn-ME"/>
              </w:rPr>
            </w:pPr>
            <w:r w:rsidRPr="004500D8">
              <w:rPr>
                <w:sz w:val="22"/>
                <w:szCs w:val="22"/>
                <w:lang w:val="sr-Latn-ME"/>
              </w:rPr>
              <w:t xml:space="preserve">n=268 </w:t>
            </w:r>
          </w:p>
          <w:p w14:paraId="555B144B" w14:textId="77777777" w:rsidR="00596C07" w:rsidRPr="004500D8" w:rsidRDefault="00596C07" w:rsidP="00596C07">
            <w:pPr>
              <w:widowControl w:val="0"/>
              <w:autoSpaceDE w:val="0"/>
              <w:autoSpaceDN w:val="0"/>
              <w:adjustRightInd w:val="0"/>
              <w:jc w:val="center"/>
              <w:rPr>
                <w:sz w:val="22"/>
                <w:szCs w:val="22"/>
                <w:lang w:val="sr-Latn-ME"/>
              </w:rPr>
            </w:pPr>
            <w:r w:rsidRPr="004500D8">
              <w:rPr>
                <w:sz w:val="22"/>
                <w:szCs w:val="22"/>
                <w:lang w:val="sr-Latn-ME"/>
              </w:rPr>
              <w:t xml:space="preserve">(interval pouzdanosti od 95 %) </w:t>
            </w:r>
          </w:p>
        </w:tc>
        <w:tc>
          <w:tcPr>
            <w:tcW w:w="836" w:type="dxa"/>
            <w:tcBorders>
              <w:top w:val="single" w:sz="8" w:space="0" w:color="000000"/>
              <w:left w:val="single" w:sz="8" w:space="0" w:color="000000"/>
              <w:bottom w:val="single" w:sz="8" w:space="0" w:color="000000"/>
              <w:right w:val="single" w:sz="8" w:space="0" w:color="000000"/>
            </w:tcBorders>
          </w:tcPr>
          <w:p w14:paraId="222657B7" w14:textId="77777777" w:rsidR="00596C07" w:rsidRPr="004500D8" w:rsidRDefault="00596C07" w:rsidP="00596C07">
            <w:pPr>
              <w:widowControl w:val="0"/>
              <w:autoSpaceDE w:val="0"/>
              <w:autoSpaceDN w:val="0"/>
              <w:adjustRightInd w:val="0"/>
              <w:jc w:val="center"/>
              <w:rPr>
                <w:sz w:val="22"/>
                <w:szCs w:val="22"/>
                <w:lang w:val="sr-Latn-ME"/>
              </w:rPr>
            </w:pPr>
            <w:r w:rsidRPr="004500D8">
              <w:rPr>
                <w:b/>
                <w:bCs/>
                <w:sz w:val="22"/>
                <w:szCs w:val="22"/>
                <w:lang w:val="sr-Latn-ME"/>
              </w:rPr>
              <w:t>p-vrijednost</w:t>
            </w:r>
            <w:r w:rsidRPr="004500D8">
              <w:rPr>
                <w:b/>
                <w:bCs/>
                <w:position w:val="8"/>
                <w:sz w:val="22"/>
                <w:szCs w:val="22"/>
                <w:vertAlign w:val="superscript"/>
                <w:lang w:val="sr-Latn-ME"/>
              </w:rPr>
              <w:t>a</w:t>
            </w:r>
          </w:p>
        </w:tc>
        <w:tc>
          <w:tcPr>
            <w:tcW w:w="0" w:type="auto"/>
            <w:tcBorders>
              <w:top w:val="single" w:sz="8" w:space="0" w:color="000000"/>
              <w:left w:val="single" w:sz="8" w:space="0" w:color="000000"/>
              <w:bottom w:val="single" w:sz="8" w:space="0" w:color="000000"/>
              <w:right w:val="single" w:sz="8" w:space="0" w:color="000000"/>
            </w:tcBorders>
          </w:tcPr>
          <w:p w14:paraId="33FFD27C" w14:textId="77777777" w:rsidR="00596C07" w:rsidRPr="004500D8" w:rsidRDefault="00596C07" w:rsidP="00596C07">
            <w:pPr>
              <w:widowControl w:val="0"/>
              <w:autoSpaceDE w:val="0"/>
              <w:autoSpaceDN w:val="0"/>
              <w:adjustRightInd w:val="0"/>
              <w:jc w:val="center"/>
              <w:rPr>
                <w:sz w:val="22"/>
                <w:szCs w:val="22"/>
                <w:lang w:val="sr-Latn-ME"/>
              </w:rPr>
            </w:pPr>
            <w:r w:rsidRPr="004500D8">
              <w:rPr>
                <w:b/>
                <w:bCs/>
                <w:sz w:val="22"/>
                <w:szCs w:val="22"/>
                <w:lang w:val="sr-Latn-ME"/>
              </w:rPr>
              <w:t>p-vrijednost</w:t>
            </w:r>
            <w:r w:rsidRPr="004500D8">
              <w:rPr>
                <w:b/>
                <w:bCs/>
                <w:position w:val="8"/>
                <w:sz w:val="22"/>
                <w:szCs w:val="22"/>
                <w:vertAlign w:val="superscript"/>
                <w:lang w:val="sr-Latn-ME"/>
              </w:rPr>
              <w:t>b</w:t>
            </w:r>
          </w:p>
        </w:tc>
        <w:tc>
          <w:tcPr>
            <w:tcW w:w="0" w:type="auto"/>
            <w:tcBorders>
              <w:top w:val="single" w:sz="8" w:space="0" w:color="000000"/>
              <w:left w:val="single" w:sz="8" w:space="0" w:color="000000"/>
              <w:bottom w:val="single" w:sz="8" w:space="0" w:color="000000"/>
              <w:right w:val="single" w:sz="8" w:space="0" w:color="000000"/>
            </w:tcBorders>
          </w:tcPr>
          <w:p w14:paraId="783AB210" w14:textId="77777777" w:rsidR="00596C07" w:rsidRPr="004500D8" w:rsidRDefault="00596C07" w:rsidP="00596C07">
            <w:pPr>
              <w:widowControl w:val="0"/>
              <w:autoSpaceDE w:val="0"/>
              <w:autoSpaceDN w:val="0"/>
              <w:adjustRightInd w:val="0"/>
              <w:jc w:val="center"/>
              <w:rPr>
                <w:sz w:val="22"/>
                <w:szCs w:val="22"/>
                <w:lang w:val="sr-Latn-ME"/>
              </w:rPr>
            </w:pPr>
            <w:r w:rsidRPr="004500D8">
              <w:rPr>
                <w:b/>
                <w:bCs/>
                <w:sz w:val="22"/>
                <w:szCs w:val="22"/>
                <w:lang w:val="sr-Latn-ME"/>
              </w:rPr>
              <w:t>p-vrijednost</w:t>
            </w:r>
            <w:r w:rsidRPr="004500D8">
              <w:rPr>
                <w:b/>
                <w:bCs/>
                <w:position w:val="8"/>
                <w:sz w:val="22"/>
                <w:szCs w:val="22"/>
                <w:vertAlign w:val="superscript"/>
                <w:lang w:val="sr-Latn-ME"/>
              </w:rPr>
              <w:t>c</w:t>
            </w:r>
          </w:p>
        </w:tc>
      </w:tr>
      <w:tr w:rsidR="00596C07" w:rsidRPr="004500D8" w14:paraId="6E952154" w14:textId="77777777" w:rsidTr="00596C07">
        <w:trPr>
          <w:trHeight w:val="957"/>
        </w:trPr>
        <w:tc>
          <w:tcPr>
            <w:tcW w:w="1640" w:type="dxa"/>
            <w:tcBorders>
              <w:top w:val="single" w:sz="8" w:space="0" w:color="000000"/>
              <w:left w:val="single" w:sz="8" w:space="0" w:color="000000"/>
              <w:bottom w:val="single" w:sz="8" w:space="0" w:color="000000"/>
              <w:right w:val="single" w:sz="8" w:space="0" w:color="000000"/>
            </w:tcBorders>
          </w:tcPr>
          <w:p w14:paraId="43C4AA21" w14:textId="77777777" w:rsidR="00596C07" w:rsidRPr="004500D8" w:rsidRDefault="00596C07" w:rsidP="00596C07">
            <w:pPr>
              <w:widowControl w:val="0"/>
              <w:autoSpaceDE w:val="0"/>
              <w:autoSpaceDN w:val="0"/>
              <w:adjustRightInd w:val="0"/>
              <w:ind w:left="34" w:hanging="34"/>
              <w:rPr>
                <w:sz w:val="22"/>
                <w:szCs w:val="22"/>
                <w:lang w:val="sr-Latn-ME"/>
              </w:rPr>
            </w:pPr>
            <w:r w:rsidRPr="004500D8">
              <w:rPr>
                <w:sz w:val="22"/>
                <w:szCs w:val="22"/>
                <w:lang w:val="sr-Latn-ME"/>
              </w:rPr>
              <w:t xml:space="preserve">ukupan zbir bodova po Sharp-u </w:t>
            </w:r>
          </w:p>
        </w:tc>
        <w:tc>
          <w:tcPr>
            <w:tcW w:w="0" w:type="auto"/>
            <w:tcBorders>
              <w:top w:val="single" w:sz="8" w:space="0" w:color="000000"/>
              <w:left w:val="single" w:sz="8" w:space="0" w:color="000000"/>
              <w:bottom w:val="single" w:sz="8" w:space="0" w:color="000000"/>
              <w:right w:val="single" w:sz="8" w:space="0" w:color="000000"/>
            </w:tcBorders>
          </w:tcPr>
          <w:p w14:paraId="6ABF8D86" w14:textId="77777777" w:rsidR="00596C07" w:rsidRPr="004500D8" w:rsidRDefault="00596C07" w:rsidP="00596C07">
            <w:pPr>
              <w:widowControl w:val="0"/>
              <w:autoSpaceDE w:val="0"/>
              <w:autoSpaceDN w:val="0"/>
              <w:adjustRightInd w:val="0"/>
              <w:ind w:left="34" w:hanging="34"/>
              <w:rPr>
                <w:sz w:val="22"/>
                <w:szCs w:val="22"/>
                <w:lang w:val="sr-Latn-ME"/>
              </w:rPr>
            </w:pPr>
            <w:r w:rsidRPr="004500D8">
              <w:rPr>
                <w:sz w:val="22"/>
                <w:szCs w:val="22"/>
                <w:lang w:val="sr-Latn-ME"/>
              </w:rPr>
              <w:t xml:space="preserve">5,7 (4,2 – 7,3) </w:t>
            </w:r>
          </w:p>
        </w:tc>
        <w:tc>
          <w:tcPr>
            <w:tcW w:w="0" w:type="auto"/>
            <w:tcBorders>
              <w:top w:val="single" w:sz="8" w:space="0" w:color="000000"/>
              <w:left w:val="single" w:sz="8" w:space="0" w:color="000000"/>
              <w:bottom w:val="single" w:sz="8" w:space="0" w:color="000000"/>
              <w:right w:val="single" w:sz="8" w:space="0" w:color="000000"/>
            </w:tcBorders>
          </w:tcPr>
          <w:p w14:paraId="51A55034" w14:textId="77777777" w:rsidR="00596C07" w:rsidRPr="004500D8" w:rsidRDefault="00596C07" w:rsidP="00596C07">
            <w:pPr>
              <w:widowControl w:val="0"/>
              <w:autoSpaceDE w:val="0"/>
              <w:autoSpaceDN w:val="0"/>
              <w:adjustRightInd w:val="0"/>
              <w:ind w:left="34" w:hanging="34"/>
              <w:rPr>
                <w:sz w:val="22"/>
                <w:szCs w:val="22"/>
                <w:lang w:val="sr-Latn-ME"/>
              </w:rPr>
            </w:pPr>
            <w:r w:rsidRPr="004500D8">
              <w:rPr>
                <w:sz w:val="22"/>
                <w:szCs w:val="22"/>
                <w:lang w:val="sr-Latn-ME"/>
              </w:rPr>
              <w:t xml:space="preserve">3,0 (1,7 – 4,3) </w:t>
            </w:r>
          </w:p>
        </w:tc>
        <w:tc>
          <w:tcPr>
            <w:tcW w:w="1785" w:type="dxa"/>
            <w:tcBorders>
              <w:top w:val="single" w:sz="8" w:space="0" w:color="000000"/>
              <w:left w:val="single" w:sz="8" w:space="0" w:color="000000"/>
              <w:bottom w:val="single" w:sz="8" w:space="0" w:color="000000"/>
              <w:right w:val="single" w:sz="8" w:space="0" w:color="000000"/>
            </w:tcBorders>
          </w:tcPr>
          <w:p w14:paraId="4E02C4C4" w14:textId="77777777" w:rsidR="00596C07" w:rsidRPr="004500D8" w:rsidRDefault="00596C07" w:rsidP="00596C07">
            <w:pPr>
              <w:widowControl w:val="0"/>
              <w:autoSpaceDE w:val="0"/>
              <w:autoSpaceDN w:val="0"/>
              <w:adjustRightInd w:val="0"/>
              <w:ind w:left="34" w:hanging="34"/>
              <w:rPr>
                <w:sz w:val="22"/>
                <w:szCs w:val="22"/>
                <w:lang w:val="sr-Latn-ME"/>
              </w:rPr>
            </w:pPr>
            <w:r w:rsidRPr="004500D8">
              <w:rPr>
                <w:sz w:val="22"/>
                <w:szCs w:val="22"/>
                <w:lang w:val="sr-Latn-ME"/>
              </w:rPr>
              <w:t xml:space="preserve">1,3 (0,5 – 2,1) </w:t>
            </w:r>
          </w:p>
        </w:tc>
        <w:tc>
          <w:tcPr>
            <w:tcW w:w="836" w:type="dxa"/>
            <w:tcBorders>
              <w:top w:val="single" w:sz="8" w:space="0" w:color="000000"/>
              <w:left w:val="single" w:sz="8" w:space="0" w:color="000000"/>
              <w:bottom w:val="single" w:sz="8" w:space="0" w:color="000000"/>
              <w:right w:val="single" w:sz="8" w:space="0" w:color="000000"/>
            </w:tcBorders>
          </w:tcPr>
          <w:p w14:paraId="5B435FEE" w14:textId="77777777" w:rsidR="00596C07" w:rsidRPr="004500D8" w:rsidRDefault="00596C07" w:rsidP="00596C07">
            <w:pPr>
              <w:widowControl w:val="0"/>
              <w:autoSpaceDE w:val="0"/>
              <w:autoSpaceDN w:val="0"/>
              <w:adjustRightInd w:val="0"/>
              <w:ind w:left="34" w:hanging="34"/>
              <w:rPr>
                <w:sz w:val="22"/>
                <w:szCs w:val="22"/>
                <w:lang w:val="sr-Latn-ME"/>
              </w:rPr>
            </w:pPr>
            <w:r w:rsidRPr="004500D8">
              <w:rPr>
                <w:sz w:val="22"/>
                <w:szCs w:val="22"/>
                <w:lang w:val="sr-Latn-ME"/>
              </w:rPr>
              <w:t xml:space="preserve">&lt;0,001 </w:t>
            </w:r>
          </w:p>
        </w:tc>
        <w:tc>
          <w:tcPr>
            <w:tcW w:w="0" w:type="auto"/>
            <w:tcBorders>
              <w:top w:val="single" w:sz="8" w:space="0" w:color="000000"/>
              <w:left w:val="single" w:sz="8" w:space="0" w:color="000000"/>
              <w:bottom w:val="single" w:sz="8" w:space="0" w:color="000000"/>
              <w:right w:val="single" w:sz="8" w:space="0" w:color="000000"/>
            </w:tcBorders>
          </w:tcPr>
          <w:p w14:paraId="42C4074D" w14:textId="77777777" w:rsidR="00596C07" w:rsidRPr="004500D8" w:rsidRDefault="00596C07" w:rsidP="00596C07">
            <w:pPr>
              <w:widowControl w:val="0"/>
              <w:autoSpaceDE w:val="0"/>
              <w:autoSpaceDN w:val="0"/>
              <w:adjustRightInd w:val="0"/>
              <w:ind w:left="34" w:hanging="34"/>
              <w:rPr>
                <w:sz w:val="22"/>
                <w:szCs w:val="22"/>
                <w:lang w:val="sr-Latn-ME"/>
              </w:rPr>
            </w:pPr>
            <w:r w:rsidRPr="004500D8">
              <w:rPr>
                <w:sz w:val="22"/>
                <w:szCs w:val="22"/>
                <w:lang w:val="sr-Latn-ME"/>
              </w:rPr>
              <w:t xml:space="preserve">0,0020 </w:t>
            </w:r>
          </w:p>
        </w:tc>
        <w:tc>
          <w:tcPr>
            <w:tcW w:w="0" w:type="auto"/>
            <w:tcBorders>
              <w:top w:val="single" w:sz="8" w:space="0" w:color="000000"/>
              <w:left w:val="single" w:sz="8" w:space="0" w:color="000000"/>
              <w:bottom w:val="single" w:sz="8" w:space="0" w:color="000000"/>
              <w:right w:val="single" w:sz="8" w:space="0" w:color="000000"/>
            </w:tcBorders>
          </w:tcPr>
          <w:p w14:paraId="7558E6A4" w14:textId="77777777" w:rsidR="00596C07" w:rsidRPr="004500D8" w:rsidRDefault="00596C07" w:rsidP="00596C07">
            <w:pPr>
              <w:widowControl w:val="0"/>
              <w:autoSpaceDE w:val="0"/>
              <w:autoSpaceDN w:val="0"/>
              <w:adjustRightInd w:val="0"/>
              <w:ind w:left="-21" w:firstLine="21"/>
              <w:rPr>
                <w:sz w:val="22"/>
                <w:szCs w:val="22"/>
                <w:lang w:val="sr-Latn-ME"/>
              </w:rPr>
            </w:pPr>
            <w:r w:rsidRPr="004500D8">
              <w:rPr>
                <w:sz w:val="22"/>
                <w:szCs w:val="22"/>
                <w:lang w:val="sr-Latn-ME"/>
              </w:rPr>
              <w:t xml:space="preserve">&lt;0,001 </w:t>
            </w:r>
          </w:p>
        </w:tc>
      </w:tr>
      <w:tr w:rsidR="00596C07" w:rsidRPr="004500D8" w14:paraId="78D4CD7E" w14:textId="77777777" w:rsidTr="00596C07">
        <w:trPr>
          <w:trHeight w:val="278"/>
        </w:trPr>
        <w:tc>
          <w:tcPr>
            <w:tcW w:w="1640" w:type="dxa"/>
            <w:tcBorders>
              <w:top w:val="single" w:sz="8" w:space="0" w:color="000000"/>
              <w:left w:val="single" w:sz="8" w:space="0" w:color="000000"/>
              <w:bottom w:val="single" w:sz="8" w:space="0" w:color="000000"/>
              <w:right w:val="single" w:sz="8" w:space="0" w:color="000000"/>
            </w:tcBorders>
          </w:tcPr>
          <w:p w14:paraId="6A2C882D" w14:textId="77777777" w:rsidR="00596C07" w:rsidRPr="004500D8" w:rsidRDefault="00596C07" w:rsidP="00596C07">
            <w:pPr>
              <w:widowControl w:val="0"/>
              <w:autoSpaceDE w:val="0"/>
              <w:autoSpaceDN w:val="0"/>
              <w:adjustRightInd w:val="0"/>
              <w:ind w:left="34" w:hanging="34"/>
              <w:rPr>
                <w:sz w:val="22"/>
                <w:szCs w:val="22"/>
                <w:lang w:val="sr-Latn-ME"/>
              </w:rPr>
            </w:pPr>
            <w:r w:rsidRPr="004500D8">
              <w:rPr>
                <w:sz w:val="22"/>
                <w:szCs w:val="22"/>
                <w:lang w:val="sr-Latn-ME"/>
              </w:rPr>
              <w:t xml:space="preserve">zbir za eroziju </w:t>
            </w:r>
          </w:p>
        </w:tc>
        <w:tc>
          <w:tcPr>
            <w:tcW w:w="0" w:type="auto"/>
            <w:tcBorders>
              <w:top w:val="single" w:sz="8" w:space="0" w:color="000000"/>
              <w:left w:val="single" w:sz="8" w:space="0" w:color="000000"/>
              <w:bottom w:val="single" w:sz="8" w:space="0" w:color="000000"/>
              <w:right w:val="single" w:sz="8" w:space="0" w:color="000000"/>
            </w:tcBorders>
          </w:tcPr>
          <w:p w14:paraId="49711F82" w14:textId="77777777" w:rsidR="00596C07" w:rsidRPr="004500D8" w:rsidRDefault="00596C07" w:rsidP="00596C07">
            <w:pPr>
              <w:widowControl w:val="0"/>
              <w:autoSpaceDE w:val="0"/>
              <w:autoSpaceDN w:val="0"/>
              <w:adjustRightInd w:val="0"/>
              <w:ind w:left="34" w:hanging="34"/>
              <w:rPr>
                <w:sz w:val="22"/>
                <w:szCs w:val="22"/>
                <w:lang w:val="sr-Latn-ME"/>
              </w:rPr>
            </w:pPr>
            <w:r w:rsidRPr="004500D8">
              <w:rPr>
                <w:sz w:val="22"/>
                <w:szCs w:val="22"/>
                <w:lang w:val="sr-Latn-ME"/>
              </w:rPr>
              <w:t xml:space="preserve">3,7 (2,7 – 4,7) </w:t>
            </w:r>
          </w:p>
        </w:tc>
        <w:tc>
          <w:tcPr>
            <w:tcW w:w="0" w:type="auto"/>
            <w:tcBorders>
              <w:top w:val="single" w:sz="8" w:space="0" w:color="000000"/>
              <w:left w:val="single" w:sz="8" w:space="0" w:color="000000"/>
              <w:bottom w:val="single" w:sz="8" w:space="0" w:color="000000"/>
              <w:right w:val="single" w:sz="8" w:space="0" w:color="000000"/>
            </w:tcBorders>
          </w:tcPr>
          <w:p w14:paraId="13D28D0E" w14:textId="77777777" w:rsidR="00596C07" w:rsidRPr="004500D8" w:rsidRDefault="00596C07" w:rsidP="00596C07">
            <w:pPr>
              <w:widowControl w:val="0"/>
              <w:autoSpaceDE w:val="0"/>
              <w:autoSpaceDN w:val="0"/>
              <w:adjustRightInd w:val="0"/>
              <w:ind w:left="34" w:hanging="34"/>
              <w:rPr>
                <w:sz w:val="22"/>
                <w:szCs w:val="22"/>
                <w:lang w:val="sr-Latn-ME"/>
              </w:rPr>
            </w:pPr>
            <w:r w:rsidRPr="004500D8">
              <w:rPr>
                <w:sz w:val="22"/>
                <w:szCs w:val="22"/>
                <w:lang w:val="sr-Latn-ME"/>
              </w:rPr>
              <w:t xml:space="preserve">1,7 (1,0 – 2,4) </w:t>
            </w:r>
          </w:p>
        </w:tc>
        <w:tc>
          <w:tcPr>
            <w:tcW w:w="1785" w:type="dxa"/>
            <w:tcBorders>
              <w:top w:val="single" w:sz="8" w:space="0" w:color="000000"/>
              <w:left w:val="single" w:sz="8" w:space="0" w:color="000000"/>
              <w:bottom w:val="single" w:sz="8" w:space="0" w:color="000000"/>
              <w:right w:val="single" w:sz="8" w:space="0" w:color="000000"/>
            </w:tcBorders>
          </w:tcPr>
          <w:p w14:paraId="0F7A08DD" w14:textId="77777777" w:rsidR="00596C07" w:rsidRPr="004500D8" w:rsidRDefault="00596C07" w:rsidP="00596C07">
            <w:pPr>
              <w:widowControl w:val="0"/>
              <w:autoSpaceDE w:val="0"/>
              <w:autoSpaceDN w:val="0"/>
              <w:adjustRightInd w:val="0"/>
              <w:ind w:left="34" w:hanging="34"/>
              <w:rPr>
                <w:sz w:val="22"/>
                <w:szCs w:val="22"/>
                <w:lang w:val="sr-Latn-ME"/>
              </w:rPr>
            </w:pPr>
            <w:r w:rsidRPr="004500D8">
              <w:rPr>
                <w:sz w:val="22"/>
                <w:szCs w:val="22"/>
                <w:lang w:val="sr-Latn-ME"/>
              </w:rPr>
              <w:t xml:space="preserve">0,8 (0,4 – 1,2) </w:t>
            </w:r>
          </w:p>
        </w:tc>
        <w:tc>
          <w:tcPr>
            <w:tcW w:w="836" w:type="dxa"/>
            <w:tcBorders>
              <w:top w:val="single" w:sz="8" w:space="0" w:color="000000"/>
              <w:left w:val="single" w:sz="8" w:space="0" w:color="000000"/>
              <w:bottom w:val="single" w:sz="8" w:space="0" w:color="000000"/>
              <w:right w:val="single" w:sz="8" w:space="0" w:color="000000"/>
            </w:tcBorders>
          </w:tcPr>
          <w:p w14:paraId="57B2B14B" w14:textId="77777777" w:rsidR="00596C07" w:rsidRPr="004500D8" w:rsidRDefault="00596C07" w:rsidP="00596C07">
            <w:pPr>
              <w:widowControl w:val="0"/>
              <w:autoSpaceDE w:val="0"/>
              <w:autoSpaceDN w:val="0"/>
              <w:adjustRightInd w:val="0"/>
              <w:ind w:left="34" w:hanging="34"/>
              <w:rPr>
                <w:sz w:val="22"/>
                <w:szCs w:val="22"/>
                <w:lang w:val="sr-Latn-ME"/>
              </w:rPr>
            </w:pPr>
            <w:r w:rsidRPr="004500D8">
              <w:rPr>
                <w:sz w:val="22"/>
                <w:szCs w:val="22"/>
                <w:lang w:val="sr-Latn-ME"/>
              </w:rPr>
              <w:t>&lt;0,001</w:t>
            </w:r>
            <w:r w:rsidRPr="004500D8">
              <w:rPr>
                <w:b/>
                <w:bCs/>
                <w:sz w:val="22"/>
                <w:szCs w:val="22"/>
                <w:lang w:val="sr-Latn-ME"/>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7D486E1F" w14:textId="77777777" w:rsidR="00596C07" w:rsidRPr="004500D8" w:rsidRDefault="00596C07" w:rsidP="00596C07">
            <w:pPr>
              <w:widowControl w:val="0"/>
              <w:autoSpaceDE w:val="0"/>
              <w:autoSpaceDN w:val="0"/>
              <w:adjustRightInd w:val="0"/>
              <w:ind w:left="34" w:hanging="34"/>
              <w:rPr>
                <w:sz w:val="22"/>
                <w:szCs w:val="22"/>
                <w:lang w:val="sr-Latn-ME"/>
              </w:rPr>
            </w:pPr>
            <w:r w:rsidRPr="004500D8">
              <w:rPr>
                <w:sz w:val="22"/>
                <w:szCs w:val="22"/>
                <w:lang w:val="sr-Latn-ME"/>
              </w:rPr>
              <w:t xml:space="preserve">0,0082 </w:t>
            </w:r>
          </w:p>
        </w:tc>
        <w:tc>
          <w:tcPr>
            <w:tcW w:w="0" w:type="auto"/>
            <w:tcBorders>
              <w:top w:val="single" w:sz="8" w:space="0" w:color="000000"/>
              <w:left w:val="single" w:sz="8" w:space="0" w:color="000000"/>
              <w:bottom w:val="single" w:sz="8" w:space="0" w:color="000000"/>
              <w:right w:val="single" w:sz="8" w:space="0" w:color="000000"/>
            </w:tcBorders>
          </w:tcPr>
          <w:p w14:paraId="5EB5A055" w14:textId="77777777" w:rsidR="00596C07" w:rsidRPr="004500D8" w:rsidRDefault="00596C07" w:rsidP="00596C07">
            <w:pPr>
              <w:widowControl w:val="0"/>
              <w:autoSpaceDE w:val="0"/>
              <w:autoSpaceDN w:val="0"/>
              <w:adjustRightInd w:val="0"/>
              <w:ind w:left="34" w:hanging="34"/>
              <w:rPr>
                <w:sz w:val="22"/>
                <w:szCs w:val="22"/>
                <w:lang w:val="sr-Latn-ME"/>
              </w:rPr>
            </w:pPr>
            <w:r w:rsidRPr="004500D8">
              <w:rPr>
                <w:sz w:val="22"/>
                <w:szCs w:val="22"/>
                <w:lang w:val="sr-Latn-ME"/>
              </w:rPr>
              <w:t xml:space="preserve">&lt;0,001 </w:t>
            </w:r>
          </w:p>
        </w:tc>
      </w:tr>
      <w:tr w:rsidR="00596C07" w:rsidRPr="004500D8" w14:paraId="186F50FF" w14:textId="77777777" w:rsidTr="00596C07">
        <w:trPr>
          <w:trHeight w:val="727"/>
        </w:trPr>
        <w:tc>
          <w:tcPr>
            <w:tcW w:w="1640" w:type="dxa"/>
            <w:tcBorders>
              <w:top w:val="single" w:sz="8" w:space="0" w:color="000000"/>
              <w:left w:val="single" w:sz="8" w:space="0" w:color="000000"/>
              <w:bottom w:val="single" w:sz="8" w:space="0" w:color="000000"/>
              <w:right w:val="single" w:sz="8" w:space="0" w:color="000000"/>
            </w:tcBorders>
          </w:tcPr>
          <w:p w14:paraId="16DC5B34" w14:textId="77777777" w:rsidR="00596C07" w:rsidRPr="004500D8" w:rsidRDefault="00596C07" w:rsidP="00596C07">
            <w:pPr>
              <w:widowControl w:val="0"/>
              <w:autoSpaceDE w:val="0"/>
              <w:autoSpaceDN w:val="0"/>
              <w:adjustRightInd w:val="0"/>
              <w:ind w:left="34" w:hanging="34"/>
              <w:rPr>
                <w:sz w:val="22"/>
                <w:szCs w:val="22"/>
                <w:lang w:val="sr-Latn-ME"/>
              </w:rPr>
            </w:pPr>
            <w:r w:rsidRPr="004500D8">
              <w:rPr>
                <w:sz w:val="22"/>
                <w:szCs w:val="22"/>
                <w:lang w:val="sr-Latn-ME"/>
              </w:rPr>
              <w:t>JSN zbir</w:t>
            </w:r>
          </w:p>
        </w:tc>
        <w:tc>
          <w:tcPr>
            <w:tcW w:w="0" w:type="auto"/>
            <w:tcBorders>
              <w:top w:val="single" w:sz="8" w:space="0" w:color="000000"/>
              <w:left w:val="single" w:sz="8" w:space="0" w:color="000000"/>
              <w:bottom w:val="single" w:sz="8" w:space="0" w:color="000000"/>
              <w:right w:val="single" w:sz="8" w:space="0" w:color="000000"/>
            </w:tcBorders>
          </w:tcPr>
          <w:p w14:paraId="1EA39A42" w14:textId="77777777" w:rsidR="00596C07" w:rsidRPr="004500D8" w:rsidRDefault="00596C07" w:rsidP="00596C07">
            <w:pPr>
              <w:widowControl w:val="0"/>
              <w:autoSpaceDE w:val="0"/>
              <w:autoSpaceDN w:val="0"/>
              <w:adjustRightInd w:val="0"/>
              <w:ind w:left="34" w:hanging="34"/>
              <w:rPr>
                <w:sz w:val="22"/>
                <w:szCs w:val="22"/>
                <w:lang w:val="sr-Latn-ME"/>
              </w:rPr>
            </w:pPr>
            <w:r w:rsidRPr="004500D8">
              <w:rPr>
                <w:sz w:val="22"/>
                <w:szCs w:val="22"/>
                <w:lang w:val="sr-Latn-ME"/>
              </w:rPr>
              <w:t xml:space="preserve">2,0 (1,2 – 2,8) </w:t>
            </w:r>
          </w:p>
        </w:tc>
        <w:tc>
          <w:tcPr>
            <w:tcW w:w="0" w:type="auto"/>
            <w:tcBorders>
              <w:top w:val="single" w:sz="8" w:space="0" w:color="000000"/>
              <w:left w:val="single" w:sz="8" w:space="0" w:color="000000"/>
              <w:bottom w:val="single" w:sz="8" w:space="0" w:color="000000"/>
              <w:right w:val="single" w:sz="8" w:space="0" w:color="000000"/>
            </w:tcBorders>
          </w:tcPr>
          <w:p w14:paraId="05618A95" w14:textId="77777777" w:rsidR="00596C07" w:rsidRPr="004500D8" w:rsidRDefault="00596C07" w:rsidP="00596C07">
            <w:pPr>
              <w:widowControl w:val="0"/>
              <w:autoSpaceDE w:val="0"/>
              <w:autoSpaceDN w:val="0"/>
              <w:adjustRightInd w:val="0"/>
              <w:ind w:left="34" w:hanging="34"/>
              <w:rPr>
                <w:sz w:val="22"/>
                <w:szCs w:val="22"/>
                <w:lang w:val="sr-Latn-ME"/>
              </w:rPr>
            </w:pPr>
            <w:r w:rsidRPr="004500D8">
              <w:rPr>
                <w:sz w:val="22"/>
                <w:szCs w:val="22"/>
                <w:lang w:val="sr-Latn-ME"/>
              </w:rPr>
              <w:t xml:space="preserve">1,3 (0,5 – 2,1) </w:t>
            </w:r>
          </w:p>
        </w:tc>
        <w:tc>
          <w:tcPr>
            <w:tcW w:w="1785" w:type="dxa"/>
            <w:tcBorders>
              <w:top w:val="single" w:sz="8" w:space="0" w:color="000000"/>
              <w:left w:val="single" w:sz="8" w:space="0" w:color="000000"/>
              <w:bottom w:val="single" w:sz="8" w:space="0" w:color="000000"/>
              <w:right w:val="single" w:sz="8" w:space="0" w:color="000000"/>
            </w:tcBorders>
          </w:tcPr>
          <w:p w14:paraId="0A0E16E0" w14:textId="77777777" w:rsidR="00596C07" w:rsidRPr="004500D8" w:rsidRDefault="00596C07" w:rsidP="00596C07">
            <w:pPr>
              <w:widowControl w:val="0"/>
              <w:autoSpaceDE w:val="0"/>
              <w:autoSpaceDN w:val="0"/>
              <w:adjustRightInd w:val="0"/>
              <w:ind w:left="34" w:hanging="34"/>
              <w:rPr>
                <w:sz w:val="22"/>
                <w:szCs w:val="22"/>
                <w:lang w:val="sr-Latn-ME"/>
              </w:rPr>
            </w:pPr>
            <w:r w:rsidRPr="004500D8">
              <w:rPr>
                <w:sz w:val="22"/>
                <w:szCs w:val="22"/>
                <w:lang w:val="sr-Latn-ME"/>
              </w:rPr>
              <w:t xml:space="preserve">0,5 (0 – 1,0) </w:t>
            </w:r>
          </w:p>
        </w:tc>
        <w:tc>
          <w:tcPr>
            <w:tcW w:w="836" w:type="dxa"/>
            <w:tcBorders>
              <w:top w:val="single" w:sz="8" w:space="0" w:color="000000"/>
              <w:left w:val="single" w:sz="8" w:space="0" w:color="000000"/>
              <w:bottom w:val="single" w:sz="8" w:space="0" w:color="000000"/>
              <w:right w:val="single" w:sz="8" w:space="0" w:color="000000"/>
            </w:tcBorders>
          </w:tcPr>
          <w:p w14:paraId="59905150" w14:textId="77777777" w:rsidR="00596C07" w:rsidRPr="004500D8" w:rsidRDefault="00596C07" w:rsidP="00596C07">
            <w:pPr>
              <w:widowControl w:val="0"/>
              <w:autoSpaceDE w:val="0"/>
              <w:autoSpaceDN w:val="0"/>
              <w:adjustRightInd w:val="0"/>
              <w:ind w:left="34" w:hanging="34"/>
              <w:rPr>
                <w:sz w:val="22"/>
                <w:szCs w:val="22"/>
                <w:lang w:val="sr-Latn-ME"/>
              </w:rPr>
            </w:pPr>
            <w:r w:rsidRPr="004500D8">
              <w:rPr>
                <w:sz w:val="22"/>
                <w:szCs w:val="22"/>
                <w:lang w:val="sr-Latn-ME"/>
              </w:rPr>
              <w:t>&lt;0,001</w:t>
            </w:r>
            <w:r w:rsidRPr="004500D8">
              <w:rPr>
                <w:b/>
                <w:bCs/>
                <w:sz w:val="22"/>
                <w:szCs w:val="22"/>
                <w:lang w:val="sr-Latn-ME"/>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108C3DE9" w14:textId="77777777" w:rsidR="00596C07" w:rsidRPr="004500D8" w:rsidRDefault="00596C07" w:rsidP="00596C07">
            <w:pPr>
              <w:widowControl w:val="0"/>
              <w:autoSpaceDE w:val="0"/>
              <w:autoSpaceDN w:val="0"/>
              <w:adjustRightInd w:val="0"/>
              <w:ind w:left="34" w:hanging="34"/>
              <w:rPr>
                <w:sz w:val="22"/>
                <w:szCs w:val="22"/>
                <w:lang w:val="sr-Latn-ME"/>
              </w:rPr>
            </w:pPr>
            <w:r w:rsidRPr="004500D8">
              <w:rPr>
                <w:sz w:val="22"/>
                <w:szCs w:val="22"/>
                <w:lang w:val="sr-Latn-ME"/>
              </w:rPr>
              <w:t xml:space="preserve">0,0037 </w:t>
            </w:r>
          </w:p>
        </w:tc>
        <w:tc>
          <w:tcPr>
            <w:tcW w:w="0" w:type="auto"/>
            <w:tcBorders>
              <w:top w:val="single" w:sz="8" w:space="0" w:color="000000"/>
              <w:left w:val="single" w:sz="8" w:space="0" w:color="000000"/>
              <w:bottom w:val="single" w:sz="8" w:space="0" w:color="000000"/>
              <w:right w:val="single" w:sz="8" w:space="0" w:color="000000"/>
            </w:tcBorders>
          </w:tcPr>
          <w:p w14:paraId="6F2FD0EF" w14:textId="77777777" w:rsidR="00596C07" w:rsidRPr="004500D8" w:rsidRDefault="00596C07" w:rsidP="00596C07">
            <w:pPr>
              <w:widowControl w:val="0"/>
              <w:autoSpaceDE w:val="0"/>
              <w:autoSpaceDN w:val="0"/>
              <w:adjustRightInd w:val="0"/>
              <w:ind w:left="34" w:hanging="34"/>
              <w:rPr>
                <w:sz w:val="22"/>
                <w:szCs w:val="22"/>
                <w:lang w:val="sr-Latn-ME"/>
              </w:rPr>
            </w:pPr>
            <w:r w:rsidRPr="004500D8">
              <w:rPr>
                <w:sz w:val="22"/>
                <w:szCs w:val="22"/>
                <w:lang w:val="sr-Latn-ME"/>
              </w:rPr>
              <w:t xml:space="preserve">0,151 </w:t>
            </w:r>
          </w:p>
        </w:tc>
      </w:tr>
    </w:tbl>
    <w:p w14:paraId="0182F6F8" w14:textId="77777777" w:rsidR="00596C07" w:rsidRPr="004500D8" w:rsidRDefault="00596C07" w:rsidP="00596C07">
      <w:pPr>
        <w:widowControl w:val="0"/>
        <w:pBdr>
          <w:top w:val="single" w:sz="4" w:space="1" w:color="auto"/>
          <w:left w:val="single" w:sz="4" w:space="6" w:color="auto"/>
          <w:bottom w:val="single" w:sz="4" w:space="1" w:color="auto"/>
          <w:right w:val="single" w:sz="4" w:space="4" w:color="auto"/>
        </w:pBdr>
        <w:autoSpaceDE w:val="0"/>
        <w:autoSpaceDN w:val="0"/>
        <w:adjustRightInd w:val="0"/>
        <w:jc w:val="both"/>
        <w:rPr>
          <w:sz w:val="22"/>
          <w:szCs w:val="22"/>
          <w:lang w:val="sr-Latn-ME"/>
        </w:rPr>
      </w:pPr>
      <w:r w:rsidRPr="004500D8">
        <w:rPr>
          <w:position w:val="8"/>
          <w:sz w:val="22"/>
          <w:szCs w:val="22"/>
          <w:vertAlign w:val="superscript"/>
          <w:lang w:val="sr-Latn-ME"/>
        </w:rPr>
        <w:t>a</w:t>
      </w:r>
      <w:r w:rsidRPr="004500D8">
        <w:rPr>
          <w:sz w:val="22"/>
          <w:szCs w:val="22"/>
          <w:lang w:val="sr-Latn-ME"/>
        </w:rPr>
        <w:t>p vrijednost dobijena poređenjem monoterapije metotreksatom i kombinovane terapije lijekom Humira i metotreksatom uz primjenu Mann-Whitney U testa</w:t>
      </w:r>
    </w:p>
    <w:p w14:paraId="184941A4" w14:textId="77777777" w:rsidR="00596C07" w:rsidRPr="004500D8" w:rsidRDefault="00596C07" w:rsidP="00596C07">
      <w:pPr>
        <w:widowControl w:val="0"/>
        <w:pBdr>
          <w:top w:val="single" w:sz="4" w:space="1" w:color="auto"/>
          <w:left w:val="single" w:sz="4" w:space="6" w:color="auto"/>
          <w:bottom w:val="single" w:sz="4" w:space="1" w:color="auto"/>
          <w:right w:val="single" w:sz="4" w:space="4" w:color="auto"/>
        </w:pBdr>
        <w:autoSpaceDE w:val="0"/>
        <w:autoSpaceDN w:val="0"/>
        <w:adjustRightInd w:val="0"/>
        <w:jc w:val="both"/>
        <w:rPr>
          <w:sz w:val="22"/>
          <w:szCs w:val="22"/>
          <w:lang w:val="sr-Latn-ME"/>
        </w:rPr>
      </w:pPr>
      <w:r w:rsidRPr="004500D8">
        <w:rPr>
          <w:position w:val="8"/>
          <w:sz w:val="22"/>
          <w:szCs w:val="22"/>
          <w:vertAlign w:val="superscript"/>
          <w:lang w:val="sr-Latn-ME"/>
        </w:rPr>
        <w:t>b</w:t>
      </w:r>
      <w:r w:rsidRPr="004500D8">
        <w:rPr>
          <w:sz w:val="22"/>
          <w:szCs w:val="22"/>
          <w:lang w:val="sr-Latn-ME"/>
        </w:rPr>
        <w:t>p vrijednost dobijena poređenjem monoterapije lijekom Humira i kombinovane terapije lijekom Humira i metotreksatom uz primjenu Mann-Whitney U testa</w:t>
      </w:r>
    </w:p>
    <w:p w14:paraId="4D67F73C" w14:textId="77777777" w:rsidR="00596C07" w:rsidRPr="004500D8" w:rsidRDefault="00596C07" w:rsidP="00596C07">
      <w:pPr>
        <w:widowControl w:val="0"/>
        <w:pBdr>
          <w:top w:val="single" w:sz="4" w:space="1" w:color="auto"/>
          <w:left w:val="single" w:sz="4" w:space="6" w:color="auto"/>
          <w:bottom w:val="single" w:sz="4" w:space="1" w:color="auto"/>
          <w:right w:val="single" w:sz="4" w:space="4" w:color="auto"/>
        </w:pBdr>
        <w:autoSpaceDE w:val="0"/>
        <w:autoSpaceDN w:val="0"/>
        <w:adjustRightInd w:val="0"/>
        <w:jc w:val="both"/>
        <w:rPr>
          <w:sz w:val="22"/>
          <w:szCs w:val="22"/>
          <w:lang w:val="sr-Latn-ME"/>
        </w:rPr>
      </w:pPr>
      <w:r w:rsidRPr="004500D8">
        <w:rPr>
          <w:position w:val="8"/>
          <w:sz w:val="22"/>
          <w:szCs w:val="22"/>
          <w:vertAlign w:val="superscript"/>
          <w:lang w:val="sr-Latn-ME"/>
        </w:rPr>
        <w:t>c</w:t>
      </w:r>
      <w:r w:rsidRPr="004500D8">
        <w:rPr>
          <w:sz w:val="22"/>
          <w:szCs w:val="22"/>
          <w:lang w:val="sr-Latn-ME"/>
        </w:rPr>
        <w:t>p vrijednost dobijena poređenjem monoterapije lijekom Humira i monoterapije metotreksatom uz primjenu Mann-Whitney U testa</w:t>
      </w:r>
    </w:p>
    <w:p w14:paraId="2884A927" w14:textId="77777777" w:rsidR="00596C07" w:rsidRPr="004500D8" w:rsidRDefault="00596C07" w:rsidP="00596C07">
      <w:pPr>
        <w:widowControl w:val="0"/>
        <w:autoSpaceDE w:val="0"/>
        <w:autoSpaceDN w:val="0"/>
        <w:adjustRightInd w:val="0"/>
        <w:jc w:val="both"/>
        <w:rPr>
          <w:sz w:val="22"/>
          <w:szCs w:val="22"/>
          <w:lang w:val="sr-Latn-ME"/>
        </w:rPr>
      </w:pPr>
    </w:p>
    <w:p w14:paraId="045A11FE"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Nakon 52 i 104 nedjelje liječenja, procenat pacijenata bez znakova napredovanja bolesti (promjena od </w:t>
      </w:r>
      <w:r w:rsidRPr="004500D8">
        <w:rPr>
          <w:sz w:val="22"/>
          <w:szCs w:val="22"/>
          <w:lang w:val="sr-Latn-ME"/>
        </w:rPr>
        <w:lastRenderedPageBreak/>
        <w:t>početne vrijednosti početnog ukupnog zbira bodova po Sharp-u ≤ 0,5) bio je značajno veći u grupi liječenoj kombinacijom lijeka Humira i metotreksata (63,8 % i 61,2 %) u poređenju sa grupom koja je dobijala monoterapiju metotreksatom (37,4 % i 33,5 %, p &lt; 0,001), odnosno monoterapiju lijekom Humira (50,7 %, p &lt; 0,002 odnosno 44,5 %, p &lt; 0,001).</w:t>
      </w:r>
    </w:p>
    <w:p w14:paraId="0E70E211" w14:textId="77777777" w:rsidR="00596C07" w:rsidRPr="004500D8" w:rsidRDefault="00596C07" w:rsidP="00596C07">
      <w:pPr>
        <w:widowControl w:val="0"/>
        <w:autoSpaceDE w:val="0"/>
        <w:autoSpaceDN w:val="0"/>
        <w:adjustRightInd w:val="0"/>
        <w:jc w:val="both"/>
        <w:rPr>
          <w:sz w:val="22"/>
          <w:szCs w:val="22"/>
          <w:lang w:val="sr-Latn-ME"/>
        </w:rPr>
      </w:pPr>
    </w:p>
    <w:p w14:paraId="1B9D60C6" w14:textId="51D4D238"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 otvorenom produžetku studije RA , srednja vrijednost promjene ukupnog zbira bodova prema modifikovanoj Sharp-ovoj skali od početka ispitivanja do 10. godine iznosila je 10,8 kod pacijenata inicijalno randomizovanih za monoterapiju metotreksatom, 9,2 kod pacijenata inicijalno randomizovanih za monoterapiju lijekom Humira, i 3,9 kod pacijenata inicijalno randomizovanih za liječenje kombinacijom lijeka Humira i metotreksata. Odgovarajući udio pacijenata bez radiološke progresije iznosio je 31,3%, 23,7% odnosno 36,7%.</w:t>
      </w:r>
    </w:p>
    <w:p w14:paraId="7F96410D" w14:textId="77777777" w:rsidR="00596C07" w:rsidRPr="004500D8" w:rsidRDefault="00596C07" w:rsidP="00596C07">
      <w:pPr>
        <w:widowControl w:val="0"/>
        <w:autoSpaceDE w:val="0"/>
        <w:autoSpaceDN w:val="0"/>
        <w:adjustRightInd w:val="0"/>
        <w:rPr>
          <w:sz w:val="22"/>
          <w:szCs w:val="22"/>
          <w:lang w:val="sr-Latn-ME"/>
        </w:rPr>
      </w:pPr>
    </w:p>
    <w:p w14:paraId="424A879C" w14:textId="77777777" w:rsidR="00596C07" w:rsidRPr="004500D8" w:rsidRDefault="00596C07" w:rsidP="00596C07">
      <w:pPr>
        <w:widowControl w:val="0"/>
        <w:autoSpaceDE w:val="0"/>
        <w:autoSpaceDN w:val="0"/>
        <w:adjustRightInd w:val="0"/>
        <w:jc w:val="both"/>
        <w:rPr>
          <w:i/>
          <w:sz w:val="22"/>
          <w:szCs w:val="22"/>
          <w:u w:val="single"/>
          <w:lang w:val="sr-Latn-ME"/>
        </w:rPr>
      </w:pPr>
      <w:r w:rsidRPr="004500D8">
        <w:rPr>
          <w:i/>
          <w:sz w:val="22"/>
          <w:szCs w:val="22"/>
          <w:u w:val="single"/>
          <w:lang w:val="sr-Latn-ME"/>
        </w:rPr>
        <w:t>Kvalitet života i funkcionalna sposobnost</w:t>
      </w:r>
    </w:p>
    <w:p w14:paraId="40413720" w14:textId="77777777" w:rsidR="00596C07" w:rsidRPr="004500D8" w:rsidRDefault="00596C07" w:rsidP="00596C07">
      <w:pPr>
        <w:widowControl w:val="0"/>
        <w:autoSpaceDE w:val="0"/>
        <w:autoSpaceDN w:val="0"/>
        <w:adjustRightInd w:val="0"/>
        <w:jc w:val="both"/>
        <w:rPr>
          <w:sz w:val="22"/>
          <w:szCs w:val="22"/>
          <w:u w:val="single"/>
          <w:lang w:val="sr-Latn-ME"/>
        </w:rPr>
      </w:pPr>
    </w:p>
    <w:p w14:paraId="20EC9D18"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Kvalitet života koji zavisi od zdravstvenog stanja i funkcionalna sposobnost ocjenjivane su pomoću indeksa funkcionalne nesposobnosti Upitnika za ocjenu zdravstvenog stanja (</w:t>
      </w:r>
      <w:r w:rsidRPr="004500D8">
        <w:rPr>
          <w:i/>
          <w:sz w:val="22"/>
          <w:szCs w:val="22"/>
          <w:lang w:val="sr-Latn-ME"/>
        </w:rPr>
        <w:t>Health Assessment Questionnaire</w:t>
      </w:r>
      <w:r w:rsidRPr="004500D8">
        <w:rPr>
          <w:sz w:val="22"/>
          <w:szCs w:val="22"/>
          <w:lang w:val="sr-Latn-ME"/>
        </w:rPr>
        <w:t xml:space="preserve"> – HAQ) u sva četiri originalna adekvatna i dobro kontrolisana klinička ispitivanja, a to je bila i postavljena primarna mjera ishoda ocjenjivanja nakon 52 nedjelje liječenja u RA ispitivanju III. Nakon 6 mjeseci praćenja u sva četiri ispitivanja zabilježeno je statistički značajno veće poboljšanje indeksa funkcionalne nesposobnosti HAQ s obzirom na početne vrijednosti kod pacijenata liječenih lijekom Humira pri svim dozama/režimima davanja nego kod placeba, a identičan je nalaz nađen primijećen i u  52 nedjelji u RA ispitivanju III. Rezultati Kratke zdravstvene ankete (</w:t>
      </w:r>
      <w:r w:rsidRPr="004500D8">
        <w:rPr>
          <w:i/>
          <w:sz w:val="22"/>
          <w:szCs w:val="22"/>
          <w:lang w:val="sr-Latn-ME"/>
        </w:rPr>
        <w:t>Short Form Health Survey</w:t>
      </w:r>
      <w:r w:rsidRPr="004500D8">
        <w:rPr>
          <w:sz w:val="22"/>
          <w:szCs w:val="22"/>
          <w:lang w:val="sr-Latn-ME"/>
        </w:rPr>
        <w:t xml:space="preserve"> – SF 36) podržavaju te nalaze za sve doze/režime davanja lijeka Humira u sva četiri ispitivanja sa statistički značajno boljim vrijednostima funkcionalne komponente (PCS) te statistički značajno boljom ocjenom bola i vitalnosti pri dozi od 40 mg svake druge nedjelje. Statistički značajno smanjenje umora prema funkcionalnoj procjeni terapije hroničnih bolesti (FACIT) zabilježeno je u sva tri ispitivanja u kojima je taj parametar ispitivan (RA I, III, IV).</w:t>
      </w:r>
    </w:p>
    <w:p w14:paraId="30536CB9" w14:textId="77777777" w:rsidR="00596C07" w:rsidRPr="004500D8" w:rsidRDefault="00596C07" w:rsidP="00596C07">
      <w:pPr>
        <w:widowControl w:val="0"/>
        <w:autoSpaceDE w:val="0"/>
        <w:autoSpaceDN w:val="0"/>
        <w:adjustRightInd w:val="0"/>
        <w:jc w:val="both"/>
        <w:rPr>
          <w:sz w:val="22"/>
          <w:szCs w:val="22"/>
          <w:lang w:val="sr-Latn-ME"/>
        </w:rPr>
      </w:pPr>
    </w:p>
    <w:p w14:paraId="0B7EC83B"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 RA ispitivanju III, poboljšanje funkcionalne sposobnosti održalo se tokom 520 nedjelja (120 mjeseci) otvorenog liječenja. Poboljšanje kvaliteta života mjereno je do 156. nedjelje (36 mjeseci) i poboljšanje se održalo tokom tog perioda.</w:t>
      </w:r>
    </w:p>
    <w:p w14:paraId="19D43CCD" w14:textId="77777777" w:rsidR="00596C07" w:rsidRPr="004500D8" w:rsidRDefault="00596C07" w:rsidP="00596C07">
      <w:pPr>
        <w:widowControl w:val="0"/>
        <w:autoSpaceDE w:val="0"/>
        <w:autoSpaceDN w:val="0"/>
        <w:adjustRightInd w:val="0"/>
        <w:jc w:val="both"/>
        <w:rPr>
          <w:sz w:val="22"/>
          <w:szCs w:val="22"/>
          <w:lang w:val="sr-Latn-ME"/>
        </w:rPr>
      </w:pPr>
    </w:p>
    <w:p w14:paraId="7E2D553E"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 RA ispitivanju V, poboljšanje indeksa funkcionalne nesposobnosti HAQ i funkcionalne komponente SF 36 nakon 52 nedjelje bilo je značajno bolje kod pacijenata liječenih kombinacijom lijeka Humira i metotreksata (p &lt; 0,001) u poređenju sa pacijentima koji su dobijali monoterapiju metotreksatom, odnosno lijekom Humira, i to se poboljšanje održalo tokom 104 nedjelje liječenja. Među 250 ispitanika koji su dovršili otvoreni produžetak ispitivanja, poboljšanja funkcionalne sposobnosti su se održala tokom 10 godina liječenja</w:t>
      </w:r>
    </w:p>
    <w:p w14:paraId="2C2C2462" w14:textId="77777777" w:rsidR="00596C07" w:rsidRPr="004500D8" w:rsidRDefault="00596C07" w:rsidP="00596C07">
      <w:pPr>
        <w:autoSpaceDE w:val="0"/>
        <w:autoSpaceDN w:val="0"/>
        <w:adjustRightInd w:val="0"/>
        <w:rPr>
          <w:i/>
          <w:iCs/>
          <w:sz w:val="22"/>
          <w:szCs w:val="22"/>
          <w:lang w:val="sr-Latn-ME" w:eastAsia="sr-Latn-ME"/>
        </w:rPr>
      </w:pPr>
    </w:p>
    <w:p w14:paraId="347C9CFE" w14:textId="77777777" w:rsidR="00596C07" w:rsidRPr="004500D8" w:rsidRDefault="00596C07" w:rsidP="00596C07">
      <w:pPr>
        <w:autoSpaceDE w:val="0"/>
        <w:autoSpaceDN w:val="0"/>
        <w:adjustRightInd w:val="0"/>
        <w:rPr>
          <w:i/>
          <w:iCs/>
          <w:sz w:val="22"/>
          <w:szCs w:val="22"/>
          <w:lang w:val="sr-Latn-ME" w:eastAsia="sr-Latn-ME"/>
        </w:rPr>
      </w:pPr>
      <w:r w:rsidRPr="004500D8">
        <w:rPr>
          <w:i/>
          <w:iCs/>
          <w:sz w:val="22"/>
          <w:szCs w:val="22"/>
          <w:lang w:val="sr-Latn-ME" w:eastAsia="sr-Latn-ME"/>
        </w:rPr>
        <w:t>Bol na mjestu primjene</w:t>
      </w:r>
    </w:p>
    <w:p w14:paraId="2B9F8A80" w14:textId="77777777" w:rsidR="00596C07" w:rsidRPr="004500D8" w:rsidRDefault="00596C07" w:rsidP="00596C07">
      <w:pPr>
        <w:autoSpaceDE w:val="0"/>
        <w:autoSpaceDN w:val="0"/>
        <w:adjustRightInd w:val="0"/>
        <w:jc w:val="both"/>
        <w:rPr>
          <w:rFonts w:eastAsia="TimesNewRomanPSMT"/>
          <w:sz w:val="22"/>
          <w:szCs w:val="22"/>
          <w:lang w:val="sr-Latn-ME" w:eastAsia="sr-Latn-ME"/>
        </w:rPr>
      </w:pPr>
    </w:p>
    <w:p w14:paraId="22911C41" w14:textId="77777777" w:rsidR="00596C07" w:rsidRPr="004500D8" w:rsidRDefault="00596C07" w:rsidP="00596C07">
      <w:pPr>
        <w:autoSpaceDE w:val="0"/>
        <w:autoSpaceDN w:val="0"/>
        <w:adjustRightInd w:val="0"/>
        <w:jc w:val="both"/>
        <w:rPr>
          <w:sz w:val="22"/>
          <w:szCs w:val="22"/>
          <w:lang w:val="sr-Latn-ME" w:eastAsia="sr-Latn-ME"/>
        </w:rPr>
      </w:pPr>
      <w:r w:rsidRPr="004500D8">
        <w:rPr>
          <w:rFonts w:eastAsia="TimesNewRomanPSMT"/>
          <w:sz w:val="22"/>
          <w:szCs w:val="22"/>
          <w:lang w:val="sr-Latn-ME" w:eastAsia="sr-Latn-ME"/>
        </w:rPr>
        <w:t xml:space="preserve">Na osnovu objedinjenih podataka iz ukrštenih ispitivanja RA VI i RA VII utvrđena je statistički značajna razlika u bolu na mjestu primjene neposredno nakon injiciranja između lijeka Humira u dozi od </w:t>
      </w:r>
      <w:r w:rsidRPr="004500D8">
        <w:rPr>
          <w:sz w:val="22"/>
          <w:szCs w:val="22"/>
          <w:lang w:val="sr-Latn-ME" w:eastAsia="sr-Latn-ME"/>
        </w:rPr>
        <w:t>40 mg/0,8 ml i lijeka Humira u dozi od 40 mg/0,4 ml (srednja vrijednost od 3,7 cm u odnosu na 1,2 cm prema VAS skali od 0-10 cm, P &lt;0,001). To je predstavljalo medijanu smanjenja bola na mjestu injiciranja od 84%.</w:t>
      </w:r>
    </w:p>
    <w:p w14:paraId="33F5B597" w14:textId="77777777" w:rsidR="00596C07" w:rsidRPr="004500D8" w:rsidRDefault="00596C07" w:rsidP="00596C07">
      <w:pPr>
        <w:autoSpaceDE w:val="0"/>
        <w:autoSpaceDN w:val="0"/>
        <w:adjustRightInd w:val="0"/>
        <w:jc w:val="both"/>
        <w:rPr>
          <w:sz w:val="22"/>
          <w:szCs w:val="22"/>
          <w:lang w:val="sr-Latn-ME"/>
        </w:rPr>
      </w:pPr>
    </w:p>
    <w:p w14:paraId="744442BC" w14:textId="77777777" w:rsidR="00596C07" w:rsidRPr="004500D8" w:rsidRDefault="00596C07" w:rsidP="00596C07">
      <w:pPr>
        <w:autoSpaceDE w:val="0"/>
        <w:autoSpaceDN w:val="0"/>
        <w:adjustRightInd w:val="0"/>
        <w:jc w:val="both"/>
        <w:rPr>
          <w:sz w:val="22"/>
          <w:szCs w:val="22"/>
          <w:u w:val="single"/>
          <w:lang w:val="sr-Latn-ME"/>
        </w:rPr>
      </w:pPr>
      <w:r w:rsidRPr="004500D8">
        <w:rPr>
          <w:i/>
          <w:sz w:val="22"/>
          <w:szCs w:val="22"/>
          <w:lang w:val="sr-Latn-ME"/>
        </w:rPr>
        <w:t>Psorijaza</w:t>
      </w:r>
    </w:p>
    <w:p w14:paraId="79C1212D" w14:textId="77777777" w:rsidR="00596C07" w:rsidRPr="004500D8" w:rsidRDefault="00596C07" w:rsidP="00596C07">
      <w:pPr>
        <w:autoSpaceDE w:val="0"/>
        <w:autoSpaceDN w:val="0"/>
        <w:adjustRightInd w:val="0"/>
        <w:jc w:val="both"/>
        <w:rPr>
          <w:i/>
          <w:sz w:val="22"/>
          <w:szCs w:val="22"/>
          <w:u w:val="single"/>
          <w:lang w:val="sr-Latn-ME"/>
        </w:rPr>
      </w:pPr>
    </w:p>
    <w:p w14:paraId="0122B75C"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 xml:space="preserve">Bezbjednost i efikasnost primjene lijeka Humira ispitivale su se kod odraslih pacijenta s hroničnom plak psorijazom (zahvaćeno ≥10% % površine tijela i rezultat prema ljestvici za ocjenjivanje zahvaćenosti kože i težine kliničke slike [engl. </w:t>
      </w:r>
      <w:r w:rsidRPr="004500D8">
        <w:rPr>
          <w:i/>
          <w:sz w:val="22"/>
          <w:szCs w:val="22"/>
          <w:lang w:val="sr-Latn-ME"/>
        </w:rPr>
        <w:t>Psoriasis Area and Severity Index</w:t>
      </w:r>
      <w:r w:rsidRPr="004500D8">
        <w:rPr>
          <w:sz w:val="22"/>
          <w:szCs w:val="22"/>
          <w:lang w:val="sr-Latn-ME"/>
        </w:rPr>
        <w:t xml:space="preserve"> (PASI)] ≥ 12 ili ≥ 10) koji su bili kandidati za sistemsku terapiju ili fototerapiju u randomizovanim, dvostruko slijepim ispitivanjima. 73% pacijenta s psorijazom koji su obuhvaćeni ispitivanjima Psoriasis Study I i Psoriasis Study II prethodno je primalo sistemsku terapiju ili fototerapiju. Bezbjednost i efikasnost primjene lijeka Humira je takođe ispitivana kod odraslih pacijenata sa umjerenom do ozbiljnom hroničnom plak psorijazom sa </w:t>
      </w:r>
      <w:r w:rsidRPr="004500D8">
        <w:rPr>
          <w:sz w:val="22"/>
          <w:szCs w:val="22"/>
          <w:lang w:val="sr-Latn-ME"/>
        </w:rPr>
        <w:lastRenderedPageBreak/>
        <w:t>konkomitantnom psorijazom na rukama i/ili stopalima koji su bili kandidati za sistemsku terapiju u randomizovanoj dvostruko slijepoj studiji (Psoriasis Study III).</w:t>
      </w:r>
    </w:p>
    <w:p w14:paraId="2BE0E937" w14:textId="77777777" w:rsidR="00596C07" w:rsidRPr="004500D8" w:rsidRDefault="00596C07" w:rsidP="00596C07">
      <w:pPr>
        <w:autoSpaceDE w:val="0"/>
        <w:autoSpaceDN w:val="0"/>
        <w:adjustRightInd w:val="0"/>
        <w:jc w:val="both"/>
        <w:rPr>
          <w:sz w:val="22"/>
          <w:szCs w:val="22"/>
          <w:lang w:val="sr-Latn-ME"/>
        </w:rPr>
      </w:pPr>
    </w:p>
    <w:p w14:paraId="6E5F9D93" w14:textId="6C91834F"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Ispitivanjem pacijenata s psorijazom u Psoriasis Study I (REVEAL) procijenjeno je 1212 pacijenta u okviru tri razdoblja liječenja. U razdoblju A, pacijenti su dobijali placebo, odnosno lijek Humira u početnoj dozi od 80 mg, a zatim u dozi od 40 mg svake druge nedjelje, počevši po okončanju jedne nedjelje nakon početne doze. Nakon 16 nedjelja liječenja, pacijenti kod kojih je postignut najmanje PASI 75 odgovor (poboljšanje PASI indeksa od najmanje 75% u odnosu na početno stanje), ušli su u razdoblje B i primali lijek Humira u dozi od 40 mg svake druge nedjelje u okviru otvorenog ispitivanja. Pacijenti kod koji</w:t>
      </w:r>
      <w:r w:rsidR="00001F38" w:rsidRPr="004500D8">
        <w:rPr>
          <w:sz w:val="22"/>
          <w:szCs w:val="22"/>
          <w:lang w:val="sr-Latn-ME"/>
        </w:rPr>
        <w:t>h</w:t>
      </w:r>
      <w:r w:rsidRPr="004500D8">
        <w:rPr>
          <w:sz w:val="22"/>
          <w:szCs w:val="22"/>
          <w:lang w:val="sr-Latn-ME"/>
        </w:rPr>
        <w:t xml:space="preserve"> je do 33. nedjelje održan veći ili jednak PASI 75 odgovor, a koji su prvobitno bili randomizovani na terapiju aktivnim lijekom u razdoblju A, ponovno su randomizovani u razdoblju C, tako da su tokom dodatnih 19 nedjelja primali ili lijek Humira u dozi od 40 mg svake druge nedjelje ili placebo. U svim ispitivanim grupama, srednji početni PASI zbir bio je 18,9, dok se rezultat prema ljestvici Opšte procjene ljekara (PGA) kretao od „umjerenog“ (53% od uključenih pacijenata) preko “teškog” (41%) do “veoma teškog” (6%).</w:t>
      </w:r>
    </w:p>
    <w:p w14:paraId="652CF764" w14:textId="77777777" w:rsidR="00596C07" w:rsidRPr="004500D8" w:rsidRDefault="00596C07" w:rsidP="00596C07">
      <w:pPr>
        <w:autoSpaceDE w:val="0"/>
        <w:autoSpaceDN w:val="0"/>
        <w:adjustRightInd w:val="0"/>
        <w:jc w:val="both"/>
        <w:rPr>
          <w:sz w:val="22"/>
          <w:szCs w:val="22"/>
          <w:lang w:val="sr-Latn-ME"/>
        </w:rPr>
      </w:pPr>
    </w:p>
    <w:p w14:paraId="091B979D"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Ispitivanjem pacijenata s psorijazom u Psoriasis Study II (CHAMPION) poređena je efikasnost i bezbjednost primjene lijeka Humira u odnosu na metotreksat i placebo kod 271 pacijenata. Pacijenti su dobijali placebo, MTX u početnoj dozi od 7,5 mg, nakon čega se doza povećavala sve do 12. nedjelje, do maksimalne doze od 25 mg, odnosno primali su lijek Humira u početnoj dozi od 80 mg, a zatim 40 mg svake druge nedjelje (počevši po okončanju jedne nedjelje nakon početne doze) tokom 16 nedjelja. Ne postoje podaci o poređenju lijeka Humira i MTX-a za razdoblje nakon 16 nedjelja liječenja. Kod pacijenata koji su primali MTX i kod kojih je ostvaren veći ili jednak PASI 50 odgovor u 8. i/ili 12. nedjelji, doza se naknadno nije povećavala. U svim ispitivanim grupama, srednji početni PASI zbir je bio 19,7, dok se početni PGA rezultat kretao od “blagog” (&lt;1%), preko “umjerenog” (48%) i “teškog” (46%) do “veoma teškog” (6%).</w:t>
      </w:r>
    </w:p>
    <w:p w14:paraId="0294252D" w14:textId="77777777" w:rsidR="00596C07" w:rsidRPr="004500D8" w:rsidRDefault="00596C07" w:rsidP="00596C07">
      <w:pPr>
        <w:autoSpaceDE w:val="0"/>
        <w:autoSpaceDN w:val="0"/>
        <w:adjustRightInd w:val="0"/>
        <w:jc w:val="both"/>
        <w:rPr>
          <w:sz w:val="22"/>
          <w:szCs w:val="22"/>
          <w:lang w:val="sr-Latn-ME"/>
        </w:rPr>
      </w:pPr>
    </w:p>
    <w:p w14:paraId="0862D93C"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 xml:space="preserve">Pacijenti koji su učestvovali u svim ispitivanjima psorijaze faze II i faze III kvalifikovali su se za uključivanje u produženo otvoreno ispitivanje, u okviru kojeg su primali lijek Humira još najmanje dodatnih 108 nedjelja. </w:t>
      </w:r>
    </w:p>
    <w:p w14:paraId="53349AE1" w14:textId="77777777" w:rsidR="00596C07" w:rsidRPr="004500D8" w:rsidRDefault="00596C07" w:rsidP="00596C07">
      <w:pPr>
        <w:autoSpaceDE w:val="0"/>
        <w:autoSpaceDN w:val="0"/>
        <w:adjustRightInd w:val="0"/>
        <w:rPr>
          <w:sz w:val="22"/>
          <w:szCs w:val="22"/>
          <w:lang w:val="sr-Latn-ME"/>
        </w:rPr>
      </w:pPr>
    </w:p>
    <w:p w14:paraId="2A44CEFD" w14:textId="25676D27" w:rsidR="00001F38" w:rsidRPr="004500D8" w:rsidRDefault="00596C07" w:rsidP="00596C07">
      <w:pPr>
        <w:autoSpaceDE w:val="0"/>
        <w:autoSpaceDN w:val="0"/>
        <w:adjustRightInd w:val="0"/>
        <w:jc w:val="both"/>
        <w:rPr>
          <w:sz w:val="22"/>
          <w:szCs w:val="22"/>
          <w:lang w:val="sr-Latn-ME"/>
        </w:rPr>
      </w:pPr>
      <w:r w:rsidRPr="004500D8">
        <w:rPr>
          <w:sz w:val="22"/>
          <w:szCs w:val="22"/>
          <w:lang w:val="sr-Latn-ME"/>
        </w:rPr>
        <w:t xml:space="preserve">U ispitivanjima pacijenata s psorijazom Psoriasis Study I i Psoriasis Study II, primarna mjera ishoda je bio odnos pacijenata kod kojih je postignut PASI 75 odgovor u 16. nedjelji u odnosu na početno stanje (vidjeti Tabelu 9 i Tabelu 10). </w:t>
      </w:r>
    </w:p>
    <w:p w14:paraId="3554AEB2" w14:textId="77777777" w:rsidR="00001F38" w:rsidRPr="004500D8" w:rsidRDefault="00001F38" w:rsidP="003B242C">
      <w:pPr>
        <w:autoSpaceDE w:val="0"/>
        <w:autoSpaceDN w:val="0"/>
        <w:adjustRightInd w:val="0"/>
        <w:jc w:val="both"/>
        <w:rPr>
          <w:b/>
          <w:sz w:val="22"/>
          <w:szCs w:val="22"/>
          <w:lang w:val="sr-Latn-ME"/>
        </w:rPr>
      </w:pPr>
      <w:r w:rsidRPr="004500D8">
        <w:rPr>
          <w:b/>
          <w:sz w:val="22"/>
          <w:szCs w:val="22"/>
          <w:lang w:val="sr-Latn-ME"/>
        </w:rPr>
        <w:t xml:space="preserve"> </w:t>
      </w:r>
    </w:p>
    <w:p w14:paraId="4583AEFC" w14:textId="43C91F36" w:rsidR="00596C07" w:rsidRPr="004500D8" w:rsidRDefault="00596C07" w:rsidP="003B242C">
      <w:pPr>
        <w:autoSpaceDE w:val="0"/>
        <w:autoSpaceDN w:val="0"/>
        <w:adjustRightInd w:val="0"/>
        <w:rPr>
          <w:b/>
          <w:sz w:val="22"/>
          <w:szCs w:val="22"/>
          <w:lang w:val="sr-Latn-ME"/>
        </w:rPr>
      </w:pPr>
      <w:r w:rsidRPr="004500D8">
        <w:rPr>
          <w:b/>
          <w:sz w:val="22"/>
          <w:szCs w:val="22"/>
          <w:lang w:val="sr-Latn-ME"/>
        </w:rPr>
        <w:t>Tabela 9</w:t>
      </w:r>
      <w:r w:rsidR="00001F38" w:rsidRPr="004500D8">
        <w:rPr>
          <w:b/>
          <w:sz w:val="22"/>
          <w:szCs w:val="22"/>
          <w:lang w:val="sr-Latn-ME"/>
        </w:rPr>
        <w:t xml:space="preserve">. </w:t>
      </w:r>
      <w:r w:rsidRPr="004500D8">
        <w:rPr>
          <w:b/>
          <w:sz w:val="22"/>
          <w:szCs w:val="22"/>
          <w:lang w:val="sr-Latn-ME"/>
        </w:rPr>
        <w:t xml:space="preserve">Ps studija I (REVEAL) – Rezultati efikasnosti u 16. nedjelji terapije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3007"/>
        <w:gridCol w:w="3008"/>
      </w:tblGrid>
      <w:tr w:rsidR="00596C07" w:rsidRPr="004500D8" w14:paraId="0B8ECAF4" w14:textId="77777777" w:rsidTr="00596C07">
        <w:tc>
          <w:tcPr>
            <w:tcW w:w="3093" w:type="dxa"/>
            <w:shd w:val="clear" w:color="auto" w:fill="auto"/>
          </w:tcPr>
          <w:p w14:paraId="67DCD81B" w14:textId="77777777" w:rsidR="00596C07" w:rsidRPr="004500D8" w:rsidRDefault="00596C07" w:rsidP="00596C07">
            <w:pPr>
              <w:autoSpaceDE w:val="0"/>
              <w:autoSpaceDN w:val="0"/>
              <w:adjustRightInd w:val="0"/>
              <w:rPr>
                <w:b/>
                <w:sz w:val="22"/>
                <w:szCs w:val="22"/>
                <w:lang w:val="sr-Latn-ME"/>
              </w:rPr>
            </w:pPr>
          </w:p>
        </w:tc>
        <w:tc>
          <w:tcPr>
            <w:tcW w:w="3093" w:type="dxa"/>
            <w:shd w:val="clear" w:color="auto" w:fill="auto"/>
          </w:tcPr>
          <w:p w14:paraId="1E5B667E" w14:textId="77777777" w:rsidR="00596C07" w:rsidRPr="004500D8" w:rsidRDefault="00596C07" w:rsidP="00596C07">
            <w:pPr>
              <w:autoSpaceDE w:val="0"/>
              <w:autoSpaceDN w:val="0"/>
              <w:adjustRightInd w:val="0"/>
              <w:jc w:val="center"/>
              <w:rPr>
                <w:b/>
                <w:sz w:val="22"/>
                <w:szCs w:val="22"/>
                <w:lang w:val="sr-Latn-ME"/>
              </w:rPr>
            </w:pPr>
            <w:r w:rsidRPr="004500D8">
              <w:rPr>
                <w:b/>
                <w:sz w:val="22"/>
                <w:szCs w:val="22"/>
                <w:lang w:val="sr-Latn-ME"/>
              </w:rPr>
              <w:t>Placebo</w:t>
            </w:r>
          </w:p>
          <w:p w14:paraId="3377ABB8" w14:textId="77777777" w:rsidR="00596C07" w:rsidRPr="004500D8" w:rsidRDefault="00596C07" w:rsidP="00596C07">
            <w:pPr>
              <w:autoSpaceDE w:val="0"/>
              <w:autoSpaceDN w:val="0"/>
              <w:adjustRightInd w:val="0"/>
              <w:jc w:val="center"/>
              <w:rPr>
                <w:b/>
                <w:sz w:val="22"/>
                <w:szCs w:val="22"/>
                <w:lang w:val="sr-Latn-ME"/>
              </w:rPr>
            </w:pPr>
          </w:p>
          <w:p w14:paraId="11037150" w14:textId="77777777" w:rsidR="00596C07" w:rsidRPr="004500D8" w:rsidRDefault="00596C07" w:rsidP="00596C07">
            <w:pPr>
              <w:autoSpaceDE w:val="0"/>
              <w:autoSpaceDN w:val="0"/>
              <w:adjustRightInd w:val="0"/>
              <w:jc w:val="center"/>
              <w:rPr>
                <w:b/>
                <w:sz w:val="22"/>
                <w:szCs w:val="22"/>
                <w:lang w:val="sr-Latn-ME"/>
              </w:rPr>
            </w:pPr>
            <w:r w:rsidRPr="004500D8">
              <w:rPr>
                <w:b/>
                <w:sz w:val="22"/>
                <w:szCs w:val="22"/>
                <w:lang w:val="sr-Latn-ME"/>
              </w:rPr>
              <w:t>N=398</w:t>
            </w:r>
          </w:p>
          <w:p w14:paraId="4C1EB7C5" w14:textId="77777777" w:rsidR="00596C07" w:rsidRPr="004500D8" w:rsidRDefault="00596C07" w:rsidP="00596C07">
            <w:pPr>
              <w:autoSpaceDE w:val="0"/>
              <w:autoSpaceDN w:val="0"/>
              <w:adjustRightInd w:val="0"/>
              <w:jc w:val="center"/>
              <w:rPr>
                <w:b/>
                <w:sz w:val="22"/>
                <w:szCs w:val="22"/>
                <w:lang w:val="sr-Latn-ME"/>
              </w:rPr>
            </w:pPr>
            <w:r w:rsidRPr="004500D8">
              <w:rPr>
                <w:b/>
                <w:sz w:val="22"/>
                <w:szCs w:val="22"/>
                <w:lang w:val="sr-Latn-ME"/>
              </w:rPr>
              <w:t>n (%)</w:t>
            </w:r>
          </w:p>
        </w:tc>
        <w:tc>
          <w:tcPr>
            <w:tcW w:w="3094" w:type="dxa"/>
            <w:shd w:val="clear" w:color="auto" w:fill="auto"/>
          </w:tcPr>
          <w:p w14:paraId="517CD2C3" w14:textId="77777777" w:rsidR="00596C07" w:rsidRPr="004500D8" w:rsidRDefault="00596C07" w:rsidP="00596C07">
            <w:pPr>
              <w:autoSpaceDE w:val="0"/>
              <w:autoSpaceDN w:val="0"/>
              <w:adjustRightInd w:val="0"/>
              <w:jc w:val="center"/>
              <w:rPr>
                <w:b/>
                <w:sz w:val="22"/>
                <w:szCs w:val="22"/>
                <w:lang w:val="sr-Latn-ME"/>
              </w:rPr>
            </w:pPr>
            <w:r w:rsidRPr="004500D8">
              <w:rPr>
                <w:b/>
                <w:sz w:val="22"/>
                <w:szCs w:val="22"/>
                <w:lang w:val="sr-Latn-ME"/>
              </w:rPr>
              <w:t>Humira 40 mg svake druge nedjelje</w:t>
            </w:r>
          </w:p>
          <w:p w14:paraId="3CAE66A5" w14:textId="77777777" w:rsidR="00596C07" w:rsidRPr="004500D8" w:rsidRDefault="00596C07" w:rsidP="00596C07">
            <w:pPr>
              <w:autoSpaceDE w:val="0"/>
              <w:autoSpaceDN w:val="0"/>
              <w:adjustRightInd w:val="0"/>
              <w:jc w:val="center"/>
              <w:rPr>
                <w:b/>
                <w:sz w:val="22"/>
                <w:szCs w:val="22"/>
                <w:lang w:val="sr-Latn-ME"/>
              </w:rPr>
            </w:pPr>
            <w:r w:rsidRPr="004500D8">
              <w:rPr>
                <w:b/>
                <w:sz w:val="22"/>
                <w:szCs w:val="22"/>
                <w:lang w:val="sr-Latn-ME"/>
              </w:rPr>
              <w:t>N=814</w:t>
            </w:r>
          </w:p>
          <w:p w14:paraId="09A49FB0" w14:textId="77777777" w:rsidR="00596C07" w:rsidRPr="004500D8" w:rsidRDefault="00596C07" w:rsidP="00596C07">
            <w:pPr>
              <w:autoSpaceDE w:val="0"/>
              <w:autoSpaceDN w:val="0"/>
              <w:adjustRightInd w:val="0"/>
              <w:jc w:val="center"/>
              <w:rPr>
                <w:b/>
                <w:sz w:val="22"/>
                <w:szCs w:val="22"/>
                <w:lang w:val="sr-Latn-ME"/>
              </w:rPr>
            </w:pPr>
            <w:r w:rsidRPr="004500D8">
              <w:rPr>
                <w:b/>
                <w:sz w:val="22"/>
                <w:szCs w:val="22"/>
                <w:lang w:val="sr-Latn-ME"/>
              </w:rPr>
              <w:t>n (%)</w:t>
            </w:r>
          </w:p>
        </w:tc>
      </w:tr>
      <w:tr w:rsidR="00596C07" w:rsidRPr="004500D8" w14:paraId="04555771" w14:textId="77777777" w:rsidTr="00596C07">
        <w:tc>
          <w:tcPr>
            <w:tcW w:w="3093" w:type="dxa"/>
            <w:shd w:val="clear" w:color="auto" w:fill="auto"/>
          </w:tcPr>
          <w:p w14:paraId="000CA5F9"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≥PASI 75</w:t>
            </w:r>
            <w:r w:rsidRPr="004500D8">
              <w:rPr>
                <w:b/>
                <w:sz w:val="22"/>
                <w:szCs w:val="22"/>
                <w:vertAlign w:val="superscript"/>
                <w:lang w:val="sr-Latn-ME"/>
              </w:rPr>
              <w:t>a</w:t>
            </w:r>
          </w:p>
        </w:tc>
        <w:tc>
          <w:tcPr>
            <w:tcW w:w="3093" w:type="dxa"/>
            <w:shd w:val="clear" w:color="auto" w:fill="auto"/>
          </w:tcPr>
          <w:p w14:paraId="0047DED5" w14:textId="77777777" w:rsidR="00596C07" w:rsidRPr="004500D8" w:rsidRDefault="00596C07" w:rsidP="00596C07">
            <w:pPr>
              <w:autoSpaceDE w:val="0"/>
              <w:autoSpaceDN w:val="0"/>
              <w:adjustRightInd w:val="0"/>
              <w:jc w:val="center"/>
              <w:rPr>
                <w:sz w:val="22"/>
                <w:szCs w:val="22"/>
                <w:lang w:val="sr-Latn-ME"/>
              </w:rPr>
            </w:pPr>
            <w:r w:rsidRPr="004500D8">
              <w:rPr>
                <w:sz w:val="22"/>
                <w:szCs w:val="22"/>
                <w:lang w:val="sr-Latn-ME"/>
              </w:rPr>
              <w:t>26 (6,5)</w:t>
            </w:r>
          </w:p>
        </w:tc>
        <w:tc>
          <w:tcPr>
            <w:tcW w:w="3094" w:type="dxa"/>
            <w:shd w:val="clear" w:color="auto" w:fill="auto"/>
          </w:tcPr>
          <w:p w14:paraId="603C4CA6" w14:textId="77777777" w:rsidR="00596C07" w:rsidRPr="004500D8" w:rsidRDefault="00596C07" w:rsidP="00596C07">
            <w:pPr>
              <w:autoSpaceDE w:val="0"/>
              <w:autoSpaceDN w:val="0"/>
              <w:adjustRightInd w:val="0"/>
              <w:jc w:val="center"/>
              <w:rPr>
                <w:sz w:val="22"/>
                <w:szCs w:val="22"/>
                <w:lang w:val="sr-Latn-ME"/>
              </w:rPr>
            </w:pPr>
            <w:r w:rsidRPr="004500D8">
              <w:rPr>
                <w:sz w:val="22"/>
                <w:szCs w:val="22"/>
                <w:lang w:val="sr-Latn-ME"/>
              </w:rPr>
              <w:t>578 (70,9)</w:t>
            </w:r>
            <w:r w:rsidRPr="004500D8">
              <w:rPr>
                <w:sz w:val="22"/>
                <w:szCs w:val="22"/>
                <w:vertAlign w:val="superscript"/>
                <w:lang w:val="sr-Latn-ME"/>
              </w:rPr>
              <w:t>b</w:t>
            </w:r>
          </w:p>
        </w:tc>
      </w:tr>
      <w:tr w:rsidR="00596C07" w:rsidRPr="004500D8" w14:paraId="62F80D43" w14:textId="77777777" w:rsidTr="00596C07">
        <w:tc>
          <w:tcPr>
            <w:tcW w:w="3093" w:type="dxa"/>
            <w:shd w:val="clear" w:color="auto" w:fill="auto"/>
          </w:tcPr>
          <w:p w14:paraId="59082E04"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 xml:space="preserve">PASI 100 </w:t>
            </w:r>
          </w:p>
        </w:tc>
        <w:tc>
          <w:tcPr>
            <w:tcW w:w="3093" w:type="dxa"/>
            <w:shd w:val="clear" w:color="auto" w:fill="auto"/>
          </w:tcPr>
          <w:p w14:paraId="29DA307D" w14:textId="77777777" w:rsidR="00596C07" w:rsidRPr="004500D8" w:rsidRDefault="00596C07" w:rsidP="00596C07">
            <w:pPr>
              <w:autoSpaceDE w:val="0"/>
              <w:autoSpaceDN w:val="0"/>
              <w:adjustRightInd w:val="0"/>
              <w:jc w:val="center"/>
              <w:rPr>
                <w:sz w:val="22"/>
                <w:szCs w:val="22"/>
                <w:lang w:val="sr-Latn-ME"/>
              </w:rPr>
            </w:pPr>
            <w:r w:rsidRPr="004500D8">
              <w:rPr>
                <w:sz w:val="22"/>
                <w:szCs w:val="22"/>
                <w:lang w:val="sr-Latn-ME"/>
              </w:rPr>
              <w:t xml:space="preserve">3 (0,8) </w:t>
            </w:r>
          </w:p>
        </w:tc>
        <w:tc>
          <w:tcPr>
            <w:tcW w:w="3094" w:type="dxa"/>
            <w:shd w:val="clear" w:color="auto" w:fill="auto"/>
          </w:tcPr>
          <w:p w14:paraId="3282E781" w14:textId="77777777" w:rsidR="00596C07" w:rsidRPr="004500D8" w:rsidRDefault="00596C07" w:rsidP="00596C07">
            <w:pPr>
              <w:autoSpaceDE w:val="0"/>
              <w:autoSpaceDN w:val="0"/>
              <w:adjustRightInd w:val="0"/>
              <w:jc w:val="center"/>
              <w:rPr>
                <w:sz w:val="22"/>
                <w:szCs w:val="22"/>
                <w:lang w:val="sr-Latn-ME"/>
              </w:rPr>
            </w:pPr>
            <w:r w:rsidRPr="004500D8">
              <w:rPr>
                <w:sz w:val="22"/>
                <w:szCs w:val="22"/>
                <w:lang w:val="sr-Latn-ME"/>
              </w:rPr>
              <w:t>163 (20,0)</w:t>
            </w:r>
            <w:r w:rsidRPr="004500D8">
              <w:rPr>
                <w:sz w:val="22"/>
                <w:szCs w:val="22"/>
                <w:vertAlign w:val="superscript"/>
                <w:lang w:val="sr-Latn-ME"/>
              </w:rPr>
              <w:t>b</w:t>
            </w:r>
          </w:p>
        </w:tc>
      </w:tr>
      <w:tr w:rsidR="00596C07" w:rsidRPr="004500D8" w14:paraId="636D0F65" w14:textId="77777777" w:rsidTr="00596C07">
        <w:tc>
          <w:tcPr>
            <w:tcW w:w="3093" w:type="dxa"/>
            <w:shd w:val="clear" w:color="auto" w:fill="auto"/>
          </w:tcPr>
          <w:p w14:paraId="6121B587"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 xml:space="preserve">PGA: uredan/minimalan </w:t>
            </w:r>
          </w:p>
        </w:tc>
        <w:tc>
          <w:tcPr>
            <w:tcW w:w="3093" w:type="dxa"/>
            <w:shd w:val="clear" w:color="auto" w:fill="auto"/>
          </w:tcPr>
          <w:p w14:paraId="653DF55A" w14:textId="77777777" w:rsidR="00596C07" w:rsidRPr="004500D8" w:rsidRDefault="00596C07" w:rsidP="00596C07">
            <w:pPr>
              <w:autoSpaceDE w:val="0"/>
              <w:autoSpaceDN w:val="0"/>
              <w:adjustRightInd w:val="0"/>
              <w:jc w:val="center"/>
              <w:rPr>
                <w:sz w:val="22"/>
                <w:szCs w:val="22"/>
                <w:lang w:val="sr-Latn-ME"/>
              </w:rPr>
            </w:pPr>
            <w:r w:rsidRPr="004500D8">
              <w:rPr>
                <w:sz w:val="22"/>
                <w:szCs w:val="22"/>
                <w:lang w:val="sr-Latn-ME"/>
              </w:rPr>
              <w:t xml:space="preserve">17 (4,3) </w:t>
            </w:r>
          </w:p>
        </w:tc>
        <w:tc>
          <w:tcPr>
            <w:tcW w:w="3094" w:type="dxa"/>
            <w:shd w:val="clear" w:color="auto" w:fill="auto"/>
          </w:tcPr>
          <w:p w14:paraId="14FA5A76" w14:textId="77777777" w:rsidR="00596C07" w:rsidRPr="004500D8" w:rsidRDefault="00596C07" w:rsidP="00596C07">
            <w:pPr>
              <w:autoSpaceDE w:val="0"/>
              <w:autoSpaceDN w:val="0"/>
              <w:adjustRightInd w:val="0"/>
              <w:jc w:val="center"/>
              <w:rPr>
                <w:sz w:val="22"/>
                <w:szCs w:val="22"/>
                <w:lang w:val="sr-Latn-ME"/>
              </w:rPr>
            </w:pPr>
            <w:r w:rsidRPr="004500D8">
              <w:rPr>
                <w:sz w:val="22"/>
                <w:szCs w:val="22"/>
                <w:lang w:val="sr-Latn-ME"/>
              </w:rPr>
              <w:t>506 (62,2)</w:t>
            </w:r>
            <w:r w:rsidRPr="004500D8">
              <w:rPr>
                <w:sz w:val="22"/>
                <w:szCs w:val="22"/>
                <w:vertAlign w:val="superscript"/>
                <w:lang w:val="sr-Latn-ME"/>
              </w:rPr>
              <w:t>b</w:t>
            </w:r>
          </w:p>
        </w:tc>
      </w:tr>
      <w:tr w:rsidR="00596C07" w:rsidRPr="004500D8" w14:paraId="0A0EB3F1" w14:textId="77777777" w:rsidTr="00596C07">
        <w:trPr>
          <w:trHeight w:val="504"/>
        </w:trPr>
        <w:tc>
          <w:tcPr>
            <w:tcW w:w="9280" w:type="dxa"/>
            <w:gridSpan w:val="3"/>
            <w:shd w:val="clear" w:color="auto" w:fill="auto"/>
          </w:tcPr>
          <w:p w14:paraId="69F48E2D" w14:textId="77777777" w:rsidR="00596C07" w:rsidRPr="004500D8" w:rsidRDefault="00596C07" w:rsidP="00596C07">
            <w:pPr>
              <w:autoSpaceDE w:val="0"/>
              <w:autoSpaceDN w:val="0"/>
              <w:adjustRightInd w:val="0"/>
              <w:rPr>
                <w:sz w:val="22"/>
                <w:szCs w:val="22"/>
                <w:lang w:val="sr-Latn-ME"/>
              </w:rPr>
            </w:pPr>
            <w:r w:rsidRPr="004500D8">
              <w:rPr>
                <w:sz w:val="22"/>
                <w:szCs w:val="22"/>
                <w:vertAlign w:val="superscript"/>
                <w:lang w:val="sr-Latn-ME"/>
              </w:rPr>
              <w:t xml:space="preserve">a </w:t>
            </w:r>
            <w:r w:rsidRPr="004500D8">
              <w:rPr>
                <w:sz w:val="22"/>
                <w:szCs w:val="22"/>
                <w:lang w:val="sr-Latn-ME"/>
              </w:rPr>
              <w:t xml:space="preserve">procenat pacijenata kod kojih je postignut odgovor PASI 75 izračunat je kao stopa prilagođena istraživačkom centru </w:t>
            </w:r>
          </w:p>
          <w:p w14:paraId="65FF312F" w14:textId="77777777" w:rsidR="00596C07" w:rsidRPr="004500D8" w:rsidRDefault="00596C07" w:rsidP="00596C07">
            <w:pPr>
              <w:autoSpaceDE w:val="0"/>
              <w:autoSpaceDN w:val="0"/>
              <w:adjustRightInd w:val="0"/>
              <w:rPr>
                <w:sz w:val="22"/>
                <w:szCs w:val="22"/>
                <w:lang w:val="sr-Latn-ME"/>
              </w:rPr>
            </w:pPr>
            <w:r w:rsidRPr="004500D8">
              <w:rPr>
                <w:sz w:val="22"/>
                <w:szCs w:val="22"/>
                <w:vertAlign w:val="superscript"/>
                <w:lang w:val="sr-Latn-ME"/>
              </w:rPr>
              <w:t xml:space="preserve">b </w:t>
            </w:r>
            <w:r w:rsidRPr="004500D8">
              <w:rPr>
                <w:sz w:val="22"/>
                <w:szCs w:val="22"/>
                <w:lang w:val="sr-Latn-ME"/>
              </w:rPr>
              <w:t xml:space="preserve">p&lt;0,001, lijek Humira u odnosu na placebo </w:t>
            </w:r>
          </w:p>
        </w:tc>
      </w:tr>
    </w:tbl>
    <w:p w14:paraId="7119CC2F" w14:textId="77777777" w:rsidR="00596C07" w:rsidRPr="004500D8" w:rsidRDefault="00596C07" w:rsidP="00596C07">
      <w:pPr>
        <w:autoSpaceDE w:val="0"/>
        <w:autoSpaceDN w:val="0"/>
        <w:adjustRightInd w:val="0"/>
        <w:jc w:val="center"/>
        <w:rPr>
          <w:b/>
          <w:sz w:val="22"/>
          <w:szCs w:val="22"/>
          <w:lang w:val="sr-Latn-ME"/>
        </w:rPr>
      </w:pPr>
    </w:p>
    <w:p w14:paraId="151F6BB4" w14:textId="6060DFCC" w:rsidR="00596C07" w:rsidRPr="004500D8" w:rsidRDefault="00596C07" w:rsidP="00596C07">
      <w:pPr>
        <w:autoSpaceDE w:val="0"/>
        <w:autoSpaceDN w:val="0"/>
        <w:adjustRightInd w:val="0"/>
        <w:rPr>
          <w:sz w:val="22"/>
          <w:szCs w:val="22"/>
          <w:lang w:val="sr-Latn-ME"/>
        </w:rPr>
      </w:pPr>
      <w:r w:rsidRPr="004500D8">
        <w:rPr>
          <w:b/>
          <w:sz w:val="22"/>
          <w:szCs w:val="22"/>
          <w:lang w:val="sr-Latn-ME"/>
        </w:rPr>
        <w:t>Tabela 10</w:t>
      </w:r>
      <w:r w:rsidR="00001F38" w:rsidRPr="004500D8">
        <w:rPr>
          <w:b/>
          <w:sz w:val="22"/>
          <w:szCs w:val="22"/>
          <w:lang w:val="sr-Latn-ME"/>
        </w:rPr>
        <w:t xml:space="preserve">. </w:t>
      </w:r>
      <w:r w:rsidRPr="004500D8">
        <w:rPr>
          <w:b/>
          <w:sz w:val="22"/>
          <w:szCs w:val="22"/>
          <w:lang w:val="sr-Latn-ME"/>
        </w:rPr>
        <w:t>Ps studija II (CHAMPION) Rezultati efikasnosti u 16. nedjelji terapije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256"/>
        <w:gridCol w:w="2247"/>
        <w:gridCol w:w="2257"/>
      </w:tblGrid>
      <w:tr w:rsidR="00596C07" w:rsidRPr="004500D8" w14:paraId="699B470C" w14:textId="77777777" w:rsidTr="00596C07">
        <w:trPr>
          <w:jc w:val="center"/>
        </w:trPr>
        <w:tc>
          <w:tcPr>
            <w:tcW w:w="2320" w:type="dxa"/>
            <w:shd w:val="clear" w:color="auto" w:fill="auto"/>
          </w:tcPr>
          <w:p w14:paraId="71739142" w14:textId="77777777" w:rsidR="00596C07" w:rsidRPr="004500D8" w:rsidRDefault="00596C07" w:rsidP="00596C07">
            <w:pPr>
              <w:autoSpaceDE w:val="0"/>
              <w:autoSpaceDN w:val="0"/>
              <w:adjustRightInd w:val="0"/>
              <w:jc w:val="center"/>
              <w:rPr>
                <w:sz w:val="22"/>
                <w:szCs w:val="22"/>
                <w:lang w:val="sr-Latn-ME"/>
              </w:rPr>
            </w:pPr>
          </w:p>
        </w:tc>
        <w:tc>
          <w:tcPr>
            <w:tcW w:w="2320" w:type="dxa"/>
            <w:shd w:val="clear" w:color="auto" w:fill="auto"/>
          </w:tcPr>
          <w:p w14:paraId="79988C01" w14:textId="77777777" w:rsidR="00596C07" w:rsidRPr="004500D8" w:rsidRDefault="00596C07" w:rsidP="00596C07">
            <w:pPr>
              <w:autoSpaceDE w:val="0"/>
              <w:autoSpaceDN w:val="0"/>
              <w:adjustRightInd w:val="0"/>
              <w:jc w:val="center"/>
              <w:rPr>
                <w:b/>
                <w:sz w:val="22"/>
                <w:szCs w:val="22"/>
                <w:lang w:val="sr-Latn-ME"/>
              </w:rPr>
            </w:pPr>
            <w:r w:rsidRPr="004500D8">
              <w:rPr>
                <w:b/>
                <w:sz w:val="22"/>
                <w:szCs w:val="22"/>
                <w:lang w:val="sr-Latn-ME"/>
              </w:rPr>
              <w:t>Placebo</w:t>
            </w:r>
          </w:p>
          <w:p w14:paraId="6C400C74" w14:textId="77777777" w:rsidR="00596C07" w:rsidRPr="004500D8" w:rsidRDefault="00596C07" w:rsidP="00596C07">
            <w:pPr>
              <w:autoSpaceDE w:val="0"/>
              <w:autoSpaceDN w:val="0"/>
              <w:adjustRightInd w:val="0"/>
              <w:jc w:val="center"/>
              <w:rPr>
                <w:b/>
                <w:sz w:val="22"/>
                <w:szCs w:val="22"/>
                <w:lang w:val="sr-Latn-ME"/>
              </w:rPr>
            </w:pPr>
          </w:p>
          <w:p w14:paraId="702AB559" w14:textId="77777777" w:rsidR="00596C07" w:rsidRPr="004500D8" w:rsidRDefault="00596C07" w:rsidP="00596C07">
            <w:pPr>
              <w:autoSpaceDE w:val="0"/>
              <w:autoSpaceDN w:val="0"/>
              <w:adjustRightInd w:val="0"/>
              <w:jc w:val="center"/>
              <w:rPr>
                <w:b/>
                <w:sz w:val="22"/>
                <w:szCs w:val="22"/>
                <w:lang w:val="sr-Latn-ME"/>
              </w:rPr>
            </w:pPr>
            <w:r w:rsidRPr="004500D8">
              <w:rPr>
                <w:b/>
                <w:sz w:val="22"/>
                <w:szCs w:val="22"/>
                <w:lang w:val="sr-Latn-ME"/>
              </w:rPr>
              <w:t>N=53</w:t>
            </w:r>
          </w:p>
          <w:p w14:paraId="317C173C" w14:textId="77777777" w:rsidR="00596C07" w:rsidRPr="004500D8" w:rsidRDefault="00596C07" w:rsidP="00596C07">
            <w:pPr>
              <w:autoSpaceDE w:val="0"/>
              <w:autoSpaceDN w:val="0"/>
              <w:adjustRightInd w:val="0"/>
              <w:jc w:val="center"/>
              <w:rPr>
                <w:sz w:val="22"/>
                <w:szCs w:val="22"/>
                <w:lang w:val="sr-Latn-ME"/>
              </w:rPr>
            </w:pPr>
            <w:r w:rsidRPr="004500D8">
              <w:rPr>
                <w:b/>
                <w:sz w:val="22"/>
                <w:szCs w:val="22"/>
                <w:lang w:val="sr-Latn-ME"/>
              </w:rPr>
              <w:t>n (%)</w:t>
            </w:r>
          </w:p>
        </w:tc>
        <w:tc>
          <w:tcPr>
            <w:tcW w:w="2320" w:type="dxa"/>
            <w:shd w:val="clear" w:color="auto" w:fill="auto"/>
          </w:tcPr>
          <w:p w14:paraId="0094350A" w14:textId="77777777" w:rsidR="00596C07" w:rsidRPr="004500D8" w:rsidRDefault="00596C07" w:rsidP="00596C07">
            <w:pPr>
              <w:autoSpaceDE w:val="0"/>
              <w:autoSpaceDN w:val="0"/>
              <w:adjustRightInd w:val="0"/>
              <w:jc w:val="center"/>
              <w:rPr>
                <w:b/>
                <w:sz w:val="22"/>
                <w:szCs w:val="22"/>
                <w:lang w:val="sr-Latn-ME"/>
              </w:rPr>
            </w:pPr>
            <w:r w:rsidRPr="004500D8">
              <w:rPr>
                <w:b/>
                <w:sz w:val="22"/>
                <w:szCs w:val="22"/>
                <w:lang w:val="sr-Latn-ME"/>
              </w:rPr>
              <w:t>MTX</w:t>
            </w:r>
          </w:p>
          <w:p w14:paraId="50C364BF" w14:textId="77777777" w:rsidR="00596C07" w:rsidRPr="004500D8" w:rsidRDefault="00596C07" w:rsidP="00596C07">
            <w:pPr>
              <w:autoSpaceDE w:val="0"/>
              <w:autoSpaceDN w:val="0"/>
              <w:adjustRightInd w:val="0"/>
              <w:jc w:val="center"/>
              <w:rPr>
                <w:b/>
                <w:sz w:val="22"/>
                <w:szCs w:val="22"/>
                <w:lang w:val="sr-Latn-ME"/>
              </w:rPr>
            </w:pPr>
          </w:p>
          <w:p w14:paraId="72FCE25B" w14:textId="77777777" w:rsidR="00596C07" w:rsidRPr="004500D8" w:rsidRDefault="00596C07" w:rsidP="00596C07">
            <w:pPr>
              <w:autoSpaceDE w:val="0"/>
              <w:autoSpaceDN w:val="0"/>
              <w:adjustRightInd w:val="0"/>
              <w:jc w:val="center"/>
              <w:rPr>
                <w:b/>
                <w:sz w:val="22"/>
                <w:szCs w:val="22"/>
                <w:lang w:val="sr-Latn-ME"/>
              </w:rPr>
            </w:pPr>
            <w:r w:rsidRPr="004500D8">
              <w:rPr>
                <w:b/>
                <w:sz w:val="22"/>
                <w:szCs w:val="22"/>
                <w:lang w:val="sr-Latn-ME"/>
              </w:rPr>
              <w:t>N = 110</w:t>
            </w:r>
          </w:p>
          <w:p w14:paraId="6A84A2BC" w14:textId="77777777" w:rsidR="00596C07" w:rsidRPr="004500D8" w:rsidRDefault="00596C07" w:rsidP="00596C07">
            <w:pPr>
              <w:autoSpaceDE w:val="0"/>
              <w:autoSpaceDN w:val="0"/>
              <w:adjustRightInd w:val="0"/>
              <w:jc w:val="center"/>
              <w:rPr>
                <w:sz w:val="22"/>
                <w:szCs w:val="22"/>
                <w:lang w:val="sr-Latn-ME"/>
              </w:rPr>
            </w:pPr>
            <w:r w:rsidRPr="004500D8">
              <w:rPr>
                <w:b/>
                <w:sz w:val="22"/>
                <w:szCs w:val="22"/>
                <w:lang w:val="sr-Latn-ME"/>
              </w:rPr>
              <w:t>n (%)</w:t>
            </w:r>
          </w:p>
        </w:tc>
        <w:tc>
          <w:tcPr>
            <w:tcW w:w="2320" w:type="dxa"/>
            <w:shd w:val="clear" w:color="auto" w:fill="auto"/>
          </w:tcPr>
          <w:p w14:paraId="7D63F2DD" w14:textId="77777777" w:rsidR="00596C07" w:rsidRPr="004500D8" w:rsidRDefault="00596C07" w:rsidP="00596C07">
            <w:pPr>
              <w:autoSpaceDE w:val="0"/>
              <w:autoSpaceDN w:val="0"/>
              <w:adjustRightInd w:val="0"/>
              <w:jc w:val="center"/>
              <w:rPr>
                <w:b/>
                <w:sz w:val="22"/>
                <w:szCs w:val="22"/>
                <w:lang w:val="sr-Latn-ME"/>
              </w:rPr>
            </w:pPr>
            <w:r w:rsidRPr="004500D8">
              <w:rPr>
                <w:b/>
                <w:sz w:val="22"/>
                <w:szCs w:val="22"/>
                <w:lang w:val="sr-Latn-ME"/>
              </w:rPr>
              <w:t>Humira 40 mg svake druge nedjelje</w:t>
            </w:r>
          </w:p>
          <w:p w14:paraId="7E69100D" w14:textId="77777777" w:rsidR="00596C07" w:rsidRPr="004500D8" w:rsidRDefault="00596C07" w:rsidP="00596C07">
            <w:pPr>
              <w:autoSpaceDE w:val="0"/>
              <w:autoSpaceDN w:val="0"/>
              <w:adjustRightInd w:val="0"/>
              <w:jc w:val="center"/>
              <w:rPr>
                <w:b/>
                <w:sz w:val="22"/>
                <w:szCs w:val="22"/>
                <w:lang w:val="sr-Latn-ME"/>
              </w:rPr>
            </w:pPr>
            <w:r w:rsidRPr="004500D8">
              <w:rPr>
                <w:b/>
                <w:sz w:val="22"/>
                <w:szCs w:val="22"/>
                <w:lang w:val="sr-Latn-ME"/>
              </w:rPr>
              <w:t>N=108</w:t>
            </w:r>
          </w:p>
          <w:p w14:paraId="1F99C806" w14:textId="77777777" w:rsidR="00596C07" w:rsidRPr="004500D8" w:rsidRDefault="00596C07" w:rsidP="00596C07">
            <w:pPr>
              <w:autoSpaceDE w:val="0"/>
              <w:autoSpaceDN w:val="0"/>
              <w:adjustRightInd w:val="0"/>
              <w:jc w:val="center"/>
              <w:rPr>
                <w:sz w:val="22"/>
                <w:szCs w:val="22"/>
                <w:lang w:val="sr-Latn-ME"/>
              </w:rPr>
            </w:pPr>
            <w:r w:rsidRPr="004500D8">
              <w:rPr>
                <w:b/>
                <w:sz w:val="22"/>
                <w:szCs w:val="22"/>
                <w:lang w:val="sr-Latn-ME"/>
              </w:rPr>
              <w:t>n (%)</w:t>
            </w:r>
          </w:p>
        </w:tc>
      </w:tr>
      <w:tr w:rsidR="00596C07" w:rsidRPr="004500D8" w14:paraId="4B41EECD" w14:textId="77777777" w:rsidTr="00596C07">
        <w:trPr>
          <w:jc w:val="center"/>
        </w:trPr>
        <w:tc>
          <w:tcPr>
            <w:tcW w:w="2320" w:type="dxa"/>
            <w:shd w:val="clear" w:color="auto" w:fill="auto"/>
          </w:tcPr>
          <w:p w14:paraId="05019265"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≥PASI 75</w:t>
            </w:r>
          </w:p>
        </w:tc>
        <w:tc>
          <w:tcPr>
            <w:tcW w:w="2320" w:type="dxa"/>
            <w:shd w:val="clear" w:color="auto" w:fill="auto"/>
          </w:tcPr>
          <w:p w14:paraId="2859E9E9" w14:textId="77777777" w:rsidR="00596C07" w:rsidRPr="004500D8" w:rsidRDefault="00596C07" w:rsidP="00596C07">
            <w:pPr>
              <w:autoSpaceDE w:val="0"/>
              <w:autoSpaceDN w:val="0"/>
              <w:adjustRightInd w:val="0"/>
              <w:jc w:val="center"/>
              <w:rPr>
                <w:sz w:val="22"/>
                <w:szCs w:val="22"/>
                <w:lang w:val="sr-Latn-ME"/>
              </w:rPr>
            </w:pPr>
            <w:r w:rsidRPr="004500D8">
              <w:rPr>
                <w:sz w:val="22"/>
                <w:szCs w:val="22"/>
                <w:lang w:val="sr-Latn-ME"/>
              </w:rPr>
              <w:t>10 (18,9)</w:t>
            </w:r>
          </w:p>
        </w:tc>
        <w:tc>
          <w:tcPr>
            <w:tcW w:w="2320" w:type="dxa"/>
            <w:shd w:val="clear" w:color="auto" w:fill="auto"/>
          </w:tcPr>
          <w:p w14:paraId="1C6F527C" w14:textId="77777777" w:rsidR="00596C07" w:rsidRPr="004500D8" w:rsidRDefault="00596C07" w:rsidP="00596C07">
            <w:pPr>
              <w:autoSpaceDE w:val="0"/>
              <w:autoSpaceDN w:val="0"/>
              <w:adjustRightInd w:val="0"/>
              <w:jc w:val="center"/>
              <w:rPr>
                <w:sz w:val="22"/>
                <w:szCs w:val="22"/>
                <w:lang w:val="sr-Latn-ME"/>
              </w:rPr>
            </w:pPr>
            <w:r w:rsidRPr="004500D8">
              <w:rPr>
                <w:sz w:val="22"/>
                <w:szCs w:val="22"/>
                <w:lang w:val="sr-Latn-ME"/>
              </w:rPr>
              <w:t>39 (35,5)</w:t>
            </w:r>
          </w:p>
        </w:tc>
        <w:tc>
          <w:tcPr>
            <w:tcW w:w="2320" w:type="dxa"/>
            <w:shd w:val="clear" w:color="auto" w:fill="auto"/>
          </w:tcPr>
          <w:p w14:paraId="75BC136B" w14:textId="77777777" w:rsidR="00596C07" w:rsidRPr="004500D8" w:rsidRDefault="00596C07" w:rsidP="00596C07">
            <w:pPr>
              <w:autoSpaceDE w:val="0"/>
              <w:autoSpaceDN w:val="0"/>
              <w:adjustRightInd w:val="0"/>
              <w:jc w:val="center"/>
              <w:rPr>
                <w:sz w:val="22"/>
                <w:szCs w:val="22"/>
                <w:lang w:val="sr-Latn-ME"/>
              </w:rPr>
            </w:pPr>
            <w:r w:rsidRPr="004500D8">
              <w:rPr>
                <w:sz w:val="22"/>
                <w:szCs w:val="22"/>
                <w:lang w:val="sr-Latn-ME"/>
              </w:rPr>
              <w:t>86 (79,6)</w:t>
            </w:r>
            <w:r w:rsidRPr="004500D8">
              <w:rPr>
                <w:sz w:val="22"/>
                <w:szCs w:val="22"/>
                <w:vertAlign w:val="superscript"/>
                <w:lang w:val="sr-Latn-ME"/>
              </w:rPr>
              <w:t xml:space="preserve"> a,b</w:t>
            </w:r>
          </w:p>
        </w:tc>
      </w:tr>
      <w:tr w:rsidR="00596C07" w:rsidRPr="004500D8" w14:paraId="341667ED" w14:textId="77777777" w:rsidTr="00596C07">
        <w:trPr>
          <w:jc w:val="center"/>
        </w:trPr>
        <w:tc>
          <w:tcPr>
            <w:tcW w:w="2320" w:type="dxa"/>
            <w:shd w:val="clear" w:color="auto" w:fill="auto"/>
          </w:tcPr>
          <w:p w14:paraId="3B72FCEC"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 xml:space="preserve">PASI 100 </w:t>
            </w:r>
          </w:p>
        </w:tc>
        <w:tc>
          <w:tcPr>
            <w:tcW w:w="2320" w:type="dxa"/>
            <w:shd w:val="clear" w:color="auto" w:fill="auto"/>
          </w:tcPr>
          <w:p w14:paraId="455DCA64" w14:textId="77777777" w:rsidR="00596C07" w:rsidRPr="004500D8" w:rsidRDefault="00596C07" w:rsidP="00596C07">
            <w:pPr>
              <w:autoSpaceDE w:val="0"/>
              <w:autoSpaceDN w:val="0"/>
              <w:adjustRightInd w:val="0"/>
              <w:jc w:val="center"/>
              <w:rPr>
                <w:sz w:val="22"/>
                <w:szCs w:val="22"/>
                <w:lang w:val="sr-Latn-ME"/>
              </w:rPr>
            </w:pPr>
            <w:r w:rsidRPr="004500D8">
              <w:rPr>
                <w:sz w:val="22"/>
                <w:szCs w:val="22"/>
                <w:lang w:val="sr-Latn-ME"/>
              </w:rPr>
              <w:t>1 (1,9)</w:t>
            </w:r>
          </w:p>
        </w:tc>
        <w:tc>
          <w:tcPr>
            <w:tcW w:w="2320" w:type="dxa"/>
            <w:shd w:val="clear" w:color="auto" w:fill="auto"/>
          </w:tcPr>
          <w:p w14:paraId="3A2A444E" w14:textId="77777777" w:rsidR="00596C07" w:rsidRPr="004500D8" w:rsidRDefault="00596C07" w:rsidP="00596C07">
            <w:pPr>
              <w:autoSpaceDE w:val="0"/>
              <w:autoSpaceDN w:val="0"/>
              <w:adjustRightInd w:val="0"/>
              <w:jc w:val="center"/>
              <w:rPr>
                <w:sz w:val="22"/>
                <w:szCs w:val="22"/>
                <w:lang w:val="sr-Latn-ME"/>
              </w:rPr>
            </w:pPr>
            <w:r w:rsidRPr="004500D8">
              <w:rPr>
                <w:sz w:val="22"/>
                <w:szCs w:val="22"/>
                <w:lang w:val="sr-Latn-ME"/>
              </w:rPr>
              <w:t>8 (7,3)</w:t>
            </w:r>
          </w:p>
        </w:tc>
        <w:tc>
          <w:tcPr>
            <w:tcW w:w="2320" w:type="dxa"/>
            <w:shd w:val="clear" w:color="auto" w:fill="auto"/>
          </w:tcPr>
          <w:p w14:paraId="028B4659" w14:textId="77777777" w:rsidR="00596C07" w:rsidRPr="004500D8" w:rsidRDefault="00596C07" w:rsidP="00596C07">
            <w:pPr>
              <w:autoSpaceDE w:val="0"/>
              <w:autoSpaceDN w:val="0"/>
              <w:adjustRightInd w:val="0"/>
              <w:jc w:val="center"/>
              <w:rPr>
                <w:sz w:val="22"/>
                <w:szCs w:val="22"/>
                <w:lang w:val="sr-Latn-ME"/>
              </w:rPr>
            </w:pPr>
            <w:r w:rsidRPr="004500D8">
              <w:rPr>
                <w:sz w:val="22"/>
                <w:szCs w:val="22"/>
                <w:lang w:val="sr-Latn-ME"/>
              </w:rPr>
              <w:t>18 (16,7)</w:t>
            </w:r>
            <w:r w:rsidRPr="004500D8">
              <w:rPr>
                <w:sz w:val="22"/>
                <w:szCs w:val="22"/>
                <w:vertAlign w:val="superscript"/>
                <w:lang w:val="sr-Latn-ME"/>
              </w:rPr>
              <w:t xml:space="preserve"> c,d</w:t>
            </w:r>
          </w:p>
        </w:tc>
      </w:tr>
      <w:tr w:rsidR="00596C07" w:rsidRPr="004500D8" w14:paraId="13AE8999" w14:textId="77777777" w:rsidTr="00596C07">
        <w:trPr>
          <w:jc w:val="center"/>
        </w:trPr>
        <w:tc>
          <w:tcPr>
            <w:tcW w:w="2320" w:type="dxa"/>
            <w:shd w:val="clear" w:color="auto" w:fill="auto"/>
          </w:tcPr>
          <w:p w14:paraId="5A9DAD4A"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 xml:space="preserve">PGA: uredan/minimalan </w:t>
            </w:r>
          </w:p>
        </w:tc>
        <w:tc>
          <w:tcPr>
            <w:tcW w:w="2320" w:type="dxa"/>
            <w:shd w:val="clear" w:color="auto" w:fill="auto"/>
          </w:tcPr>
          <w:p w14:paraId="6E0DD795" w14:textId="77777777" w:rsidR="00596C07" w:rsidRPr="004500D8" w:rsidRDefault="00596C07" w:rsidP="00596C07">
            <w:pPr>
              <w:autoSpaceDE w:val="0"/>
              <w:autoSpaceDN w:val="0"/>
              <w:adjustRightInd w:val="0"/>
              <w:jc w:val="center"/>
              <w:rPr>
                <w:sz w:val="22"/>
                <w:szCs w:val="22"/>
                <w:lang w:val="sr-Latn-ME"/>
              </w:rPr>
            </w:pPr>
            <w:r w:rsidRPr="004500D8">
              <w:rPr>
                <w:sz w:val="22"/>
                <w:szCs w:val="22"/>
                <w:lang w:val="sr-Latn-ME"/>
              </w:rPr>
              <w:t>6 (11,3)</w:t>
            </w:r>
          </w:p>
        </w:tc>
        <w:tc>
          <w:tcPr>
            <w:tcW w:w="2320" w:type="dxa"/>
            <w:shd w:val="clear" w:color="auto" w:fill="auto"/>
          </w:tcPr>
          <w:p w14:paraId="241457F5" w14:textId="77777777" w:rsidR="00596C07" w:rsidRPr="004500D8" w:rsidRDefault="00596C07" w:rsidP="00596C07">
            <w:pPr>
              <w:autoSpaceDE w:val="0"/>
              <w:autoSpaceDN w:val="0"/>
              <w:adjustRightInd w:val="0"/>
              <w:jc w:val="center"/>
              <w:rPr>
                <w:sz w:val="22"/>
                <w:szCs w:val="22"/>
                <w:lang w:val="sr-Latn-ME"/>
              </w:rPr>
            </w:pPr>
            <w:r w:rsidRPr="004500D8">
              <w:rPr>
                <w:sz w:val="22"/>
                <w:szCs w:val="22"/>
                <w:lang w:val="sr-Latn-ME"/>
              </w:rPr>
              <w:t>33 (30,0)</w:t>
            </w:r>
          </w:p>
        </w:tc>
        <w:tc>
          <w:tcPr>
            <w:tcW w:w="2320" w:type="dxa"/>
            <w:shd w:val="clear" w:color="auto" w:fill="auto"/>
          </w:tcPr>
          <w:p w14:paraId="3B7F09FA" w14:textId="77777777" w:rsidR="00596C07" w:rsidRPr="004500D8" w:rsidRDefault="00596C07" w:rsidP="00596C07">
            <w:pPr>
              <w:autoSpaceDE w:val="0"/>
              <w:autoSpaceDN w:val="0"/>
              <w:adjustRightInd w:val="0"/>
              <w:jc w:val="center"/>
              <w:rPr>
                <w:sz w:val="22"/>
                <w:szCs w:val="22"/>
                <w:lang w:val="sr-Latn-ME"/>
              </w:rPr>
            </w:pPr>
            <w:r w:rsidRPr="004500D8">
              <w:rPr>
                <w:sz w:val="22"/>
                <w:szCs w:val="22"/>
                <w:lang w:val="sr-Latn-ME"/>
              </w:rPr>
              <w:t xml:space="preserve">79 (73,1) </w:t>
            </w:r>
            <w:r w:rsidRPr="004500D8">
              <w:rPr>
                <w:sz w:val="22"/>
                <w:szCs w:val="22"/>
                <w:vertAlign w:val="superscript"/>
                <w:lang w:val="sr-Latn-ME"/>
              </w:rPr>
              <w:t>a,b</w:t>
            </w:r>
          </w:p>
        </w:tc>
      </w:tr>
      <w:tr w:rsidR="00596C07" w:rsidRPr="004500D8" w14:paraId="65728A86" w14:textId="77777777" w:rsidTr="00596C07">
        <w:trPr>
          <w:trHeight w:val="848"/>
          <w:jc w:val="center"/>
        </w:trPr>
        <w:tc>
          <w:tcPr>
            <w:tcW w:w="9280" w:type="dxa"/>
            <w:gridSpan w:val="4"/>
            <w:shd w:val="clear" w:color="auto" w:fill="auto"/>
          </w:tcPr>
          <w:p w14:paraId="29E17AE4" w14:textId="77777777" w:rsidR="00596C07" w:rsidRPr="004500D8" w:rsidRDefault="00596C07" w:rsidP="00596C07">
            <w:pPr>
              <w:autoSpaceDE w:val="0"/>
              <w:autoSpaceDN w:val="0"/>
              <w:adjustRightInd w:val="0"/>
              <w:rPr>
                <w:sz w:val="22"/>
                <w:szCs w:val="22"/>
                <w:lang w:val="sr-Latn-ME"/>
              </w:rPr>
            </w:pPr>
            <w:r w:rsidRPr="004500D8">
              <w:rPr>
                <w:sz w:val="22"/>
                <w:szCs w:val="22"/>
                <w:vertAlign w:val="superscript"/>
                <w:lang w:val="sr-Latn-ME"/>
              </w:rPr>
              <w:lastRenderedPageBreak/>
              <w:t xml:space="preserve">a </w:t>
            </w:r>
            <w:r w:rsidRPr="004500D8">
              <w:rPr>
                <w:sz w:val="22"/>
                <w:szCs w:val="22"/>
                <w:lang w:val="sr-Latn-ME"/>
              </w:rPr>
              <w:t>p&lt;0,001 lijek Humira u odnosu na placebo</w:t>
            </w:r>
          </w:p>
          <w:p w14:paraId="4A343B2B" w14:textId="77777777" w:rsidR="00596C07" w:rsidRPr="004500D8" w:rsidRDefault="00596C07" w:rsidP="00596C07">
            <w:pPr>
              <w:autoSpaceDE w:val="0"/>
              <w:autoSpaceDN w:val="0"/>
              <w:adjustRightInd w:val="0"/>
              <w:rPr>
                <w:sz w:val="22"/>
                <w:szCs w:val="22"/>
                <w:lang w:val="sr-Latn-ME"/>
              </w:rPr>
            </w:pPr>
            <w:r w:rsidRPr="004500D8">
              <w:rPr>
                <w:sz w:val="22"/>
                <w:szCs w:val="22"/>
                <w:vertAlign w:val="superscript"/>
                <w:lang w:val="sr-Latn-ME"/>
              </w:rPr>
              <w:t>b</w:t>
            </w:r>
            <w:r w:rsidRPr="004500D8">
              <w:rPr>
                <w:sz w:val="22"/>
                <w:szCs w:val="22"/>
                <w:lang w:val="sr-Latn-ME"/>
              </w:rPr>
              <w:t xml:space="preserve"> p&lt;0,001 lijek Humira u odnosu na metotreksat</w:t>
            </w:r>
          </w:p>
          <w:p w14:paraId="50CEBF41" w14:textId="77777777" w:rsidR="00596C07" w:rsidRPr="004500D8" w:rsidRDefault="00596C07" w:rsidP="00596C07">
            <w:pPr>
              <w:autoSpaceDE w:val="0"/>
              <w:autoSpaceDN w:val="0"/>
              <w:adjustRightInd w:val="0"/>
              <w:rPr>
                <w:sz w:val="22"/>
                <w:szCs w:val="22"/>
                <w:lang w:val="sr-Latn-ME"/>
              </w:rPr>
            </w:pPr>
            <w:r w:rsidRPr="004500D8">
              <w:rPr>
                <w:sz w:val="22"/>
                <w:szCs w:val="22"/>
                <w:vertAlign w:val="superscript"/>
                <w:lang w:val="sr-Latn-ME"/>
              </w:rPr>
              <w:t xml:space="preserve">c </w:t>
            </w:r>
            <w:r w:rsidRPr="004500D8">
              <w:rPr>
                <w:sz w:val="22"/>
                <w:szCs w:val="22"/>
                <w:lang w:val="sr-Latn-ME"/>
              </w:rPr>
              <w:t>p&lt;0,01 lijek Humira u odnosu na placebo</w:t>
            </w:r>
          </w:p>
          <w:p w14:paraId="268C0A44" w14:textId="77777777" w:rsidR="00596C07" w:rsidRPr="004500D8" w:rsidRDefault="00596C07" w:rsidP="00596C07">
            <w:pPr>
              <w:autoSpaceDE w:val="0"/>
              <w:autoSpaceDN w:val="0"/>
              <w:adjustRightInd w:val="0"/>
              <w:rPr>
                <w:sz w:val="22"/>
                <w:szCs w:val="22"/>
                <w:lang w:val="sr-Latn-ME"/>
              </w:rPr>
            </w:pPr>
            <w:r w:rsidRPr="004500D8">
              <w:rPr>
                <w:sz w:val="22"/>
                <w:szCs w:val="22"/>
                <w:vertAlign w:val="superscript"/>
                <w:lang w:val="sr-Latn-ME"/>
              </w:rPr>
              <w:t>d</w:t>
            </w:r>
            <w:r w:rsidRPr="004500D8">
              <w:rPr>
                <w:sz w:val="22"/>
                <w:szCs w:val="22"/>
                <w:lang w:val="sr-Latn-ME"/>
              </w:rPr>
              <w:t xml:space="preserve"> p&lt;0,05 lijek Humira u odnosu na metotreksat</w:t>
            </w:r>
          </w:p>
        </w:tc>
      </w:tr>
    </w:tbl>
    <w:p w14:paraId="76391CE1" w14:textId="77777777" w:rsidR="00596C07" w:rsidRPr="004500D8" w:rsidRDefault="00596C07" w:rsidP="00596C07">
      <w:pPr>
        <w:autoSpaceDE w:val="0"/>
        <w:autoSpaceDN w:val="0"/>
        <w:adjustRightInd w:val="0"/>
        <w:jc w:val="both"/>
        <w:rPr>
          <w:sz w:val="22"/>
          <w:szCs w:val="22"/>
          <w:lang w:val="sr-Latn-ME"/>
        </w:rPr>
      </w:pPr>
    </w:p>
    <w:p w14:paraId="0815DAA7"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 xml:space="preserve">U ispitivanju pacijenata sa psorijazom Psoriasis Study I, 28% pacijenata s PASI 75 odgovorom, koji su nakon 33. nedjelje pri ponovnoj randomizaciji primali placebo, u poređenju sa 5 % pacijenata koji su nastavili da primjenjuju lijek Humira, p&lt;0,001, uočen je „gubitak primjerenog odgovora“ (PASI zbir nakon 33. nedjelje i u 52. nedjelji ili prije nje koji je rezultirao s &lt; PASI 50 odgovorom u odnosu na početno stanje, uz porast PASI zbira za najmanje 6 bodova u odnosu na 33. nedjelju). Među pacijentima kod kojih je nastupio gubitak primjerenog odgovora nakon ponovne randomizacije u grupu koja je primala placebo, a koji su zatim uključeni u otvoreno produženo ispitivanje, PASI 75 odgovor nakon 12 nedjelja terapije ponovno je postignut kod 38 % (25/66) pacijenata, a nakon 24 nedjelje terapije kod 55 % (36/66) pacijenata. </w:t>
      </w:r>
    </w:p>
    <w:p w14:paraId="4971F655" w14:textId="77777777" w:rsidR="00596C07" w:rsidRPr="004500D8" w:rsidRDefault="00596C07" w:rsidP="00596C07">
      <w:pPr>
        <w:autoSpaceDE w:val="0"/>
        <w:autoSpaceDN w:val="0"/>
        <w:adjustRightInd w:val="0"/>
        <w:jc w:val="both"/>
        <w:rPr>
          <w:sz w:val="22"/>
          <w:szCs w:val="22"/>
          <w:lang w:val="sr-Latn-ME"/>
        </w:rPr>
      </w:pPr>
    </w:p>
    <w:p w14:paraId="34040787"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Ukupno 233 pacijenta, u okviru ispitivanja pacijenata sa psorijazom Psoriasis Study I, kod kojih je u 16. i 33. nedjelji ostvaren PASI 75 odgovor primilo je kontinuiranu terapiju lijekom Humira tokom 52 nedjelje, te nastavilo da prima lijek Humira u okviru otvorenog</w:t>
      </w:r>
      <w:r w:rsidRPr="004500D8">
        <w:rPr>
          <w:color w:val="00B0F0"/>
          <w:sz w:val="22"/>
          <w:szCs w:val="22"/>
          <w:lang w:val="sr-Latn-ME"/>
        </w:rPr>
        <w:t xml:space="preserve"> </w:t>
      </w:r>
      <w:r w:rsidRPr="004500D8">
        <w:rPr>
          <w:sz w:val="22"/>
          <w:szCs w:val="22"/>
          <w:lang w:val="sr-Latn-ME"/>
        </w:rPr>
        <w:t>produženog ispitivanja. PASI 75 i PGA odgovori “uredno” i “minimalno” su kod tih pacijenata bili 74,7%, odnosno 59,0% nakon dodatnih 108 nedjelja otvorene terapije (ukupno 160 nedjelja). Svi pacijenti koji su izašli iz ispitivanja zbog neželjenih djelovanja ili nedostatka efikasnosti ili kojima je doza povećavana, smatrani su pacijentima kod kojih nije bilo odgovora na terapiju. Za njih je analiza PASI 75 i PGA odgovora „uredno“ ili „minimalno“ nakon dodatnih 108 nedjelja otvorene terapije (ukupno 160 nedjelja) dala rezultate 69,6%, odnosno 55,7%.</w:t>
      </w:r>
    </w:p>
    <w:p w14:paraId="19A1880F" w14:textId="77777777" w:rsidR="00596C07" w:rsidRPr="004500D8" w:rsidRDefault="00596C07" w:rsidP="00596C07">
      <w:pPr>
        <w:autoSpaceDE w:val="0"/>
        <w:autoSpaceDN w:val="0"/>
        <w:adjustRightInd w:val="0"/>
        <w:jc w:val="both"/>
        <w:rPr>
          <w:sz w:val="22"/>
          <w:szCs w:val="22"/>
          <w:lang w:val="sr-Latn-ME"/>
        </w:rPr>
      </w:pPr>
    </w:p>
    <w:p w14:paraId="64ED5BE6"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Ukupno je 347 pacijenata sa stabilnim odgovorom na terapiju učestvovalo u otvorenom produženom ispitivanju u procjeni ukidanja i ponovnog uvođenja terapije. U razdoblju kada je terapija bila ukinuta, simptomi psorijaze su se vratili sa srednjim vremenom do pojave relapsa od oko 5 mjeseci (smanjenje do umjerenog ili goreg PGA). Međutim, niti jedan od pacijenata nije doživio pogoršanje osnovne bolesti, odnosno “</w:t>
      </w:r>
      <w:r w:rsidRPr="004500D8">
        <w:rPr>
          <w:i/>
          <w:sz w:val="22"/>
          <w:szCs w:val="22"/>
          <w:lang w:val="sr-Latn-ME"/>
        </w:rPr>
        <w:t>rebound</w:t>
      </w:r>
      <w:r w:rsidRPr="004500D8">
        <w:rPr>
          <w:sz w:val="22"/>
          <w:szCs w:val="22"/>
          <w:lang w:val="sr-Latn-ME"/>
        </w:rPr>
        <w:t>” bolesti u razdoblju kada je terapija bila ukinuta. Ukupno je 76,5% (218/285) pacijenata kojima je liječenje ponovo uvedeno imalo PGA odgovor “uredno” ili “minimalno” nakon 16 nedjelja ponovnog liječenja, bez obzira na to da li im se relaps ponovo javio u periodu kada je liječenje bilo prekinuto (69,1% [123/178] za pacijente s relapsom, odnosno 88,8% [95/107] za pacijente bez relapsa u razdoblju kada je liječenje bilo ukinuto). Uočen je sličan profil bezbjednosti ponovo uvedenog liječenja u odnosu na liječenje prije prekidanja.</w:t>
      </w:r>
    </w:p>
    <w:p w14:paraId="00EB6618" w14:textId="77777777" w:rsidR="00596C07" w:rsidRPr="004500D8" w:rsidRDefault="00596C07" w:rsidP="00596C07">
      <w:pPr>
        <w:autoSpaceDE w:val="0"/>
        <w:autoSpaceDN w:val="0"/>
        <w:adjustRightInd w:val="0"/>
        <w:jc w:val="both"/>
        <w:rPr>
          <w:sz w:val="22"/>
          <w:szCs w:val="22"/>
          <w:lang w:val="sr-Latn-ME"/>
        </w:rPr>
      </w:pPr>
    </w:p>
    <w:p w14:paraId="61B84A88"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Nakon 16 nedjelja terapije postignuto je značajno poboljšanje u odnosu na početno stanje, mjereno indeksom DLQI (</w:t>
      </w:r>
      <w:r w:rsidRPr="004500D8">
        <w:rPr>
          <w:i/>
          <w:sz w:val="22"/>
          <w:szCs w:val="22"/>
          <w:lang w:val="sr-Latn-ME"/>
        </w:rPr>
        <w:t>Dermatology Life Quality Index</w:t>
      </w:r>
      <w:r w:rsidRPr="004500D8">
        <w:rPr>
          <w:sz w:val="22"/>
          <w:szCs w:val="22"/>
          <w:lang w:val="sr-Latn-ME"/>
        </w:rPr>
        <w:t>) u poređenju sa placebom (ispitivanja I i II) i u poređenju sa MTX (ispitivanje II). U ispitivanju I uočeno je i značajno poboljšanje fizičkih i mentalnih komponenata zbirnog rezultata SF-36 u poređenju sa placebom.</w:t>
      </w:r>
    </w:p>
    <w:p w14:paraId="76103CDD" w14:textId="77777777" w:rsidR="00596C07" w:rsidRPr="004500D8" w:rsidRDefault="00596C07" w:rsidP="00596C07">
      <w:pPr>
        <w:autoSpaceDE w:val="0"/>
        <w:autoSpaceDN w:val="0"/>
        <w:adjustRightInd w:val="0"/>
        <w:jc w:val="both"/>
        <w:rPr>
          <w:sz w:val="22"/>
          <w:szCs w:val="22"/>
          <w:lang w:val="sr-Latn-ME"/>
        </w:rPr>
      </w:pPr>
    </w:p>
    <w:p w14:paraId="67FBE072"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U okviru otvorene ekstenzivne studije, kod pacijenata čija je doza zbog PASI zbira manjeg od 50% povećana sa 40 mg svake dvije nedjelje na 40 mg svake nedjelje, odgovor PASI 75 postignut je u 12. nedjelji kod 26,4% (92/349) pacijenata i u 24. nedjelji kod 37,8% (132/349) pacijenata.</w:t>
      </w:r>
    </w:p>
    <w:p w14:paraId="44DE607D" w14:textId="77777777" w:rsidR="00596C07" w:rsidRPr="004500D8" w:rsidRDefault="00596C07" w:rsidP="00596C07">
      <w:pPr>
        <w:autoSpaceDE w:val="0"/>
        <w:autoSpaceDN w:val="0"/>
        <w:adjustRightInd w:val="0"/>
        <w:jc w:val="both"/>
        <w:rPr>
          <w:sz w:val="22"/>
          <w:szCs w:val="22"/>
          <w:lang w:val="sr-Latn-ME"/>
        </w:rPr>
      </w:pPr>
    </w:p>
    <w:p w14:paraId="2228648B"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 xml:space="preserve">U ispitivanju Psoriasis Study III (REACH) upoređivale su se efikasnost i bezbjednost lijeka Humira u odnosu na placebo kod 72 pacijenta sa umjerenim do teškim oblikom hronične plak psorijaze i psorijazom na rukama i/ili stopalima. Pacijenti su dobijali lijek Humira u inicijalnoj dozi od 80 mg a potom 40 mg svake druge nedjelje (s početkom od jedne nedjelje od inicijalne doze) ili placebo u toku 16 nedjelja. U 16. nedjelji, statistički značajno veći broj pacijenata koji su primali lijek Humira postigao je da PGA rezultat bude „čist“ ili „skoro čist“ sa ruku i/ili stopala u poređenju sa pacijentima koji su primali placebo (30,6% u odnosu na 4,3%, odnosno [P= 0,014]). </w:t>
      </w:r>
    </w:p>
    <w:p w14:paraId="02A5E6C4" w14:textId="77777777" w:rsidR="00596C07" w:rsidRPr="004500D8" w:rsidRDefault="00596C07" w:rsidP="00596C07">
      <w:pPr>
        <w:autoSpaceDE w:val="0"/>
        <w:autoSpaceDN w:val="0"/>
        <w:adjustRightInd w:val="0"/>
        <w:jc w:val="both"/>
        <w:rPr>
          <w:sz w:val="22"/>
          <w:szCs w:val="22"/>
          <w:lang w:val="sr-Latn-ME"/>
        </w:rPr>
      </w:pPr>
    </w:p>
    <w:p w14:paraId="52A8157C" w14:textId="3E8F7DA6" w:rsidR="00596C07" w:rsidRPr="004500D8" w:rsidRDefault="00596C07" w:rsidP="003B242C">
      <w:pPr>
        <w:autoSpaceDE w:val="0"/>
        <w:autoSpaceDN w:val="0"/>
        <w:adjustRightInd w:val="0"/>
        <w:jc w:val="both"/>
        <w:rPr>
          <w:sz w:val="22"/>
          <w:szCs w:val="22"/>
          <w:lang w:val="sr-Latn-ME"/>
        </w:rPr>
      </w:pPr>
      <w:r w:rsidRPr="004500D8">
        <w:rPr>
          <w:sz w:val="22"/>
          <w:szCs w:val="22"/>
          <w:lang w:val="sr-Latn-ME"/>
        </w:rPr>
        <w:t xml:space="preserve">U ispitivanju Psoriasis Study IV upoređivale su se efikasnost i bezbjednost lijeka Humira u odnosu na placebo kod 217 odraslih pacijenata s umjerenom do teškom psorijazom noktiju. Pacijenti su primili lijek Humira u početnoj dozi od 80 mg, a potom po 40 mg svake druge nedjelje (počevši nedjelju dana nakon početne doze) ili placebo tokom 26 nedjelja, nakon čega je slijedilo otvoreno liječenje lijekom </w:t>
      </w:r>
      <w:r w:rsidRPr="004500D8">
        <w:rPr>
          <w:sz w:val="22"/>
          <w:szCs w:val="22"/>
          <w:lang w:val="sr-Latn-ME"/>
        </w:rPr>
        <w:lastRenderedPageBreak/>
        <w:t xml:space="preserve">Humira tokom dodatnih 26 nedjelja. Ocjena psorijaze noktiju uključivala je modifikovani indeks težine psorijaze noktiju (engl. </w:t>
      </w:r>
      <w:r w:rsidRPr="004500D8">
        <w:rPr>
          <w:i/>
          <w:sz w:val="22"/>
          <w:szCs w:val="22"/>
          <w:lang w:val="sr-Latn-ME"/>
        </w:rPr>
        <w:t>Modified Nail Psoriasis Severity Index</w:t>
      </w:r>
      <w:r w:rsidRPr="004500D8">
        <w:rPr>
          <w:sz w:val="22"/>
          <w:szCs w:val="22"/>
          <w:lang w:val="sr-Latn-ME"/>
        </w:rPr>
        <w:t xml:space="preserve">, mNAPSI), ljekarsku opštu procjenu psorijaze noktiju na rukama (engl. </w:t>
      </w:r>
      <w:r w:rsidRPr="004500D8">
        <w:rPr>
          <w:i/>
          <w:sz w:val="22"/>
          <w:szCs w:val="22"/>
          <w:lang w:val="sr-Latn-ME"/>
        </w:rPr>
        <w:t>Physician's Global Assessment of Fingernail Psoriasis</w:t>
      </w:r>
      <w:r w:rsidRPr="004500D8">
        <w:rPr>
          <w:sz w:val="22"/>
          <w:szCs w:val="22"/>
          <w:lang w:val="sr-Latn-ME"/>
        </w:rPr>
        <w:t xml:space="preserve">, PGA-F) te indeks težine psorijaze noktiju (engl. </w:t>
      </w:r>
      <w:r w:rsidRPr="004500D8">
        <w:rPr>
          <w:i/>
          <w:sz w:val="22"/>
          <w:szCs w:val="22"/>
          <w:lang w:val="sr-Latn-ME"/>
        </w:rPr>
        <w:t>Nail Psoriasis Severity Index</w:t>
      </w:r>
      <w:r w:rsidRPr="004500D8">
        <w:rPr>
          <w:sz w:val="22"/>
          <w:szCs w:val="22"/>
          <w:lang w:val="sr-Latn-ME"/>
        </w:rPr>
        <w:t>, NAPSI) (vidjeti Tabelu 11). Lijek Humira je ostvario povoljan terapijski efekat kod pacijenata s psorijazom noktiju i različitim stepenom zahvaćenosti kože (≥ 10% tjelesne površine [60% pacijenata] te &lt; 10% i ≥ 5% tjelesne površine [40% pacijenata]).</w:t>
      </w:r>
    </w:p>
    <w:p w14:paraId="154D180E" w14:textId="77777777" w:rsidR="00596C07" w:rsidRPr="004500D8" w:rsidRDefault="00596C07" w:rsidP="00596C07">
      <w:pPr>
        <w:tabs>
          <w:tab w:val="left" w:pos="562"/>
        </w:tabs>
        <w:suppressAutoHyphens/>
        <w:rPr>
          <w:sz w:val="22"/>
          <w:szCs w:val="22"/>
          <w:lang w:val="sr-Latn-ME"/>
        </w:rPr>
      </w:pPr>
    </w:p>
    <w:p w14:paraId="3168B330" w14:textId="21D42685" w:rsidR="00596C07" w:rsidRPr="004500D8" w:rsidRDefault="00596C07" w:rsidP="003B242C">
      <w:pPr>
        <w:autoSpaceDE w:val="0"/>
        <w:autoSpaceDN w:val="0"/>
        <w:adjustRightInd w:val="0"/>
        <w:rPr>
          <w:b/>
          <w:sz w:val="22"/>
          <w:szCs w:val="22"/>
          <w:lang w:val="sr-Latn-ME"/>
        </w:rPr>
      </w:pPr>
      <w:r w:rsidRPr="004500D8">
        <w:rPr>
          <w:b/>
          <w:sz w:val="22"/>
          <w:szCs w:val="22"/>
          <w:lang w:val="sr-Latn-ME"/>
        </w:rPr>
        <w:t>Tabela 11</w:t>
      </w:r>
      <w:r w:rsidR="00001F38" w:rsidRPr="004500D8">
        <w:rPr>
          <w:b/>
          <w:sz w:val="22"/>
          <w:szCs w:val="22"/>
          <w:lang w:val="sr-Latn-ME"/>
        </w:rPr>
        <w:t xml:space="preserve">. </w:t>
      </w:r>
      <w:r w:rsidRPr="004500D8">
        <w:rPr>
          <w:b/>
          <w:sz w:val="22"/>
          <w:szCs w:val="22"/>
          <w:lang w:val="sr-Latn-ME"/>
        </w:rPr>
        <w:t>Rezultati efikasnosti u 16., 26. i 52. nedjelji ispitivanja Ps IV</w:t>
      </w:r>
    </w:p>
    <w:p w14:paraId="0DFE4F3F" w14:textId="77777777" w:rsidR="00596C07" w:rsidRPr="004500D8" w:rsidRDefault="00596C07" w:rsidP="00596C07">
      <w:pPr>
        <w:tabs>
          <w:tab w:val="left" w:pos="562"/>
        </w:tabs>
        <w:suppressAutoHyphens/>
        <w:rPr>
          <w:sz w:val="22"/>
          <w:szCs w:val="22"/>
          <w:lang w:val="sr-Latn-ME"/>
        </w:rPr>
      </w:pPr>
    </w:p>
    <w:tbl>
      <w:tblPr>
        <w:tblStyle w:val="TableGrid"/>
        <w:tblW w:w="0" w:type="auto"/>
        <w:jc w:val="center"/>
        <w:tblLayout w:type="fixed"/>
        <w:tblLook w:val="04A0" w:firstRow="1" w:lastRow="0" w:firstColumn="1" w:lastColumn="0" w:noHBand="0" w:noVBand="1"/>
      </w:tblPr>
      <w:tblGrid>
        <w:gridCol w:w="2235"/>
        <w:gridCol w:w="1134"/>
        <w:gridCol w:w="1701"/>
        <w:gridCol w:w="1134"/>
        <w:gridCol w:w="1546"/>
        <w:gridCol w:w="1551"/>
      </w:tblGrid>
      <w:tr w:rsidR="00596C07" w:rsidRPr="004500D8" w14:paraId="75CE7D27" w14:textId="77777777" w:rsidTr="00596C07">
        <w:trPr>
          <w:jc w:val="center"/>
        </w:trPr>
        <w:tc>
          <w:tcPr>
            <w:tcW w:w="2235" w:type="dxa"/>
            <w:vMerge w:val="restart"/>
          </w:tcPr>
          <w:p w14:paraId="7032DAF5" w14:textId="77777777" w:rsidR="00596C07" w:rsidRPr="004500D8" w:rsidRDefault="00596C07" w:rsidP="00596C07">
            <w:pPr>
              <w:autoSpaceDE w:val="0"/>
              <w:autoSpaceDN w:val="0"/>
              <w:adjustRightInd w:val="0"/>
              <w:jc w:val="both"/>
              <w:rPr>
                <w:sz w:val="22"/>
                <w:szCs w:val="22"/>
                <w:lang w:val="sr-Latn-ME" w:eastAsia="sr-Latn-ME"/>
              </w:rPr>
            </w:pPr>
            <w:r w:rsidRPr="004500D8">
              <w:rPr>
                <w:sz w:val="22"/>
                <w:szCs w:val="22"/>
                <w:lang w:val="sr-Latn-ME" w:eastAsia="sr-Latn-ME"/>
              </w:rPr>
              <w:t>Mjera ishoda</w:t>
            </w:r>
          </w:p>
        </w:tc>
        <w:tc>
          <w:tcPr>
            <w:tcW w:w="2835" w:type="dxa"/>
            <w:gridSpan w:val="2"/>
          </w:tcPr>
          <w:p w14:paraId="6A06D63F"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16. nedjelja</w:t>
            </w:r>
          </w:p>
          <w:p w14:paraId="235628CC"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Placebo kontrolisano</w:t>
            </w:r>
          </w:p>
        </w:tc>
        <w:tc>
          <w:tcPr>
            <w:tcW w:w="2680" w:type="dxa"/>
            <w:gridSpan w:val="2"/>
          </w:tcPr>
          <w:p w14:paraId="3B67E1E4"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26. nedjelja</w:t>
            </w:r>
          </w:p>
          <w:p w14:paraId="1B51C21F"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Placebo kontrolisano</w:t>
            </w:r>
          </w:p>
        </w:tc>
        <w:tc>
          <w:tcPr>
            <w:tcW w:w="1551" w:type="dxa"/>
          </w:tcPr>
          <w:p w14:paraId="2A90CE05"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52. nedjelja</w:t>
            </w:r>
          </w:p>
          <w:p w14:paraId="103C567C"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Otvoreno</w:t>
            </w:r>
          </w:p>
        </w:tc>
      </w:tr>
      <w:tr w:rsidR="00596C07" w:rsidRPr="004500D8" w14:paraId="1697936A" w14:textId="77777777" w:rsidTr="00596C07">
        <w:trPr>
          <w:jc w:val="center"/>
        </w:trPr>
        <w:tc>
          <w:tcPr>
            <w:tcW w:w="2235" w:type="dxa"/>
            <w:vMerge/>
          </w:tcPr>
          <w:p w14:paraId="0DA44485" w14:textId="77777777" w:rsidR="00596C07" w:rsidRPr="004500D8" w:rsidRDefault="00596C07" w:rsidP="00596C07">
            <w:pPr>
              <w:autoSpaceDE w:val="0"/>
              <w:autoSpaceDN w:val="0"/>
              <w:adjustRightInd w:val="0"/>
              <w:jc w:val="both"/>
              <w:rPr>
                <w:sz w:val="22"/>
                <w:szCs w:val="22"/>
                <w:lang w:val="sr-Latn-ME" w:eastAsia="sr-Latn-ME"/>
              </w:rPr>
            </w:pPr>
          </w:p>
        </w:tc>
        <w:tc>
          <w:tcPr>
            <w:tcW w:w="1134" w:type="dxa"/>
          </w:tcPr>
          <w:p w14:paraId="71E565D3"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Placebo</w:t>
            </w:r>
          </w:p>
          <w:p w14:paraId="088042BF"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N=108</w:t>
            </w:r>
          </w:p>
        </w:tc>
        <w:tc>
          <w:tcPr>
            <w:tcW w:w="1701" w:type="dxa"/>
          </w:tcPr>
          <w:p w14:paraId="3B8D4CDD"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Humira 40 mg svake druge nedjelje</w:t>
            </w:r>
          </w:p>
          <w:p w14:paraId="36CA8BF5"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N=109</w:t>
            </w:r>
          </w:p>
        </w:tc>
        <w:tc>
          <w:tcPr>
            <w:tcW w:w="1134" w:type="dxa"/>
          </w:tcPr>
          <w:p w14:paraId="13680F65"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Placebo</w:t>
            </w:r>
          </w:p>
          <w:p w14:paraId="1A2363EB"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N=108</w:t>
            </w:r>
          </w:p>
        </w:tc>
        <w:tc>
          <w:tcPr>
            <w:tcW w:w="1546" w:type="dxa"/>
          </w:tcPr>
          <w:p w14:paraId="5ABCFA1F"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Humira 40 mg svake druge nedjelje</w:t>
            </w:r>
          </w:p>
          <w:p w14:paraId="1ED4699B"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N=109</w:t>
            </w:r>
          </w:p>
        </w:tc>
        <w:tc>
          <w:tcPr>
            <w:tcW w:w="1551" w:type="dxa"/>
          </w:tcPr>
          <w:p w14:paraId="55E419D4"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Humira 40 mg svake druge nedjelje</w:t>
            </w:r>
          </w:p>
          <w:p w14:paraId="2ABFAE89"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N=80</w:t>
            </w:r>
          </w:p>
        </w:tc>
      </w:tr>
      <w:tr w:rsidR="00596C07" w:rsidRPr="004500D8" w14:paraId="5AC0AD53" w14:textId="77777777" w:rsidTr="00596C07">
        <w:trPr>
          <w:jc w:val="center"/>
        </w:trPr>
        <w:tc>
          <w:tcPr>
            <w:tcW w:w="2235" w:type="dxa"/>
          </w:tcPr>
          <w:p w14:paraId="4FFF1496" w14:textId="77777777" w:rsidR="00596C07" w:rsidRPr="004500D8" w:rsidRDefault="00596C07" w:rsidP="00596C07">
            <w:pPr>
              <w:autoSpaceDE w:val="0"/>
              <w:autoSpaceDN w:val="0"/>
              <w:adjustRightInd w:val="0"/>
              <w:jc w:val="both"/>
              <w:rPr>
                <w:sz w:val="22"/>
                <w:szCs w:val="22"/>
                <w:lang w:val="sr-Latn-ME" w:eastAsia="sr-Latn-ME"/>
              </w:rPr>
            </w:pPr>
            <w:r w:rsidRPr="004500D8">
              <w:rPr>
                <w:sz w:val="22"/>
                <w:szCs w:val="22"/>
                <w:lang w:val="sr-Latn-ME" w:eastAsia="sr-Latn-ME"/>
              </w:rPr>
              <w:t>≥ mNAPSI 75 (%)</w:t>
            </w:r>
          </w:p>
        </w:tc>
        <w:tc>
          <w:tcPr>
            <w:tcW w:w="1134" w:type="dxa"/>
          </w:tcPr>
          <w:p w14:paraId="07C5987C"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2,9</w:t>
            </w:r>
          </w:p>
        </w:tc>
        <w:tc>
          <w:tcPr>
            <w:tcW w:w="1701" w:type="dxa"/>
          </w:tcPr>
          <w:p w14:paraId="4277864B"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26,0</w:t>
            </w:r>
            <w:r w:rsidRPr="004500D8">
              <w:rPr>
                <w:sz w:val="22"/>
                <w:szCs w:val="22"/>
                <w:vertAlign w:val="superscript"/>
                <w:lang w:val="sr-Latn-ME" w:eastAsia="sr-Latn-ME"/>
              </w:rPr>
              <w:t>a</w:t>
            </w:r>
          </w:p>
        </w:tc>
        <w:tc>
          <w:tcPr>
            <w:tcW w:w="1134" w:type="dxa"/>
          </w:tcPr>
          <w:p w14:paraId="7E67BC64"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3,4</w:t>
            </w:r>
          </w:p>
        </w:tc>
        <w:tc>
          <w:tcPr>
            <w:tcW w:w="1546" w:type="dxa"/>
          </w:tcPr>
          <w:p w14:paraId="6CB33DAA"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46,6</w:t>
            </w:r>
            <w:r w:rsidRPr="004500D8">
              <w:rPr>
                <w:sz w:val="22"/>
                <w:szCs w:val="22"/>
                <w:vertAlign w:val="superscript"/>
                <w:lang w:val="sr-Latn-ME" w:eastAsia="sr-Latn-ME"/>
              </w:rPr>
              <w:t>a</w:t>
            </w:r>
          </w:p>
        </w:tc>
        <w:tc>
          <w:tcPr>
            <w:tcW w:w="1551" w:type="dxa"/>
          </w:tcPr>
          <w:p w14:paraId="33518DFB"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65,0</w:t>
            </w:r>
          </w:p>
        </w:tc>
      </w:tr>
      <w:tr w:rsidR="00596C07" w:rsidRPr="004500D8" w14:paraId="4691167E" w14:textId="77777777" w:rsidTr="00596C07">
        <w:trPr>
          <w:jc w:val="center"/>
        </w:trPr>
        <w:tc>
          <w:tcPr>
            <w:tcW w:w="2235" w:type="dxa"/>
          </w:tcPr>
          <w:p w14:paraId="2CC62C82" w14:textId="77777777" w:rsidR="00596C07" w:rsidRPr="004500D8" w:rsidRDefault="00596C07" w:rsidP="00596C07">
            <w:pPr>
              <w:autoSpaceDE w:val="0"/>
              <w:autoSpaceDN w:val="0"/>
              <w:adjustRightInd w:val="0"/>
              <w:jc w:val="both"/>
              <w:rPr>
                <w:sz w:val="22"/>
                <w:szCs w:val="22"/>
                <w:lang w:val="sr-Latn-ME" w:eastAsia="sr-Latn-ME"/>
              </w:rPr>
            </w:pPr>
            <w:r w:rsidRPr="004500D8">
              <w:rPr>
                <w:sz w:val="22"/>
                <w:szCs w:val="22"/>
                <w:lang w:val="sr-Latn-ME" w:eastAsia="sr-Latn-ME"/>
              </w:rPr>
              <w:t>PGA-F: bez</w:t>
            </w:r>
          </w:p>
          <w:p w14:paraId="49A64B85" w14:textId="77777777" w:rsidR="00596C07" w:rsidRPr="004500D8" w:rsidRDefault="00596C07" w:rsidP="00596C07">
            <w:pPr>
              <w:autoSpaceDE w:val="0"/>
              <w:autoSpaceDN w:val="0"/>
              <w:adjustRightInd w:val="0"/>
              <w:jc w:val="both"/>
              <w:rPr>
                <w:sz w:val="22"/>
                <w:szCs w:val="22"/>
                <w:lang w:val="sr-Latn-ME" w:eastAsia="sr-Latn-ME"/>
              </w:rPr>
            </w:pPr>
            <w:r w:rsidRPr="004500D8">
              <w:rPr>
                <w:sz w:val="22"/>
                <w:szCs w:val="22"/>
                <w:lang w:val="sr-Latn-ME" w:eastAsia="sr-Latn-ME"/>
              </w:rPr>
              <w:t>oboljenja/minimalno i</w:t>
            </w:r>
          </w:p>
          <w:p w14:paraId="0BAC146C" w14:textId="77777777" w:rsidR="00596C07" w:rsidRPr="004500D8" w:rsidRDefault="00596C07" w:rsidP="00596C07">
            <w:pPr>
              <w:autoSpaceDE w:val="0"/>
              <w:autoSpaceDN w:val="0"/>
              <w:adjustRightInd w:val="0"/>
              <w:jc w:val="both"/>
              <w:rPr>
                <w:sz w:val="22"/>
                <w:szCs w:val="22"/>
                <w:lang w:val="sr-Latn-ME" w:eastAsia="sr-Latn-ME"/>
              </w:rPr>
            </w:pPr>
            <w:r w:rsidRPr="004500D8">
              <w:rPr>
                <w:sz w:val="22"/>
                <w:szCs w:val="22"/>
                <w:lang w:val="sr-Latn-ME" w:eastAsia="sr-Latn-ME"/>
              </w:rPr>
              <w:t>poboljšanje za ≥ 2 stepena (%)</w:t>
            </w:r>
          </w:p>
        </w:tc>
        <w:tc>
          <w:tcPr>
            <w:tcW w:w="1134" w:type="dxa"/>
          </w:tcPr>
          <w:p w14:paraId="63982450"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2,9</w:t>
            </w:r>
          </w:p>
        </w:tc>
        <w:tc>
          <w:tcPr>
            <w:tcW w:w="1701" w:type="dxa"/>
          </w:tcPr>
          <w:p w14:paraId="5EB5E9ED"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29,7</w:t>
            </w:r>
            <w:r w:rsidRPr="004500D8">
              <w:rPr>
                <w:sz w:val="22"/>
                <w:szCs w:val="22"/>
                <w:vertAlign w:val="superscript"/>
                <w:lang w:val="sr-Latn-ME" w:eastAsia="sr-Latn-ME"/>
              </w:rPr>
              <w:t>a</w:t>
            </w:r>
          </w:p>
        </w:tc>
        <w:tc>
          <w:tcPr>
            <w:tcW w:w="1134" w:type="dxa"/>
          </w:tcPr>
          <w:p w14:paraId="03DC1346"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6,9</w:t>
            </w:r>
          </w:p>
        </w:tc>
        <w:tc>
          <w:tcPr>
            <w:tcW w:w="1546" w:type="dxa"/>
          </w:tcPr>
          <w:p w14:paraId="2CDC26AB"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48,9</w:t>
            </w:r>
            <w:r w:rsidRPr="004500D8">
              <w:rPr>
                <w:sz w:val="22"/>
                <w:szCs w:val="22"/>
                <w:vertAlign w:val="superscript"/>
                <w:lang w:val="sr-Latn-ME" w:eastAsia="sr-Latn-ME"/>
              </w:rPr>
              <w:t>a</w:t>
            </w:r>
          </w:p>
        </w:tc>
        <w:tc>
          <w:tcPr>
            <w:tcW w:w="1551" w:type="dxa"/>
          </w:tcPr>
          <w:p w14:paraId="14C4377B"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61,3</w:t>
            </w:r>
          </w:p>
        </w:tc>
      </w:tr>
      <w:tr w:rsidR="00596C07" w:rsidRPr="004500D8" w14:paraId="1565B355" w14:textId="77777777" w:rsidTr="00596C07">
        <w:trPr>
          <w:jc w:val="center"/>
        </w:trPr>
        <w:tc>
          <w:tcPr>
            <w:tcW w:w="2235" w:type="dxa"/>
          </w:tcPr>
          <w:p w14:paraId="4718AB14" w14:textId="77777777" w:rsidR="00596C07" w:rsidRPr="004500D8" w:rsidRDefault="00596C07" w:rsidP="00596C07">
            <w:pPr>
              <w:autoSpaceDE w:val="0"/>
              <w:autoSpaceDN w:val="0"/>
              <w:adjustRightInd w:val="0"/>
              <w:jc w:val="both"/>
              <w:rPr>
                <w:sz w:val="22"/>
                <w:szCs w:val="22"/>
                <w:lang w:val="sr-Latn-ME" w:eastAsia="sr-Latn-ME"/>
              </w:rPr>
            </w:pPr>
            <w:r w:rsidRPr="004500D8">
              <w:rPr>
                <w:sz w:val="22"/>
                <w:szCs w:val="22"/>
                <w:lang w:val="sr-Latn-ME" w:eastAsia="sr-Latn-ME"/>
              </w:rPr>
              <w:t>Procentualna promjena ukupnog</w:t>
            </w:r>
          </w:p>
          <w:p w14:paraId="1867E6CD" w14:textId="77777777" w:rsidR="00596C07" w:rsidRPr="004500D8" w:rsidRDefault="00596C07" w:rsidP="00596C07">
            <w:pPr>
              <w:autoSpaceDE w:val="0"/>
              <w:autoSpaceDN w:val="0"/>
              <w:adjustRightInd w:val="0"/>
              <w:jc w:val="both"/>
              <w:rPr>
                <w:sz w:val="22"/>
                <w:szCs w:val="22"/>
                <w:lang w:val="sr-Latn-ME" w:eastAsia="sr-Latn-ME"/>
              </w:rPr>
            </w:pPr>
            <w:r w:rsidRPr="004500D8">
              <w:rPr>
                <w:sz w:val="22"/>
                <w:szCs w:val="22"/>
                <w:lang w:val="sr-Latn-ME" w:eastAsia="sr-Latn-ME"/>
              </w:rPr>
              <w:t>NAPSI rezultata za</w:t>
            </w:r>
          </w:p>
          <w:p w14:paraId="650DF35A" w14:textId="77777777" w:rsidR="00596C07" w:rsidRPr="004500D8" w:rsidRDefault="00596C07" w:rsidP="00596C07">
            <w:pPr>
              <w:autoSpaceDE w:val="0"/>
              <w:autoSpaceDN w:val="0"/>
              <w:adjustRightInd w:val="0"/>
              <w:jc w:val="both"/>
              <w:rPr>
                <w:sz w:val="22"/>
                <w:szCs w:val="22"/>
                <w:lang w:val="sr-Latn-ME" w:eastAsia="sr-Latn-ME"/>
              </w:rPr>
            </w:pPr>
            <w:r w:rsidRPr="004500D8">
              <w:rPr>
                <w:sz w:val="22"/>
                <w:szCs w:val="22"/>
                <w:lang w:val="sr-Latn-ME" w:eastAsia="sr-Latn-ME"/>
              </w:rPr>
              <w:t>psorijazu noktiju na rukama (%)</w:t>
            </w:r>
          </w:p>
        </w:tc>
        <w:tc>
          <w:tcPr>
            <w:tcW w:w="1134" w:type="dxa"/>
          </w:tcPr>
          <w:p w14:paraId="633DBC54"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-7,8</w:t>
            </w:r>
          </w:p>
        </w:tc>
        <w:tc>
          <w:tcPr>
            <w:tcW w:w="1701" w:type="dxa"/>
          </w:tcPr>
          <w:p w14:paraId="526ECD4A"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-44,2</w:t>
            </w:r>
            <w:r w:rsidRPr="004500D8">
              <w:rPr>
                <w:sz w:val="22"/>
                <w:szCs w:val="22"/>
                <w:vertAlign w:val="superscript"/>
                <w:lang w:val="sr-Latn-ME" w:eastAsia="sr-Latn-ME"/>
              </w:rPr>
              <w:t>a</w:t>
            </w:r>
          </w:p>
        </w:tc>
        <w:tc>
          <w:tcPr>
            <w:tcW w:w="1134" w:type="dxa"/>
          </w:tcPr>
          <w:p w14:paraId="7FC66380"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-11,5</w:t>
            </w:r>
          </w:p>
        </w:tc>
        <w:tc>
          <w:tcPr>
            <w:tcW w:w="1546" w:type="dxa"/>
          </w:tcPr>
          <w:p w14:paraId="78E41A9C"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-56,2</w:t>
            </w:r>
            <w:r w:rsidRPr="004500D8">
              <w:rPr>
                <w:sz w:val="22"/>
                <w:szCs w:val="22"/>
                <w:vertAlign w:val="superscript"/>
                <w:lang w:val="sr-Latn-ME" w:eastAsia="sr-Latn-ME"/>
              </w:rPr>
              <w:t>a</w:t>
            </w:r>
          </w:p>
        </w:tc>
        <w:tc>
          <w:tcPr>
            <w:tcW w:w="1551" w:type="dxa"/>
          </w:tcPr>
          <w:p w14:paraId="61DDCF47" w14:textId="77777777" w:rsidR="00596C07" w:rsidRPr="004500D8" w:rsidRDefault="00596C07" w:rsidP="00596C07">
            <w:pPr>
              <w:autoSpaceDE w:val="0"/>
              <w:autoSpaceDN w:val="0"/>
              <w:adjustRightInd w:val="0"/>
              <w:jc w:val="center"/>
              <w:rPr>
                <w:sz w:val="22"/>
                <w:szCs w:val="22"/>
                <w:lang w:val="sr-Latn-ME" w:eastAsia="sr-Latn-ME"/>
              </w:rPr>
            </w:pPr>
            <w:r w:rsidRPr="004500D8">
              <w:rPr>
                <w:sz w:val="22"/>
                <w:szCs w:val="22"/>
                <w:lang w:val="sr-Latn-ME" w:eastAsia="sr-Latn-ME"/>
              </w:rPr>
              <w:t>-72,2</w:t>
            </w:r>
          </w:p>
        </w:tc>
      </w:tr>
      <w:tr w:rsidR="00596C07" w:rsidRPr="004500D8" w14:paraId="2AD8BA22" w14:textId="77777777" w:rsidTr="00596C07">
        <w:trPr>
          <w:jc w:val="center"/>
        </w:trPr>
        <w:tc>
          <w:tcPr>
            <w:tcW w:w="9301" w:type="dxa"/>
            <w:gridSpan w:val="6"/>
          </w:tcPr>
          <w:p w14:paraId="799D83DD" w14:textId="77777777" w:rsidR="00596C07" w:rsidRPr="004500D8" w:rsidRDefault="00596C07" w:rsidP="00596C07">
            <w:pPr>
              <w:autoSpaceDE w:val="0"/>
              <w:autoSpaceDN w:val="0"/>
              <w:adjustRightInd w:val="0"/>
              <w:jc w:val="both"/>
              <w:rPr>
                <w:sz w:val="22"/>
                <w:szCs w:val="22"/>
                <w:lang w:val="sr-Latn-ME" w:eastAsia="sr-Latn-ME"/>
              </w:rPr>
            </w:pPr>
            <w:r w:rsidRPr="004500D8">
              <w:rPr>
                <w:sz w:val="22"/>
                <w:szCs w:val="22"/>
                <w:vertAlign w:val="superscript"/>
                <w:lang w:val="sr-Latn-ME" w:eastAsia="sr-Latn-ME"/>
              </w:rPr>
              <w:t>a</w:t>
            </w:r>
            <w:r w:rsidRPr="004500D8">
              <w:rPr>
                <w:sz w:val="22"/>
                <w:szCs w:val="22"/>
                <w:lang w:val="sr-Latn-ME" w:eastAsia="sr-Latn-ME"/>
              </w:rPr>
              <w:t xml:space="preserve"> p &lt; 0,001, lijek Humira u poređenju sa placebom</w:t>
            </w:r>
          </w:p>
        </w:tc>
      </w:tr>
    </w:tbl>
    <w:p w14:paraId="57698623" w14:textId="77777777" w:rsidR="00596C07" w:rsidRPr="004500D8" w:rsidRDefault="00596C07" w:rsidP="00596C07">
      <w:pPr>
        <w:tabs>
          <w:tab w:val="left" w:pos="562"/>
        </w:tabs>
        <w:suppressAutoHyphens/>
        <w:jc w:val="both"/>
        <w:rPr>
          <w:sz w:val="22"/>
          <w:szCs w:val="22"/>
          <w:lang w:val="sr-Latn-ME"/>
        </w:rPr>
      </w:pPr>
    </w:p>
    <w:p w14:paraId="064BDA1D" w14:textId="77777777" w:rsidR="00596C07" w:rsidRPr="004500D8" w:rsidRDefault="00596C07" w:rsidP="00596C07">
      <w:pPr>
        <w:tabs>
          <w:tab w:val="left" w:pos="562"/>
        </w:tabs>
        <w:suppressAutoHyphens/>
        <w:jc w:val="both"/>
        <w:rPr>
          <w:sz w:val="22"/>
          <w:szCs w:val="22"/>
          <w:lang w:val="sr-Latn-ME"/>
        </w:rPr>
      </w:pPr>
      <w:r w:rsidRPr="004500D8">
        <w:rPr>
          <w:sz w:val="22"/>
          <w:szCs w:val="22"/>
          <w:lang w:val="sr-Latn-ME"/>
        </w:rPr>
        <w:t>Pacijenti liječeni lijekom Humira pokazali su statistički značajno poboljšanje DLQI rezultata u 26. nedjelji u odnosu na placebo.</w:t>
      </w:r>
    </w:p>
    <w:p w14:paraId="26FB4581" w14:textId="77777777" w:rsidR="00596C07" w:rsidRPr="004500D8" w:rsidRDefault="00596C07" w:rsidP="00596C07">
      <w:pPr>
        <w:tabs>
          <w:tab w:val="left" w:pos="562"/>
        </w:tabs>
        <w:suppressAutoHyphens/>
        <w:rPr>
          <w:sz w:val="22"/>
          <w:szCs w:val="22"/>
          <w:highlight w:val="yellow"/>
          <w:lang w:val="sr-Latn-ME"/>
        </w:rPr>
      </w:pPr>
    </w:p>
    <w:p w14:paraId="10A63DD5" w14:textId="77777777" w:rsidR="00596C07" w:rsidRPr="004500D8" w:rsidRDefault="00596C07" w:rsidP="00596C07">
      <w:pPr>
        <w:keepNext/>
        <w:tabs>
          <w:tab w:val="left" w:pos="562"/>
        </w:tabs>
        <w:suppressAutoHyphens/>
        <w:rPr>
          <w:i/>
          <w:sz w:val="22"/>
          <w:szCs w:val="22"/>
          <w:lang w:val="sr-Latn-ME"/>
        </w:rPr>
      </w:pPr>
      <w:r w:rsidRPr="004500D8">
        <w:rPr>
          <w:i/>
          <w:sz w:val="22"/>
          <w:szCs w:val="22"/>
          <w:lang w:val="sr-Latn-ME"/>
        </w:rPr>
        <w:t>Gnojni hidradenitis (Hidradenitis suppurativa)</w:t>
      </w:r>
    </w:p>
    <w:p w14:paraId="549ED14B" w14:textId="77777777" w:rsidR="00596C07" w:rsidRPr="004500D8" w:rsidRDefault="00596C07" w:rsidP="00596C07">
      <w:pPr>
        <w:keepNext/>
        <w:tabs>
          <w:tab w:val="left" w:pos="562"/>
        </w:tabs>
        <w:suppressAutoHyphens/>
        <w:rPr>
          <w:sz w:val="22"/>
          <w:szCs w:val="22"/>
          <w:lang w:val="sr-Latn-ME"/>
        </w:rPr>
      </w:pPr>
    </w:p>
    <w:p w14:paraId="6BD01DEF" w14:textId="77777777" w:rsidR="00596C07" w:rsidRPr="004500D8" w:rsidRDefault="00596C07" w:rsidP="00596C07">
      <w:pPr>
        <w:keepNext/>
        <w:tabs>
          <w:tab w:val="left" w:pos="562"/>
        </w:tabs>
        <w:suppressAutoHyphens/>
        <w:jc w:val="both"/>
        <w:rPr>
          <w:i/>
          <w:sz w:val="22"/>
          <w:szCs w:val="22"/>
          <w:lang w:val="sr-Latn-ME"/>
        </w:rPr>
      </w:pPr>
      <w:r w:rsidRPr="004500D8">
        <w:rPr>
          <w:sz w:val="22"/>
          <w:szCs w:val="22"/>
          <w:lang w:val="sr-Latn-ME"/>
        </w:rPr>
        <w:t>Bezbjednost i efikasnost lijeka Humira procjenjivale su se u randomiziranim, dvostruko slijepim, placebo kontrolisanim ispitivanjima i u jednom otvorenom produžetku ispitivanja kod odraslih pacijenata s umjerenim do teškim gnojnim hidradenitisom (</w:t>
      </w:r>
      <w:r w:rsidRPr="004500D8">
        <w:rPr>
          <w:i/>
          <w:sz w:val="22"/>
          <w:szCs w:val="22"/>
          <w:lang w:val="sr-Latn-ME"/>
        </w:rPr>
        <w:t>Hidradenitis suppurativa</w:t>
      </w:r>
      <w:r w:rsidRPr="004500D8">
        <w:rPr>
          <w:sz w:val="22"/>
          <w:szCs w:val="22"/>
          <w:lang w:val="sr-Latn-ME"/>
        </w:rPr>
        <w:t>,</w:t>
      </w:r>
      <w:r w:rsidRPr="004500D8">
        <w:rPr>
          <w:i/>
          <w:sz w:val="22"/>
          <w:szCs w:val="22"/>
          <w:lang w:val="sr-Latn-ME"/>
        </w:rPr>
        <w:t xml:space="preserve"> </w:t>
      </w:r>
      <w:r w:rsidRPr="004500D8">
        <w:rPr>
          <w:sz w:val="22"/>
          <w:szCs w:val="22"/>
          <w:lang w:val="sr-Latn-ME"/>
        </w:rPr>
        <w:t>HS) koji nisu podnosili sistemske antibiotike, koji su imali kontraindikacije za njihovu primjenu ili nisu postigli zadovoljavajući odgovor na liječenje sistemskim antibioticima tokom najmanje 3 mjeseca. Pacijenti u ispitivanjima HS</w:t>
      </w:r>
      <w:r w:rsidRPr="004500D8">
        <w:rPr>
          <w:sz w:val="22"/>
          <w:szCs w:val="22"/>
          <w:lang w:val="sr-Latn-ME"/>
        </w:rPr>
        <w:noBreakHyphen/>
        <w:t>I i HS</w:t>
      </w:r>
      <w:r w:rsidRPr="004500D8">
        <w:rPr>
          <w:sz w:val="22"/>
          <w:szCs w:val="22"/>
          <w:lang w:val="sr-Latn-ME"/>
        </w:rPr>
        <w:noBreakHyphen/>
        <w:t>II su imali bolest stadijuma II ili III prema Hurley-evoj klasifikaciji, te najmanje 3 apscesa ili upalna nodula.</w:t>
      </w:r>
    </w:p>
    <w:p w14:paraId="2A19450C" w14:textId="77777777" w:rsidR="00596C07" w:rsidRPr="004500D8" w:rsidRDefault="00596C07" w:rsidP="00596C07">
      <w:pPr>
        <w:tabs>
          <w:tab w:val="left" w:pos="562"/>
        </w:tabs>
        <w:suppressAutoHyphens/>
        <w:jc w:val="both"/>
        <w:rPr>
          <w:sz w:val="22"/>
          <w:szCs w:val="22"/>
          <w:lang w:val="sr-Latn-ME"/>
        </w:rPr>
      </w:pPr>
    </w:p>
    <w:p w14:paraId="267AB481" w14:textId="77777777" w:rsidR="00596C07" w:rsidRPr="004500D8" w:rsidRDefault="00596C07" w:rsidP="00596C07">
      <w:pPr>
        <w:tabs>
          <w:tab w:val="left" w:pos="562"/>
        </w:tabs>
        <w:suppressAutoHyphens/>
        <w:jc w:val="both"/>
        <w:rPr>
          <w:sz w:val="22"/>
          <w:szCs w:val="22"/>
          <w:lang w:val="sr-Latn-ME"/>
        </w:rPr>
      </w:pPr>
      <w:r w:rsidRPr="004500D8">
        <w:rPr>
          <w:sz w:val="22"/>
          <w:szCs w:val="22"/>
          <w:lang w:val="sr-Latn-ME"/>
        </w:rPr>
        <w:t>Ispitivanje HS</w:t>
      </w:r>
      <w:r w:rsidRPr="004500D8">
        <w:rPr>
          <w:sz w:val="22"/>
          <w:szCs w:val="22"/>
          <w:lang w:val="sr-Latn-ME"/>
        </w:rPr>
        <w:noBreakHyphen/>
        <w:t>I (PIONEER I) je procjenjivalo 307 pacijenata za vrijeme 2 perioda liječenja. Za vrijeme perioda A, pacijenti su primali placebo ili lijek Humira u početnoj dozi od 160 mg u nultoj nedjelji i 80 mg u drugoj nedjelji, a zatim dozu od 40 mg svake nedjelje, počevši od 4. nedjelje do 11. nedjelje. Tokom ispitivanja nije bila dopuštena istovremena primjena antibiotika. Nakon 12 nedjelja terapije, pacijenti koji su tokom perioda A primali lijek Humira ponovno su randomizovani u periodu B u jednu od 3 terapijske grupe (lijek Humira u dozi od 40 mg svake nedjelje , lijek Humira u dozi od 40 mg svake druge nedjelje, ili placebo od 12. nedjelje do 35. nedjelje). Pacijentima, koji su u periodu A bili randomizovani za primanje placeba, dodijeljeno je liječenje lijekom Humira u dozi od 40 mg svake nedjelje u periodu B.</w:t>
      </w:r>
    </w:p>
    <w:p w14:paraId="4C6B75DB" w14:textId="77777777" w:rsidR="00596C07" w:rsidRPr="004500D8" w:rsidRDefault="00596C07" w:rsidP="00596C07">
      <w:pPr>
        <w:tabs>
          <w:tab w:val="left" w:pos="562"/>
        </w:tabs>
        <w:suppressAutoHyphens/>
        <w:jc w:val="both"/>
        <w:rPr>
          <w:color w:val="FF0000"/>
          <w:sz w:val="22"/>
          <w:szCs w:val="22"/>
          <w:lang w:val="sr-Latn-ME"/>
        </w:rPr>
      </w:pPr>
    </w:p>
    <w:p w14:paraId="519526DA" w14:textId="77777777" w:rsidR="00596C07" w:rsidRPr="004500D8" w:rsidRDefault="00596C07" w:rsidP="00596C07">
      <w:pPr>
        <w:tabs>
          <w:tab w:val="left" w:pos="562"/>
        </w:tabs>
        <w:suppressAutoHyphens/>
        <w:jc w:val="both"/>
        <w:rPr>
          <w:sz w:val="22"/>
          <w:szCs w:val="22"/>
          <w:lang w:val="sr-Latn-ME"/>
        </w:rPr>
      </w:pPr>
      <w:r w:rsidRPr="004500D8">
        <w:rPr>
          <w:sz w:val="22"/>
          <w:szCs w:val="22"/>
          <w:lang w:val="sr-Latn-ME"/>
        </w:rPr>
        <w:t>Ispitivanje HS</w:t>
      </w:r>
      <w:r w:rsidRPr="004500D8">
        <w:rPr>
          <w:sz w:val="22"/>
          <w:szCs w:val="22"/>
          <w:lang w:val="sr-Latn-ME"/>
        </w:rPr>
        <w:noBreakHyphen/>
        <w:t xml:space="preserve">II (PIONEER II) procjenjivalo je 326 pacijenata za vrijeme 2 perioda liječenja. Za vrijeme perioda A, pacijenti su primali placebo ili lijek Humira u početnoj dozi od 160 mg u nultoj nedjelji i 80 mg u drugoj nedjelji, a zatim dozu od 40 mg svake nedjelje počevši od 4. nedjelje do 11. nedjelje. Tokom ispitivanja, 19,3% pacijenata nastavilo je terapiju oralnim antibioticima koje su uzimali pri uključivanju u ispitivanje. Nakon 12 nedjelja terapije, pacijenti koji su tokom perioda A primali lijek Humira, ponovo su randomizovani u periodu B u jednu od 3 terapijske grupe (lijek Humira u dozi od </w:t>
      </w:r>
      <w:r w:rsidRPr="004500D8">
        <w:rPr>
          <w:sz w:val="22"/>
          <w:szCs w:val="22"/>
          <w:lang w:val="sr-Latn-ME"/>
        </w:rPr>
        <w:lastRenderedPageBreak/>
        <w:t>40 mg svake nedjelje, lijek Humira u dozi od 40 mg svaki druge nedjelje, ili placebo od 12. nedjelje do 35. nedjelje). Pacijenti koji su u periodu A bili randomizovani za primanje placeba, nastavili su da primaju placebo i u periodu B.</w:t>
      </w:r>
    </w:p>
    <w:p w14:paraId="6200604B" w14:textId="77777777" w:rsidR="00596C07" w:rsidRPr="004500D8" w:rsidRDefault="00596C07" w:rsidP="00596C07">
      <w:pPr>
        <w:tabs>
          <w:tab w:val="left" w:pos="562"/>
        </w:tabs>
        <w:suppressAutoHyphens/>
        <w:jc w:val="both"/>
        <w:rPr>
          <w:sz w:val="22"/>
          <w:szCs w:val="22"/>
          <w:lang w:val="sr-Latn-ME"/>
        </w:rPr>
      </w:pPr>
    </w:p>
    <w:p w14:paraId="437B1B0D" w14:textId="77777777" w:rsidR="00596C07" w:rsidRPr="004500D8" w:rsidRDefault="00596C07" w:rsidP="00596C07">
      <w:pPr>
        <w:tabs>
          <w:tab w:val="left" w:pos="562"/>
        </w:tabs>
        <w:suppressAutoHyphens/>
        <w:jc w:val="both"/>
        <w:rPr>
          <w:sz w:val="22"/>
          <w:szCs w:val="22"/>
          <w:lang w:val="sr-Latn-ME"/>
        </w:rPr>
      </w:pPr>
      <w:r w:rsidRPr="004500D8">
        <w:rPr>
          <w:sz w:val="22"/>
          <w:szCs w:val="22"/>
          <w:lang w:val="sr-Latn-ME"/>
        </w:rPr>
        <w:t>Pacijenti koji su učestvovali u ispitivanjima HS</w:t>
      </w:r>
      <w:r w:rsidRPr="004500D8">
        <w:rPr>
          <w:sz w:val="22"/>
          <w:szCs w:val="22"/>
          <w:lang w:val="sr-Latn-ME"/>
        </w:rPr>
        <w:noBreakHyphen/>
        <w:t>I i HS</w:t>
      </w:r>
      <w:r w:rsidRPr="004500D8">
        <w:rPr>
          <w:sz w:val="22"/>
          <w:szCs w:val="22"/>
          <w:lang w:val="sr-Latn-ME"/>
        </w:rPr>
        <w:noBreakHyphen/>
        <w:t>II mogli su učestvovati u otvorenom produžetku ispitivanja u kojem se lijek Humira primijenjivao svake nedjelje u dozi od 40 mg. Prosječno vrijeme izloženosti pacijenata koji su primali adalimumab je bilo 762 dana. Tokom sva 3 ispitivanja pacijenti su svakodnevno koristili topikalni antiseptički rastvor.</w:t>
      </w:r>
    </w:p>
    <w:p w14:paraId="64C99A96" w14:textId="77777777" w:rsidR="00596C07" w:rsidRPr="004500D8" w:rsidRDefault="00596C07" w:rsidP="00596C07">
      <w:pPr>
        <w:tabs>
          <w:tab w:val="left" w:pos="562"/>
        </w:tabs>
        <w:suppressAutoHyphens/>
        <w:jc w:val="both"/>
        <w:rPr>
          <w:sz w:val="22"/>
          <w:szCs w:val="22"/>
          <w:lang w:val="sr-Latn-ME"/>
        </w:rPr>
      </w:pPr>
    </w:p>
    <w:p w14:paraId="253C56AB" w14:textId="77777777" w:rsidR="00596C07" w:rsidRPr="004500D8" w:rsidRDefault="00596C07" w:rsidP="00596C07">
      <w:pPr>
        <w:keepNext/>
        <w:tabs>
          <w:tab w:val="left" w:pos="562"/>
        </w:tabs>
        <w:suppressAutoHyphens/>
        <w:jc w:val="both"/>
        <w:rPr>
          <w:i/>
          <w:sz w:val="22"/>
          <w:szCs w:val="22"/>
          <w:u w:val="single"/>
          <w:lang w:val="sr-Latn-ME"/>
        </w:rPr>
      </w:pPr>
      <w:r w:rsidRPr="004500D8">
        <w:rPr>
          <w:i/>
          <w:sz w:val="22"/>
          <w:szCs w:val="22"/>
          <w:u w:val="single"/>
          <w:lang w:val="sr-Latn-ME"/>
        </w:rPr>
        <w:t>Klinički odgovor</w:t>
      </w:r>
    </w:p>
    <w:p w14:paraId="16D5A05C" w14:textId="77777777" w:rsidR="00596C07" w:rsidRPr="004500D8" w:rsidRDefault="00596C07" w:rsidP="00596C07">
      <w:pPr>
        <w:keepNext/>
        <w:tabs>
          <w:tab w:val="left" w:pos="562"/>
        </w:tabs>
        <w:suppressAutoHyphens/>
        <w:jc w:val="both"/>
        <w:rPr>
          <w:sz w:val="22"/>
          <w:szCs w:val="22"/>
          <w:u w:val="single"/>
          <w:lang w:val="sr-Latn-ME"/>
        </w:rPr>
      </w:pPr>
    </w:p>
    <w:p w14:paraId="1C75B2C7" w14:textId="77777777" w:rsidR="00596C07" w:rsidRPr="004500D8" w:rsidRDefault="00596C07" w:rsidP="00596C07">
      <w:pPr>
        <w:tabs>
          <w:tab w:val="left" w:pos="562"/>
        </w:tabs>
        <w:suppressAutoHyphens/>
        <w:jc w:val="both"/>
        <w:rPr>
          <w:sz w:val="22"/>
          <w:szCs w:val="22"/>
          <w:lang w:val="sr-Latn-ME"/>
        </w:rPr>
      </w:pPr>
      <w:r w:rsidRPr="004500D8">
        <w:rPr>
          <w:sz w:val="22"/>
          <w:szCs w:val="22"/>
          <w:lang w:val="sr-Latn-ME"/>
        </w:rPr>
        <w:t xml:space="preserve">Smanjenje upalnih lezija i prevencija pogoršanja apscesa i drenirajućih fistula ocjenjivali su se na osnovu kliničkog odgovora gnojnog hidradenitisa (engl. </w:t>
      </w:r>
      <w:r w:rsidRPr="004500D8">
        <w:rPr>
          <w:i/>
          <w:sz w:val="22"/>
          <w:szCs w:val="22"/>
          <w:lang w:val="sr-Latn-ME"/>
        </w:rPr>
        <w:t>Hidradenitis Suppurativa Clinical Response</w:t>
      </w:r>
      <w:r w:rsidRPr="004500D8">
        <w:rPr>
          <w:sz w:val="22"/>
          <w:szCs w:val="22"/>
          <w:lang w:val="sr-Latn-ME"/>
        </w:rPr>
        <w:t xml:space="preserve"> [HiSCR]; smanjenje ukupnog broja apscesa i upalnih nodula za 50%, bez povećanja broja apscesa i bez povećanja broja drenirajućih fistula u odnosu na početnu vrijednost). Smanjenje bola kože, uzrokovanog gnojnim hidradenitisom, ocjenjivalo se uz pomoć brojčane skale sa bodovima kod pacijenata koji su pri uključivanju u ispitivanje imali početni rezultat od 3 ili više, na skali od 11 bodova.</w:t>
      </w:r>
    </w:p>
    <w:p w14:paraId="6A584F76" w14:textId="77777777" w:rsidR="00596C07" w:rsidRPr="004500D8" w:rsidRDefault="00596C07" w:rsidP="00596C07">
      <w:pPr>
        <w:tabs>
          <w:tab w:val="left" w:pos="562"/>
        </w:tabs>
        <w:suppressAutoHyphens/>
        <w:jc w:val="both"/>
        <w:rPr>
          <w:sz w:val="22"/>
          <w:szCs w:val="22"/>
          <w:lang w:val="sr-Latn-ME"/>
        </w:rPr>
      </w:pPr>
    </w:p>
    <w:p w14:paraId="58ED5388" w14:textId="77777777" w:rsidR="00596C07" w:rsidRPr="004500D8" w:rsidRDefault="00596C07" w:rsidP="00596C07">
      <w:pPr>
        <w:tabs>
          <w:tab w:val="left" w:pos="562"/>
        </w:tabs>
        <w:suppressAutoHyphens/>
        <w:jc w:val="both"/>
        <w:rPr>
          <w:sz w:val="22"/>
          <w:szCs w:val="22"/>
          <w:lang w:val="sr-Latn-ME"/>
        </w:rPr>
      </w:pPr>
      <w:r w:rsidRPr="004500D8">
        <w:rPr>
          <w:sz w:val="22"/>
          <w:szCs w:val="22"/>
          <w:lang w:val="sr-Latn-ME"/>
        </w:rPr>
        <w:t>U 12. nedjelji, značajno veći udio pacijenata liječenih lijekom Humira, u odnosu na one koji su primali placebo, je postigao HiSCR. U 12. nedjelji je značajno veći udio pacijenata u ispitivanju HS</w:t>
      </w:r>
      <w:r w:rsidRPr="004500D8">
        <w:rPr>
          <w:sz w:val="22"/>
          <w:szCs w:val="22"/>
          <w:lang w:val="sr-Latn-ME"/>
        </w:rPr>
        <w:noBreakHyphen/>
        <w:t>II doživio klinički značajno smanjenje bola kože uzrokovanog gnojnim hidradenitisom (vidjeti Tabelu 12). Kod pacijenata liječenih lijekom Humira, rizik od razbuktavanja bolesti značajno se smanjio za vrijeme 12  inicijalnih nedjelja liječenja.</w:t>
      </w:r>
    </w:p>
    <w:p w14:paraId="23AA774D" w14:textId="77777777" w:rsidR="00596C07" w:rsidRPr="004500D8" w:rsidRDefault="00596C07" w:rsidP="00596C07">
      <w:pPr>
        <w:tabs>
          <w:tab w:val="left" w:pos="562"/>
        </w:tabs>
        <w:suppressAutoHyphens/>
        <w:jc w:val="both"/>
        <w:rPr>
          <w:sz w:val="22"/>
          <w:szCs w:val="22"/>
          <w:lang w:val="sr-Latn-ME"/>
        </w:rPr>
      </w:pPr>
    </w:p>
    <w:p w14:paraId="5DAF9837" w14:textId="77777777" w:rsidR="00596C07" w:rsidRPr="004500D8" w:rsidRDefault="00596C07" w:rsidP="00596C07">
      <w:pPr>
        <w:keepNext/>
        <w:keepLines/>
        <w:widowControl w:val="0"/>
        <w:spacing w:after="200"/>
        <w:ind w:left="360"/>
        <w:jc w:val="center"/>
        <w:rPr>
          <w:rFonts w:eastAsia="MS Mincho"/>
          <w:b/>
          <w:sz w:val="22"/>
          <w:szCs w:val="22"/>
          <w:highlight w:val="yellow"/>
          <w:lang w:val="sr-Latn-ME" w:eastAsia="ja-JP"/>
        </w:rPr>
      </w:pPr>
      <w:r w:rsidRPr="004500D8">
        <w:rPr>
          <w:rFonts w:eastAsia="MS Mincho"/>
          <w:b/>
          <w:sz w:val="22"/>
          <w:szCs w:val="22"/>
          <w:lang w:val="sr-Latn-ME" w:eastAsia="ja-JP"/>
        </w:rPr>
        <w:t xml:space="preserve">Tabela 12: </w:t>
      </w:r>
      <w:r w:rsidRPr="004500D8">
        <w:rPr>
          <w:rFonts w:eastAsia="MS Mincho"/>
          <w:b/>
          <w:bCs/>
          <w:iCs/>
          <w:sz w:val="22"/>
          <w:szCs w:val="22"/>
          <w:lang w:val="sr-Latn-ME" w:eastAsia="ja-JP"/>
        </w:rPr>
        <w:t>Rezultati efikasnosti nakon 12 nedjelja, ispitivanja HS I i II</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847"/>
        <w:gridCol w:w="1440"/>
        <w:gridCol w:w="1746"/>
        <w:gridCol w:w="1404"/>
        <w:gridCol w:w="1856"/>
      </w:tblGrid>
      <w:tr w:rsidR="00596C07" w:rsidRPr="004500D8" w14:paraId="6FCBBBCC" w14:textId="77777777" w:rsidTr="00596C07">
        <w:trPr>
          <w:jc w:val="center"/>
        </w:trPr>
        <w:tc>
          <w:tcPr>
            <w:tcW w:w="2847" w:type="dxa"/>
            <w:vMerge w:val="restart"/>
            <w:tcMar>
              <w:top w:w="0" w:type="dxa"/>
              <w:left w:w="115" w:type="dxa"/>
              <w:bottom w:w="0" w:type="dxa"/>
              <w:right w:w="115" w:type="dxa"/>
            </w:tcMar>
            <w:vAlign w:val="bottom"/>
          </w:tcPr>
          <w:p w14:paraId="346F6E9E" w14:textId="77777777" w:rsidR="00596C07" w:rsidRPr="004500D8" w:rsidRDefault="00596C07" w:rsidP="00596C07">
            <w:pPr>
              <w:widowControl w:val="0"/>
              <w:tabs>
                <w:tab w:val="left" w:pos="562"/>
              </w:tabs>
              <w:suppressAutoHyphens/>
              <w:jc w:val="both"/>
              <w:rPr>
                <w:b/>
                <w:sz w:val="22"/>
                <w:szCs w:val="22"/>
                <w:lang w:val="sr-Latn-ME"/>
              </w:rPr>
            </w:pPr>
          </w:p>
        </w:tc>
        <w:tc>
          <w:tcPr>
            <w:tcW w:w="3186" w:type="dxa"/>
            <w:gridSpan w:val="2"/>
            <w:tcMar>
              <w:top w:w="0" w:type="dxa"/>
              <w:left w:w="115" w:type="dxa"/>
              <w:bottom w:w="0" w:type="dxa"/>
              <w:right w:w="115" w:type="dxa"/>
            </w:tcMar>
            <w:vAlign w:val="bottom"/>
          </w:tcPr>
          <w:p w14:paraId="31F367CF" w14:textId="77777777" w:rsidR="00596C07" w:rsidRPr="004500D8" w:rsidRDefault="00596C07" w:rsidP="00596C07">
            <w:pPr>
              <w:widowControl w:val="0"/>
              <w:tabs>
                <w:tab w:val="left" w:pos="562"/>
              </w:tabs>
              <w:suppressAutoHyphens/>
              <w:jc w:val="both"/>
              <w:rPr>
                <w:b/>
                <w:bCs/>
                <w:sz w:val="22"/>
                <w:szCs w:val="22"/>
                <w:lang w:val="sr-Latn-ME"/>
              </w:rPr>
            </w:pPr>
          </w:p>
          <w:p w14:paraId="61E243D1" w14:textId="77777777" w:rsidR="00596C07" w:rsidRPr="004500D8" w:rsidRDefault="00596C07" w:rsidP="00596C07">
            <w:pPr>
              <w:widowControl w:val="0"/>
              <w:tabs>
                <w:tab w:val="left" w:pos="562"/>
              </w:tabs>
              <w:suppressAutoHyphens/>
              <w:jc w:val="both"/>
              <w:rPr>
                <w:b/>
                <w:bCs/>
                <w:sz w:val="22"/>
                <w:szCs w:val="22"/>
                <w:lang w:val="sr-Latn-ME"/>
              </w:rPr>
            </w:pPr>
            <w:r w:rsidRPr="004500D8">
              <w:rPr>
                <w:b/>
                <w:bCs/>
                <w:sz w:val="22"/>
                <w:szCs w:val="22"/>
                <w:lang w:val="sr-Latn-ME"/>
              </w:rPr>
              <w:t>Ispitivanje HS I</w:t>
            </w:r>
          </w:p>
        </w:tc>
        <w:tc>
          <w:tcPr>
            <w:tcW w:w="3260" w:type="dxa"/>
            <w:gridSpan w:val="2"/>
            <w:tcMar>
              <w:top w:w="0" w:type="dxa"/>
              <w:left w:w="115" w:type="dxa"/>
              <w:bottom w:w="0" w:type="dxa"/>
              <w:right w:w="115" w:type="dxa"/>
            </w:tcMar>
            <w:vAlign w:val="bottom"/>
          </w:tcPr>
          <w:p w14:paraId="40509E0A" w14:textId="77777777" w:rsidR="00596C07" w:rsidRPr="004500D8" w:rsidRDefault="00596C07" w:rsidP="00596C07">
            <w:pPr>
              <w:widowControl w:val="0"/>
              <w:tabs>
                <w:tab w:val="left" w:pos="562"/>
              </w:tabs>
              <w:suppressAutoHyphens/>
              <w:jc w:val="both"/>
              <w:rPr>
                <w:b/>
                <w:bCs/>
                <w:sz w:val="22"/>
                <w:szCs w:val="22"/>
                <w:lang w:val="sr-Latn-ME"/>
              </w:rPr>
            </w:pPr>
            <w:r w:rsidRPr="004500D8">
              <w:rPr>
                <w:b/>
                <w:bCs/>
                <w:sz w:val="22"/>
                <w:szCs w:val="22"/>
                <w:lang w:val="sr-Latn-ME"/>
              </w:rPr>
              <w:t>Ispitivanje HS II</w:t>
            </w:r>
          </w:p>
        </w:tc>
      </w:tr>
      <w:tr w:rsidR="00596C07" w:rsidRPr="004500D8" w14:paraId="74443A86" w14:textId="77777777" w:rsidTr="00596C07">
        <w:trPr>
          <w:jc w:val="center"/>
        </w:trPr>
        <w:tc>
          <w:tcPr>
            <w:tcW w:w="2847" w:type="dxa"/>
            <w:vMerge/>
            <w:tcMar>
              <w:top w:w="0" w:type="dxa"/>
              <w:left w:w="115" w:type="dxa"/>
              <w:bottom w:w="0" w:type="dxa"/>
              <w:right w:w="115" w:type="dxa"/>
            </w:tcMar>
            <w:vAlign w:val="center"/>
            <w:hideMark/>
          </w:tcPr>
          <w:p w14:paraId="75F07CF6" w14:textId="77777777" w:rsidR="00596C07" w:rsidRPr="004500D8" w:rsidRDefault="00596C07" w:rsidP="00596C07">
            <w:pPr>
              <w:widowControl w:val="0"/>
              <w:tabs>
                <w:tab w:val="left" w:pos="562"/>
              </w:tabs>
              <w:suppressAutoHyphens/>
              <w:jc w:val="both"/>
              <w:rPr>
                <w:sz w:val="22"/>
                <w:szCs w:val="22"/>
                <w:lang w:val="sr-Latn-ME"/>
              </w:rPr>
            </w:pPr>
          </w:p>
        </w:tc>
        <w:tc>
          <w:tcPr>
            <w:tcW w:w="1440" w:type="dxa"/>
            <w:tcMar>
              <w:top w:w="0" w:type="dxa"/>
              <w:left w:w="115" w:type="dxa"/>
              <w:bottom w:w="0" w:type="dxa"/>
              <w:right w:w="115" w:type="dxa"/>
            </w:tcMar>
            <w:vAlign w:val="bottom"/>
            <w:hideMark/>
          </w:tcPr>
          <w:p w14:paraId="25F6F350" w14:textId="77777777" w:rsidR="00596C07" w:rsidRPr="004500D8" w:rsidRDefault="00596C07" w:rsidP="00596C07">
            <w:pPr>
              <w:widowControl w:val="0"/>
              <w:tabs>
                <w:tab w:val="left" w:pos="562"/>
              </w:tabs>
              <w:suppressAutoHyphens/>
              <w:jc w:val="both"/>
              <w:rPr>
                <w:sz w:val="22"/>
                <w:szCs w:val="22"/>
                <w:lang w:val="sr-Latn-ME"/>
              </w:rPr>
            </w:pPr>
            <w:r w:rsidRPr="004500D8">
              <w:rPr>
                <w:b/>
                <w:bCs/>
                <w:sz w:val="22"/>
                <w:szCs w:val="22"/>
                <w:lang w:val="sr-Latn-ME"/>
              </w:rPr>
              <w:t>Placebo</w:t>
            </w:r>
          </w:p>
        </w:tc>
        <w:tc>
          <w:tcPr>
            <w:tcW w:w="1746" w:type="dxa"/>
            <w:tcMar>
              <w:top w:w="0" w:type="dxa"/>
              <w:left w:w="115" w:type="dxa"/>
              <w:bottom w:w="0" w:type="dxa"/>
              <w:right w:w="115" w:type="dxa"/>
            </w:tcMar>
            <w:vAlign w:val="bottom"/>
            <w:hideMark/>
          </w:tcPr>
          <w:p w14:paraId="0DE106FA" w14:textId="77777777" w:rsidR="00596C07" w:rsidRPr="004500D8" w:rsidRDefault="00596C07" w:rsidP="00596C07">
            <w:pPr>
              <w:widowControl w:val="0"/>
              <w:tabs>
                <w:tab w:val="left" w:pos="562"/>
              </w:tabs>
              <w:suppressAutoHyphens/>
              <w:jc w:val="both"/>
              <w:rPr>
                <w:b/>
                <w:bCs/>
                <w:sz w:val="22"/>
                <w:szCs w:val="22"/>
                <w:lang w:val="sr-Latn-ME"/>
              </w:rPr>
            </w:pPr>
          </w:p>
          <w:p w14:paraId="0CD5602B" w14:textId="77777777" w:rsidR="00596C07" w:rsidRPr="004500D8" w:rsidRDefault="00596C07" w:rsidP="00596C07">
            <w:pPr>
              <w:widowControl w:val="0"/>
              <w:tabs>
                <w:tab w:val="left" w:pos="562"/>
              </w:tabs>
              <w:suppressAutoHyphens/>
              <w:jc w:val="both"/>
              <w:rPr>
                <w:b/>
                <w:bCs/>
                <w:sz w:val="22"/>
                <w:szCs w:val="22"/>
                <w:lang w:val="sr-Latn-ME"/>
              </w:rPr>
            </w:pPr>
            <w:r w:rsidRPr="004500D8">
              <w:rPr>
                <w:b/>
                <w:bCs/>
                <w:sz w:val="22"/>
                <w:szCs w:val="22"/>
                <w:lang w:val="sr-Latn-ME"/>
              </w:rPr>
              <w:t>Humira 40 mg svake nedjelje</w:t>
            </w:r>
          </w:p>
        </w:tc>
        <w:tc>
          <w:tcPr>
            <w:tcW w:w="1404" w:type="dxa"/>
            <w:tcMar>
              <w:top w:w="0" w:type="dxa"/>
              <w:left w:w="115" w:type="dxa"/>
              <w:bottom w:w="0" w:type="dxa"/>
              <w:right w:w="115" w:type="dxa"/>
            </w:tcMar>
            <w:vAlign w:val="bottom"/>
            <w:hideMark/>
          </w:tcPr>
          <w:p w14:paraId="70D6FFB3" w14:textId="77777777" w:rsidR="00596C07" w:rsidRPr="004500D8" w:rsidRDefault="00596C07" w:rsidP="00596C07">
            <w:pPr>
              <w:widowControl w:val="0"/>
              <w:tabs>
                <w:tab w:val="left" w:pos="562"/>
              </w:tabs>
              <w:suppressAutoHyphens/>
              <w:jc w:val="both"/>
              <w:rPr>
                <w:b/>
                <w:bCs/>
                <w:sz w:val="22"/>
                <w:szCs w:val="22"/>
                <w:lang w:val="sr-Latn-ME"/>
              </w:rPr>
            </w:pPr>
            <w:r w:rsidRPr="004500D8">
              <w:rPr>
                <w:b/>
                <w:bCs/>
                <w:sz w:val="22"/>
                <w:szCs w:val="22"/>
                <w:lang w:val="sr-Latn-ME"/>
              </w:rPr>
              <w:t xml:space="preserve">Placebo </w:t>
            </w:r>
          </w:p>
        </w:tc>
        <w:tc>
          <w:tcPr>
            <w:tcW w:w="1856" w:type="dxa"/>
            <w:tcMar>
              <w:top w:w="0" w:type="dxa"/>
              <w:left w:w="115" w:type="dxa"/>
              <w:bottom w:w="0" w:type="dxa"/>
              <w:right w:w="115" w:type="dxa"/>
            </w:tcMar>
            <w:vAlign w:val="bottom"/>
            <w:hideMark/>
          </w:tcPr>
          <w:p w14:paraId="031C6B12" w14:textId="77777777" w:rsidR="00596C07" w:rsidRPr="004500D8" w:rsidRDefault="00596C07" w:rsidP="00596C07">
            <w:pPr>
              <w:widowControl w:val="0"/>
              <w:tabs>
                <w:tab w:val="left" w:pos="562"/>
              </w:tabs>
              <w:suppressAutoHyphens/>
              <w:jc w:val="both"/>
              <w:rPr>
                <w:b/>
                <w:bCs/>
                <w:sz w:val="22"/>
                <w:szCs w:val="22"/>
                <w:lang w:val="sr-Latn-ME"/>
              </w:rPr>
            </w:pPr>
            <w:r w:rsidRPr="004500D8">
              <w:rPr>
                <w:b/>
                <w:bCs/>
                <w:sz w:val="22"/>
                <w:szCs w:val="22"/>
                <w:lang w:val="sr-Latn-ME"/>
              </w:rPr>
              <w:t>Humira 40 mg svake nedjelje</w:t>
            </w:r>
          </w:p>
        </w:tc>
      </w:tr>
      <w:tr w:rsidR="00596C07" w:rsidRPr="004500D8" w14:paraId="40B19780" w14:textId="77777777" w:rsidTr="00596C07">
        <w:trPr>
          <w:trHeight w:val="755"/>
          <w:jc w:val="center"/>
        </w:trPr>
        <w:tc>
          <w:tcPr>
            <w:tcW w:w="2847" w:type="dxa"/>
            <w:tcMar>
              <w:top w:w="0" w:type="dxa"/>
              <w:left w:w="115" w:type="dxa"/>
              <w:bottom w:w="0" w:type="dxa"/>
              <w:right w:w="115" w:type="dxa"/>
            </w:tcMar>
            <w:vAlign w:val="center"/>
            <w:hideMark/>
          </w:tcPr>
          <w:p w14:paraId="78860E3B" w14:textId="77777777" w:rsidR="00596C07" w:rsidRPr="004500D8" w:rsidRDefault="00596C07" w:rsidP="00596C07">
            <w:pPr>
              <w:widowControl w:val="0"/>
              <w:tabs>
                <w:tab w:val="left" w:pos="562"/>
              </w:tabs>
              <w:suppressAutoHyphens/>
              <w:jc w:val="both"/>
              <w:rPr>
                <w:sz w:val="22"/>
                <w:szCs w:val="22"/>
                <w:lang w:val="sr-Latn-ME"/>
              </w:rPr>
            </w:pPr>
          </w:p>
          <w:p w14:paraId="49DCDF66" w14:textId="77777777" w:rsidR="00596C07" w:rsidRPr="004500D8" w:rsidRDefault="00596C07" w:rsidP="00596C07">
            <w:pPr>
              <w:widowControl w:val="0"/>
              <w:tabs>
                <w:tab w:val="left" w:pos="562"/>
              </w:tabs>
              <w:suppressAutoHyphens/>
              <w:jc w:val="both"/>
              <w:rPr>
                <w:sz w:val="22"/>
                <w:szCs w:val="22"/>
                <w:lang w:val="sr-Latn-ME"/>
              </w:rPr>
            </w:pPr>
            <w:r w:rsidRPr="004500D8">
              <w:rPr>
                <w:sz w:val="22"/>
                <w:szCs w:val="22"/>
                <w:lang w:val="sr-Latn-ME"/>
              </w:rPr>
              <w:t>Klinički odgovor gnojnog hidradenitisa (HiSCR)</w:t>
            </w:r>
            <w:r w:rsidRPr="004500D8">
              <w:rPr>
                <w:sz w:val="22"/>
                <w:szCs w:val="22"/>
                <w:vertAlign w:val="superscript"/>
                <w:lang w:val="sr-Latn-ME"/>
              </w:rPr>
              <w:t>a</w:t>
            </w:r>
            <w:r w:rsidRPr="004500D8">
              <w:rPr>
                <w:sz w:val="22"/>
                <w:szCs w:val="22"/>
                <w:lang w:val="sr-Latn-ME"/>
              </w:rPr>
              <w:t xml:space="preserve"> </w:t>
            </w:r>
          </w:p>
          <w:p w14:paraId="39733089" w14:textId="77777777" w:rsidR="00596C07" w:rsidRPr="004500D8" w:rsidRDefault="00596C07" w:rsidP="00596C07">
            <w:pPr>
              <w:widowControl w:val="0"/>
              <w:tabs>
                <w:tab w:val="left" w:pos="562"/>
              </w:tabs>
              <w:suppressAutoHyphens/>
              <w:jc w:val="both"/>
              <w:rPr>
                <w:sz w:val="22"/>
                <w:szCs w:val="22"/>
                <w:lang w:val="sr-Latn-ME"/>
              </w:rPr>
            </w:pPr>
          </w:p>
        </w:tc>
        <w:tc>
          <w:tcPr>
            <w:tcW w:w="1440" w:type="dxa"/>
            <w:tcMar>
              <w:top w:w="0" w:type="dxa"/>
              <w:left w:w="115" w:type="dxa"/>
              <w:bottom w:w="0" w:type="dxa"/>
              <w:right w:w="115" w:type="dxa"/>
            </w:tcMar>
            <w:hideMark/>
          </w:tcPr>
          <w:p w14:paraId="1319C181" w14:textId="77777777" w:rsidR="00596C07" w:rsidRPr="004500D8" w:rsidRDefault="00596C07" w:rsidP="003B242C">
            <w:pPr>
              <w:widowControl w:val="0"/>
              <w:tabs>
                <w:tab w:val="left" w:pos="562"/>
              </w:tabs>
              <w:suppressAutoHyphens/>
              <w:rPr>
                <w:sz w:val="22"/>
                <w:szCs w:val="22"/>
                <w:lang w:val="sr-Latn-ME"/>
              </w:rPr>
            </w:pPr>
          </w:p>
          <w:p w14:paraId="5E211B26" w14:textId="77777777" w:rsidR="00596C07" w:rsidRPr="004500D8" w:rsidRDefault="00596C07" w:rsidP="003B242C">
            <w:pPr>
              <w:widowControl w:val="0"/>
              <w:tabs>
                <w:tab w:val="left" w:pos="562"/>
              </w:tabs>
              <w:suppressAutoHyphens/>
              <w:rPr>
                <w:sz w:val="22"/>
                <w:szCs w:val="22"/>
                <w:lang w:val="sr-Latn-ME"/>
              </w:rPr>
            </w:pPr>
            <w:r w:rsidRPr="004500D8">
              <w:rPr>
                <w:sz w:val="22"/>
                <w:szCs w:val="22"/>
                <w:lang w:val="sr-Latn-ME"/>
              </w:rPr>
              <w:t>N = 154</w:t>
            </w:r>
            <w:r w:rsidRPr="004500D8">
              <w:rPr>
                <w:sz w:val="22"/>
                <w:szCs w:val="22"/>
                <w:lang w:val="sr-Latn-ME"/>
              </w:rPr>
              <w:br/>
              <w:t>40 (26,0%)</w:t>
            </w:r>
          </w:p>
        </w:tc>
        <w:tc>
          <w:tcPr>
            <w:tcW w:w="1746" w:type="dxa"/>
            <w:tcMar>
              <w:top w:w="0" w:type="dxa"/>
              <w:left w:w="115" w:type="dxa"/>
              <w:bottom w:w="0" w:type="dxa"/>
              <w:right w:w="115" w:type="dxa"/>
            </w:tcMar>
            <w:hideMark/>
          </w:tcPr>
          <w:p w14:paraId="371B5DDE" w14:textId="77777777" w:rsidR="00596C07" w:rsidRPr="004500D8" w:rsidRDefault="00596C07" w:rsidP="003B242C">
            <w:pPr>
              <w:widowControl w:val="0"/>
              <w:tabs>
                <w:tab w:val="left" w:pos="562"/>
              </w:tabs>
              <w:suppressAutoHyphens/>
              <w:rPr>
                <w:sz w:val="22"/>
                <w:szCs w:val="22"/>
                <w:lang w:val="sr-Latn-ME"/>
              </w:rPr>
            </w:pPr>
          </w:p>
          <w:p w14:paraId="2FECD80E" w14:textId="77777777" w:rsidR="00596C07" w:rsidRPr="004500D8" w:rsidRDefault="00596C07" w:rsidP="003B242C">
            <w:pPr>
              <w:widowControl w:val="0"/>
              <w:tabs>
                <w:tab w:val="left" w:pos="562"/>
              </w:tabs>
              <w:suppressAutoHyphens/>
              <w:rPr>
                <w:sz w:val="22"/>
                <w:szCs w:val="22"/>
                <w:lang w:val="sr-Latn-ME"/>
              </w:rPr>
            </w:pPr>
            <w:r w:rsidRPr="004500D8">
              <w:rPr>
                <w:sz w:val="22"/>
                <w:szCs w:val="22"/>
                <w:lang w:val="sr-Latn-ME"/>
              </w:rPr>
              <w:t>N = 153</w:t>
            </w:r>
            <w:r w:rsidRPr="004500D8">
              <w:rPr>
                <w:sz w:val="22"/>
                <w:szCs w:val="22"/>
                <w:lang w:val="sr-Latn-ME"/>
              </w:rPr>
              <w:br/>
              <w:t xml:space="preserve">64 (41,8%) </w:t>
            </w:r>
            <w:r w:rsidRPr="004500D8">
              <w:rPr>
                <w:sz w:val="22"/>
                <w:szCs w:val="22"/>
                <w:vertAlign w:val="superscript"/>
                <w:lang w:val="sr-Latn-ME"/>
              </w:rPr>
              <w:t>*</w:t>
            </w:r>
          </w:p>
        </w:tc>
        <w:tc>
          <w:tcPr>
            <w:tcW w:w="1404" w:type="dxa"/>
            <w:tcMar>
              <w:top w:w="0" w:type="dxa"/>
              <w:left w:w="115" w:type="dxa"/>
              <w:bottom w:w="0" w:type="dxa"/>
              <w:right w:w="115" w:type="dxa"/>
            </w:tcMar>
          </w:tcPr>
          <w:p w14:paraId="2C2952BA" w14:textId="77777777" w:rsidR="00596C07" w:rsidRPr="004500D8" w:rsidRDefault="00596C07" w:rsidP="003B242C">
            <w:pPr>
              <w:widowControl w:val="0"/>
              <w:tabs>
                <w:tab w:val="left" w:pos="562"/>
              </w:tabs>
              <w:suppressAutoHyphens/>
              <w:rPr>
                <w:sz w:val="22"/>
                <w:szCs w:val="22"/>
                <w:lang w:val="sr-Latn-ME"/>
              </w:rPr>
            </w:pPr>
          </w:p>
          <w:p w14:paraId="4857618B" w14:textId="77777777" w:rsidR="00596C07" w:rsidRPr="004500D8" w:rsidRDefault="00596C07" w:rsidP="003B242C">
            <w:pPr>
              <w:widowControl w:val="0"/>
              <w:tabs>
                <w:tab w:val="left" w:pos="562"/>
              </w:tabs>
              <w:suppressAutoHyphens/>
              <w:rPr>
                <w:sz w:val="22"/>
                <w:szCs w:val="22"/>
                <w:lang w:val="sr-Latn-ME"/>
              </w:rPr>
            </w:pPr>
            <w:r w:rsidRPr="004500D8">
              <w:rPr>
                <w:sz w:val="22"/>
                <w:szCs w:val="22"/>
                <w:lang w:val="sr-Latn-ME"/>
              </w:rPr>
              <w:t>N=163</w:t>
            </w:r>
          </w:p>
          <w:p w14:paraId="5B45DF45" w14:textId="77777777" w:rsidR="00596C07" w:rsidRPr="004500D8" w:rsidRDefault="00596C07" w:rsidP="003B242C">
            <w:pPr>
              <w:widowControl w:val="0"/>
              <w:tabs>
                <w:tab w:val="left" w:pos="562"/>
              </w:tabs>
              <w:suppressAutoHyphens/>
              <w:rPr>
                <w:sz w:val="22"/>
                <w:szCs w:val="22"/>
                <w:lang w:val="sr-Latn-ME"/>
              </w:rPr>
            </w:pPr>
            <w:r w:rsidRPr="004500D8">
              <w:rPr>
                <w:sz w:val="22"/>
                <w:szCs w:val="22"/>
                <w:lang w:val="sr-Latn-ME"/>
              </w:rPr>
              <w:t>45 (27,6%)</w:t>
            </w:r>
          </w:p>
        </w:tc>
        <w:tc>
          <w:tcPr>
            <w:tcW w:w="1856" w:type="dxa"/>
            <w:tcMar>
              <w:top w:w="0" w:type="dxa"/>
              <w:left w:w="115" w:type="dxa"/>
              <w:bottom w:w="0" w:type="dxa"/>
              <w:right w:w="115" w:type="dxa"/>
            </w:tcMar>
          </w:tcPr>
          <w:p w14:paraId="229348BD" w14:textId="77777777" w:rsidR="00596C07" w:rsidRPr="004500D8" w:rsidRDefault="00596C07" w:rsidP="003B242C">
            <w:pPr>
              <w:widowControl w:val="0"/>
              <w:tabs>
                <w:tab w:val="left" w:pos="562"/>
              </w:tabs>
              <w:suppressAutoHyphens/>
              <w:rPr>
                <w:sz w:val="22"/>
                <w:szCs w:val="22"/>
                <w:lang w:val="sr-Latn-ME"/>
              </w:rPr>
            </w:pPr>
          </w:p>
          <w:p w14:paraId="075A3901" w14:textId="77777777" w:rsidR="00596C07" w:rsidRPr="004500D8" w:rsidRDefault="00596C07" w:rsidP="003B242C">
            <w:pPr>
              <w:widowControl w:val="0"/>
              <w:tabs>
                <w:tab w:val="left" w:pos="562"/>
              </w:tabs>
              <w:suppressAutoHyphens/>
              <w:rPr>
                <w:sz w:val="22"/>
                <w:szCs w:val="22"/>
                <w:lang w:val="sr-Latn-ME"/>
              </w:rPr>
            </w:pPr>
            <w:r w:rsidRPr="004500D8">
              <w:rPr>
                <w:sz w:val="22"/>
                <w:szCs w:val="22"/>
                <w:lang w:val="sr-Latn-ME"/>
              </w:rPr>
              <w:t>N=163</w:t>
            </w:r>
          </w:p>
          <w:p w14:paraId="2B4993A3" w14:textId="77777777" w:rsidR="00596C07" w:rsidRPr="004500D8" w:rsidRDefault="00596C07" w:rsidP="003B242C">
            <w:pPr>
              <w:widowControl w:val="0"/>
              <w:tabs>
                <w:tab w:val="left" w:pos="562"/>
              </w:tabs>
              <w:suppressAutoHyphens/>
              <w:rPr>
                <w:sz w:val="22"/>
                <w:szCs w:val="22"/>
                <w:lang w:val="sr-Latn-ME"/>
              </w:rPr>
            </w:pPr>
            <w:r w:rsidRPr="004500D8">
              <w:rPr>
                <w:sz w:val="22"/>
                <w:szCs w:val="22"/>
                <w:lang w:val="sr-Latn-ME"/>
              </w:rPr>
              <w:t xml:space="preserve">96 (58,9%) </w:t>
            </w:r>
            <w:r w:rsidRPr="004500D8">
              <w:rPr>
                <w:sz w:val="22"/>
                <w:szCs w:val="22"/>
                <w:vertAlign w:val="superscript"/>
                <w:lang w:val="sr-Latn-ME"/>
              </w:rPr>
              <w:t>***</w:t>
            </w:r>
          </w:p>
        </w:tc>
      </w:tr>
      <w:tr w:rsidR="00596C07" w:rsidRPr="004500D8" w14:paraId="734D6232" w14:textId="77777777" w:rsidTr="00596C07">
        <w:trPr>
          <w:jc w:val="center"/>
        </w:trPr>
        <w:tc>
          <w:tcPr>
            <w:tcW w:w="2847" w:type="dxa"/>
            <w:tcMar>
              <w:top w:w="0" w:type="dxa"/>
              <w:left w:w="115" w:type="dxa"/>
              <w:bottom w:w="0" w:type="dxa"/>
              <w:right w:w="115" w:type="dxa"/>
            </w:tcMar>
            <w:vAlign w:val="center"/>
            <w:hideMark/>
          </w:tcPr>
          <w:p w14:paraId="780DE7AF" w14:textId="77777777" w:rsidR="00596C07" w:rsidRPr="004500D8" w:rsidRDefault="00596C07" w:rsidP="00596C07">
            <w:pPr>
              <w:widowControl w:val="0"/>
              <w:tabs>
                <w:tab w:val="left" w:pos="562"/>
              </w:tabs>
              <w:suppressAutoHyphens/>
              <w:jc w:val="both"/>
              <w:rPr>
                <w:sz w:val="22"/>
                <w:szCs w:val="22"/>
                <w:lang w:val="sr-Latn-ME"/>
              </w:rPr>
            </w:pPr>
          </w:p>
          <w:p w14:paraId="487E0AC7" w14:textId="77777777" w:rsidR="00596C07" w:rsidRPr="004500D8" w:rsidRDefault="00596C07" w:rsidP="00596C07">
            <w:pPr>
              <w:widowControl w:val="0"/>
              <w:tabs>
                <w:tab w:val="left" w:pos="562"/>
              </w:tabs>
              <w:suppressAutoHyphens/>
              <w:jc w:val="both"/>
              <w:rPr>
                <w:sz w:val="22"/>
                <w:szCs w:val="22"/>
                <w:lang w:val="sr-Latn-ME"/>
              </w:rPr>
            </w:pPr>
            <w:r w:rsidRPr="004500D8">
              <w:rPr>
                <w:sz w:val="22"/>
                <w:szCs w:val="22"/>
                <w:lang w:val="sr-Latn-ME"/>
              </w:rPr>
              <w:t>Smanjenje bola kože za ≥30%</w:t>
            </w:r>
            <w:r w:rsidRPr="004500D8">
              <w:rPr>
                <w:sz w:val="22"/>
                <w:szCs w:val="22"/>
                <w:vertAlign w:val="superscript"/>
                <w:lang w:val="sr-Latn-ME"/>
              </w:rPr>
              <w:t>b</w:t>
            </w:r>
          </w:p>
        </w:tc>
        <w:tc>
          <w:tcPr>
            <w:tcW w:w="1440" w:type="dxa"/>
            <w:tcMar>
              <w:top w:w="0" w:type="dxa"/>
              <w:left w:w="115" w:type="dxa"/>
              <w:bottom w:w="0" w:type="dxa"/>
              <w:right w:w="115" w:type="dxa"/>
            </w:tcMar>
            <w:hideMark/>
          </w:tcPr>
          <w:p w14:paraId="267044D8" w14:textId="77777777" w:rsidR="00596C07" w:rsidRPr="004500D8" w:rsidRDefault="00596C07" w:rsidP="003B242C">
            <w:pPr>
              <w:widowControl w:val="0"/>
              <w:tabs>
                <w:tab w:val="left" w:pos="562"/>
              </w:tabs>
              <w:suppressAutoHyphens/>
              <w:rPr>
                <w:sz w:val="22"/>
                <w:szCs w:val="22"/>
                <w:lang w:val="sr-Latn-ME"/>
              </w:rPr>
            </w:pPr>
          </w:p>
          <w:p w14:paraId="3C0DD00F" w14:textId="77777777" w:rsidR="00596C07" w:rsidRPr="004500D8" w:rsidRDefault="00596C07" w:rsidP="003B242C">
            <w:pPr>
              <w:widowControl w:val="0"/>
              <w:tabs>
                <w:tab w:val="left" w:pos="562"/>
              </w:tabs>
              <w:suppressAutoHyphens/>
              <w:rPr>
                <w:sz w:val="22"/>
                <w:szCs w:val="22"/>
                <w:lang w:val="sr-Latn-ME"/>
              </w:rPr>
            </w:pPr>
            <w:r w:rsidRPr="004500D8">
              <w:rPr>
                <w:sz w:val="22"/>
                <w:szCs w:val="22"/>
                <w:lang w:val="sr-Latn-ME"/>
              </w:rPr>
              <w:t>N = 109</w:t>
            </w:r>
            <w:r w:rsidRPr="004500D8">
              <w:rPr>
                <w:sz w:val="22"/>
                <w:szCs w:val="22"/>
                <w:lang w:val="sr-Latn-ME"/>
              </w:rPr>
              <w:br/>
              <w:t>27 (24,8%)</w:t>
            </w:r>
          </w:p>
        </w:tc>
        <w:tc>
          <w:tcPr>
            <w:tcW w:w="1746" w:type="dxa"/>
            <w:tcMar>
              <w:top w:w="0" w:type="dxa"/>
              <w:left w:w="115" w:type="dxa"/>
              <w:bottom w:w="0" w:type="dxa"/>
              <w:right w:w="115" w:type="dxa"/>
            </w:tcMar>
            <w:hideMark/>
          </w:tcPr>
          <w:p w14:paraId="78F3B520" w14:textId="77777777" w:rsidR="00596C07" w:rsidRPr="004500D8" w:rsidRDefault="00596C07" w:rsidP="003B242C">
            <w:pPr>
              <w:widowControl w:val="0"/>
              <w:tabs>
                <w:tab w:val="left" w:pos="562"/>
              </w:tabs>
              <w:suppressAutoHyphens/>
              <w:rPr>
                <w:sz w:val="22"/>
                <w:szCs w:val="22"/>
                <w:lang w:val="sr-Latn-ME"/>
              </w:rPr>
            </w:pPr>
          </w:p>
          <w:p w14:paraId="3878791F" w14:textId="77777777" w:rsidR="00596C07" w:rsidRPr="004500D8" w:rsidRDefault="00596C07" w:rsidP="003B242C">
            <w:pPr>
              <w:widowControl w:val="0"/>
              <w:tabs>
                <w:tab w:val="left" w:pos="562"/>
              </w:tabs>
              <w:suppressAutoHyphens/>
              <w:rPr>
                <w:sz w:val="22"/>
                <w:szCs w:val="22"/>
                <w:lang w:val="sr-Latn-ME"/>
              </w:rPr>
            </w:pPr>
            <w:r w:rsidRPr="004500D8">
              <w:rPr>
                <w:sz w:val="22"/>
                <w:szCs w:val="22"/>
                <w:lang w:val="sr-Latn-ME"/>
              </w:rPr>
              <w:t>N = 122</w:t>
            </w:r>
            <w:r w:rsidRPr="004500D8">
              <w:rPr>
                <w:sz w:val="22"/>
                <w:szCs w:val="22"/>
                <w:lang w:val="sr-Latn-ME"/>
              </w:rPr>
              <w:br/>
              <w:t>34 (27,9%)</w:t>
            </w:r>
          </w:p>
        </w:tc>
        <w:tc>
          <w:tcPr>
            <w:tcW w:w="1404" w:type="dxa"/>
            <w:tcMar>
              <w:top w:w="0" w:type="dxa"/>
              <w:left w:w="115" w:type="dxa"/>
              <w:bottom w:w="0" w:type="dxa"/>
              <w:right w:w="115" w:type="dxa"/>
            </w:tcMar>
          </w:tcPr>
          <w:p w14:paraId="00CB74B4" w14:textId="77777777" w:rsidR="00596C07" w:rsidRPr="004500D8" w:rsidRDefault="00596C07" w:rsidP="003B242C">
            <w:pPr>
              <w:widowControl w:val="0"/>
              <w:tabs>
                <w:tab w:val="left" w:pos="562"/>
              </w:tabs>
              <w:suppressAutoHyphens/>
              <w:rPr>
                <w:sz w:val="22"/>
                <w:szCs w:val="22"/>
                <w:lang w:val="sr-Latn-ME"/>
              </w:rPr>
            </w:pPr>
          </w:p>
          <w:p w14:paraId="1848DA16" w14:textId="77777777" w:rsidR="00596C07" w:rsidRPr="004500D8" w:rsidRDefault="00596C07" w:rsidP="003B242C">
            <w:pPr>
              <w:widowControl w:val="0"/>
              <w:tabs>
                <w:tab w:val="left" w:pos="562"/>
              </w:tabs>
              <w:suppressAutoHyphens/>
              <w:rPr>
                <w:sz w:val="22"/>
                <w:szCs w:val="22"/>
                <w:lang w:val="sr-Latn-ME"/>
              </w:rPr>
            </w:pPr>
            <w:r w:rsidRPr="004500D8">
              <w:rPr>
                <w:sz w:val="22"/>
                <w:szCs w:val="22"/>
                <w:lang w:val="sr-Latn-ME"/>
              </w:rPr>
              <w:t>N=111</w:t>
            </w:r>
          </w:p>
          <w:p w14:paraId="3DE3366A" w14:textId="77777777" w:rsidR="00596C07" w:rsidRPr="004500D8" w:rsidRDefault="00596C07" w:rsidP="003B242C">
            <w:pPr>
              <w:widowControl w:val="0"/>
              <w:tabs>
                <w:tab w:val="left" w:pos="562"/>
              </w:tabs>
              <w:suppressAutoHyphens/>
              <w:rPr>
                <w:sz w:val="22"/>
                <w:szCs w:val="22"/>
                <w:lang w:val="sr-Latn-ME"/>
              </w:rPr>
            </w:pPr>
            <w:r w:rsidRPr="004500D8">
              <w:rPr>
                <w:sz w:val="22"/>
                <w:szCs w:val="22"/>
                <w:lang w:val="sr-Latn-ME"/>
              </w:rPr>
              <w:t>23 (20,7%)</w:t>
            </w:r>
          </w:p>
        </w:tc>
        <w:tc>
          <w:tcPr>
            <w:tcW w:w="1856" w:type="dxa"/>
            <w:tcMar>
              <w:top w:w="0" w:type="dxa"/>
              <w:left w:w="115" w:type="dxa"/>
              <w:bottom w:w="0" w:type="dxa"/>
              <w:right w:w="115" w:type="dxa"/>
            </w:tcMar>
          </w:tcPr>
          <w:p w14:paraId="50AB5D3B" w14:textId="77777777" w:rsidR="00596C07" w:rsidRPr="004500D8" w:rsidRDefault="00596C07" w:rsidP="003B242C">
            <w:pPr>
              <w:widowControl w:val="0"/>
              <w:tabs>
                <w:tab w:val="left" w:pos="562"/>
              </w:tabs>
              <w:suppressAutoHyphens/>
              <w:rPr>
                <w:sz w:val="22"/>
                <w:szCs w:val="22"/>
                <w:lang w:val="sr-Latn-ME"/>
              </w:rPr>
            </w:pPr>
          </w:p>
          <w:p w14:paraId="592484FC" w14:textId="77777777" w:rsidR="00596C07" w:rsidRPr="004500D8" w:rsidRDefault="00596C07" w:rsidP="003B242C">
            <w:pPr>
              <w:widowControl w:val="0"/>
              <w:tabs>
                <w:tab w:val="left" w:pos="562"/>
              </w:tabs>
              <w:suppressAutoHyphens/>
              <w:rPr>
                <w:sz w:val="22"/>
                <w:szCs w:val="22"/>
                <w:lang w:val="sr-Latn-ME"/>
              </w:rPr>
            </w:pPr>
            <w:r w:rsidRPr="004500D8">
              <w:rPr>
                <w:sz w:val="22"/>
                <w:szCs w:val="22"/>
                <w:lang w:val="sr-Latn-ME"/>
              </w:rPr>
              <w:t>N=105</w:t>
            </w:r>
          </w:p>
          <w:p w14:paraId="690EAE9B" w14:textId="77777777" w:rsidR="00596C07" w:rsidRPr="004500D8" w:rsidRDefault="00596C07" w:rsidP="003B242C">
            <w:pPr>
              <w:widowControl w:val="0"/>
              <w:tabs>
                <w:tab w:val="left" w:pos="562"/>
              </w:tabs>
              <w:suppressAutoHyphens/>
              <w:rPr>
                <w:sz w:val="22"/>
                <w:szCs w:val="22"/>
                <w:lang w:val="sr-Latn-ME"/>
              </w:rPr>
            </w:pPr>
            <w:r w:rsidRPr="004500D8">
              <w:rPr>
                <w:sz w:val="22"/>
                <w:szCs w:val="22"/>
                <w:lang w:val="sr-Latn-ME"/>
              </w:rPr>
              <w:t xml:space="preserve">48 (45,7%) </w:t>
            </w:r>
            <w:r w:rsidRPr="004500D8">
              <w:rPr>
                <w:sz w:val="22"/>
                <w:szCs w:val="22"/>
                <w:vertAlign w:val="superscript"/>
                <w:lang w:val="sr-Latn-ME"/>
              </w:rPr>
              <w:t>***</w:t>
            </w:r>
          </w:p>
        </w:tc>
      </w:tr>
      <w:tr w:rsidR="00596C07" w:rsidRPr="004500D8" w14:paraId="23FE2140" w14:textId="77777777" w:rsidTr="00596C07">
        <w:trPr>
          <w:jc w:val="center"/>
        </w:trPr>
        <w:tc>
          <w:tcPr>
            <w:tcW w:w="9293" w:type="dxa"/>
            <w:gridSpan w:val="5"/>
            <w:tcMar>
              <w:top w:w="0" w:type="dxa"/>
              <w:left w:w="115" w:type="dxa"/>
              <w:bottom w:w="0" w:type="dxa"/>
              <w:right w:w="115" w:type="dxa"/>
            </w:tcMar>
            <w:vAlign w:val="center"/>
          </w:tcPr>
          <w:p w14:paraId="7ABD1BF6" w14:textId="77777777" w:rsidR="00596C07" w:rsidRPr="004500D8" w:rsidRDefault="00596C07" w:rsidP="00596C07">
            <w:pPr>
              <w:keepNext/>
              <w:widowControl w:val="0"/>
              <w:tabs>
                <w:tab w:val="left" w:pos="562"/>
              </w:tabs>
              <w:suppressAutoHyphens/>
              <w:ind w:left="360"/>
              <w:jc w:val="both"/>
              <w:rPr>
                <w:sz w:val="22"/>
                <w:szCs w:val="22"/>
                <w:lang w:val="sr-Latn-ME"/>
              </w:rPr>
            </w:pPr>
          </w:p>
          <w:p w14:paraId="43E699B0" w14:textId="77777777" w:rsidR="00596C07" w:rsidRPr="004500D8" w:rsidRDefault="00596C07" w:rsidP="00596C07">
            <w:pPr>
              <w:keepNext/>
              <w:widowControl w:val="0"/>
              <w:tabs>
                <w:tab w:val="left" w:pos="562"/>
              </w:tabs>
              <w:suppressAutoHyphens/>
              <w:ind w:left="360"/>
              <w:jc w:val="both"/>
              <w:rPr>
                <w:sz w:val="22"/>
                <w:szCs w:val="22"/>
                <w:lang w:val="sr-Latn-ME"/>
              </w:rPr>
            </w:pPr>
            <w:r w:rsidRPr="004500D8">
              <w:rPr>
                <w:sz w:val="22"/>
                <w:szCs w:val="22"/>
                <w:lang w:val="sr-Latn-ME"/>
              </w:rPr>
              <w:t xml:space="preserve">* </w:t>
            </w:r>
            <w:r w:rsidRPr="004500D8">
              <w:rPr>
                <w:i/>
                <w:sz w:val="22"/>
                <w:szCs w:val="22"/>
                <w:lang w:val="sr-Latn-ME"/>
              </w:rPr>
              <w:t>P</w:t>
            </w:r>
            <w:r w:rsidRPr="004500D8">
              <w:rPr>
                <w:sz w:val="22"/>
                <w:szCs w:val="22"/>
                <w:lang w:val="sr-Latn-ME"/>
              </w:rPr>
              <w:t xml:space="preserve"> &lt; 0.05, ***</w:t>
            </w:r>
            <w:r w:rsidRPr="004500D8">
              <w:rPr>
                <w:i/>
                <w:sz w:val="22"/>
                <w:szCs w:val="22"/>
                <w:lang w:val="sr-Latn-ME"/>
              </w:rPr>
              <w:t xml:space="preserve">P </w:t>
            </w:r>
            <w:r w:rsidRPr="004500D8">
              <w:rPr>
                <w:sz w:val="22"/>
                <w:szCs w:val="22"/>
                <w:lang w:val="sr-Latn-ME"/>
              </w:rPr>
              <w:t xml:space="preserve">&lt; 0.001, lijek Humira naspram placeba </w:t>
            </w:r>
          </w:p>
          <w:p w14:paraId="00A2CF61" w14:textId="77777777" w:rsidR="00596C07" w:rsidRPr="004500D8" w:rsidRDefault="00596C07" w:rsidP="002D19E9">
            <w:pPr>
              <w:keepNext/>
              <w:keepLines/>
              <w:widowControl w:val="0"/>
              <w:numPr>
                <w:ilvl w:val="0"/>
                <w:numId w:val="4"/>
              </w:numPr>
              <w:tabs>
                <w:tab w:val="left" w:pos="562"/>
              </w:tabs>
              <w:suppressAutoHyphens/>
              <w:spacing w:before="40" w:after="160" w:line="259" w:lineRule="auto"/>
              <w:jc w:val="both"/>
              <w:rPr>
                <w:sz w:val="22"/>
                <w:szCs w:val="22"/>
                <w:lang w:val="sr-Latn-ME"/>
              </w:rPr>
            </w:pPr>
            <w:r w:rsidRPr="004500D8">
              <w:rPr>
                <w:sz w:val="22"/>
                <w:szCs w:val="22"/>
                <w:lang w:val="sr-Latn-ME"/>
              </w:rPr>
              <w:t>Među svim randomizovanim pacijentima</w:t>
            </w:r>
          </w:p>
          <w:p w14:paraId="00FA78EF" w14:textId="77777777" w:rsidR="00596C07" w:rsidRPr="004500D8" w:rsidRDefault="00596C07" w:rsidP="002D19E9">
            <w:pPr>
              <w:keepNext/>
              <w:keepLines/>
              <w:widowControl w:val="0"/>
              <w:numPr>
                <w:ilvl w:val="0"/>
                <w:numId w:val="4"/>
              </w:numPr>
              <w:tabs>
                <w:tab w:val="left" w:pos="562"/>
              </w:tabs>
              <w:suppressAutoHyphens/>
              <w:spacing w:before="40" w:after="160" w:line="259" w:lineRule="auto"/>
              <w:jc w:val="both"/>
              <w:rPr>
                <w:sz w:val="22"/>
                <w:szCs w:val="22"/>
                <w:lang w:val="sr-Latn-ME"/>
              </w:rPr>
            </w:pPr>
            <w:r w:rsidRPr="004500D8">
              <w:rPr>
                <w:sz w:val="22"/>
                <w:szCs w:val="22"/>
                <w:lang w:val="sr-Latn-ME"/>
              </w:rPr>
              <w:t>Među pacijentima s procijenjenim početnim bolom kože uzrokovanom gnojnim hidradenitisom ≥ 3 prema brojčanoj skali ocjena od 0 – 10; 0 = bez bola kože, 10 = nezamislivo jak bol kože.</w:t>
            </w:r>
          </w:p>
        </w:tc>
      </w:tr>
    </w:tbl>
    <w:p w14:paraId="7529A45E" w14:textId="77777777" w:rsidR="00596C07" w:rsidRPr="004500D8" w:rsidRDefault="00596C07" w:rsidP="00596C07">
      <w:pPr>
        <w:tabs>
          <w:tab w:val="left" w:pos="562"/>
        </w:tabs>
        <w:suppressAutoHyphens/>
        <w:jc w:val="both"/>
        <w:rPr>
          <w:sz w:val="22"/>
          <w:szCs w:val="22"/>
          <w:lang w:val="sr-Latn-ME"/>
        </w:rPr>
      </w:pPr>
    </w:p>
    <w:p w14:paraId="599395AB" w14:textId="77777777" w:rsidR="00596C07" w:rsidRPr="004500D8" w:rsidRDefault="00596C07" w:rsidP="00596C07">
      <w:pPr>
        <w:tabs>
          <w:tab w:val="left" w:pos="562"/>
        </w:tabs>
        <w:suppressAutoHyphens/>
        <w:jc w:val="both"/>
        <w:rPr>
          <w:sz w:val="22"/>
          <w:szCs w:val="22"/>
          <w:lang w:val="sr-Latn-ME"/>
        </w:rPr>
      </w:pPr>
      <w:r w:rsidRPr="004500D8">
        <w:rPr>
          <w:sz w:val="22"/>
          <w:szCs w:val="22"/>
          <w:lang w:val="sr-Latn-ME"/>
        </w:rPr>
        <w:t>Liječenje lijekom Humira u dozi od 40 mg svake nedjelje značajno je smanjilo rizik od pogoršanja apscesa i drenirajućih fistula. Skoro dvostruko veći udio pacijenata u placebo grupi koja je u prvih 12 nedjelja ispitivanja HS-I i HS-II, u odnosu na grupu koja je liječena lijekom Humira, je doživjelo pogoršanje apscesa (23,0% naspram 11,4%) i drenirajućih fistula (30,0% naspram 13,9%).</w:t>
      </w:r>
    </w:p>
    <w:p w14:paraId="0DE1B424" w14:textId="77777777" w:rsidR="00596C07" w:rsidRPr="004500D8" w:rsidRDefault="00596C07" w:rsidP="00596C07">
      <w:pPr>
        <w:tabs>
          <w:tab w:val="left" w:pos="562"/>
        </w:tabs>
        <w:suppressAutoHyphens/>
        <w:jc w:val="both"/>
        <w:rPr>
          <w:sz w:val="22"/>
          <w:szCs w:val="22"/>
          <w:lang w:val="sr-Latn-ME"/>
        </w:rPr>
      </w:pPr>
    </w:p>
    <w:p w14:paraId="26C87596" w14:textId="77777777" w:rsidR="00596C07" w:rsidRPr="004500D8" w:rsidRDefault="00596C07" w:rsidP="00596C07">
      <w:pPr>
        <w:tabs>
          <w:tab w:val="left" w:pos="562"/>
        </w:tabs>
        <w:suppressAutoHyphens/>
        <w:jc w:val="both"/>
        <w:rPr>
          <w:sz w:val="22"/>
          <w:szCs w:val="22"/>
          <w:lang w:val="sr-Latn-ME"/>
        </w:rPr>
      </w:pPr>
      <w:r w:rsidRPr="004500D8">
        <w:rPr>
          <w:sz w:val="22"/>
          <w:szCs w:val="22"/>
          <w:lang w:val="sr-Latn-ME"/>
        </w:rPr>
        <w:t xml:space="preserve">Veća poboljšanja u 12. nedjelji od početka ispitivanja u odnosu na placebo, zabilježena su u kvalitetu života vezanog za specifično zdravlje kože, koje se određivalo indeksom kvaliteta života kod dermatoloških bolesti (engl. </w:t>
      </w:r>
      <w:r w:rsidRPr="004500D8">
        <w:rPr>
          <w:i/>
          <w:sz w:val="22"/>
          <w:szCs w:val="22"/>
          <w:lang w:val="sr-Latn-ME"/>
        </w:rPr>
        <w:t>Dermatology Life Quality Index</w:t>
      </w:r>
      <w:r w:rsidRPr="004500D8">
        <w:rPr>
          <w:sz w:val="22"/>
          <w:szCs w:val="22"/>
          <w:lang w:val="sr-Latn-ME"/>
        </w:rPr>
        <w:t xml:space="preserve"> [DLQI]; ispitivanja HS-I i HS-II), opštim zadovoljstvom pacijenata farmakološkim liječenjem, koje se određivalo upitnikom za ocjenjivanje zadovoljstva farmakološkim liječenjem (engl. </w:t>
      </w:r>
      <w:r w:rsidRPr="004500D8">
        <w:rPr>
          <w:i/>
          <w:sz w:val="22"/>
          <w:szCs w:val="22"/>
          <w:lang w:val="sr-Latn-ME"/>
        </w:rPr>
        <w:t>Treatment Satisfaction Questionnaire - medication</w:t>
      </w:r>
      <w:r w:rsidRPr="004500D8">
        <w:rPr>
          <w:sz w:val="22"/>
          <w:szCs w:val="22"/>
          <w:lang w:val="sr-Latn-ME"/>
        </w:rPr>
        <w:t xml:space="preserve"> [TSQM]; ispitivanja HS-I i HS-II) i fizičkim zdravljem, koje se određivalo na osnovu rezultata za cjelokupnu fizičku komponentu upitnika SF</w:t>
      </w:r>
      <w:r w:rsidRPr="004500D8">
        <w:rPr>
          <w:sz w:val="22"/>
          <w:szCs w:val="22"/>
          <w:lang w:val="sr-Latn-ME"/>
        </w:rPr>
        <w:noBreakHyphen/>
        <w:t>36 (ispitivanje HS-I).</w:t>
      </w:r>
    </w:p>
    <w:p w14:paraId="7353D148" w14:textId="77777777" w:rsidR="00596C07" w:rsidRPr="004500D8" w:rsidRDefault="00596C07" w:rsidP="00596C07">
      <w:pPr>
        <w:tabs>
          <w:tab w:val="left" w:pos="562"/>
        </w:tabs>
        <w:suppressAutoHyphens/>
        <w:jc w:val="both"/>
        <w:rPr>
          <w:sz w:val="22"/>
          <w:szCs w:val="22"/>
          <w:lang w:val="sr-Latn-ME"/>
        </w:rPr>
      </w:pPr>
    </w:p>
    <w:p w14:paraId="7190B688" w14:textId="77777777" w:rsidR="00596C07" w:rsidRPr="004500D8" w:rsidRDefault="00596C07" w:rsidP="00596C07">
      <w:pPr>
        <w:tabs>
          <w:tab w:val="left" w:pos="562"/>
        </w:tabs>
        <w:suppressAutoHyphens/>
        <w:jc w:val="both"/>
        <w:rPr>
          <w:sz w:val="22"/>
          <w:szCs w:val="22"/>
          <w:lang w:val="sr-Latn-ME"/>
        </w:rPr>
      </w:pPr>
      <w:r w:rsidRPr="004500D8">
        <w:rPr>
          <w:sz w:val="22"/>
          <w:szCs w:val="22"/>
          <w:lang w:val="sr-Latn-ME"/>
        </w:rPr>
        <w:t>Među pacijentima koji su ostvarili barem djelimičan odgovor na liječenje lijekom Humira u dozi od 40 mg svake nedjelje u 12. nedjelji, stopa HiSCR</w:t>
      </w:r>
      <w:r w:rsidRPr="004500D8">
        <w:rPr>
          <w:sz w:val="22"/>
          <w:szCs w:val="22"/>
          <w:lang w:val="sr-Latn-ME"/>
        </w:rPr>
        <w:noBreakHyphen/>
        <w:t>a zabilježena u 36. nedjelji je bila veća kod onih pacijenata koji su nastavili da primaju lijek Humira svake nedjelje nego kod pacijenata kojima je učestalost doziranja smanjena na jednom svake druge nedjelje ili onih kojima je liječenje ukinuto (vidjeti Tabelu 13).</w:t>
      </w:r>
    </w:p>
    <w:p w14:paraId="57B77784" w14:textId="77777777" w:rsidR="00596C07" w:rsidRPr="004500D8" w:rsidRDefault="00596C07" w:rsidP="00596C07">
      <w:pPr>
        <w:tabs>
          <w:tab w:val="left" w:pos="562"/>
        </w:tabs>
        <w:suppressAutoHyphens/>
        <w:jc w:val="both"/>
        <w:rPr>
          <w:sz w:val="22"/>
          <w:szCs w:val="22"/>
          <w:lang w:val="sr-Latn-ME"/>
        </w:rPr>
      </w:pPr>
    </w:p>
    <w:p w14:paraId="722C66BF" w14:textId="77777777" w:rsidR="00CD4F09" w:rsidRPr="004500D8" w:rsidRDefault="00CD4F09" w:rsidP="003B242C">
      <w:pPr>
        <w:jc w:val="both"/>
        <w:rPr>
          <w:rFonts w:eastAsia="MS Mincho"/>
          <w:b/>
          <w:sz w:val="22"/>
          <w:szCs w:val="22"/>
          <w:lang w:val="sr-Latn-ME" w:eastAsia="ja-JP"/>
        </w:rPr>
      </w:pPr>
    </w:p>
    <w:p w14:paraId="5CD891BA" w14:textId="77777777" w:rsidR="00CD4F09" w:rsidRPr="004500D8" w:rsidRDefault="00CD4F09" w:rsidP="003B242C">
      <w:pPr>
        <w:jc w:val="both"/>
        <w:rPr>
          <w:rFonts w:eastAsia="MS Mincho"/>
          <w:b/>
          <w:sz w:val="22"/>
          <w:szCs w:val="22"/>
          <w:lang w:val="sr-Latn-ME" w:eastAsia="ja-JP"/>
        </w:rPr>
      </w:pPr>
    </w:p>
    <w:p w14:paraId="0B7FD94B" w14:textId="77777777" w:rsidR="00CD4F09" w:rsidRPr="004500D8" w:rsidRDefault="00CD4F09" w:rsidP="003B242C">
      <w:pPr>
        <w:jc w:val="both"/>
        <w:rPr>
          <w:rFonts w:eastAsia="MS Mincho"/>
          <w:b/>
          <w:sz w:val="22"/>
          <w:szCs w:val="22"/>
          <w:lang w:val="sr-Latn-ME" w:eastAsia="ja-JP"/>
        </w:rPr>
      </w:pPr>
    </w:p>
    <w:p w14:paraId="465C3356" w14:textId="77777777" w:rsidR="00CD4F09" w:rsidRPr="004500D8" w:rsidRDefault="00CD4F09" w:rsidP="003B242C">
      <w:pPr>
        <w:jc w:val="both"/>
        <w:rPr>
          <w:rFonts w:eastAsia="MS Mincho"/>
          <w:b/>
          <w:sz w:val="22"/>
          <w:szCs w:val="22"/>
          <w:lang w:val="sr-Latn-ME" w:eastAsia="ja-JP"/>
        </w:rPr>
      </w:pPr>
    </w:p>
    <w:p w14:paraId="6FAF91FA" w14:textId="77777777" w:rsidR="00CD4F09" w:rsidRPr="004500D8" w:rsidRDefault="00CD4F09" w:rsidP="003B242C">
      <w:pPr>
        <w:jc w:val="both"/>
        <w:rPr>
          <w:rFonts w:eastAsia="MS Mincho"/>
          <w:b/>
          <w:sz w:val="22"/>
          <w:szCs w:val="22"/>
          <w:lang w:val="sr-Latn-ME" w:eastAsia="ja-JP"/>
        </w:rPr>
      </w:pPr>
    </w:p>
    <w:p w14:paraId="2BEF36C0" w14:textId="77777777" w:rsidR="00CD4F09" w:rsidRPr="004500D8" w:rsidRDefault="00CD4F09" w:rsidP="003B242C">
      <w:pPr>
        <w:jc w:val="both"/>
        <w:rPr>
          <w:rFonts w:eastAsia="MS Mincho"/>
          <w:b/>
          <w:sz w:val="22"/>
          <w:szCs w:val="22"/>
          <w:lang w:val="sr-Latn-ME" w:eastAsia="ja-JP"/>
        </w:rPr>
      </w:pPr>
    </w:p>
    <w:p w14:paraId="75313EE0" w14:textId="77777777" w:rsidR="00CD4F09" w:rsidRPr="004500D8" w:rsidRDefault="00CD4F09" w:rsidP="003B242C">
      <w:pPr>
        <w:jc w:val="both"/>
        <w:rPr>
          <w:rFonts w:eastAsia="MS Mincho"/>
          <w:b/>
          <w:sz w:val="22"/>
          <w:szCs w:val="22"/>
          <w:lang w:val="sr-Latn-ME" w:eastAsia="ja-JP"/>
        </w:rPr>
      </w:pPr>
    </w:p>
    <w:p w14:paraId="7CB9FE1C" w14:textId="77777777" w:rsidR="00CD4F09" w:rsidRPr="004500D8" w:rsidRDefault="00CD4F09" w:rsidP="003B242C">
      <w:pPr>
        <w:jc w:val="both"/>
        <w:rPr>
          <w:rFonts w:eastAsia="MS Mincho"/>
          <w:b/>
          <w:sz w:val="22"/>
          <w:szCs w:val="22"/>
          <w:lang w:val="sr-Latn-ME" w:eastAsia="ja-JP"/>
        </w:rPr>
      </w:pPr>
    </w:p>
    <w:p w14:paraId="7B837A51" w14:textId="77777777" w:rsidR="00CD4F09" w:rsidRPr="004500D8" w:rsidRDefault="00CD4F09" w:rsidP="003B242C">
      <w:pPr>
        <w:jc w:val="both"/>
        <w:rPr>
          <w:rFonts w:eastAsia="MS Mincho"/>
          <w:b/>
          <w:sz w:val="22"/>
          <w:szCs w:val="22"/>
          <w:lang w:val="sr-Latn-ME" w:eastAsia="ja-JP"/>
        </w:rPr>
      </w:pPr>
    </w:p>
    <w:p w14:paraId="69D01E09" w14:textId="62D66E4B" w:rsidR="00596C07" w:rsidRPr="004500D8" w:rsidRDefault="00596C07" w:rsidP="003B242C">
      <w:pPr>
        <w:jc w:val="both"/>
        <w:rPr>
          <w:rFonts w:eastAsia="MS Mincho"/>
          <w:b/>
          <w:sz w:val="22"/>
          <w:szCs w:val="22"/>
          <w:lang w:val="sr-Latn-ME" w:eastAsia="ja-JP"/>
        </w:rPr>
      </w:pPr>
      <w:r w:rsidRPr="004500D8">
        <w:rPr>
          <w:rFonts w:eastAsia="MS Mincho"/>
          <w:b/>
          <w:sz w:val="22"/>
          <w:szCs w:val="22"/>
          <w:lang w:val="sr-Latn-ME" w:eastAsia="ja-JP"/>
        </w:rPr>
        <w:t>Tabela 13</w:t>
      </w:r>
      <w:r w:rsidR="00CD4FB5" w:rsidRPr="004500D8">
        <w:rPr>
          <w:rFonts w:eastAsia="MS Mincho"/>
          <w:b/>
          <w:sz w:val="22"/>
          <w:szCs w:val="22"/>
          <w:lang w:val="sr-Latn-ME" w:eastAsia="ja-JP"/>
        </w:rPr>
        <w:t xml:space="preserve">. </w:t>
      </w:r>
      <w:r w:rsidRPr="004500D8">
        <w:rPr>
          <w:rFonts w:eastAsia="MS Mincho"/>
          <w:b/>
          <w:sz w:val="22"/>
          <w:szCs w:val="22"/>
          <w:lang w:val="sr-Latn-ME" w:eastAsia="ja-JP"/>
        </w:rPr>
        <w:t>Odnos pacijenata</w:t>
      </w:r>
      <w:r w:rsidRPr="004500D8">
        <w:rPr>
          <w:rFonts w:eastAsia="MS Mincho"/>
          <w:b/>
          <w:sz w:val="22"/>
          <w:szCs w:val="22"/>
          <w:vertAlign w:val="superscript"/>
          <w:lang w:val="sr-Latn-ME" w:eastAsia="ja-JP"/>
        </w:rPr>
        <w:t>a</w:t>
      </w:r>
      <w:r w:rsidRPr="004500D8">
        <w:rPr>
          <w:rFonts w:eastAsia="MS Mincho"/>
          <w:b/>
          <w:sz w:val="22"/>
          <w:szCs w:val="22"/>
          <w:lang w:val="sr-Latn-ME" w:eastAsia="ja-JP"/>
        </w:rPr>
        <w:t xml:space="preserve"> koji su postigli HiSCR</w:t>
      </w:r>
      <w:r w:rsidRPr="004500D8">
        <w:rPr>
          <w:rFonts w:eastAsia="MS Mincho"/>
          <w:b/>
          <w:sz w:val="22"/>
          <w:szCs w:val="22"/>
          <w:vertAlign w:val="superscript"/>
          <w:lang w:val="sr-Latn-ME" w:eastAsia="ja-JP"/>
        </w:rPr>
        <w:t xml:space="preserve">b </w:t>
      </w:r>
      <w:r w:rsidRPr="004500D8">
        <w:rPr>
          <w:rFonts w:eastAsia="MS Mincho"/>
          <w:b/>
          <w:sz w:val="22"/>
          <w:szCs w:val="22"/>
          <w:lang w:val="sr-Latn-ME" w:eastAsia="ja-JP"/>
        </w:rPr>
        <w:t>u 24. i 36. nedjelji nakon preraspodjele liječenja, nakon što su 12 nedjelja primali lijek Humira svake nedjelje</w:t>
      </w:r>
    </w:p>
    <w:p w14:paraId="701D2DA3" w14:textId="77777777" w:rsidR="00596C07" w:rsidRPr="004500D8" w:rsidRDefault="00596C07" w:rsidP="00596C07">
      <w:pPr>
        <w:jc w:val="center"/>
        <w:rPr>
          <w:rFonts w:eastAsia="MS Mincho"/>
          <w:b/>
          <w:sz w:val="22"/>
          <w:szCs w:val="22"/>
          <w:lang w:val="sr-Latn-ME"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1"/>
        <w:gridCol w:w="1980"/>
        <w:gridCol w:w="1980"/>
        <w:gridCol w:w="2103"/>
      </w:tblGrid>
      <w:tr w:rsidR="00596C07" w:rsidRPr="004500D8" w14:paraId="67D9F5A2" w14:textId="77777777" w:rsidTr="00596C07">
        <w:trPr>
          <w:tblHeader/>
          <w:jc w:val="center"/>
        </w:trPr>
        <w:tc>
          <w:tcPr>
            <w:tcW w:w="2201" w:type="dxa"/>
            <w:shd w:val="clear" w:color="auto" w:fill="auto"/>
            <w:vAlign w:val="bottom"/>
          </w:tcPr>
          <w:p w14:paraId="2A6CB569" w14:textId="77777777" w:rsidR="00596C07" w:rsidRPr="004500D8" w:rsidRDefault="00596C07" w:rsidP="00596C07">
            <w:pPr>
              <w:keepNext/>
              <w:spacing w:before="40" w:after="40"/>
              <w:jc w:val="both"/>
              <w:rPr>
                <w:rFonts w:eastAsia="Calibri"/>
                <w:b/>
                <w:sz w:val="22"/>
                <w:szCs w:val="22"/>
                <w:lang w:val="sr-Latn-ME" w:eastAsia="ja-JP"/>
              </w:rPr>
            </w:pPr>
          </w:p>
        </w:tc>
        <w:tc>
          <w:tcPr>
            <w:tcW w:w="1980" w:type="dxa"/>
            <w:shd w:val="clear" w:color="auto" w:fill="auto"/>
            <w:vAlign w:val="bottom"/>
          </w:tcPr>
          <w:p w14:paraId="277845E7" w14:textId="77777777" w:rsidR="00596C07" w:rsidRPr="004500D8" w:rsidRDefault="00596C07" w:rsidP="00596C07">
            <w:pPr>
              <w:keepNext/>
              <w:spacing w:before="40" w:after="40"/>
              <w:jc w:val="both"/>
              <w:rPr>
                <w:rFonts w:eastAsia="Calibri"/>
                <w:b/>
                <w:sz w:val="22"/>
                <w:szCs w:val="22"/>
                <w:lang w:val="sr-Latn-ME" w:eastAsia="ja-JP"/>
              </w:rPr>
            </w:pPr>
            <w:r w:rsidRPr="004500D8">
              <w:rPr>
                <w:rFonts w:eastAsia="Calibri"/>
                <w:b/>
                <w:sz w:val="22"/>
                <w:szCs w:val="22"/>
                <w:lang w:val="sr-Latn-ME" w:eastAsia="ja-JP"/>
              </w:rPr>
              <w:t>Placebo</w:t>
            </w:r>
            <w:r w:rsidRPr="004500D8">
              <w:rPr>
                <w:rFonts w:eastAsia="Calibri"/>
                <w:b/>
                <w:sz w:val="22"/>
                <w:szCs w:val="22"/>
                <w:lang w:val="sr-Latn-ME" w:eastAsia="ja-JP"/>
              </w:rPr>
              <w:br/>
              <w:t>(ukidanje liječenja)</w:t>
            </w:r>
            <w:r w:rsidRPr="004500D8">
              <w:rPr>
                <w:rFonts w:eastAsia="Calibri"/>
                <w:b/>
                <w:sz w:val="22"/>
                <w:szCs w:val="22"/>
                <w:lang w:val="sr-Latn-ME" w:eastAsia="ja-JP"/>
              </w:rPr>
              <w:br/>
              <w:t>N = 73</w:t>
            </w:r>
          </w:p>
        </w:tc>
        <w:tc>
          <w:tcPr>
            <w:tcW w:w="1980" w:type="dxa"/>
            <w:shd w:val="clear" w:color="auto" w:fill="auto"/>
            <w:vAlign w:val="bottom"/>
          </w:tcPr>
          <w:p w14:paraId="4C1E70B4" w14:textId="77777777" w:rsidR="00596C07" w:rsidRPr="004500D8" w:rsidRDefault="00596C07" w:rsidP="003B242C">
            <w:pPr>
              <w:keepNext/>
              <w:spacing w:before="40" w:after="40"/>
              <w:rPr>
                <w:rFonts w:eastAsia="Calibri"/>
                <w:b/>
                <w:sz w:val="22"/>
                <w:szCs w:val="22"/>
                <w:lang w:val="sr-Latn-ME" w:eastAsia="ja-JP"/>
              </w:rPr>
            </w:pPr>
          </w:p>
          <w:p w14:paraId="46D695A9" w14:textId="77777777" w:rsidR="00596C07" w:rsidRPr="004500D8" w:rsidRDefault="00596C07" w:rsidP="003B242C">
            <w:pPr>
              <w:keepNext/>
              <w:spacing w:before="40" w:after="40"/>
              <w:rPr>
                <w:rFonts w:eastAsia="Calibri"/>
                <w:b/>
                <w:sz w:val="22"/>
                <w:szCs w:val="22"/>
                <w:lang w:val="sr-Latn-ME" w:eastAsia="ja-JP"/>
              </w:rPr>
            </w:pPr>
            <w:r w:rsidRPr="004500D8">
              <w:rPr>
                <w:rFonts w:eastAsia="Calibri"/>
                <w:b/>
                <w:sz w:val="22"/>
                <w:szCs w:val="22"/>
                <w:lang w:val="sr-Latn-ME" w:eastAsia="ja-JP"/>
              </w:rPr>
              <w:t>Humira 40 mg</w:t>
            </w:r>
            <w:r w:rsidRPr="004500D8">
              <w:rPr>
                <w:rFonts w:eastAsia="Calibri"/>
                <w:b/>
                <w:sz w:val="22"/>
                <w:szCs w:val="22"/>
                <w:lang w:val="sr-Latn-ME" w:eastAsia="ja-JP"/>
              </w:rPr>
              <w:br/>
              <w:t>svake druge nedjelje</w:t>
            </w:r>
            <w:r w:rsidRPr="004500D8">
              <w:rPr>
                <w:rFonts w:eastAsia="Calibri"/>
                <w:b/>
                <w:sz w:val="22"/>
                <w:szCs w:val="22"/>
                <w:lang w:val="sr-Latn-ME" w:eastAsia="ja-JP"/>
              </w:rPr>
              <w:br/>
              <w:t>N = 70</w:t>
            </w:r>
          </w:p>
        </w:tc>
        <w:tc>
          <w:tcPr>
            <w:tcW w:w="2103" w:type="dxa"/>
            <w:shd w:val="clear" w:color="auto" w:fill="auto"/>
            <w:vAlign w:val="bottom"/>
          </w:tcPr>
          <w:p w14:paraId="3138604B" w14:textId="77777777" w:rsidR="00596C07" w:rsidRPr="004500D8" w:rsidRDefault="00596C07" w:rsidP="003B242C">
            <w:pPr>
              <w:keepNext/>
              <w:spacing w:before="40" w:after="40"/>
              <w:rPr>
                <w:rFonts w:eastAsia="Calibri"/>
                <w:b/>
                <w:sz w:val="22"/>
                <w:szCs w:val="22"/>
                <w:lang w:val="sr-Latn-ME" w:eastAsia="ja-JP"/>
              </w:rPr>
            </w:pPr>
          </w:p>
          <w:p w14:paraId="5AD2E64D" w14:textId="77777777" w:rsidR="00596C07" w:rsidRPr="004500D8" w:rsidRDefault="00596C07" w:rsidP="003B242C">
            <w:pPr>
              <w:keepNext/>
              <w:spacing w:before="40" w:after="40"/>
              <w:rPr>
                <w:rFonts w:eastAsia="Calibri"/>
                <w:b/>
                <w:sz w:val="22"/>
                <w:szCs w:val="22"/>
                <w:lang w:val="sr-Latn-ME" w:eastAsia="ja-JP"/>
              </w:rPr>
            </w:pPr>
            <w:r w:rsidRPr="004500D8">
              <w:rPr>
                <w:rFonts w:eastAsia="Calibri"/>
                <w:b/>
                <w:sz w:val="22"/>
                <w:szCs w:val="22"/>
                <w:lang w:val="sr-Latn-ME" w:eastAsia="ja-JP"/>
              </w:rPr>
              <w:t>Humira 40 mg</w:t>
            </w:r>
            <w:r w:rsidRPr="004500D8">
              <w:rPr>
                <w:rFonts w:eastAsia="Calibri"/>
                <w:b/>
                <w:sz w:val="22"/>
                <w:szCs w:val="22"/>
                <w:lang w:val="sr-Latn-ME" w:eastAsia="ja-JP"/>
              </w:rPr>
              <w:br/>
              <w:t xml:space="preserve">svake nedjelje </w:t>
            </w:r>
            <w:r w:rsidRPr="004500D8">
              <w:rPr>
                <w:rFonts w:eastAsia="Calibri"/>
                <w:b/>
                <w:sz w:val="22"/>
                <w:szCs w:val="22"/>
                <w:lang w:val="sr-Latn-ME" w:eastAsia="ja-JP"/>
              </w:rPr>
              <w:br/>
              <w:t>N = 70</w:t>
            </w:r>
          </w:p>
        </w:tc>
      </w:tr>
      <w:tr w:rsidR="00596C07" w:rsidRPr="004500D8" w14:paraId="7FD6A37B" w14:textId="77777777" w:rsidTr="00596C07">
        <w:trPr>
          <w:jc w:val="center"/>
        </w:trPr>
        <w:tc>
          <w:tcPr>
            <w:tcW w:w="2201" w:type="dxa"/>
            <w:shd w:val="clear" w:color="auto" w:fill="auto"/>
          </w:tcPr>
          <w:p w14:paraId="2FB123A4" w14:textId="77777777" w:rsidR="00596C07" w:rsidRPr="004500D8" w:rsidRDefault="00596C07" w:rsidP="00596C07">
            <w:pPr>
              <w:keepNext/>
              <w:spacing w:before="40" w:after="40"/>
              <w:jc w:val="both"/>
              <w:rPr>
                <w:rFonts w:eastAsia="Calibri"/>
                <w:sz w:val="22"/>
                <w:szCs w:val="22"/>
                <w:lang w:val="sr-Latn-ME" w:eastAsia="ja-JP"/>
              </w:rPr>
            </w:pPr>
          </w:p>
          <w:p w14:paraId="39B1119C" w14:textId="77777777" w:rsidR="00596C07" w:rsidRPr="004500D8" w:rsidRDefault="00596C07" w:rsidP="00596C07">
            <w:pPr>
              <w:keepNext/>
              <w:spacing w:before="40" w:after="40"/>
              <w:jc w:val="both"/>
              <w:rPr>
                <w:rFonts w:eastAsia="Calibri"/>
                <w:sz w:val="22"/>
                <w:szCs w:val="22"/>
                <w:lang w:val="sr-Latn-ME" w:eastAsia="ja-JP"/>
              </w:rPr>
            </w:pPr>
            <w:r w:rsidRPr="004500D8">
              <w:rPr>
                <w:rFonts w:eastAsia="Calibri"/>
                <w:sz w:val="22"/>
                <w:szCs w:val="22"/>
                <w:lang w:val="sr-Latn-ME" w:eastAsia="ja-JP"/>
              </w:rPr>
              <w:t>24. nedjelja</w:t>
            </w:r>
          </w:p>
        </w:tc>
        <w:tc>
          <w:tcPr>
            <w:tcW w:w="1980" w:type="dxa"/>
            <w:shd w:val="clear" w:color="auto" w:fill="auto"/>
          </w:tcPr>
          <w:p w14:paraId="58FD6F01" w14:textId="77777777" w:rsidR="00596C07" w:rsidRPr="004500D8" w:rsidRDefault="00596C07" w:rsidP="00596C07">
            <w:pPr>
              <w:keepNext/>
              <w:spacing w:before="40" w:after="40"/>
              <w:jc w:val="both"/>
              <w:rPr>
                <w:rFonts w:eastAsia="Calibri"/>
                <w:sz w:val="22"/>
                <w:szCs w:val="22"/>
                <w:lang w:val="sr-Latn-ME" w:eastAsia="ja-JP"/>
              </w:rPr>
            </w:pPr>
          </w:p>
          <w:p w14:paraId="0D985155" w14:textId="77777777" w:rsidR="00596C07" w:rsidRPr="004500D8" w:rsidRDefault="00596C07" w:rsidP="00596C07">
            <w:pPr>
              <w:keepNext/>
              <w:spacing w:before="40" w:after="40"/>
              <w:jc w:val="both"/>
              <w:rPr>
                <w:rFonts w:eastAsia="Calibri"/>
                <w:sz w:val="22"/>
                <w:szCs w:val="22"/>
                <w:lang w:val="sr-Latn-ME" w:eastAsia="ja-JP"/>
              </w:rPr>
            </w:pPr>
            <w:r w:rsidRPr="004500D8">
              <w:rPr>
                <w:rFonts w:eastAsia="Calibri"/>
                <w:sz w:val="22"/>
                <w:szCs w:val="22"/>
                <w:lang w:val="sr-Latn-ME" w:eastAsia="ja-JP"/>
              </w:rPr>
              <w:t>24 (32,9%)</w:t>
            </w:r>
          </w:p>
        </w:tc>
        <w:tc>
          <w:tcPr>
            <w:tcW w:w="1980" w:type="dxa"/>
            <w:shd w:val="clear" w:color="auto" w:fill="auto"/>
          </w:tcPr>
          <w:p w14:paraId="2774E6CC" w14:textId="77777777" w:rsidR="00596C07" w:rsidRPr="004500D8" w:rsidRDefault="00596C07" w:rsidP="00596C07">
            <w:pPr>
              <w:keepNext/>
              <w:spacing w:before="40" w:after="40"/>
              <w:jc w:val="both"/>
              <w:rPr>
                <w:rFonts w:eastAsia="Calibri"/>
                <w:sz w:val="22"/>
                <w:szCs w:val="22"/>
                <w:lang w:val="sr-Latn-ME" w:eastAsia="ja-JP"/>
              </w:rPr>
            </w:pPr>
          </w:p>
          <w:p w14:paraId="4AC6ED6F" w14:textId="77777777" w:rsidR="00596C07" w:rsidRPr="004500D8" w:rsidRDefault="00596C07" w:rsidP="00596C07">
            <w:pPr>
              <w:keepNext/>
              <w:spacing w:before="40" w:after="40"/>
              <w:jc w:val="both"/>
              <w:rPr>
                <w:rFonts w:eastAsia="Calibri"/>
                <w:sz w:val="22"/>
                <w:szCs w:val="22"/>
                <w:lang w:val="sr-Latn-ME" w:eastAsia="ja-JP"/>
              </w:rPr>
            </w:pPr>
            <w:r w:rsidRPr="004500D8">
              <w:rPr>
                <w:rFonts w:eastAsia="Calibri"/>
                <w:sz w:val="22"/>
                <w:szCs w:val="22"/>
                <w:lang w:val="sr-Latn-ME" w:eastAsia="ja-JP"/>
              </w:rPr>
              <w:t>36 (51,4%)</w:t>
            </w:r>
          </w:p>
        </w:tc>
        <w:tc>
          <w:tcPr>
            <w:tcW w:w="2103" w:type="dxa"/>
            <w:shd w:val="clear" w:color="auto" w:fill="auto"/>
          </w:tcPr>
          <w:p w14:paraId="4C8FA68C" w14:textId="77777777" w:rsidR="00596C07" w:rsidRPr="004500D8" w:rsidRDefault="00596C07" w:rsidP="00596C07">
            <w:pPr>
              <w:keepNext/>
              <w:spacing w:before="40" w:after="40"/>
              <w:jc w:val="both"/>
              <w:rPr>
                <w:rFonts w:eastAsia="Calibri"/>
                <w:sz w:val="22"/>
                <w:szCs w:val="22"/>
                <w:lang w:val="sr-Latn-ME" w:eastAsia="ja-JP"/>
              </w:rPr>
            </w:pPr>
          </w:p>
          <w:p w14:paraId="3DF51FED" w14:textId="77777777" w:rsidR="00596C07" w:rsidRPr="004500D8" w:rsidRDefault="00596C07" w:rsidP="00596C07">
            <w:pPr>
              <w:keepNext/>
              <w:spacing w:before="40" w:after="40"/>
              <w:jc w:val="both"/>
              <w:rPr>
                <w:rFonts w:eastAsia="Calibri"/>
                <w:sz w:val="22"/>
                <w:szCs w:val="22"/>
                <w:lang w:val="sr-Latn-ME" w:eastAsia="ja-JP"/>
              </w:rPr>
            </w:pPr>
            <w:r w:rsidRPr="004500D8">
              <w:rPr>
                <w:rFonts w:eastAsia="Calibri"/>
                <w:sz w:val="22"/>
                <w:szCs w:val="22"/>
                <w:lang w:val="sr-Latn-ME" w:eastAsia="ja-JP"/>
              </w:rPr>
              <w:t>40 (57,1%)</w:t>
            </w:r>
          </w:p>
        </w:tc>
      </w:tr>
      <w:tr w:rsidR="00596C07" w:rsidRPr="004500D8" w14:paraId="5AFA921A" w14:textId="77777777" w:rsidTr="00596C07">
        <w:trPr>
          <w:jc w:val="center"/>
        </w:trPr>
        <w:tc>
          <w:tcPr>
            <w:tcW w:w="2201" w:type="dxa"/>
            <w:shd w:val="clear" w:color="auto" w:fill="auto"/>
          </w:tcPr>
          <w:p w14:paraId="684AA476" w14:textId="77777777" w:rsidR="00596C07" w:rsidRPr="004500D8" w:rsidRDefault="00596C07" w:rsidP="00596C07">
            <w:pPr>
              <w:keepNext/>
              <w:spacing w:before="40" w:after="40"/>
              <w:jc w:val="both"/>
              <w:rPr>
                <w:rFonts w:eastAsia="Calibri"/>
                <w:sz w:val="22"/>
                <w:szCs w:val="22"/>
                <w:lang w:val="sr-Latn-ME" w:eastAsia="ja-JP"/>
              </w:rPr>
            </w:pPr>
          </w:p>
          <w:p w14:paraId="12942999" w14:textId="77777777" w:rsidR="00596C07" w:rsidRPr="004500D8" w:rsidRDefault="00596C07" w:rsidP="00596C07">
            <w:pPr>
              <w:keepNext/>
              <w:spacing w:before="40" w:after="40"/>
              <w:jc w:val="both"/>
              <w:rPr>
                <w:rFonts w:eastAsia="Calibri"/>
                <w:sz w:val="22"/>
                <w:szCs w:val="22"/>
                <w:lang w:val="sr-Latn-ME" w:eastAsia="ja-JP"/>
              </w:rPr>
            </w:pPr>
            <w:r w:rsidRPr="004500D8">
              <w:rPr>
                <w:rFonts w:eastAsia="Calibri"/>
                <w:sz w:val="22"/>
                <w:szCs w:val="22"/>
                <w:lang w:val="sr-Latn-ME" w:eastAsia="ja-JP"/>
              </w:rPr>
              <w:t>36. nedjelja</w:t>
            </w:r>
          </w:p>
        </w:tc>
        <w:tc>
          <w:tcPr>
            <w:tcW w:w="1980" w:type="dxa"/>
            <w:shd w:val="clear" w:color="auto" w:fill="auto"/>
          </w:tcPr>
          <w:p w14:paraId="590C872E" w14:textId="77777777" w:rsidR="00596C07" w:rsidRPr="004500D8" w:rsidRDefault="00596C07" w:rsidP="00596C07">
            <w:pPr>
              <w:keepNext/>
              <w:spacing w:before="40" w:after="40"/>
              <w:jc w:val="both"/>
              <w:rPr>
                <w:rFonts w:eastAsia="Calibri"/>
                <w:sz w:val="22"/>
                <w:szCs w:val="22"/>
                <w:lang w:val="sr-Latn-ME" w:eastAsia="ja-JP"/>
              </w:rPr>
            </w:pPr>
          </w:p>
          <w:p w14:paraId="50AADD2E" w14:textId="77777777" w:rsidR="00596C07" w:rsidRPr="004500D8" w:rsidRDefault="00596C07" w:rsidP="00596C07">
            <w:pPr>
              <w:keepNext/>
              <w:spacing w:before="40" w:after="40"/>
              <w:jc w:val="both"/>
              <w:rPr>
                <w:rFonts w:eastAsia="Calibri"/>
                <w:sz w:val="22"/>
                <w:szCs w:val="22"/>
                <w:lang w:val="sr-Latn-ME" w:eastAsia="ja-JP"/>
              </w:rPr>
            </w:pPr>
            <w:r w:rsidRPr="004500D8">
              <w:rPr>
                <w:rFonts w:eastAsia="Calibri"/>
                <w:sz w:val="22"/>
                <w:szCs w:val="22"/>
                <w:lang w:val="sr-Latn-ME" w:eastAsia="ja-JP"/>
              </w:rPr>
              <w:t>22 (30,1%)</w:t>
            </w:r>
          </w:p>
        </w:tc>
        <w:tc>
          <w:tcPr>
            <w:tcW w:w="1980" w:type="dxa"/>
            <w:shd w:val="clear" w:color="auto" w:fill="auto"/>
          </w:tcPr>
          <w:p w14:paraId="45F41603" w14:textId="77777777" w:rsidR="00596C07" w:rsidRPr="004500D8" w:rsidRDefault="00596C07" w:rsidP="00596C07">
            <w:pPr>
              <w:keepNext/>
              <w:spacing w:before="40" w:after="40"/>
              <w:jc w:val="both"/>
              <w:rPr>
                <w:rFonts w:eastAsia="Calibri"/>
                <w:sz w:val="22"/>
                <w:szCs w:val="22"/>
                <w:lang w:val="sr-Latn-ME" w:eastAsia="ja-JP"/>
              </w:rPr>
            </w:pPr>
          </w:p>
          <w:p w14:paraId="3FFD44EF" w14:textId="77777777" w:rsidR="00596C07" w:rsidRPr="004500D8" w:rsidRDefault="00596C07" w:rsidP="00596C07">
            <w:pPr>
              <w:keepNext/>
              <w:spacing w:before="40" w:after="40"/>
              <w:jc w:val="both"/>
              <w:rPr>
                <w:rFonts w:eastAsia="Calibri"/>
                <w:sz w:val="22"/>
                <w:szCs w:val="22"/>
                <w:lang w:val="sr-Latn-ME" w:eastAsia="ja-JP"/>
              </w:rPr>
            </w:pPr>
            <w:r w:rsidRPr="004500D8">
              <w:rPr>
                <w:rFonts w:eastAsia="Calibri"/>
                <w:sz w:val="22"/>
                <w:szCs w:val="22"/>
                <w:lang w:val="sr-Latn-ME" w:eastAsia="ja-JP"/>
              </w:rPr>
              <w:t>28 (40,0%)</w:t>
            </w:r>
          </w:p>
        </w:tc>
        <w:tc>
          <w:tcPr>
            <w:tcW w:w="2103" w:type="dxa"/>
            <w:shd w:val="clear" w:color="auto" w:fill="auto"/>
          </w:tcPr>
          <w:p w14:paraId="724A687A" w14:textId="77777777" w:rsidR="00596C07" w:rsidRPr="004500D8" w:rsidRDefault="00596C07" w:rsidP="00596C07">
            <w:pPr>
              <w:keepNext/>
              <w:spacing w:before="40" w:after="40"/>
              <w:jc w:val="both"/>
              <w:rPr>
                <w:rFonts w:eastAsia="Calibri"/>
                <w:sz w:val="22"/>
                <w:szCs w:val="22"/>
                <w:lang w:val="sr-Latn-ME" w:eastAsia="ja-JP"/>
              </w:rPr>
            </w:pPr>
          </w:p>
          <w:p w14:paraId="2B97007D" w14:textId="77777777" w:rsidR="00596C07" w:rsidRPr="004500D8" w:rsidRDefault="00596C07" w:rsidP="00596C07">
            <w:pPr>
              <w:keepNext/>
              <w:spacing w:before="40" w:after="40"/>
              <w:jc w:val="both"/>
              <w:rPr>
                <w:rFonts w:eastAsia="Calibri"/>
                <w:sz w:val="22"/>
                <w:szCs w:val="22"/>
                <w:lang w:val="sr-Latn-ME" w:eastAsia="ja-JP"/>
              </w:rPr>
            </w:pPr>
            <w:r w:rsidRPr="004500D8">
              <w:rPr>
                <w:rFonts w:eastAsia="Calibri"/>
                <w:sz w:val="22"/>
                <w:szCs w:val="22"/>
                <w:lang w:val="sr-Latn-ME" w:eastAsia="ja-JP"/>
              </w:rPr>
              <w:t>39 (55,7%)</w:t>
            </w:r>
          </w:p>
        </w:tc>
      </w:tr>
      <w:tr w:rsidR="00596C07" w:rsidRPr="004500D8" w14:paraId="5AE6FD55" w14:textId="77777777" w:rsidTr="00596C07">
        <w:trPr>
          <w:jc w:val="center"/>
        </w:trPr>
        <w:tc>
          <w:tcPr>
            <w:tcW w:w="8264" w:type="dxa"/>
            <w:gridSpan w:val="4"/>
            <w:shd w:val="clear" w:color="auto" w:fill="auto"/>
          </w:tcPr>
          <w:p w14:paraId="59C3CF5A" w14:textId="77777777" w:rsidR="00596C07" w:rsidRPr="004500D8" w:rsidRDefault="00596C07" w:rsidP="002D19E9">
            <w:pPr>
              <w:keepLines/>
              <w:numPr>
                <w:ilvl w:val="0"/>
                <w:numId w:val="5"/>
              </w:numPr>
              <w:tabs>
                <w:tab w:val="left" w:pos="562"/>
              </w:tabs>
              <w:suppressAutoHyphens/>
              <w:spacing w:before="40" w:after="160" w:line="259" w:lineRule="auto"/>
              <w:ind w:left="333" w:hanging="270"/>
              <w:jc w:val="both"/>
              <w:rPr>
                <w:rFonts w:eastAsia="MS Mincho"/>
                <w:sz w:val="22"/>
                <w:szCs w:val="22"/>
                <w:lang w:val="sr-Latn-ME" w:eastAsia="ja-JP"/>
              </w:rPr>
            </w:pPr>
            <w:r w:rsidRPr="004500D8">
              <w:rPr>
                <w:sz w:val="22"/>
                <w:szCs w:val="22"/>
                <w:lang w:val="sr-Latn-ME"/>
              </w:rPr>
              <w:t>Pacijenti koji su ostvarili barem djelimičan odgovor na liječenje lijekom Humira u dozi od 40 mg svake nedjelje nakon 12 nedjelja liječenja.</w:t>
            </w:r>
          </w:p>
          <w:p w14:paraId="47F69CB7" w14:textId="77777777" w:rsidR="00596C07" w:rsidRPr="004500D8" w:rsidRDefault="00596C07" w:rsidP="002D19E9">
            <w:pPr>
              <w:keepLines/>
              <w:numPr>
                <w:ilvl w:val="0"/>
                <w:numId w:val="5"/>
              </w:numPr>
              <w:tabs>
                <w:tab w:val="left" w:pos="562"/>
              </w:tabs>
              <w:suppressAutoHyphens/>
              <w:spacing w:before="40" w:after="160" w:line="259" w:lineRule="auto"/>
              <w:ind w:left="333" w:hanging="270"/>
              <w:jc w:val="both"/>
              <w:rPr>
                <w:rFonts w:eastAsia="MS Mincho"/>
                <w:sz w:val="22"/>
                <w:szCs w:val="22"/>
                <w:lang w:val="sr-Latn-ME" w:eastAsia="ja-JP"/>
              </w:rPr>
            </w:pPr>
            <w:r w:rsidRPr="004500D8">
              <w:rPr>
                <w:rFonts w:eastAsia="MS Mincho"/>
                <w:sz w:val="22"/>
                <w:szCs w:val="22"/>
                <w:lang w:val="sr-Latn-ME" w:eastAsia="ja-JP"/>
              </w:rPr>
              <w:t>Pacijenti koji su ispunjavali protokolom utvrđene kriterijume za gubitak odgovora ili izostanak poboljšanja morali su prekinuti učestvovanje u ispitivanjima i vodili su se kao pacijenti bez odgovora</w:t>
            </w:r>
          </w:p>
        </w:tc>
      </w:tr>
    </w:tbl>
    <w:p w14:paraId="6A919273" w14:textId="77777777" w:rsidR="00596C07" w:rsidRPr="004500D8" w:rsidRDefault="00596C07" w:rsidP="00596C07">
      <w:pPr>
        <w:tabs>
          <w:tab w:val="left" w:pos="562"/>
        </w:tabs>
        <w:suppressAutoHyphens/>
        <w:jc w:val="both"/>
        <w:rPr>
          <w:color w:val="FF0000"/>
          <w:sz w:val="22"/>
          <w:szCs w:val="22"/>
          <w:lang w:val="sr-Latn-ME"/>
        </w:rPr>
      </w:pPr>
    </w:p>
    <w:p w14:paraId="6DAC272F" w14:textId="77777777" w:rsidR="00596C07" w:rsidRPr="004500D8" w:rsidRDefault="00596C07" w:rsidP="00596C07">
      <w:pPr>
        <w:widowControl w:val="0"/>
        <w:tabs>
          <w:tab w:val="num" w:pos="0"/>
        </w:tabs>
        <w:autoSpaceDE w:val="0"/>
        <w:autoSpaceDN w:val="0"/>
        <w:adjustRightInd w:val="0"/>
        <w:jc w:val="both"/>
        <w:rPr>
          <w:sz w:val="22"/>
          <w:szCs w:val="22"/>
          <w:lang w:val="sr-Latn-ME"/>
        </w:rPr>
      </w:pPr>
      <w:r w:rsidRPr="004500D8">
        <w:rPr>
          <w:sz w:val="22"/>
          <w:szCs w:val="22"/>
          <w:lang w:val="sr-Latn-ME"/>
        </w:rPr>
        <w:t>Među pacijentima koji su u 12. nedjelji ostvarili barem djelimičan odgovor i koji su nastavili terapiju lijekom Humira svake nedjelje, stopa HiSCR-a u 48. nedjelji iznosila je 68,3%, a u 96. nedjelji je iznosila 65,1%. Duže liječenje lijekom Humira 40 mg nedjeljno tokom 96 nedjelja bilo je bez novih nalaza povezanih sa bezbjednošću lijeka.</w:t>
      </w:r>
    </w:p>
    <w:p w14:paraId="00681503" w14:textId="77777777" w:rsidR="00596C07" w:rsidRPr="004500D8" w:rsidRDefault="00596C07" w:rsidP="00596C07">
      <w:pPr>
        <w:widowControl w:val="0"/>
        <w:tabs>
          <w:tab w:val="num" w:pos="0"/>
        </w:tabs>
        <w:autoSpaceDE w:val="0"/>
        <w:autoSpaceDN w:val="0"/>
        <w:adjustRightInd w:val="0"/>
        <w:jc w:val="both"/>
        <w:rPr>
          <w:sz w:val="22"/>
          <w:szCs w:val="22"/>
          <w:lang w:val="sr-Latn-ME"/>
        </w:rPr>
      </w:pPr>
    </w:p>
    <w:p w14:paraId="33FACCF6" w14:textId="77777777" w:rsidR="00596C07" w:rsidRPr="004500D8" w:rsidRDefault="00596C07" w:rsidP="00596C07">
      <w:pPr>
        <w:widowControl w:val="0"/>
        <w:tabs>
          <w:tab w:val="num" w:pos="0"/>
        </w:tabs>
        <w:autoSpaceDE w:val="0"/>
        <w:autoSpaceDN w:val="0"/>
        <w:adjustRightInd w:val="0"/>
        <w:jc w:val="both"/>
        <w:rPr>
          <w:sz w:val="22"/>
          <w:szCs w:val="22"/>
          <w:lang w:val="sr-Latn-ME"/>
        </w:rPr>
      </w:pPr>
      <w:r w:rsidRPr="004500D8">
        <w:rPr>
          <w:sz w:val="22"/>
          <w:szCs w:val="22"/>
          <w:lang w:val="sr-Latn-ME"/>
        </w:rPr>
        <w:t>Među pacijentima kojima je liječenje lijekom Humira bilo prekinuto u 12. nedjelji u ispitivanjima HS-I i HS-II, stopa HiSCR-a zabilježena 12 nedjelja nakon ponovnog uvođenja lijeka Humira u dozi od 40 mg svake nedjelje se vratila na vrijednosti slične onima prije prekida liječenja (56,0%).</w:t>
      </w:r>
    </w:p>
    <w:p w14:paraId="3795CE0A" w14:textId="77777777" w:rsidR="00596C07" w:rsidRPr="004500D8" w:rsidRDefault="00596C07" w:rsidP="00596C07">
      <w:pPr>
        <w:autoSpaceDE w:val="0"/>
        <w:autoSpaceDN w:val="0"/>
        <w:adjustRightInd w:val="0"/>
        <w:jc w:val="both"/>
        <w:rPr>
          <w:sz w:val="22"/>
          <w:szCs w:val="22"/>
          <w:lang w:val="sr-Latn-ME"/>
        </w:rPr>
      </w:pPr>
    </w:p>
    <w:p w14:paraId="090E213D" w14:textId="77777777" w:rsidR="00596C07" w:rsidRPr="004500D8" w:rsidRDefault="00596C07" w:rsidP="00596C07">
      <w:pPr>
        <w:autoSpaceDE w:val="0"/>
        <w:autoSpaceDN w:val="0"/>
        <w:adjustRightInd w:val="0"/>
        <w:jc w:val="both"/>
        <w:rPr>
          <w:i/>
          <w:sz w:val="22"/>
          <w:szCs w:val="22"/>
          <w:lang w:val="sr-Latn-ME"/>
        </w:rPr>
      </w:pPr>
      <w:r w:rsidRPr="004500D8">
        <w:rPr>
          <w:i/>
          <w:sz w:val="22"/>
          <w:szCs w:val="22"/>
          <w:lang w:val="sr-Latn-ME"/>
        </w:rPr>
        <w:t xml:space="preserve">Chronova bolest </w:t>
      </w:r>
    </w:p>
    <w:p w14:paraId="7E1DDF33" w14:textId="57521301"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Bezbjednost i efikasnost primjene lijeka Humira ispitivani su u randomizovanim, dvostruko slijepim, placebo kontrolisanim ispitivanjima na preko 1500 pacijenata s umjerenom do teškom aktivnom Crohn-ovom bolešću (Indeks aktivnosti Crohn-ove bolesti (CDAI) ≥ 220 i ≤ 450). Istovremena primjena aminosalicilata, kortikosteroida i/ili imunomodulatornih ljekova u stabilnim dozama bila je dozvoljena, te je 80% pacijenata nastavilo da uzima najmanje jedan od ovih ljekova.</w:t>
      </w:r>
    </w:p>
    <w:p w14:paraId="5B0890A7" w14:textId="77777777" w:rsidR="00596C07" w:rsidRPr="004500D8" w:rsidRDefault="00596C07" w:rsidP="00596C07">
      <w:pPr>
        <w:autoSpaceDE w:val="0"/>
        <w:autoSpaceDN w:val="0"/>
        <w:adjustRightInd w:val="0"/>
        <w:jc w:val="both"/>
        <w:rPr>
          <w:sz w:val="22"/>
          <w:szCs w:val="22"/>
          <w:lang w:val="sr-Latn-ME"/>
        </w:rPr>
      </w:pPr>
    </w:p>
    <w:p w14:paraId="72A22A83"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 xml:space="preserve">Indukcija kliničke remisije (definisana kao CDAI &lt; 150) procjenjivana je u dva ispitivanja, CD I (CLASSIC I) i CD II (GAIN). U ispitivanju CD I, 299 pacijenata koji nikad nisu primali terapiju antagonistom TNF-a randomizovani su u jednu od 4 terapijske grupe: placebo u 0. nedjelji i u 2. nedjelji, lijek Humira 160 mg u 0. nedjelji i 80 mg u 2. nedjelji, lijek Humira 80 mg u 0. nedjelji i 40 mg u 2. </w:t>
      </w:r>
      <w:r w:rsidRPr="004500D8">
        <w:rPr>
          <w:sz w:val="22"/>
          <w:szCs w:val="22"/>
          <w:lang w:val="sr-Latn-ME"/>
        </w:rPr>
        <w:lastRenderedPageBreak/>
        <w:t>nedjelji, lijek Humira 40 mg u 0. nedjelji i 20 mg u 2. nedjelji. U ispitivanju CD II, 325 pacijenata koji su izgubili odgovor ili nisu podnosili terapiju infliksimabom randomizovani su ili u grupu koja je primala 160 mg lijeka Humira u 0. nedjelji i 80 mg lijeka Humira u 2. nedjelji, ili u grupu koja je primala placebo u 0. nedjelji, odnosno u 2. nedjelji. Pacijenti kod kojih nije postignut odgovor nakon prve doze isključeni su iz daljnjeg toka ispitivanja, i zato nisu bili dalje evaluirani.</w:t>
      </w:r>
    </w:p>
    <w:p w14:paraId="5245C73E" w14:textId="77777777" w:rsidR="00596C07" w:rsidRPr="004500D8" w:rsidRDefault="00596C07" w:rsidP="00596C07">
      <w:pPr>
        <w:autoSpaceDE w:val="0"/>
        <w:autoSpaceDN w:val="0"/>
        <w:adjustRightInd w:val="0"/>
        <w:jc w:val="both"/>
        <w:rPr>
          <w:sz w:val="22"/>
          <w:szCs w:val="22"/>
          <w:lang w:val="sr-Latn-ME"/>
        </w:rPr>
      </w:pPr>
    </w:p>
    <w:p w14:paraId="59F985D7"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 xml:space="preserve">Održavanje kliničke remisije ocjenjivano je u ispitivanju CD III (CHARM). U ovom otvorenom ispitivanju, 854 pacijenata primilo je 80 mg lijeka Humira u 0. nedjelji, a 40 mg u 2. nedjelji. U četvrtoj nedjelji, pacijenti su randomizovani u grupe koje su primale 40 mg lijeka Humira svake nedjelje, 40 mg lijeka Humira svake druge nedjelje, ili placebo tokom ukupnog perioda trajanja ispitivanja od 56 nedjelja. Pacijenti s kliničkim odgovorom (smanjenje CDAI ≥ 70) u 4. nedjelji su podijeljeni i analizirani odvojeno od pacijenata bez kliničkog odgovora u 4. nedjelji. Dozvoljeno je smanjenje doze kortikosteroida nakon 8 nedjelja. </w:t>
      </w:r>
    </w:p>
    <w:p w14:paraId="54906DA9" w14:textId="77777777" w:rsidR="00596C07" w:rsidRPr="004500D8" w:rsidRDefault="00596C07" w:rsidP="00596C07">
      <w:pPr>
        <w:autoSpaceDE w:val="0"/>
        <w:autoSpaceDN w:val="0"/>
        <w:adjustRightInd w:val="0"/>
        <w:jc w:val="both"/>
        <w:rPr>
          <w:sz w:val="22"/>
          <w:szCs w:val="22"/>
          <w:lang w:val="sr-Latn-ME"/>
        </w:rPr>
      </w:pPr>
    </w:p>
    <w:p w14:paraId="43CBBD18"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 xml:space="preserve">Stopa indukcije remisije i stope odgovora ispitivanja CD I i II prikazani su u Tabeli 14. </w:t>
      </w:r>
    </w:p>
    <w:p w14:paraId="7A220D3E" w14:textId="77777777" w:rsidR="00596C07" w:rsidRPr="004500D8" w:rsidRDefault="00596C07" w:rsidP="00596C07">
      <w:pPr>
        <w:autoSpaceDE w:val="0"/>
        <w:autoSpaceDN w:val="0"/>
        <w:adjustRightInd w:val="0"/>
        <w:jc w:val="both"/>
        <w:rPr>
          <w:sz w:val="22"/>
          <w:szCs w:val="22"/>
          <w:lang w:val="sr-Latn-ME"/>
        </w:rPr>
      </w:pPr>
    </w:p>
    <w:p w14:paraId="040F8CCF" w14:textId="77777777" w:rsidR="006D7043" w:rsidRPr="004500D8" w:rsidRDefault="006D7043" w:rsidP="003B242C">
      <w:pPr>
        <w:autoSpaceDE w:val="0"/>
        <w:autoSpaceDN w:val="0"/>
        <w:adjustRightInd w:val="0"/>
        <w:rPr>
          <w:b/>
          <w:sz w:val="22"/>
          <w:szCs w:val="22"/>
          <w:lang w:val="sr-Latn-ME"/>
        </w:rPr>
      </w:pPr>
    </w:p>
    <w:p w14:paraId="33A34E83" w14:textId="77777777" w:rsidR="006D7043" w:rsidRPr="004500D8" w:rsidRDefault="006D7043" w:rsidP="003B242C">
      <w:pPr>
        <w:autoSpaceDE w:val="0"/>
        <w:autoSpaceDN w:val="0"/>
        <w:adjustRightInd w:val="0"/>
        <w:rPr>
          <w:b/>
          <w:sz w:val="22"/>
          <w:szCs w:val="22"/>
          <w:lang w:val="sr-Latn-ME"/>
        </w:rPr>
      </w:pPr>
    </w:p>
    <w:p w14:paraId="798DBEBB" w14:textId="77777777" w:rsidR="006D7043" w:rsidRPr="004500D8" w:rsidRDefault="006D7043" w:rsidP="003B242C">
      <w:pPr>
        <w:autoSpaceDE w:val="0"/>
        <w:autoSpaceDN w:val="0"/>
        <w:adjustRightInd w:val="0"/>
        <w:rPr>
          <w:b/>
          <w:sz w:val="22"/>
          <w:szCs w:val="22"/>
          <w:lang w:val="sr-Latn-ME"/>
        </w:rPr>
      </w:pPr>
    </w:p>
    <w:p w14:paraId="534F8689" w14:textId="320EBE83" w:rsidR="00596C07" w:rsidRPr="004500D8" w:rsidRDefault="00596C07" w:rsidP="003B242C">
      <w:pPr>
        <w:autoSpaceDE w:val="0"/>
        <w:autoSpaceDN w:val="0"/>
        <w:adjustRightInd w:val="0"/>
        <w:rPr>
          <w:b/>
          <w:sz w:val="22"/>
          <w:szCs w:val="22"/>
          <w:lang w:val="sr-Latn-ME"/>
        </w:rPr>
      </w:pPr>
      <w:r w:rsidRPr="004500D8">
        <w:rPr>
          <w:b/>
          <w:sz w:val="22"/>
          <w:szCs w:val="22"/>
          <w:lang w:val="sr-Latn-ME"/>
        </w:rPr>
        <w:t>Tabela 14</w:t>
      </w:r>
      <w:r w:rsidR="006D7043" w:rsidRPr="004500D8">
        <w:rPr>
          <w:b/>
          <w:sz w:val="22"/>
          <w:szCs w:val="22"/>
          <w:lang w:val="sr-Latn-ME"/>
        </w:rPr>
        <w:t xml:space="preserve">. </w:t>
      </w:r>
      <w:r w:rsidRPr="004500D8">
        <w:rPr>
          <w:b/>
          <w:sz w:val="22"/>
          <w:szCs w:val="22"/>
          <w:lang w:val="sr-Latn-ME"/>
        </w:rPr>
        <w:t>Indukcija kliničke remisije i kliničkog odgovora</w:t>
      </w:r>
      <w:r w:rsidR="006D7043" w:rsidRPr="004500D8">
        <w:rPr>
          <w:b/>
          <w:sz w:val="22"/>
          <w:szCs w:val="22"/>
          <w:lang w:val="sr-Latn-ME"/>
        </w:rPr>
        <w:t xml:space="preserve"> </w:t>
      </w:r>
      <w:r w:rsidRPr="004500D8">
        <w:rPr>
          <w:b/>
          <w:sz w:val="22"/>
          <w:szCs w:val="22"/>
          <w:lang w:val="sr-Latn-ME"/>
        </w:rPr>
        <w:t>(procenat pacijenata)</w:t>
      </w:r>
    </w:p>
    <w:p w14:paraId="2CE91202" w14:textId="77777777" w:rsidR="00596C07" w:rsidRPr="004500D8" w:rsidRDefault="00596C07" w:rsidP="00596C07">
      <w:pPr>
        <w:autoSpaceDE w:val="0"/>
        <w:autoSpaceDN w:val="0"/>
        <w:adjustRightInd w:val="0"/>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1388"/>
        <w:gridCol w:w="1390"/>
        <w:gridCol w:w="1389"/>
        <w:gridCol w:w="1389"/>
        <w:gridCol w:w="1350"/>
      </w:tblGrid>
      <w:tr w:rsidR="00596C07" w:rsidRPr="004500D8" w14:paraId="457CBCDD" w14:textId="77777777" w:rsidTr="00596C07">
        <w:tc>
          <w:tcPr>
            <w:tcW w:w="2235" w:type="dxa"/>
            <w:shd w:val="clear" w:color="auto" w:fill="auto"/>
          </w:tcPr>
          <w:p w14:paraId="0464A136" w14:textId="77777777" w:rsidR="00596C07" w:rsidRPr="004500D8" w:rsidRDefault="00596C07" w:rsidP="00596C07">
            <w:pPr>
              <w:autoSpaceDE w:val="0"/>
              <w:autoSpaceDN w:val="0"/>
              <w:adjustRightInd w:val="0"/>
              <w:jc w:val="both"/>
              <w:rPr>
                <w:sz w:val="22"/>
                <w:szCs w:val="22"/>
                <w:lang w:val="sr-Latn-ME"/>
              </w:rPr>
            </w:pPr>
          </w:p>
        </w:tc>
        <w:tc>
          <w:tcPr>
            <w:tcW w:w="4252" w:type="dxa"/>
            <w:gridSpan w:val="3"/>
            <w:shd w:val="clear" w:color="auto" w:fill="auto"/>
          </w:tcPr>
          <w:p w14:paraId="238936DD" w14:textId="77777777" w:rsidR="00596C07" w:rsidRPr="004500D8" w:rsidRDefault="00596C07" w:rsidP="00596C07">
            <w:pPr>
              <w:autoSpaceDE w:val="0"/>
              <w:autoSpaceDN w:val="0"/>
              <w:adjustRightInd w:val="0"/>
              <w:rPr>
                <w:b/>
                <w:bCs/>
                <w:sz w:val="22"/>
                <w:szCs w:val="22"/>
                <w:lang w:val="sr-Latn-ME"/>
              </w:rPr>
            </w:pPr>
            <w:r w:rsidRPr="004500D8">
              <w:rPr>
                <w:b/>
                <w:bCs/>
                <w:sz w:val="22"/>
                <w:szCs w:val="22"/>
                <w:lang w:val="sr-Latn-ME"/>
              </w:rPr>
              <w:t>CD I: pacijenti koji prethodno nisu uzimali infliksimab</w:t>
            </w:r>
          </w:p>
        </w:tc>
        <w:tc>
          <w:tcPr>
            <w:tcW w:w="2793" w:type="dxa"/>
            <w:gridSpan w:val="2"/>
            <w:shd w:val="clear" w:color="auto" w:fill="auto"/>
          </w:tcPr>
          <w:p w14:paraId="620A7022" w14:textId="77777777" w:rsidR="00596C07" w:rsidRPr="004500D8" w:rsidRDefault="00596C07" w:rsidP="00596C07">
            <w:pPr>
              <w:autoSpaceDE w:val="0"/>
              <w:autoSpaceDN w:val="0"/>
              <w:adjustRightInd w:val="0"/>
              <w:rPr>
                <w:sz w:val="22"/>
                <w:szCs w:val="22"/>
                <w:lang w:val="sr-Latn-ME"/>
              </w:rPr>
            </w:pPr>
            <w:r w:rsidRPr="004500D8">
              <w:rPr>
                <w:b/>
                <w:bCs/>
                <w:sz w:val="22"/>
                <w:szCs w:val="22"/>
                <w:lang w:val="sr-Latn-ME"/>
              </w:rPr>
              <w:t>CD II: pacijenti koji su uzimali infliksimab</w:t>
            </w:r>
          </w:p>
        </w:tc>
      </w:tr>
      <w:tr w:rsidR="00596C07" w:rsidRPr="004500D8" w14:paraId="39C13E0E" w14:textId="77777777" w:rsidTr="00596C07">
        <w:tc>
          <w:tcPr>
            <w:tcW w:w="2235" w:type="dxa"/>
            <w:shd w:val="clear" w:color="auto" w:fill="auto"/>
          </w:tcPr>
          <w:p w14:paraId="5D66556E" w14:textId="77777777" w:rsidR="00596C07" w:rsidRPr="004500D8" w:rsidRDefault="00596C07" w:rsidP="00596C07">
            <w:pPr>
              <w:autoSpaceDE w:val="0"/>
              <w:autoSpaceDN w:val="0"/>
              <w:adjustRightInd w:val="0"/>
              <w:jc w:val="both"/>
              <w:rPr>
                <w:sz w:val="22"/>
                <w:szCs w:val="22"/>
                <w:lang w:val="sr-Latn-ME"/>
              </w:rPr>
            </w:pPr>
          </w:p>
        </w:tc>
        <w:tc>
          <w:tcPr>
            <w:tcW w:w="1417" w:type="dxa"/>
            <w:shd w:val="clear" w:color="auto" w:fill="auto"/>
          </w:tcPr>
          <w:p w14:paraId="39E8536C" w14:textId="77777777" w:rsidR="00596C07" w:rsidRPr="004500D8" w:rsidRDefault="00596C07" w:rsidP="00596C07">
            <w:pPr>
              <w:autoSpaceDE w:val="0"/>
              <w:autoSpaceDN w:val="0"/>
              <w:adjustRightInd w:val="0"/>
              <w:rPr>
                <w:b/>
                <w:bCs/>
                <w:sz w:val="22"/>
                <w:szCs w:val="22"/>
                <w:lang w:val="sr-Latn-ME"/>
              </w:rPr>
            </w:pPr>
            <w:r w:rsidRPr="004500D8">
              <w:rPr>
                <w:b/>
                <w:bCs/>
                <w:sz w:val="22"/>
                <w:szCs w:val="22"/>
                <w:lang w:val="sr-Latn-ME"/>
              </w:rPr>
              <w:t>Placebo</w:t>
            </w:r>
          </w:p>
          <w:p w14:paraId="20D536BF" w14:textId="77777777" w:rsidR="00596C07" w:rsidRPr="004500D8" w:rsidRDefault="00596C07" w:rsidP="00596C07">
            <w:pPr>
              <w:autoSpaceDE w:val="0"/>
              <w:autoSpaceDN w:val="0"/>
              <w:adjustRightInd w:val="0"/>
              <w:rPr>
                <w:sz w:val="22"/>
                <w:szCs w:val="22"/>
                <w:lang w:val="sr-Latn-ME"/>
              </w:rPr>
            </w:pPr>
            <w:r w:rsidRPr="004500D8">
              <w:rPr>
                <w:b/>
                <w:bCs/>
                <w:sz w:val="22"/>
                <w:szCs w:val="22"/>
                <w:lang w:val="sr-Latn-ME"/>
              </w:rPr>
              <w:t>N=74</w:t>
            </w:r>
          </w:p>
        </w:tc>
        <w:tc>
          <w:tcPr>
            <w:tcW w:w="1418" w:type="dxa"/>
            <w:shd w:val="clear" w:color="auto" w:fill="auto"/>
          </w:tcPr>
          <w:p w14:paraId="2EA1EF11" w14:textId="77777777" w:rsidR="00596C07" w:rsidRPr="004500D8" w:rsidRDefault="00596C07" w:rsidP="00596C07">
            <w:pPr>
              <w:autoSpaceDE w:val="0"/>
              <w:autoSpaceDN w:val="0"/>
              <w:adjustRightInd w:val="0"/>
              <w:rPr>
                <w:b/>
                <w:bCs/>
                <w:sz w:val="22"/>
                <w:szCs w:val="22"/>
                <w:lang w:val="sr-Latn-ME"/>
              </w:rPr>
            </w:pPr>
            <w:r w:rsidRPr="004500D8">
              <w:rPr>
                <w:b/>
                <w:bCs/>
                <w:sz w:val="22"/>
                <w:szCs w:val="22"/>
                <w:lang w:val="sr-Latn-ME"/>
              </w:rPr>
              <w:t>Humira</w:t>
            </w:r>
          </w:p>
          <w:p w14:paraId="155D2310" w14:textId="77777777" w:rsidR="00596C07" w:rsidRPr="004500D8" w:rsidRDefault="00596C07" w:rsidP="00596C07">
            <w:pPr>
              <w:autoSpaceDE w:val="0"/>
              <w:autoSpaceDN w:val="0"/>
              <w:adjustRightInd w:val="0"/>
              <w:rPr>
                <w:b/>
                <w:bCs/>
                <w:sz w:val="22"/>
                <w:szCs w:val="22"/>
                <w:lang w:val="sr-Latn-ME"/>
              </w:rPr>
            </w:pPr>
            <w:r w:rsidRPr="004500D8">
              <w:rPr>
                <w:b/>
                <w:bCs/>
                <w:sz w:val="22"/>
                <w:szCs w:val="22"/>
                <w:lang w:val="sr-Latn-ME"/>
              </w:rPr>
              <w:t>80/40 mg</w:t>
            </w:r>
          </w:p>
          <w:p w14:paraId="3116E605" w14:textId="77777777" w:rsidR="00596C07" w:rsidRPr="004500D8" w:rsidRDefault="00596C07" w:rsidP="00596C07">
            <w:pPr>
              <w:autoSpaceDE w:val="0"/>
              <w:autoSpaceDN w:val="0"/>
              <w:adjustRightInd w:val="0"/>
              <w:rPr>
                <w:sz w:val="22"/>
                <w:szCs w:val="22"/>
                <w:lang w:val="sr-Latn-ME"/>
              </w:rPr>
            </w:pPr>
            <w:r w:rsidRPr="004500D8">
              <w:rPr>
                <w:b/>
                <w:bCs/>
                <w:sz w:val="22"/>
                <w:szCs w:val="22"/>
                <w:lang w:val="sr-Latn-ME"/>
              </w:rPr>
              <w:t>N = 75</w:t>
            </w:r>
          </w:p>
        </w:tc>
        <w:tc>
          <w:tcPr>
            <w:tcW w:w="1417" w:type="dxa"/>
            <w:shd w:val="clear" w:color="auto" w:fill="auto"/>
          </w:tcPr>
          <w:p w14:paraId="5683130D" w14:textId="77777777" w:rsidR="00596C07" w:rsidRPr="004500D8" w:rsidRDefault="00596C07" w:rsidP="00596C07">
            <w:pPr>
              <w:autoSpaceDE w:val="0"/>
              <w:autoSpaceDN w:val="0"/>
              <w:adjustRightInd w:val="0"/>
              <w:rPr>
                <w:b/>
                <w:bCs/>
                <w:sz w:val="22"/>
                <w:szCs w:val="22"/>
                <w:lang w:val="sr-Latn-ME"/>
              </w:rPr>
            </w:pPr>
            <w:r w:rsidRPr="004500D8">
              <w:rPr>
                <w:b/>
                <w:bCs/>
                <w:sz w:val="22"/>
                <w:szCs w:val="22"/>
                <w:lang w:val="sr-Latn-ME"/>
              </w:rPr>
              <w:t>Humira</w:t>
            </w:r>
          </w:p>
          <w:p w14:paraId="7D7EAD44" w14:textId="77777777" w:rsidR="00596C07" w:rsidRPr="004500D8" w:rsidRDefault="00596C07" w:rsidP="00596C07">
            <w:pPr>
              <w:autoSpaceDE w:val="0"/>
              <w:autoSpaceDN w:val="0"/>
              <w:adjustRightInd w:val="0"/>
              <w:rPr>
                <w:b/>
                <w:bCs/>
                <w:sz w:val="22"/>
                <w:szCs w:val="22"/>
                <w:lang w:val="sr-Latn-ME"/>
              </w:rPr>
            </w:pPr>
            <w:r w:rsidRPr="004500D8">
              <w:rPr>
                <w:b/>
                <w:bCs/>
                <w:sz w:val="22"/>
                <w:szCs w:val="22"/>
                <w:lang w:val="sr-Latn-ME"/>
              </w:rPr>
              <w:t>160/80 mg</w:t>
            </w:r>
          </w:p>
          <w:p w14:paraId="7FC9F7D8" w14:textId="77777777" w:rsidR="00596C07" w:rsidRPr="004500D8" w:rsidRDefault="00596C07" w:rsidP="00596C07">
            <w:pPr>
              <w:autoSpaceDE w:val="0"/>
              <w:autoSpaceDN w:val="0"/>
              <w:adjustRightInd w:val="0"/>
              <w:rPr>
                <w:sz w:val="22"/>
                <w:szCs w:val="22"/>
                <w:lang w:val="sr-Latn-ME"/>
              </w:rPr>
            </w:pPr>
            <w:r w:rsidRPr="004500D8">
              <w:rPr>
                <w:b/>
                <w:bCs/>
                <w:sz w:val="22"/>
                <w:szCs w:val="22"/>
                <w:lang w:val="sr-Latn-ME"/>
              </w:rPr>
              <w:t>N=76</w:t>
            </w:r>
          </w:p>
        </w:tc>
        <w:tc>
          <w:tcPr>
            <w:tcW w:w="1418" w:type="dxa"/>
            <w:shd w:val="clear" w:color="auto" w:fill="auto"/>
          </w:tcPr>
          <w:p w14:paraId="02361A46" w14:textId="77777777" w:rsidR="00596C07" w:rsidRPr="004500D8" w:rsidRDefault="00596C07" w:rsidP="00596C07">
            <w:pPr>
              <w:autoSpaceDE w:val="0"/>
              <w:autoSpaceDN w:val="0"/>
              <w:adjustRightInd w:val="0"/>
              <w:rPr>
                <w:b/>
                <w:bCs/>
                <w:sz w:val="22"/>
                <w:szCs w:val="22"/>
                <w:lang w:val="sr-Latn-ME"/>
              </w:rPr>
            </w:pPr>
            <w:r w:rsidRPr="004500D8">
              <w:rPr>
                <w:b/>
                <w:bCs/>
                <w:sz w:val="22"/>
                <w:szCs w:val="22"/>
                <w:lang w:val="sr-Latn-ME"/>
              </w:rPr>
              <w:t>Placebo</w:t>
            </w:r>
          </w:p>
          <w:p w14:paraId="709AAC32" w14:textId="77777777" w:rsidR="00596C07" w:rsidRPr="004500D8" w:rsidRDefault="00596C07" w:rsidP="00596C07">
            <w:pPr>
              <w:autoSpaceDE w:val="0"/>
              <w:autoSpaceDN w:val="0"/>
              <w:adjustRightInd w:val="0"/>
              <w:rPr>
                <w:sz w:val="22"/>
                <w:szCs w:val="22"/>
                <w:lang w:val="sr-Latn-ME"/>
              </w:rPr>
            </w:pPr>
            <w:r w:rsidRPr="004500D8">
              <w:rPr>
                <w:b/>
                <w:bCs/>
                <w:sz w:val="22"/>
                <w:szCs w:val="22"/>
                <w:lang w:val="sr-Latn-ME"/>
              </w:rPr>
              <w:t>N=166</w:t>
            </w:r>
          </w:p>
        </w:tc>
        <w:tc>
          <w:tcPr>
            <w:tcW w:w="1375" w:type="dxa"/>
            <w:shd w:val="clear" w:color="auto" w:fill="auto"/>
          </w:tcPr>
          <w:p w14:paraId="78CCDFEA" w14:textId="77777777" w:rsidR="00596C07" w:rsidRPr="004500D8" w:rsidRDefault="00596C07" w:rsidP="00596C07">
            <w:pPr>
              <w:autoSpaceDE w:val="0"/>
              <w:autoSpaceDN w:val="0"/>
              <w:adjustRightInd w:val="0"/>
              <w:rPr>
                <w:b/>
                <w:bCs/>
                <w:sz w:val="22"/>
                <w:szCs w:val="22"/>
                <w:lang w:val="sr-Latn-ME"/>
              </w:rPr>
            </w:pPr>
            <w:r w:rsidRPr="004500D8">
              <w:rPr>
                <w:b/>
                <w:bCs/>
                <w:sz w:val="22"/>
                <w:szCs w:val="22"/>
                <w:lang w:val="sr-Latn-ME"/>
              </w:rPr>
              <w:t>Humira</w:t>
            </w:r>
          </w:p>
          <w:p w14:paraId="66B71E8C" w14:textId="77777777" w:rsidR="00596C07" w:rsidRPr="004500D8" w:rsidRDefault="00596C07" w:rsidP="00596C07">
            <w:pPr>
              <w:autoSpaceDE w:val="0"/>
              <w:autoSpaceDN w:val="0"/>
              <w:adjustRightInd w:val="0"/>
              <w:rPr>
                <w:b/>
                <w:bCs/>
                <w:sz w:val="22"/>
                <w:szCs w:val="22"/>
                <w:lang w:val="sr-Latn-ME"/>
              </w:rPr>
            </w:pPr>
            <w:r w:rsidRPr="004500D8">
              <w:rPr>
                <w:b/>
                <w:bCs/>
                <w:sz w:val="22"/>
                <w:szCs w:val="22"/>
                <w:lang w:val="sr-Latn-ME"/>
              </w:rPr>
              <w:t>160/80 mg</w:t>
            </w:r>
          </w:p>
          <w:p w14:paraId="1A1BDB85" w14:textId="77777777" w:rsidR="00596C07" w:rsidRPr="004500D8" w:rsidRDefault="00596C07" w:rsidP="00596C07">
            <w:pPr>
              <w:autoSpaceDE w:val="0"/>
              <w:autoSpaceDN w:val="0"/>
              <w:adjustRightInd w:val="0"/>
              <w:rPr>
                <w:sz w:val="22"/>
                <w:szCs w:val="22"/>
                <w:lang w:val="sr-Latn-ME"/>
              </w:rPr>
            </w:pPr>
            <w:r w:rsidRPr="004500D8">
              <w:rPr>
                <w:b/>
                <w:bCs/>
                <w:sz w:val="22"/>
                <w:szCs w:val="22"/>
                <w:lang w:val="sr-Latn-ME"/>
              </w:rPr>
              <w:t>N=159</w:t>
            </w:r>
          </w:p>
        </w:tc>
      </w:tr>
      <w:tr w:rsidR="00596C07" w:rsidRPr="004500D8" w14:paraId="067AB2BB" w14:textId="77777777" w:rsidTr="00596C07">
        <w:tc>
          <w:tcPr>
            <w:tcW w:w="2235" w:type="dxa"/>
            <w:shd w:val="clear" w:color="auto" w:fill="auto"/>
          </w:tcPr>
          <w:p w14:paraId="45767687"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 xml:space="preserve">4. nedjelja </w:t>
            </w:r>
          </w:p>
        </w:tc>
        <w:tc>
          <w:tcPr>
            <w:tcW w:w="1417" w:type="dxa"/>
            <w:shd w:val="clear" w:color="auto" w:fill="auto"/>
          </w:tcPr>
          <w:p w14:paraId="6CADF1E8" w14:textId="77777777" w:rsidR="00596C07" w:rsidRPr="004500D8" w:rsidRDefault="00596C07" w:rsidP="00596C07">
            <w:pPr>
              <w:autoSpaceDE w:val="0"/>
              <w:autoSpaceDN w:val="0"/>
              <w:adjustRightInd w:val="0"/>
              <w:jc w:val="center"/>
              <w:rPr>
                <w:sz w:val="22"/>
                <w:szCs w:val="22"/>
                <w:lang w:val="sr-Latn-ME"/>
              </w:rPr>
            </w:pPr>
          </w:p>
        </w:tc>
        <w:tc>
          <w:tcPr>
            <w:tcW w:w="1418" w:type="dxa"/>
            <w:shd w:val="clear" w:color="auto" w:fill="auto"/>
          </w:tcPr>
          <w:p w14:paraId="68263B74" w14:textId="77777777" w:rsidR="00596C07" w:rsidRPr="004500D8" w:rsidRDefault="00596C07" w:rsidP="00596C07">
            <w:pPr>
              <w:autoSpaceDE w:val="0"/>
              <w:autoSpaceDN w:val="0"/>
              <w:adjustRightInd w:val="0"/>
              <w:jc w:val="center"/>
              <w:rPr>
                <w:sz w:val="22"/>
                <w:szCs w:val="22"/>
                <w:lang w:val="sr-Latn-ME"/>
              </w:rPr>
            </w:pPr>
          </w:p>
        </w:tc>
        <w:tc>
          <w:tcPr>
            <w:tcW w:w="1417" w:type="dxa"/>
            <w:shd w:val="clear" w:color="auto" w:fill="auto"/>
          </w:tcPr>
          <w:p w14:paraId="1DC3B9D1" w14:textId="77777777" w:rsidR="00596C07" w:rsidRPr="004500D8" w:rsidRDefault="00596C07" w:rsidP="00596C07">
            <w:pPr>
              <w:autoSpaceDE w:val="0"/>
              <w:autoSpaceDN w:val="0"/>
              <w:adjustRightInd w:val="0"/>
              <w:jc w:val="center"/>
              <w:rPr>
                <w:sz w:val="22"/>
                <w:szCs w:val="22"/>
                <w:lang w:val="sr-Latn-ME"/>
              </w:rPr>
            </w:pPr>
          </w:p>
        </w:tc>
        <w:tc>
          <w:tcPr>
            <w:tcW w:w="1418" w:type="dxa"/>
            <w:shd w:val="clear" w:color="auto" w:fill="auto"/>
          </w:tcPr>
          <w:p w14:paraId="78BC573F" w14:textId="77777777" w:rsidR="00596C07" w:rsidRPr="004500D8" w:rsidRDefault="00596C07" w:rsidP="00596C07">
            <w:pPr>
              <w:autoSpaceDE w:val="0"/>
              <w:autoSpaceDN w:val="0"/>
              <w:adjustRightInd w:val="0"/>
              <w:jc w:val="center"/>
              <w:rPr>
                <w:sz w:val="22"/>
                <w:szCs w:val="22"/>
                <w:lang w:val="sr-Latn-ME"/>
              </w:rPr>
            </w:pPr>
          </w:p>
        </w:tc>
        <w:tc>
          <w:tcPr>
            <w:tcW w:w="1375" w:type="dxa"/>
            <w:shd w:val="clear" w:color="auto" w:fill="auto"/>
          </w:tcPr>
          <w:p w14:paraId="6C6C014C" w14:textId="77777777" w:rsidR="00596C07" w:rsidRPr="004500D8" w:rsidRDefault="00596C07" w:rsidP="00596C07">
            <w:pPr>
              <w:autoSpaceDE w:val="0"/>
              <w:autoSpaceDN w:val="0"/>
              <w:adjustRightInd w:val="0"/>
              <w:jc w:val="center"/>
              <w:rPr>
                <w:sz w:val="22"/>
                <w:szCs w:val="22"/>
                <w:lang w:val="sr-Latn-ME"/>
              </w:rPr>
            </w:pPr>
          </w:p>
        </w:tc>
      </w:tr>
      <w:tr w:rsidR="00596C07" w:rsidRPr="004500D8" w14:paraId="5A604148" w14:textId="77777777" w:rsidTr="00596C07">
        <w:tc>
          <w:tcPr>
            <w:tcW w:w="2235" w:type="dxa"/>
            <w:shd w:val="clear" w:color="auto" w:fill="auto"/>
          </w:tcPr>
          <w:p w14:paraId="2C2755A0"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 xml:space="preserve">Klinička remisija </w:t>
            </w:r>
          </w:p>
        </w:tc>
        <w:tc>
          <w:tcPr>
            <w:tcW w:w="1417" w:type="dxa"/>
            <w:shd w:val="clear" w:color="auto" w:fill="auto"/>
          </w:tcPr>
          <w:p w14:paraId="7C0C9C9C"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12%</w:t>
            </w:r>
          </w:p>
        </w:tc>
        <w:tc>
          <w:tcPr>
            <w:tcW w:w="1418" w:type="dxa"/>
            <w:shd w:val="clear" w:color="auto" w:fill="auto"/>
          </w:tcPr>
          <w:p w14:paraId="0AE10370"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24%</w:t>
            </w:r>
          </w:p>
        </w:tc>
        <w:tc>
          <w:tcPr>
            <w:tcW w:w="1417" w:type="dxa"/>
            <w:shd w:val="clear" w:color="auto" w:fill="auto"/>
          </w:tcPr>
          <w:p w14:paraId="754D8F6A"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36%*</w:t>
            </w:r>
          </w:p>
        </w:tc>
        <w:tc>
          <w:tcPr>
            <w:tcW w:w="1418" w:type="dxa"/>
            <w:shd w:val="clear" w:color="auto" w:fill="auto"/>
          </w:tcPr>
          <w:p w14:paraId="3B83CA66"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7%</w:t>
            </w:r>
          </w:p>
        </w:tc>
        <w:tc>
          <w:tcPr>
            <w:tcW w:w="1375" w:type="dxa"/>
            <w:shd w:val="clear" w:color="auto" w:fill="auto"/>
          </w:tcPr>
          <w:p w14:paraId="49F86C51"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21%*</w:t>
            </w:r>
          </w:p>
        </w:tc>
      </w:tr>
      <w:tr w:rsidR="00596C07" w:rsidRPr="004500D8" w14:paraId="4EF90BED" w14:textId="77777777" w:rsidTr="00596C07">
        <w:tc>
          <w:tcPr>
            <w:tcW w:w="2235" w:type="dxa"/>
            <w:shd w:val="clear" w:color="auto" w:fill="auto"/>
          </w:tcPr>
          <w:p w14:paraId="39B5498A"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Klinički odgovor (CR-</w:t>
            </w:r>
          </w:p>
          <w:p w14:paraId="7AD2F990"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100)</w:t>
            </w:r>
          </w:p>
        </w:tc>
        <w:tc>
          <w:tcPr>
            <w:tcW w:w="1417" w:type="dxa"/>
            <w:shd w:val="clear" w:color="auto" w:fill="auto"/>
          </w:tcPr>
          <w:p w14:paraId="0ABCFFA1"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24%</w:t>
            </w:r>
          </w:p>
        </w:tc>
        <w:tc>
          <w:tcPr>
            <w:tcW w:w="1418" w:type="dxa"/>
            <w:shd w:val="clear" w:color="auto" w:fill="auto"/>
          </w:tcPr>
          <w:p w14:paraId="0FA76FC6"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37%</w:t>
            </w:r>
          </w:p>
        </w:tc>
        <w:tc>
          <w:tcPr>
            <w:tcW w:w="1417" w:type="dxa"/>
            <w:shd w:val="clear" w:color="auto" w:fill="auto"/>
          </w:tcPr>
          <w:p w14:paraId="2577BFD2"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49%**</w:t>
            </w:r>
          </w:p>
        </w:tc>
        <w:tc>
          <w:tcPr>
            <w:tcW w:w="1418" w:type="dxa"/>
            <w:shd w:val="clear" w:color="auto" w:fill="auto"/>
          </w:tcPr>
          <w:p w14:paraId="7E069A4D"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25%</w:t>
            </w:r>
          </w:p>
        </w:tc>
        <w:tc>
          <w:tcPr>
            <w:tcW w:w="1375" w:type="dxa"/>
            <w:shd w:val="clear" w:color="auto" w:fill="auto"/>
          </w:tcPr>
          <w:p w14:paraId="5E5A72F5"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38%**</w:t>
            </w:r>
          </w:p>
        </w:tc>
      </w:tr>
    </w:tbl>
    <w:p w14:paraId="434B64A8"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 xml:space="preserve">Sve p vrijednosti date u parovima odnose se na poređenje odnosa lijeka Humira i placeba </w:t>
      </w:r>
    </w:p>
    <w:p w14:paraId="3E61478A"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   p &lt; 0,001</w:t>
      </w:r>
    </w:p>
    <w:p w14:paraId="3502500D"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 p &lt; 0,01</w:t>
      </w:r>
    </w:p>
    <w:p w14:paraId="34C5D12C" w14:textId="77777777" w:rsidR="00596C07" w:rsidRPr="004500D8" w:rsidRDefault="00596C07" w:rsidP="00596C07">
      <w:pPr>
        <w:autoSpaceDE w:val="0"/>
        <w:autoSpaceDN w:val="0"/>
        <w:adjustRightInd w:val="0"/>
        <w:jc w:val="center"/>
        <w:rPr>
          <w:b/>
          <w:sz w:val="22"/>
          <w:szCs w:val="22"/>
          <w:lang w:val="sr-Latn-ME"/>
        </w:rPr>
      </w:pPr>
    </w:p>
    <w:p w14:paraId="23F665A5"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Slične stope remisije do 8. nedjelje uočene su za grupe pacijenata koji su uzimali lijek Humira 160/80 mg i lijek Humira 80/40 mg, a dok su neželjena dejstva bila je veća u grupi koja je uzimala lijek Humira 160/80 mg.</w:t>
      </w:r>
    </w:p>
    <w:p w14:paraId="3EA62A8E" w14:textId="77777777" w:rsidR="00596C07" w:rsidRPr="004500D8" w:rsidRDefault="00596C07" w:rsidP="00596C07">
      <w:pPr>
        <w:autoSpaceDE w:val="0"/>
        <w:autoSpaceDN w:val="0"/>
        <w:adjustRightInd w:val="0"/>
        <w:jc w:val="both"/>
        <w:rPr>
          <w:sz w:val="22"/>
          <w:szCs w:val="22"/>
          <w:lang w:val="sr-Latn-ME"/>
        </w:rPr>
      </w:pPr>
    </w:p>
    <w:p w14:paraId="07BB6B99"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U ispitivanju CD III, u 4. nedjelji, 58% pacijenata (499/854) imalo je klinički odgovor i uvršteni su u primarnu analizu. Od ovih pacijenata sa kliničkim odgovorom u 4. nedjelji, 48% pacijenata je već ranije koristilo neki drugi antagonist TNF-a. Stope održavanja remisije i stope odgovora nalaze se u Tabeli 15. Rezultati kliničke remisije su se relativno održali, bez obzira na prethodno liječenje antagonistima TNF-a.</w:t>
      </w:r>
    </w:p>
    <w:p w14:paraId="3C1B702C" w14:textId="77777777" w:rsidR="00596C07" w:rsidRPr="004500D8" w:rsidRDefault="00596C07" w:rsidP="00596C07">
      <w:pPr>
        <w:autoSpaceDE w:val="0"/>
        <w:autoSpaceDN w:val="0"/>
        <w:adjustRightInd w:val="0"/>
        <w:jc w:val="both"/>
        <w:rPr>
          <w:sz w:val="22"/>
          <w:szCs w:val="22"/>
          <w:lang w:val="sr-Latn-ME"/>
        </w:rPr>
      </w:pPr>
    </w:p>
    <w:p w14:paraId="03AB2C8B"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U 56. nedjelji terapije, broj hospitalizacija i operacija povezanih s bolešću statistički je značajno smanjen kod pacijenata koji su primali adalimumab u odnosu na grupu pacijenata koja je primala placebo.</w:t>
      </w:r>
    </w:p>
    <w:p w14:paraId="38359302" w14:textId="77777777" w:rsidR="006D7043" w:rsidRPr="004500D8" w:rsidRDefault="006D7043" w:rsidP="003B242C">
      <w:pPr>
        <w:autoSpaceDE w:val="0"/>
        <w:autoSpaceDN w:val="0"/>
        <w:adjustRightInd w:val="0"/>
        <w:rPr>
          <w:sz w:val="22"/>
          <w:szCs w:val="22"/>
          <w:lang w:val="sr-Latn-ME"/>
        </w:rPr>
      </w:pPr>
    </w:p>
    <w:p w14:paraId="195F1EBB" w14:textId="36F764D0" w:rsidR="00596C07" w:rsidRPr="004500D8" w:rsidRDefault="00596C07" w:rsidP="003B242C">
      <w:pPr>
        <w:autoSpaceDE w:val="0"/>
        <w:autoSpaceDN w:val="0"/>
        <w:adjustRightInd w:val="0"/>
        <w:rPr>
          <w:b/>
          <w:sz w:val="22"/>
          <w:szCs w:val="22"/>
          <w:lang w:val="sr-Latn-ME"/>
        </w:rPr>
      </w:pPr>
      <w:r w:rsidRPr="004500D8">
        <w:rPr>
          <w:b/>
          <w:sz w:val="22"/>
          <w:szCs w:val="22"/>
          <w:lang w:val="sr-Latn-ME"/>
        </w:rPr>
        <w:t>Tabela15.</w:t>
      </w:r>
      <w:r w:rsidR="006D7043" w:rsidRPr="004500D8">
        <w:rPr>
          <w:b/>
          <w:bCs/>
          <w:sz w:val="22"/>
          <w:szCs w:val="22"/>
          <w:lang w:val="sr-Latn-ME"/>
        </w:rPr>
        <w:t xml:space="preserve"> </w:t>
      </w:r>
      <w:r w:rsidRPr="004500D8">
        <w:rPr>
          <w:b/>
          <w:bCs/>
          <w:sz w:val="22"/>
          <w:szCs w:val="22"/>
          <w:lang w:val="sr-Latn-ME"/>
        </w:rPr>
        <w:t>Održavanje kliničke remisije i kliničkog odgovora</w:t>
      </w:r>
      <w:r w:rsidR="006D7043" w:rsidRPr="004500D8">
        <w:rPr>
          <w:b/>
          <w:sz w:val="22"/>
          <w:szCs w:val="22"/>
          <w:lang w:val="sr-Latn-ME"/>
        </w:rPr>
        <w:t xml:space="preserve"> </w:t>
      </w:r>
      <w:r w:rsidRPr="004500D8">
        <w:rPr>
          <w:b/>
          <w:sz w:val="22"/>
          <w:szCs w:val="22"/>
          <w:lang w:val="sr-Latn-ME"/>
        </w:rPr>
        <w:t>(procenat pacijenata)</w:t>
      </w:r>
    </w:p>
    <w:p w14:paraId="712A98F6" w14:textId="77777777" w:rsidR="00596C07" w:rsidRPr="004500D8" w:rsidRDefault="00596C07" w:rsidP="00596C07">
      <w:pPr>
        <w:autoSpaceDE w:val="0"/>
        <w:autoSpaceDN w:val="0"/>
        <w:adjustRightInd w:val="0"/>
        <w:rPr>
          <w:b/>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3"/>
        <w:gridCol w:w="2268"/>
        <w:gridCol w:w="2268"/>
      </w:tblGrid>
      <w:tr w:rsidR="00596C07" w:rsidRPr="004500D8" w14:paraId="1EE62B43" w14:textId="77777777" w:rsidTr="00596C07">
        <w:trPr>
          <w:jc w:val="center"/>
        </w:trPr>
        <w:tc>
          <w:tcPr>
            <w:tcW w:w="2320" w:type="dxa"/>
            <w:shd w:val="clear" w:color="auto" w:fill="auto"/>
          </w:tcPr>
          <w:p w14:paraId="0A3B1BF1" w14:textId="77777777" w:rsidR="00596C07" w:rsidRPr="004500D8" w:rsidRDefault="00596C07" w:rsidP="00596C07">
            <w:pPr>
              <w:autoSpaceDE w:val="0"/>
              <w:autoSpaceDN w:val="0"/>
              <w:adjustRightInd w:val="0"/>
              <w:rPr>
                <w:sz w:val="22"/>
                <w:szCs w:val="22"/>
                <w:lang w:val="sr-Latn-ME"/>
              </w:rPr>
            </w:pPr>
          </w:p>
        </w:tc>
        <w:tc>
          <w:tcPr>
            <w:tcW w:w="2320" w:type="dxa"/>
            <w:shd w:val="clear" w:color="auto" w:fill="auto"/>
          </w:tcPr>
          <w:p w14:paraId="18ABA8B9"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Placebo</w:t>
            </w:r>
          </w:p>
        </w:tc>
        <w:tc>
          <w:tcPr>
            <w:tcW w:w="2320" w:type="dxa"/>
            <w:shd w:val="clear" w:color="auto" w:fill="auto"/>
          </w:tcPr>
          <w:p w14:paraId="0C746F37"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Humira 40 mg svake druge nedjelje</w:t>
            </w:r>
          </w:p>
        </w:tc>
        <w:tc>
          <w:tcPr>
            <w:tcW w:w="2320" w:type="dxa"/>
            <w:shd w:val="clear" w:color="auto" w:fill="auto"/>
          </w:tcPr>
          <w:p w14:paraId="69DB58AF"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Humira 40 mg svake nedjelje</w:t>
            </w:r>
          </w:p>
        </w:tc>
      </w:tr>
      <w:tr w:rsidR="00596C07" w:rsidRPr="004500D8" w14:paraId="23144528" w14:textId="77777777" w:rsidTr="00596C07">
        <w:trPr>
          <w:jc w:val="center"/>
        </w:trPr>
        <w:tc>
          <w:tcPr>
            <w:tcW w:w="2320" w:type="dxa"/>
            <w:shd w:val="clear" w:color="auto" w:fill="auto"/>
          </w:tcPr>
          <w:p w14:paraId="7F165C36"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26. nedjelja</w:t>
            </w:r>
          </w:p>
        </w:tc>
        <w:tc>
          <w:tcPr>
            <w:tcW w:w="2320" w:type="dxa"/>
            <w:shd w:val="clear" w:color="auto" w:fill="auto"/>
          </w:tcPr>
          <w:p w14:paraId="17DC90A3"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N=170</w:t>
            </w:r>
          </w:p>
        </w:tc>
        <w:tc>
          <w:tcPr>
            <w:tcW w:w="2320" w:type="dxa"/>
            <w:shd w:val="clear" w:color="auto" w:fill="auto"/>
          </w:tcPr>
          <w:p w14:paraId="03A56B00"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N=172</w:t>
            </w:r>
          </w:p>
        </w:tc>
        <w:tc>
          <w:tcPr>
            <w:tcW w:w="2320" w:type="dxa"/>
            <w:shd w:val="clear" w:color="auto" w:fill="auto"/>
          </w:tcPr>
          <w:p w14:paraId="7C0691CC"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N=157</w:t>
            </w:r>
          </w:p>
        </w:tc>
      </w:tr>
      <w:tr w:rsidR="00596C07" w:rsidRPr="004500D8" w14:paraId="23C28C24" w14:textId="77777777" w:rsidTr="00596C07">
        <w:trPr>
          <w:jc w:val="center"/>
        </w:trPr>
        <w:tc>
          <w:tcPr>
            <w:tcW w:w="2320" w:type="dxa"/>
            <w:shd w:val="clear" w:color="auto" w:fill="auto"/>
          </w:tcPr>
          <w:p w14:paraId="5BADE7B8"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 xml:space="preserve">Klinička remisija </w:t>
            </w:r>
          </w:p>
        </w:tc>
        <w:tc>
          <w:tcPr>
            <w:tcW w:w="2320" w:type="dxa"/>
            <w:shd w:val="clear" w:color="auto" w:fill="auto"/>
          </w:tcPr>
          <w:p w14:paraId="399F7608"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17%</w:t>
            </w:r>
          </w:p>
        </w:tc>
        <w:tc>
          <w:tcPr>
            <w:tcW w:w="2320" w:type="dxa"/>
            <w:shd w:val="clear" w:color="auto" w:fill="auto"/>
          </w:tcPr>
          <w:p w14:paraId="357FD1DF"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40%*</w:t>
            </w:r>
          </w:p>
        </w:tc>
        <w:tc>
          <w:tcPr>
            <w:tcW w:w="2320" w:type="dxa"/>
            <w:shd w:val="clear" w:color="auto" w:fill="auto"/>
          </w:tcPr>
          <w:p w14:paraId="03A31E00"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47%*</w:t>
            </w:r>
          </w:p>
        </w:tc>
      </w:tr>
      <w:tr w:rsidR="00596C07" w:rsidRPr="004500D8" w14:paraId="435187A5" w14:textId="77777777" w:rsidTr="00596C07">
        <w:trPr>
          <w:jc w:val="center"/>
        </w:trPr>
        <w:tc>
          <w:tcPr>
            <w:tcW w:w="2320" w:type="dxa"/>
            <w:shd w:val="clear" w:color="auto" w:fill="auto"/>
          </w:tcPr>
          <w:p w14:paraId="79870602" w14:textId="77777777" w:rsidR="00596C07" w:rsidRPr="004500D8" w:rsidRDefault="00596C07">
            <w:pPr>
              <w:autoSpaceDE w:val="0"/>
              <w:autoSpaceDN w:val="0"/>
              <w:adjustRightInd w:val="0"/>
              <w:rPr>
                <w:sz w:val="22"/>
                <w:szCs w:val="22"/>
                <w:lang w:val="sr-Latn-ME"/>
              </w:rPr>
            </w:pPr>
            <w:r w:rsidRPr="004500D8">
              <w:rPr>
                <w:sz w:val="22"/>
                <w:szCs w:val="22"/>
                <w:lang w:val="sr-Latn-ME"/>
              </w:rPr>
              <w:t>Klinički odgovor (CR-100)</w:t>
            </w:r>
          </w:p>
        </w:tc>
        <w:tc>
          <w:tcPr>
            <w:tcW w:w="2320" w:type="dxa"/>
            <w:shd w:val="clear" w:color="auto" w:fill="auto"/>
          </w:tcPr>
          <w:p w14:paraId="4BFE7F20"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27%</w:t>
            </w:r>
          </w:p>
        </w:tc>
        <w:tc>
          <w:tcPr>
            <w:tcW w:w="2320" w:type="dxa"/>
            <w:shd w:val="clear" w:color="auto" w:fill="auto"/>
          </w:tcPr>
          <w:p w14:paraId="7D5FC6F6"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52%*</w:t>
            </w:r>
          </w:p>
        </w:tc>
        <w:tc>
          <w:tcPr>
            <w:tcW w:w="2320" w:type="dxa"/>
            <w:shd w:val="clear" w:color="auto" w:fill="auto"/>
          </w:tcPr>
          <w:p w14:paraId="5E60D17D"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52%*</w:t>
            </w:r>
          </w:p>
        </w:tc>
      </w:tr>
      <w:tr w:rsidR="00596C07" w:rsidRPr="004500D8" w14:paraId="2FBB5B85" w14:textId="77777777" w:rsidTr="00596C07">
        <w:trPr>
          <w:jc w:val="center"/>
        </w:trPr>
        <w:tc>
          <w:tcPr>
            <w:tcW w:w="2320" w:type="dxa"/>
            <w:shd w:val="clear" w:color="auto" w:fill="auto"/>
          </w:tcPr>
          <w:p w14:paraId="29CD999D" w14:textId="4BE3585A" w:rsidR="00596C07" w:rsidRPr="004500D8" w:rsidRDefault="00596C07" w:rsidP="00596C07">
            <w:pPr>
              <w:autoSpaceDE w:val="0"/>
              <w:autoSpaceDN w:val="0"/>
              <w:adjustRightInd w:val="0"/>
              <w:rPr>
                <w:sz w:val="22"/>
                <w:szCs w:val="22"/>
                <w:lang w:val="sr-Latn-ME"/>
              </w:rPr>
            </w:pPr>
            <w:r w:rsidRPr="004500D8">
              <w:rPr>
                <w:sz w:val="22"/>
                <w:szCs w:val="22"/>
                <w:lang w:val="sr-Latn-ME"/>
              </w:rPr>
              <w:lastRenderedPageBreak/>
              <w:t>Pacijenti u remisiji bez upotrebe steroida &gt;= 90 dana</w:t>
            </w:r>
            <w:r w:rsidRPr="004500D8">
              <w:rPr>
                <w:sz w:val="22"/>
                <w:szCs w:val="22"/>
                <w:vertAlign w:val="superscript"/>
                <w:lang w:val="sr-Latn-ME"/>
              </w:rPr>
              <w:t>a</w:t>
            </w:r>
          </w:p>
        </w:tc>
        <w:tc>
          <w:tcPr>
            <w:tcW w:w="2320" w:type="dxa"/>
            <w:shd w:val="clear" w:color="auto" w:fill="auto"/>
          </w:tcPr>
          <w:p w14:paraId="4F8AD940"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3% (2/66)</w:t>
            </w:r>
          </w:p>
        </w:tc>
        <w:tc>
          <w:tcPr>
            <w:tcW w:w="2320" w:type="dxa"/>
            <w:shd w:val="clear" w:color="auto" w:fill="auto"/>
          </w:tcPr>
          <w:p w14:paraId="1CBD5574"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19% (11/58)**</w:t>
            </w:r>
          </w:p>
        </w:tc>
        <w:tc>
          <w:tcPr>
            <w:tcW w:w="2320" w:type="dxa"/>
            <w:shd w:val="clear" w:color="auto" w:fill="auto"/>
          </w:tcPr>
          <w:p w14:paraId="2683F784"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15% (11/74)**</w:t>
            </w:r>
          </w:p>
        </w:tc>
      </w:tr>
      <w:tr w:rsidR="00596C07" w:rsidRPr="004500D8" w14:paraId="7425969B" w14:textId="77777777" w:rsidTr="00596C07">
        <w:trPr>
          <w:jc w:val="center"/>
        </w:trPr>
        <w:tc>
          <w:tcPr>
            <w:tcW w:w="2320" w:type="dxa"/>
            <w:shd w:val="clear" w:color="auto" w:fill="auto"/>
          </w:tcPr>
          <w:p w14:paraId="41B2CB9E"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56. nedjelja</w:t>
            </w:r>
          </w:p>
        </w:tc>
        <w:tc>
          <w:tcPr>
            <w:tcW w:w="2320" w:type="dxa"/>
            <w:shd w:val="clear" w:color="auto" w:fill="auto"/>
          </w:tcPr>
          <w:p w14:paraId="033A3F20"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N=170</w:t>
            </w:r>
          </w:p>
        </w:tc>
        <w:tc>
          <w:tcPr>
            <w:tcW w:w="2320" w:type="dxa"/>
            <w:shd w:val="clear" w:color="auto" w:fill="auto"/>
          </w:tcPr>
          <w:p w14:paraId="6C94501E"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N=172</w:t>
            </w:r>
          </w:p>
        </w:tc>
        <w:tc>
          <w:tcPr>
            <w:tcW w:w="2320" w:type="dxa"/>
            <w:shd w:val="clear" w:color="auto" w:fill="auto"/>
          </w:tcPr>
          <w:p w14:paraId="10D27029"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N=157</w:t>
            </w:r>
          </w:p>
        </w:tc>
      </w:tr>
      <w:tr w:rsidR="00596C07" w:rsidRPr="004500D8" w14:paraId="7FB8A12D" w14:textId="77777777" w:rsidTr="00596C07">
        <w:trPr>
          <w:jc w:val="center"/>
        </w:trPr>
        <w:tc>
          <w:tcPr>
            <w:tcW w:w="2320" w:type="dxa"/>
            <w:shd w:val="clear" w:color="auto" w:fill="auto"/>
          </w:tcPr>
          <w:p w14:paraId="610F9D9C"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 xml:space="preserve">Klinička remisija </w:t>
            </w:r>
          </w:p>
        </w:tc>
        <w:tc>
          <w:tcPr>
            <w:tcW w:w="2320" w:type="dxa"/>
            <w:shd w:val="clear" w:color="auto" w:fill="auto"/>
          </w:tcPr>
          <w:p w14:paraId="2F1E59B1"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12%</w:t>
            </w:r>
          </w:p>
        </w:tc>
        <w:tc>
          <w:tcPr>
            <w:tcW w:w="2320" w:type="dxa"/>
            <w:shd w:val="clear" w:color="auto" w:fill="auto"/>
          </w:tcPr>
          <w:p w14:paraId="3A63A3FB"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36%*</w:t>
            </w:r>
          </w:p>
        </w:tc>
        <w:tc>
          <w:tcPr>
            <w:tcW w:w="2320" w:type="dxa"/>
            <w:shd w:val="clear" w:color="auto" w:fill="auto"/>
          </w:tcPr>
          <w:p w14:paraId="1B96B55E"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41%*</w:t>
            </w:r>
          </w:p>
        </w:tc>
      </w:tr>
      <w:tr w:rsidR="00596C07" w:rsidRPr="004500D8" w14:paraId="1D4AC62C" w14:textId="77777777" w:rsidTr="00596C07">
        <w:trPr>
          <w:jc w:val="center"/>
        </w:trPr>
        <w:tc>
          <w:tcPr>
            <w:tcW w:w="2320" w:type="dxa"/>
            <w:shd w:val="clear" w:color="auto" w:fill="auto"/>
          </w:tcPr>
          <w:p w14:paraId="690C26DE"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Klinički odgovor (CR-100)</w:t>
            </w:r>
          </w:p>
        </w:tc>
        <w:tc>
          <w:tcPr>
            <w:tcW w:w="2320" w:type="dxa"/>
            <w:shd w:val="clear" w:color="auto" w:fill="auto"/>
          </w:tcPr>
          <w:p w14:paraId="123C05AB"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17%</w:t>
            </w:r>
          </w:p>
        </w:tc>
        <w:tc>
          <w:tcPr>
            <w:tcW w:w="2320" w:type="dxa"/>
            <w:shd w:val="clear" w:color="auto" w:fill="auto"/>
          </w:tcPr>
          <w:p w14:paraId="23B21DA1"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41%*</w:t>
            </w:r>
          </w:p>
        </w:tc>
        <w:tc>
          <w:tcPr>
            <w:tcW w:w="2320" w:type="dxa"/>
            <w:shd w:val="clear" w:color="auto" w:fill="auto"/>
          </w:tcPr>
          <w:p w14:paraId="03277F49"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48%*</w:t>
            </w:r>
          </w:p>
        </w:tc>
      </w:tr>
      <w:tr w:rsidR="00596C07" w:rsidRPr="004500D8" w14:paraId="3E2AC15C" w14:textId="77777777" w:rsidTr="00596C07">
        <w:trPr>
          <w:jc w:val="center"/>
        </w:trPr>
        <w:tc>
          <w:tcPr>
            <w:tcW w:w="2320" w:type="dxa"/>
            <w:shd w:val="clear" w:color="auto" w:fill="auto"/>
          </w:tcPr>
          <w:p w14:paraId="58A157BB"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 xml:space="preserve">     Pacijenti u remisiji bez upotrebe steroida &gt;= 90 dana</w:t>
            </w:r>
            <w:r w:rsidRPr="004500D8">
              <w:rPr>
                <w:sz w:val="22"/>
                <w:szCs w:val="22"/>
                <w:vertAlign w:val="superscript"/>
                <w:lang w:val="sr-Latn-ME"/>
              </w:rPr>
              <w:t>a</w:t>
            </w:r>
          </w:p>
        </w:tc>
        <w:tc>
          <w:tcPr>
            <w:tcW w:w="2320" w:type="dxa"/>
            <w:shd w:val="clear" w:color="auto" w:fill="auto"/>
          </w:tcPr>
          <w:p w14:paraId="40AF984B"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 xml:space="preserve">5% (3/66) </w:t>
            </w:r>
          </w:p>
        </w:tc>
        <w:tc>
          <w:tcPr>
            <w:tcW w:w="2320" w:type="dxa"/>
            <w:shd w:val="clear" w:color="auto" w:fill="auto"/>
          </w:tcPr>
          <w:p w14:paraId="2B725CA6"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29% (17/58)*</w:t>
            </w:r>
          </w:p>
        </w:tc>
        <w:tc>
          <w:tcPr>
            <w:tcW w:w="2320" w:type="dxa"/>
            <w:shd w:val="clear" w:color="auto" w:fill="auto"/>
          </w:tcPr>
          <w:p w14:paraId="5D591941"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20% (15/74)**</w:t>
            </w:r>
          </w:p>
        </w:tc>
      </w:tr>
    </w:tbl>
    <w:p w14:paraId="0948ABBC"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 xml:space="preserve">* p &lt; 0,001 za poređenje odnosa lijeka Humira i placeba u parovima </w:t>
      </w:r>
    </w:p>
    <w:p w14:paraId="43F0FF72"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 xml:space="preserve">** p &lt; 0,02 za poređenje odnosa lijeka Humira i placeba u parovima </w:t>
      </w:r>
    </w:p>
    <w:p w14:paraId="0F84A271" w14:textId="77777777" w:rsidR="00596C07" w:rsidRPr="004500D8" w:rsidRDefault="00596C07" w:rsidP="00596C07">
      <w:pPr>
        <w:autoSpaceDE w:val="0"/>
        <w:autoSpaceDN w:val="0"/>
        <w:adjustRightInd w:val="0"/>
        <w:rPr>
          <w:sz w:val="22"/>
          <w:szCs w:val="22"/>
          <w:lang w:val="sr-Latn-ME"/>
        </w:rPr>
      </w:pPr>
      <w:r w:rsidRPr="004500D8">
        <w:rPr>
          <w:sz w:val="22"/>
          <w:szCs w:val="22"/>
          <w:vertAlign w:val="superscript"/>
          <w:lang w:val="sr-Latn-ME"/>
        </w:rPr>
        <w:t>a</w:t>
      </w:r>
      <w:r w:rsidRPr="004500D8">
        <w:rPr>
          <w:sz w:val="22"/>
          <w:szCs w:val="22"/>
          <w:lang w:val="sr-Latn-ME"/>
        </w:rPr>
        <w:t xml:space="preserve"> od onih koji su na početku uzimali kortikosteroide</w:t>
      </w:r>
    </w:p>
    <w:p w14:paraId="6E587D59" w14:textId="77777777" w:rsidR="00596C07" w:rsidRPr="004500D8" w:rsidRDefault="00596C07" w:rsidP="00596C07">
      <w:pPr>
        <w:autoSpaceDE w:val="0"/>
        <w:autoSpaceDN w:val="0"/>
        <w:adjustRightInd w:val="0"/>
        <w:rPr>
          <w:sz w:val="22"/>
          <w:szCs w:val="22"/>
          <w:lang w:val="sr-Latn-ME"/>
        </w:rPr>
      </w:pPr>
    </w:p>
    <w:p w14:paraId="53CDB74B"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Među pacijentima kod kojih u 4. nedjelji nije ostvaren odgovor, 43% pacijenata na terapiji održavanja imalo je klinički odgovor do 12. nedjelje, u odnosu na 30% u grupi pacijenata koji su dobijali placebo. Ovi rezultati pokazuju da neki pacijenti, koji ne ostvare terapijski odgovor do 4. nedjelje, imaju koristi ukoliko se terapija nastavi do 12. nedjelje. Nastavak terapije nakon 12 nedjelja nije dovelo do značajno većeg procenta odgovora (vidjeti odjeljak 4.2).</w:t>
      </w:r>
    </w:p>
    <w:p w14:paraId="15FD8ABF" w14:textId="77777777" w:rsidR="00596C07" w:rsidRPr="004500D8" w:rsidRDefault="00596C07" w:rsidP="00596C07">
      <w:pPr>
        <w:autoSpaceDE w:val="0"/>
        <w:autoSpaceDN w:val="0"/>
        <w:adjustRightInd w:val="0"/>
        <w:jc w:val="both"/>
        <w:rPr>
          <w:sz w:val="22"/>
          <w:szCs w:val="22"/>
          <w:lang w:val="sr-Latn-ME"/>
        </w:rPr>
      </w:pPr>
    </w:p>
    <w:p w14:paraId="3AC07457"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117/276 pacijenata iz ispitivanja CD I i 272/777 pacijenata iz ispitivanja CD II i III su praćeni najmanje 3 godine u otvorenom dijelu terapije adalimumabom. 88, odnosno 189 pacijenata je i dalje bilo u kliničkoj remisiji. Klinički odgovor (CR-100) je održan kod 102, odnosno 233 pacijenta.</w:t>
      </w:r>
    </w:p>
    <w:p w14:paraId="043BF4DE" w14:textId="77777777" w:rsidR="00596C07" w:rsidRPr="004500D8" w:rsidRDefault="00596C07" w:rsidP="00596C07">
      <w:pPr>
        <w:autoSpaceDE w:val="0"/>
        <w:autoSpaceDN w:val="0"/>
        <w:adjustRightInd w:val="0"/>
        <w:jc w:val="both"/>
        <w:rPr>
          <w:sz w:val="22"/>
          <w:szCs w:val="22"/>
          <w:lang w:val="sr-Latn-ME"/>
        </w:rPr>
      </w:pPr>
    </w:p>
    <w:p w14:paraId="0B2D922A" w14:textId="77777777" w:rsidR="00596C07" w:rsidRPr="004500D8" w:rsidRDefault="00596C07" w:rsidP="00596C07">
      <w:pPr>
        <w:autoSpaceDE w:val="0"/>
        <w:autoSpaceDN w:val="0"/>
        <w:adjustRightInd w:val="0"/>
        <w:jc w:val="both"/>
        <w:rPr>
          <w:i/>
          <w:sz w:val="22"/>
          <w:szCs w:val="22"/>
          <w:u w:val="single"/>
          <w:lang w:val="sr-Latn-ME"/>
        </w:rPr>
      </w:pPr>
      <w:r w:rsidRPr="004500D8">
        <w:rPr>
          <w:i/>
          <w:sz w:val="22"/>
          <w:szCs w:val="22"/>
          <w:u w:val="single"/>
          <w:lang w:val="sr-Latn-ME"/>
        </w:rPr>
        <w:t>Kvalitet života</w:t>
      </w:r>
    </w:p>
    <w:p w14:paraId="6E4CFA7F" w14:textId="77777777" w:rsidR="00596C07" w:rsidRPr="004500D8" w:rsidRDefault="00596C07" w:rsidP="00596C07">
      <w:pPr>
        <w:autoSpaceDE w:val="0"/>
        <w:autoSpaceDN w:val="0"/>
        <w:adjustRightInd w:val="0"/>
        <w:jc w:val="both"/>
        <w:rPr>
          <w:sz w:val="22"/>
          <w:szCs w:val="22"/>
          <w:u w:val="single"/>
          <w:lang w:val="sr-Latn-ME"/>
        </w:rPr>
      </w:pPr>
    </w:p>
    <w:p w14:paraId="1A32BE8B" w14:textId="77777777" w:rsidR="00596C07" w:rsidRPr="004500D8" w:rsidRDefault="00596C07" w:rsidP="00596C07">
      <w:pPr>
        <w:snapToGrid w:val="0"/>
        <w:jc w:val="both"/>
        <w:rPr>
          <w:sz w:val="22"/>
          <w:szCs w:val="22"/>
          <w:lang w:val="sr-Latn-ME"/>
        </w:rPr>
      </w:pPr>
      <w:r w:rsidRPr="004500D8">
        <w:rPr>
          <w:sz w:val="22"/>
          <w:szCs w:val="22"/>
          <w:lang w:val="sr-Latn-ME"/>
        </w:rPr>
        <w:t xml:space="preserve">U ispitivanjima CD I i CD II, u 4. nedjelji kod pacijenata koji su uzimali lijek Humira 80/40 mg i lijek Humira 160/80 mg došlo je do statistički značajnog poboljšanja ukupnog rezultata prema upitniku o inflamatornim bolestima crijeva </w:t>
      </w:r>
      <w:r w:rsidRPr="004500D8">
        <w:rPr>
          <w:i/>
          <w:sz w:val="22"/>
          <w:szCs w:val="22"/>
          <w:lang w:val="sr-Latn-ME"/>
        </w:rPr>
        <w:t>Inflammatory bowel disease questionnaire</w:t>
      </w:r>
      <w:r w:rsidRPr="004500D8">
        <w:rPr>
          <w:sz w:val="22"/>
          <w:szCs w:val="22"/>
          <w:lang w:val="sr-Latn-ME"/>
        </w:rPr>
        <w:t xml:space="preserve"> (IBDQ) za specifičnu bolest u odnosu na grupu pacijenata koji su uzimali placebo. U ispitivanju CD III grupe pacijenata koje su uzimale adalimumab imale su, u 26. i 56. nedjelji, bolje rezultate od grupe koja je uzimala placebo.</w:t>
      </w:r>
    </w:p>
    <w:p w14:paraId="27C49D42" w14:textId="77777777" w:rsidR="00596C07" w:rsidRPr="004500D8" w:rsidRDefault="00596C07" w:rsidP="00596C07">
      <w:pPr>
        <w:widowControl w:val="0"/>
        <w:autoSpaceDE w:val="0"/>
        <w:autoSpaceDN w:val="0"/>
        <w:adjustRightInd w:val="0"/>
        <w:jc w:val="both"/>
        <w:rPr>
          <w:sz w:val="22"/>
          <w:szCs w:val="22"/>
          <w:lang w:val="sr-Latn-ME"/>
        </w:rPr>
      </w:pPr>
    </w:p>
    <w:p w14:paraId="3CD1C0BF" w14:textId="77777777" w:rsidR="00596C07" w:rsidRPr="004500D8" w:rsidRDefault="00596C07" w:rsidP="00596C07">
      <w:pPr>
        <w:widowControl w:val="0"/>
        <w:autoSpaceDE w:val="0"/>
        <w:autoSpaceDN w:val="0"/>
        <w:adjustRightInd w:val="0"/>
        <w:jc w:val="both"/>
        <w:rPr>
          <w:i/>
          <w:sz w:val="22"/>
          <w:szCs w:val="22"/>
          <w:lang w:val="sr-Latn-ME"/>
        </w:rPr>
      </w:pPr>
      <w:r w:rsidRPr="004500D8">
        <w:rPr>
          <w:i/>
          <w:sz w:val="22"/>
          <w:szCs w:val="22"/>
          <w:lang w:val="sr-Latn-ME"/>
        </w:rPr>
        <w:t>Ulcerozni kolitis</w:t>
      </w:r>
    </w:p>
    <w:p w14:paraId="7CF972D3" w14:textId="77777777" w:rsidR="00596C07" w:rsidRPr="004500D8" w:rsidRDefault="00596C07" w:rsidP="00596C07">
      <w:pPr>
        <w:widowControl w:val="0"/>
        <w:autoSpaceDE w:val="0"/>
        <w:autoSpaceDN w:val="0"/>
        <w:adjustRightInd w:val="0"/>
        <w:jc w:val="both"/>
        <w:rPr>
          <w:i/>
          <w:sz w:val="22"/>
          <w:szCs w:val="22"/>
          <w:u w:val="single"/>
          <w:lang w:val="sr-Latn-ME"/>
        </w:rPr>
      </w:pPr>
    </w:p>
    <w:p w14:paraId="08B70543"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Efikasnost i bezbjednost primjene višestrukih doza lijeka Humira ispitivana je kod odraslih pacijenata sa umjerenim do teškim aktivnim ulceroznim kolitisom (sa Mayo zbirom 6 do 12 uz endoskopski podzbir od 2 do 3) u randomizovanom, dvostruko slijepom, placebo kontrolisanom ispitivanju. </w:t>
      </w:r>
    </w:p>
    <w:p w14:paraId="70519183" w14:textId="77777777" w:rsidR="00596C07" w:rsidRPr="004500D8" w:rsidRDefault="00596C07" w:rsidP="00596C07">
      <w:pPr>
        <w:widowControl w:val="0"/>
        <w:autoSpaceDE w:val="0"/>
        <w:autoSpaceDN w:val="0"/>
        <w:adjustRightInd w:val="0"/>
        <w:jc w:val="both"/>
        <w:rPr>
          <w:sz w:val="22"/>
          <w:szCs w:val="22"/>
          <w:lang w:val="sr-Latn-ME"/>
        </w:rPr>
      </w:pPr>
    </w:p>
    <w:p w14:paraId="044834F2"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U UC-I ispitivanju, 390 pacijenata koji nikada nisu koristili TNF antagoniste randomizovani su tako da primaju placebo u 0. nedjelji i u 2. nedjelji, lijek Humira 160 mg u 0. nedjelji i 80 mg u 2. nedjelji, ili lijek Humira 80 mg u 0. nedjelji i 40 mg u 2. nedjelji. Nakon 2 nedjelje, pacijenti iz obije grupe koji su primali adalimumab, primali su dozu od 40 mg svake druge nedjelje. Klinička remisija (definisana kao Mayo zbir ≤ 2, bez podzbira &gt; 1) procijenjena je u 8. nedjelji. </w:t>
      </w:r>
    </w:p>
    <w:p w14:paraId="6123E02F" w14:textId="77777777" w:rsidR="00596C07" w:rsidRPr="004500D8" w:rsidRDefault="00596C07" w:rsidP="00596C07">
      <w:pPr>
        <w:widowControl w:val="0"/>
        <w:autoSpaceDE w:val="0"/>
        <w:autoSpaceDN w:val="0"/>
        <w:adjustRightInd w:val="0"/>
        <w:jc w:val="both"/>
        <w:rPr>
          <w:sz w:val="22"/>
          <w:szCs w:val="22"/>
          <w:lang w:val="sr-Latn-ME"/>
        </w:rPr>
      </w:pPr>
    </w:p>
    <w:p w14:paraId="385C54B9"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U UC-II ispitivanju, 248 pacijenata primilo je 160 mg lijeka Humira u nultoj nedjelji, a zatim 80 mg nakon dvije nedjelje, te 40 mg svake druge nedjelje nakon toga, dok je 246 pacijenata primilo placebo. Klinički rezultati su procijenjivali su se u odnosu na indukciju remisije u 8. nedjelji, a u odnosu na održavanje pacijenata u remisiji u 52. nedjelji. </w:t>
      </w:r>
    </w:p>
    <w:p w14:paraId="492B1B64" w14:textId="77777777" w:rsidR="00596C07" w:rsidRPr="004500D8" w:rsidRDefault="00596C07" w:rsidP="00596C07">
      <w:pPr>
        <w:widowControl w:val="0"/>
        <w:autoSpaceDE w:val="0"/>
        <w:autoSpaceDN w:val="0"/>
        <w:adjustRightInd w:val="0"/>
        <w:jc w:val="both"/>
        <w:rPr>
          <w:sz w:val="22"/>
          <w:szCs w:val="22"/>
          <w:lang w:val="sr-Latn-ME"/>
        </w:rPr>
      </w:pPr>
    </w:p>
    <w:p w14:paraId="15C6B189"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Kod pacijenata koji su primali indukcionu dozu lijeka Humira od 160/80 mg u 8. nedjelji terapije postignuta je klinička remisija u statistički značajno većem procentu u odnosu na placebo u okviru UC-I ispitivanja (18% u odnosu na 9%, p=0,031), i u okviru UC-II ispitivanja (17% u odnosu na 9%, p=0,019). U okviru ispitivanja UC-II među onima koji su liječeni lijekom Humira, a koji su bili u remisiji u 8. nedjelji, 21/41 (51%) je bilo u remisiji i u 52. nedjelji. </w:t>
      </w:r>
    </w:p>
    <w:p w14:paraId="02957EF5" w14:textId="77777777" w:rsidR="00596C07" w:rsidRPr="004500D8" w:rsidRDefault="00596C07" w:rsidP="00596C07">
      <w:pPr>
        <w:widowControl w:val="0"/>
        <w:autoSpaceDE w:val="0"/>
        <w:autoSpaceDN w:val="0"/>
        <w:adjustRightInd w:val="0"/>
        <w:jc w:val="both"/>
        <w:rPr>
          <w:sz w:val="22"/>
          <w:szCs w:val="22"/>
          <w:lang w:val="sr-Latn-ME"/>
        </w:rPr>
      </w:pPr>
    </w:p>
    <w:p w14:paraId="3C343A98"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Rezultati ukupnog broja ispitanika u okviru UC-II ispitivanja prikazani su u Tabeli 16. </w:t>
      </w:r>
    </w:p>
    <w:p w14:paraId="5DB819BE" w14:textId="77777777" w:rsidR="00560668" w:rsidRPr="004500D8" w:rsidRDefault="00560668" w:rsidP="00596C07">
      <w:pPr>
        <w:widowControl w:val="0"/>
        <w:autoSpaceDE w:val="0"/>
        <w:autoSpaceDN w:val="0"/>
        <w:adjustRightInd w:val="0"/>
        <w:jc w:val="both"/>
        <w:rPr>
          <w:sz w:val="22"/>
          <w:szCs w:val="22"/>
          <w:lang w:val="sr-Latn-ME"/>
        </w:rPr>
      </w:pPr>
    </w:p>
    <w:p w14:paraId="5893EF5D" w14:textId="7355FF46" w:rsidR="00596C07" w:rsidRPr="004500D8" w:rsidRDefault="00596C07" w:rsidP="003B242C">
      <w:pPr>
        <w:autoSpaceDE w:val="0"/>
        <w:autoSpaceDN w:val="0"/>
        <w:adjustRightInd w:val="0"/>
        <w:rPr>
          <w:b/>
          <w:sz w:val="22"/>
          <w:szCs w:val="22"/>
          <w:lang w:val="sr-Latn-ME"/>
        </w:rPr>
      </w:pPr>
      <w:r w:rsidRPr="004500D8">
        <w:rPr>
          <w:b/>
          <w:sz w:val="22"/>
          <w:szCs w:val="22"/>
          <w:lang w:val="sr-Latn-ME"/>
        </w:rPr>
        <w:lastRenderedPageBreak/>
        <w:t>Tabela 16</w:t>
      </w:r>
      <w:r w:rsidR="00560668" w:rsidRPr="004500D8">
        <w:rPr>
          <w:b/>
          <w:sz w:val="22"/>
          <w:szCs w:val="22"/>
          <w:lang w:val="sr-Latn-ME"/>
        </w:rPr>
        <w:t xml:space="preserve">. </w:t>
      </w:r>
      <w:r w:rsidRPr="004500D8">
        <w:rPr>
          <w:b/>
          <w:sz w:val="22"/>
          <w:szCs w:val="22"/>
          <w:lang w:val="sr-Latn-ME"/>
        </w:rPr>
        <w:t>Odgovor, remisija i zarastanje sluznice u UC-II ispitivanju</w:t>
      </w:r>
      <w:r w:rsidR="00560668" w:rsidRPr="004500D8">
        <w:rPr>
          <w:b/>
          <w:sz w:val="22"/>
          <w:szCs w:val="22"/>
          <w:lang w:val="sr-Latn-ME"/>
        </w:rPr>
        <w:t xml:space="preserve"> </w:t>
      </w:r>
      <w:r w:rsidRPr="004500D8">
        <w:rPr>
          <w:b/>
          <w:sz w:val="22"/>
          <w:szCs w:val="22"/>
          <w:lang w:val="sr-Latn-ME"/>
        </w:rPr>
        <w:t>(procenat pacijenata)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9"/>
        <w:gridCol w:w="1539"/>
        <w:gridCol w:w="2045"/>
      </w:tblGrid>
      <w:tr w:rsidR="00596C07" w:rsidRPr="004500D8" w14:paraId="51A1534F" w14:textId="77777777" w:rsidTr="00596C07">
        <w:trPr>
          <w:jc w:val="center"/>
        </w:trPr>
        <w:tc>
          <w:tcPr>
            <w:tcW w:w="5637" w:type="dxa"/>
            <w:shd w:val="clear" w:color="auto" w:fill="auto"/>
          </w:tcPr>
          <w:p w14:paraId="3E52A17F" w14:textId="77777777" w:rsidR="00596C07" w:rsidRPr="004500D8" w:rsidRDefault="00596C07" w:rsidP="00596C07">
            <w:pPr>
              <w:autoSpaceDE w:val="0"/>
              <w:autoSpaceDN w:val="0"/>
              <w:adjustRightInd w:val="0"/>
              <w:rPr>
                <w:b/>
                <w:sz w:val="22"/>
                <w:szCs w:val="22"/>
                <w:lang w:val="sr-Latn-ME"/>
              </w:rPr>
            </w:pPr>
          </w:p>
        </w:tc>
        <w:tc>
          <w:tcPr>
            <w:tcW w:w="1559" w:type="dxa"/>
            <w:shd w:val="clear" w:color="auto" w:fill="auto"/>
          </w:tcPr>
          <w:p w14:paraId="030A4F65"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 xml:space="preserve">Placebo </w:t>
            </w:r>
          </w:p>
        </w:tc>
        <w:tc>
          <w:tcPr>
            <w:tcW w:w="2084" w:type="dxa"/>
            <w:shd w:val="clear" w:color="auto" w:fill="auto"/>
          </w:tcPr>
          <w:p w14:paraId="3D948964"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 xml:space="preserve">Humira 40 mg </w:t>
            </w:r>
          </w:p>
          <w:p w14:paraId="0667A7E9"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 xml:space="preserve">svake druge nedjelje </w:t>
            </w:r>
          </w:p>
        </w:tc>
      </w:tr>
      <w:tr w:rsidR="00596C07" w:rsidRPr="004500D8" w14:paraId="4A3EE431" w14:textId="77777777" w:rsidTr="00596C07">
        <w:trPr>
          <w:jc w:val="center"/>
        </w:trPr>
        <w:tc>
          <w:tcPr>
            <w:tcW w:w="5637" w:type="dxa"/>
            <w:shd w:val="clear" w:color="auto" w:fill="auto"/>
          </w:tcPr>
          <w:p w14:paraId="3505EA59"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52. nedjelja</w:t>
            </w:r>
          </w:p>
        </w:tc>
        <w:tc>
          <w:tcPr>
            <w:tcW w:w="1559" w:type="dxa"/>
            <w:shd w:val="clear" w:color="auto" w:fill="auto"/>
          </w:tcPr>
          <w:p w14:paraId="3EFC1A58"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N=246</w:t>
            </w:r>
          </w:p>
        </w:tc>
        <w:tc>
          <w:tcPr>
            <w:tcW w:w="2084" w:type="dxa"/>
            <w:shd w:val="clear" w:color="auto" w:fill="auto"/>
          </w:tcPr>
          <w:p w14:paraId="688B7CC8"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N=248</w:t>
            </w:r>
          </w:p>
        </w:tc>
      </w:tr>
      <w:tr w:rsidR="00596C07" w:rsidRPr="004500D8" w14:paraId="784CFD6C" w14:textId="77777777" w:rsidTr="00596C07">
        <w:trPr>
          <w:jc w:val="center"/>
        </w:trPr>
        <w:tc>
          <w:tcPr>
            <w:tcW w:w="5637" w:type="dxa"/>
            <w:shd w:val="clear" w:color="auto" w:fill="auto"/>
          </w:tcPr>
          <w:p w14:paraId="69C4F5FA"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 xml:space="preserve">Klinički odgovor </w:t>
            </w:r>
          </w:p>
        </w:tc>
        <w:tc>
          <w:tcPr>
            <w:tcW w:w="1559" w:type="dxa"/>
            <w:shd w:val="clear" w:color="auto" w:fill="auto"/>
          </w:tcPr>
          <w:p w14:paraId="441D7147"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18%</w:t>
            </w:r>
          </w:p>
        </w:tc>
        <w:tc>
          <w:tcPr>
            <w:tcW w:w="2084" w:type="dxa"/>
            <w:shd w:val="clear" w:color="auto" w:fill="auto"/>
          </w:tcPr>
          <w:p w14:paraId="388F9B7E"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30%*</w:t>
            </w:r>
          </w:p>
        </w:tc>
      </w:tr>
      <w:tr w:rsidR="00596C07" w:rsidRPr="004500D8" w14:paraId="7E97E6B5" w14:textId="77777777" w:rsidTr="00596C07">
        <w:trPr>
          <w:jc w:val="center"/>
        </w:trPr>
        <w:tc>
          <w:tcPr>
            <w:tcW w:w="5637" w:type="dxa"/>
            <w:shd w:val="clear" w:color="auto" w:fill="auto"/>
          </w:tcPr>
          <w:p w14:paraId="3CA31178"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 xml:space="preserve">Klinička remisija </w:t>
            </w:r>
          </w:p>
        </w:tc>
        <w:tc>
          <w:tcPr>
            <w:tcW w:w="1559" w:type="dxa"/>
            <w:shd w:val="clear" w:color="auto" w:fill="auto"/>
          </w:tcPr>
          <w:p w14:paraId="56E1FE89"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9%</w:t>
            </w:r>
          </w:p>
        </w:tc>
        <w:tc>
          <w:tcPr>
            <w:tcW w:w="2084" w:type="dxa"/>
            <w:shd w:val="clear" w:color="auto" w:fill="auto"/>
          </w:tcPr>
          <w:p w14:paraId="36EEB4B9"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17%*</w:t>
            </w:r>
          </w:p>
        </w:tc>
      </w:tr>
      <w:tr w:rsidR="00596C07" w:rsidRPr="004500D8" w14:paraId="01536D0F" w14:textId="77777777" w:rsidTr="00596C07">
        <w:trPr>
          <w:jc w:val="center"/>
        </w:trPr>
        <w:tc>
          <w:tcPr>
            <w:tcW w:w="5637" w:type="dxa"/>
            <w:shd w:val="clear" w:color="auto" w:fill="auto"/>
          </w:tcPr>
          <w:p w14:paraId="247AB53A"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 xml:space="preserve">Zarastanje sluznice </w:t>
            </w:r>
          </w:p>
        </w:tc>
        <w:tc>
          <w:tcPr>
            <w:tcW w:w="1559" w:type="dxa"/>
            <w:shd w:val="clear" w:color="auto" w:fill="auto"/>
          </w:tcPr>
          <w:p w14:paraId="12873522"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15%</w:t>
            </w:r>
          </w:p>
        </w:tc>
        <w:tc>
          <w:tcPr>
            <w:tcW w:w="2084" w:type="dxa"/>
            <w:shd w:val="clear" w:color="auto" w:fill="auto"/>
          </w:tcPr>
          <w:p w14:paraId="680E22A1"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25%*</w:t>
            </w:r>
          </w:p>
        </w:tc>
      </w:tr>
      <w:tr w:rsidR="00596C07" w:rsidRPr="004500D8" w14:paraId="5DDD1EFF" w14:textId="77777777" w:rsidTr="00596C07">
        <w:trPr>
          <w:jc w:val="center"/>
        </w:trPr>
        <w:tc>
          <w:tcPr>
            <w:tcW w:w="5637" w:type="dxa"/>
            <w:shd w:val="clear" w:color="auto" w:fill="auto"/>
          </w:tcPr>
          <w:p w14:paraId="788B8182"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Pacijenti u remisiji bez upotrebe steroida ≥ 90 dana</w:t>
            </w:r>
            <w:r w:rsidRPr="004500D8">
              <w:rPr>
                <w:sz w:val="22"/>
                <w:szCs w:val="22"/>
                <w:vertAlign w:val="superscript"/>
                <w:lang w:val="sr-Latn-ME"/>
              </w:rPr>
              <w:t>a</w:t>
            </w:r>
          </w:p>
        </w:tc>
        <w:tc>
          <w:tcPr>
            <w:tcW w:w="1559" w:type="dxa"/>
            <w:shd w:val="clear" w:color="auto" w:fill="auto"/>
          </w:tcPr>
          <w:p w14:paraId="1AF446C0"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6%</w:t>
            </w:r>
          </w:p>
        </w:tc>
        <w:tc>
          <w:tcPr>
            <w:tcW w:w="2084" w:type="dxa"/>
            <w:shd w:val="clear" w:color="auto" w:fill="auto"/>
          </w:tcPr>
          <w:p w14:paraId="284AEFC5"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13%*</w:t>
            </w:r>
          </w:p>
        </w:tc>
      </w:tr>
      <w:tr w:rsidR="00596C07" w:rsidRPr="004500D8" w14:paraId="4D786909" w14:textId="77777777" w:rsidTr="00596C07">
        <w:trPr>
          <w:jc w:val="center"/>
        </w:trPr>
        <w:tc>
          <w:tcPr>
            <w:tcW w:w="5637" w:type="dxa"/>
            <w:shd w:val="clear" w:color="auto" w:fill="auto"/>
          </w:tcPr>
          <w:p w14:paraId="06FB12F4" w14:textId="77777777" w:rsidR="00596C07" w:rsidRPr="004500D8" w:rsidRDefault="00596C07" w:rsidP="00596C07">
            <w:pPr>
              <w:autoSpaceDE w:val="0"/>
              <w:autoSpaceDN w:val="0"/>
              <w:adjustRightInd w:val="0"/>
              <w:rPr>
                <w:sz w:val="22"/>
                <w:szCs w:val="22"/>
                <w:lang w:val="sr-Latn-ME"/>
              </w:rPr>
            </w:pPr>
          </w:p>
        </w:tc>
        <w:tc>
          <w:tcPr>
            <w:tcW w:w="1559" w:type="dxa"/>
            <w:shd w:val="clear" w:color="auto" w:fill="auto"/>
          </w:tcPr>
          <w:p w14:paraId="6912C6D9"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(N=140)</w:t>
            </w:r>
          </w:p>
        </w:tc>
        <w:tc>
          <w:tcPr>
            <w:tcW w:w="2084" w:type="dxa"/>
            <w:shd w:val="clear" w:color="auto" w:fill="auto"/>
          </w:tcPr>
          <w:p w14:paraId="1063531E"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 xml:space="preserve">(N=150) </w:t>
            </w:r>
          </w:p>
        </w:tc>
      </w:tr>
      <w:tr w:rsidR="00596C07" w:rsidRPr="004500D8" w14:paraId="10DABA32" w14:textId="77777777" w:rsidTr="00596C07">
        <w:trPr>
          <w:jc w:val="center"/>
        </w:trPr>
        <w:tc>
          <w:tcPr>
            <w:tcW w:w="5637" w:type="dxa"/>
            <w:shd w:val="clear" w:color="auto" w:fill="auto"/>
          </w:tcPr>
          <w:p w14:paraId="1F624E85" w14:textId="77777777" w:rsidR="00596C07" w:rsidRPr="004500D8" w:rsidRDefault="00596C07" w:rsidP="00596C07">
            <w:pPr>
              <w:autoSpaceDE w:val="0"/>
              <w:autoSpaceDN w:val="0"/>
              <w:adjustRightInd w:val="0"/>
              <w:rPr>
                <w:b/>
                <w:sz w:val="22"/>
                <w:szCs w:val="22"/>
                <w:lang w:val="sr-Latn-ME"/>
              </w:rPr>
            </w:pPr>
            <w:r w:rsidRPr="004500D8">
              <w:rPr>
                <w:b/>
                <w:sz w:val="22"/>
                <w:szCs w:val="22"/>
                <w:lang w:val="sr-Latn-ME"/>
              </w:rPr>
              <w:t>8. i 52. nedjelja</w:t>
            </w:r>
          </w:p>
        </w:tc>
        <w:tc>
          <w:tcPr>
            <w:tcW w:w="1559" w:type="dxa"/>
            <w:shd w:val="clear" w:color="auto" w:fill="auto"/>
          </w:tcPr>
          <w:p w14:paraId="196B0C66" w14:textId="77777777" w:rsidR="00596C07" w:rsidRPr="004500D8" w:rsidRDefault="00596C07" w:rsidP="00596C07">
            <w:pPr>
              <w:autoSpaceDE w:val="0"/>
              <w:autoSpaceDN w:val="0"/>
              <w:adjustRightInd w:val="0"/>
              <w:rPr>
                <w:sz w:val="22"/>
                <w:szCs w:val="22"/>
                <w:lang w:val="sr-Latn-ME"/>
              </w:rPr>
            </w:pPr>
          </w:p>
        </w:tc>
        <w:tc>
          <w:tcPr>
            <w:tcW w:w="2084" w:type="dxa"/>
            <w:shd w:val="clear" w:color="auto" w:fill="auto"/>
          </w:tcPr>
          <w:p w14:paraId="3AC774DB" w14:textId="77777777" w:rsidR="00596C07" w:rsidRPr="004500D8" w:rsidRDefault="00596C07" w:rsidP="00596C07">
            <w:pPr>
              <w:autoSpaceDE w:val="0"/>
              <w:autoSpaceDN w:val="0"/>
              <w:adjustRightInd w:val="0"/>
              <w:rPr>
                <w:sz w:val="22"/>
                <w:szCs w:val="22"/>
                <w:lang w:val="sr-Latn-ME"/>
              </w:rPr>
            </w:pPr>
          </w:p>
        </w:tc>
      </w:tr>
      <w:tr w:rsidR="00596C07" w:rsidRPr="004500D8" w14:paraId="485B959F" w14:textId="77777777" w:rsidTr="00596C07">
        <w:trPr>
          <w:jc w:val="center"/>
        </w:trPr>
        <w:tc>
          <w:tcPr>
            <w:tcW w:w="5637" w:type="dxa"/>
            <w:shd w:val="clear" w:color="auto" w:fill="auto"/>
          </w:tcPr>
          <w:p w14:paraId="3225D254"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 xml:space="preserve">Održani odgovor </w:t>
            </w:r>
          </w:p>
        </w:tc>
        <w:tc>
          <w:tcPr>
            <w:tcW w:w="1559" w:type="dxa"/>
            <w:shd w:val="clear" w:color="auto" w:fill="auto"/>
          </w:tcPr>
          <w:p w14:paraId="7002A2E6"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12%</w:t>
            </w:r>
          </w:p>
        </w:tc>
        <w:tc>
          <w:tcPr>
            <w:tcW w:w="2084" w:type="dxa"/>
            <w:shd w:val="clear" w:color="auto" w:fill="auto"/>
          </w:tcPr>
          <w:p w14:paraId="30304F36"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24%**</w:t>
            </w:r>
          </w:p>
        </w:tc>
      </w:tr>
      <w:tr w:rsidR="00596C07" w:rsidRPr="004500D8" w14:paraId="330CF208" w14:textId="77777777" w:rsidTr="00596C07">
        <w:trPr>
          <w:jc w:val="center"/>
        </w:trPr>
        <w:tc>
          <w:tcPr>
            <w:tcW w:w="5637" w:type="dxa"/>
            <w:shd w:val="clear" w:color="auto" w:fill="auto"/>
          </w:tcPr>
          <w:p w14:paraId="7C87C7C7"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 xml:space="preserve">Održana remisija </w:t>
            </w:r>
          </w:p>
        </w:tc>
        <w:tc>
          <w:tcPr>
            <w:tcW w:w="1559" w:type="dxa"/>
            <w:shd w:val="clear" w:color="auto" w:fill="auto"/>
          </w:tcPr>
          <w:p w14:paraId="00082764"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4%</w:t>
            </w:r>
          </w:p>
        </w:tc>
        <w:tc>
          <w:tcPr>
            <w:tcW w:w="2084" w:type="dxa"/>
            <w:shd w:val="clear" w:color="auto" w:fill="auto"/>
          </w:tcPr>
          <w:p w14:paraId="53DBD1D0"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8%*</w:t>
            </w:r>
          </w:p>
        </w:tc>
      </w:tr>
      <w:tr w:rsidR="00596C07" w:rsidRPr="004500D8" w14:paraId="62EA75D8" w14:textId="77777777" w:rsidTr="00596C07">
        <w:trPr>
          <w:jc w:val="center"/>
        </w:trPr>
        <w:tc>
          <w:tcPr>
            <w:tcW w:w="5637" w:type="dxa"/>
            <w:shd w:val="clear" w:color="auto" w:fill="auto"/>
          </w:tcPr>
          <w:p w14:paraId="12ADD960"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 xml:space="preserve">Održano zarastanje sluznice </w:t>
            </w:r>
          </w:p>
        </w:tc>
        <w:tc>
          <w:tcPr>
            <w:tcW w:w="1559" w:type="dxa"/>
            <w:shd w:val="clear" w:color="auto" w:fill="auto"/>
          </w:tcPr>
          <w:p w14:paraId="327901C1"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11%</w:t>
            </w:r>
          </w:p>
        </w:tc>
        <w:tc>
          <w:tcPr>
            <w:tcW w:w="2084" w:type="dxa"/>
            <w:shd w:val="clear" w:color="auto" w:fill="auto"/>
          </w:tcPr>
          <w:p w14:paraId="674526B2"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19%*</w:t>
            </w:r>
          </w:p>
        </w:tc>
      </w:tr>
    </w:tbl>
    <w:p w14:paraId="57B7D0FC"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Klinička remisija je Mayo zbir ≤ 2 bez podzbira &gt; 1;</w:t>
      </w:r>
    </w:p>
    <w:p w14:paraId="41D93481" w14:textId="77777777" w:rsidR="00596C07" w:rsidRPr="004500D8" w:rsidRDefault="00596C07" w:rsidP="00596C07">
      <w:pPr>
        <w:autoSpaceDE w:val="0"/>
        <w:autoSpaceDN w:val="0"/>
        <w:adjustRightInd w:val="0"/>
        <w:jc w:val="both"/>
        <w:rPr>
          <w:sz w:val="22"/>
          <w:szCs w:val="22"/>
          <w:lang w:val="sr-Latn-ME"/>
        </w:rPr>
      </w:pPr>
      <w:r w:rsidRPr="004500D8">
        <w:rPr>
          <w:sz w:val="22"/>
          <w:szCs w:val="22"/>
          <w:lang w:val="sr-Latn-ME"/>
        </w:rPr>
        <w:t xml:space="preserve">Klinički odgovor je postignut ako je ostvareno početno smanjenje Mayo rezultata  za ≥ 3 boda i ≥ 30%, uz smanjenje podrezultata rektalnog krvarenja [engl. </w:t>
      </w:r>
      <w:r w:rsidRPr="004500D8">
        <w:rPr>
          <w:i/>
          <w:sz w:val="22"/>
          <w:szCs w:val="22"/>
          <w:lang w:val="sr-Latn-ME"/>
        </w:rPr>
        <w:t>rectal bleeding subscore</w:t>
      </w:r>
      <w:r w:rsidRPr="004500D8">
        <w:rPr>
          <w:sz w:val="22"/>
          <w:szCs w:val="22"/>
          <w:lang w:val="sr-Latn-ME"/>
        </w:rPr>
        <w:t>, RBS] za ≥1 ili apsolutni RBS od 0 ili 1;</w:t>
      </w:r>
    </w:p>
    <w:p w14:paraId="44C0145A"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 xml:space="preserve">*p&lt;0,05 za poređenje odnosa lijeka Humira i placeba u parovima </w:t>
      </w:r>
    </w:p>
    <w:p w14:paraId="17D99238" w14:textId="77777777" w:rsidR="00596C07" w:rsidRPr="004500D8" w:rsidRDefault="00596C07" w:rsidP="00596C07">
      <w:pPr>
        <w:autoSpaceDE w:val="0"/>
        <w:autoSpaceDN w:val="0"/>
        <w:adjustRightInd w:val="0"/>
        <w:rPr>
          <w:sz w:val="22"/>
          <w:szCs w:val="22"/>
          <w:lang w:val="sr-Latn-ME"/>
        </w:rPr>
      </w:pPr>
      <w:r w:rsidRPr="004500D8">
        <w:rPr>
          <w:sz w:val="22"/>
          <w:szCs w:val="22"/>
          <w:lang w:val="sr-Latn-ME"/>
        </w:rPr>
        <w:t xml:space="preserve">**p&lt;0,001 za poređenje odnosa lijeka Humira i placeba u parovima </w:t>
      </w:r>
    </w:p>
    <w:p w14:paraId="10CB39CD" w14:textId="77777777" w:rsidR="00596C07" w:rsidRPr="004500D8" w:rsidRDefault="00596C07" w:rsidP="00596C07">
      <w:pPr>
        <w:autoSpaceDE w:val="0"/>
        <w:autoSpaceDN w:val="0"/>
        <w:adjustRightInd w:val="0"/>
        <w:rPr>
          <w:sz w:val="22"/>
          <w:szCs w:val="22"/>
          <w:lang w:val="sr-Latn-ME"/>
        </w:rPr>
      </w:pPr>
      <w:r w:rsidRPr="004500D8">
        <w:rPr>
          <w:sz w:val="22"/>
          <w:szCs w:val="22"/>
          <w:vertAlign w:val="superscript"/>
          <w:lang w:val="sr-Latn-ME"/>
        </w:rPr>
        <w:t>a</w:t>
      </w:r>
      <w:r w:rsidRPr="004500D8">
        <w:rPr>
          <w:sz w:val="22"/>
          <w:szCs w:val="22"/>
          <w:lang w:val="sr-Latn-ME"/>
        </w:rPr>
        <w:t xml:space="preserve"> od onih koji su na početku uzimali kortikosteroide</w:t>
      </w:r>
    </w:p>
    <w:p w14:paraId="5F751D93"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Kod pacijenata koji su imali odgovor u 8. nedjelji, u 52. nedjelji 47% imalo klinički odgovor, 29% ih je bilo u remisiji,  41% je imalo zacjeljivanje sluznice, , 20% bilo u remisiji bez upotrebe steroida ≥ 90 dana.</w:t>
      </w:r>
    </w:p>
    <w:p w14:paraId="2AFC81C5" w14:textId="77777777" w:rsidR="00596C07" w:rsidRPr="004500D8" w:rsidRDefault="00596C07" w:rsidP="00596C07">
      <w:pPr>
        <w:widowControl w:val="0"/>
        <w:autoSpaceDE w:val="0"/>
        <w:autoSpaceDN w:val="0"/>
        <w:adjustRightInd w:val="0"/>
        <w:jc w:val="both"/>
        <w:rPr>
          <w:sz w:val="22"/>
          <w:szCs w:val="22"/>
          <w:lang w:val="sr-Latn-ME"/>
        </w:rPr>
      </w:pPr>
    </w:p>
    <w:p w14:paraId="340B3597"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Kod oko 40% pacijenata u UC-II ispitivanju prethodna anti-TNF terapija infliksimabom nije bila uspješna. Efikasnost adalimumaba kod ovih pacijenata je bila manja u poređenju sa pacijentima koji nikada nisu primali anti-TNF terapiju. Među pacijentima kod kojih prethodna anti-TNF terapija nije bila uspješna, remisiju u 52. nedjelji je ostvarilo 3% onih koji su primali placebo, a 10% onih koji su primali adalimumab.</w:t>
      </w:r>
    </w:p>
    <w:p w14:paraId="2D139F39" w14:textId="77777777" w:rsidR="00596C07" w:rsidRPr="004500D8" w:rsidRDefault="00596C07" w:rsidP="00596C07">
      <w:pPr>
        <w:widowControl w:val="0"/>
        <w:autoSpaceDE w:val="0"/>
        <w:autoSpaceDN w:val="0"/>
        <w:adjustRightInd w:val="0"/>
        <w:jc w:val="both"/>
        <w:rPr>
          <w:sz w:val="22"/>
          <w:szCs w:val="22"/>
          <w:lang w:val="sr-Latn-ME"/>
        </w:rPr>
      </w:pPr>
    </w:p>
    <w:p w14:paraId="64D01E7A"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Pacijenti iz ispitivanja UC-I i UC-II imali su mogućnost prelaska u otvoreni dugotrajni produžetak ispitivanja (UC III). Nakon 3 godine terapije adalimumabom, 75% (301/402) je i dalje bilo u kliničkoj remisiji po parcijalnom Mayo rezultatu.</w:t>
      </w:r>
    </w:p>
    <w:p w14:paraId="1F2E272F" w14:textId="77777777" w:rsidR="00596C07" w:rsidRPr="004500D8" w:rsidRDefault="00596C07" w:rsidP="00596C07">
      <w:pPr>
        <w:widowControl w:val="0"/>
        <w:autoSpaceDE w:val="0"/>
        <w:autoSpaceDN w:val="0"/>
        <w:adjustRightInd w:val="0"/>
        <w:jc w:val="both"/>
        <w:rPr>
          <w:sz w:val="22"/>
          <w:szCs w:val="22"/>
          <w:lang w:val="sr-Latn-ME"/>
        </w:rPr>
      </w:pPr>
    </w:p>
    <w:p w14:paraId="48A1E906" w14:textId="77777777" w:rsidR="00596C07" w:rsidRPr="004500D8" w:rsidRDefault="00596C07" w:rsidP="00596C07">
      <w:pPr>
        <w:widowControl w:val="0"/>
        <w:autoSpaceDE w:val="0"/>
        <w:autoSpaceDN w:val="0"/>
        <w:adjustRightInd w:val="0"/>
        <w:jc w:val="both"/>
        <w:rPr>
          <w:i/>
          <w:sz w:val="22"/>
          <w:szCs w:val="22"/>
          <w:u w:val="single"/>
          <w:lang w:val="sr-Latn-ME"/>
        </w:rPr>
      </w:pPr>
      <w:r w:rsidRPr="004500D8">
        <w:rPr>
          <w:i/>
          <w:sz w:val="22"/>
          <w:szCs w:val="22"/>
          <w:u w:val="single"/>
          <w:lang w:val="sr-Latn-ME"/>
        </w:rPr>
        <w:t>Stope hospitalizacije</w:t>
      </w:r>
    </w:p>
    <w:p w14:paraId="067578CE" w14:textId="77777777" w:rsidR="00596C07" w:rsidRPr="004500D8" w:rsidRDefault="00596C07" w:rsidP="00596C07">
      <w:pPr>
        <w:widowControl w:val="0"/>
        <w:autoSpaceDE w:val="0"/>
        <w:autoSpaceDN w:val="0"/>
        <w:adjustRightInd w:val="0"/>
        <w:jc w:val="both"/>
        <w:rPr>
          <w:sz w:val="22"/>
          <w:szCs w:val="22"/>
          <w:lang w:val="sr-Latn-ME"/>
        </w:rPr>
      </w:pPr>
    </w:p>
    <w:p w14:paraId="63A82058"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Tokom 52 nedjelje ispitivanja UC-I i UC-II primijećene su niže stope hospitalizacija svih uzroka i hospitalizacija povezanih s ulceroznim kolitisom kod grupe liječene adalimumabom u odnosu na placebo grupu. Broj hospitalizacija svih uzroka u grupi liječenoj adalimumabom bio je 0,18 po pacijent-godina u odnosu na 0,26 po pacijent-godina u placebo grupi, a odgovarajući podaci za hospitalizaciju povezanu s ulceroznim kolitisom bili su 0,12 po pacijent-godina u odnosu na 0,22 po pacijent-godina.</w:t>
      </w:r>
    </w:p>
    <w:p w14:paraId="43EDC1EF" w14:textId="77777777" w:rsidR="00596C07" w:rsidRPr="004500D8" w:rsidRDefault="00596C07" w:rsidP="00596C07">
      <w:pPr>
        <w:widowControl w:val="0"/>
        <w:autoSpaceDE w:val="0"/>
        <w:autoSpaceDN w:val="0"/>
        <w:adjustRightInd w:val="0"/>
        <w:jc w:val="both"/>
        <w:rPr>
          <w:sz w:val="22"/>
          <w:szCs w:val="22"/>
          <w:lang w:val="sr-Latn-ME"/>
        </w:rPr>
      </w:pPr>
    </w:p>
    <w:p w14:paraId="1335D23B" w14:textId="77777777" w:rsidR="00596C07" w:rsidRPr="004500D8" w:rsidRDefault="00596C07" w:rsidP="00596C07">
      <w:pPr>
        <w:widowControl w:val="0"/>
        <w:autoSpaceDE w:val="0"/>
        <w:autoSpaceDN w:val="0"/>
        <w:adjustRightInd w:val="0"/>
        <w:jc w:val="both"/>
        <w:rPr>
          <w:i/>
          <w:sz w:val="22"/>
          <w:szCs w:val="22"/>
          <w:u w:val="single"/>
          <w:lang w:val="sr-Latn-ME"/>
        </w:rPr>
      </w:pPr>
      <w:r w:rsidRPr="004500D8">
        <w:rPr>
          <w:i/>
          <w:sz w:val="22"/>
          <w:szCs w:val="22"/>
          <w:u w:val="single"/>
          <w:lang w:val="sr-Latn-ME"/>
        </w:rPr>
        <w:t>Kvalitet života</w:t>
      </w:r>
    </w:p>
    <w:p w14:paraId="12CEE433" w14:textId="77777777" w:rsidR="00596C07" w:rsidRPr="004500D8" w:rsidRDefault="00596C07" w:rsidP="00596C07">
      <w:pPr>
        <w:widowControl w:val="0"/>
        <w:autoSpaceDE w:val="0"/>
        <w:autoSpaceDN w:val="0"/>
        <w:adjustRightInd w:val="0"/>
        <w:jc w:val="both"/>
        <w:rPr>
          <w:i/>
          <w:sz w:val="22"/>
          <w:szCs w:val="22"/>
          <w:u w:val="single"/>
          <w:lang w:val="sr-Latn-ME"/>
        </w:rPr>
      </w:pPr>
    </w:p>
    <w:p w14:paraId="261525F0"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U ispitivanju UC-II, liječenje adalimumabom rezultiralo je poboljšanjem rezultata upitnika o inflamatornoj bolesti crijeva </w:t>
      </w:r>
      <w:r w:rsidRPr="004500D8">
        <w:rPr>
          <w:i/>
          <w:sz w:val="22"/>
          <w:szCs w:val="22"/>
          <w:lang w:val="sr-Latn-ME"/>
        </w:rPr>
        <w:t xml:space="preserve">(Inflammatory Bowel Disease Questionnaire) </w:t>
      </w:r>
      <w:r w:rsidRPr="004500D8">
        <w:rPr>
          <w:sz w:val="22"/>
          <w:szCs w:val="22"/>
          <w:lang w:val="sr-Latn-ME"/>
        </w:rPr>
        <w:t>IBDQ.</w:t>
      </w:r>
    </w:p>
    <w:p w14:paraId="145D1E83" w14:textId="77777777" w:rsidR="00596C07" w:rsidRPr="004500D8" w:rsidRDefault="00596C07" w:rsidP="00596C07">
      <w:pPr>
        <w:widowControl w:val="0"/>
        <w:autoSpaceDE w:val="0"/>
        <w:autoSpaceDN w:val="0"/>
        <w:adjustRightInd w:val="0"/>
        <w:jc w:val="both"/>
        <w:rPr>
          <w:sz w:val="22"/>
          <w:szCs w:val="22"/>
          <w:lang w:val="sr-Latn-ME"/>
        </w:rPr>
      </w:pPr>
    </w:p>
    <w:p w14:paraId="53685584" w14:textId="77777777" w:rsidR="00596C07" w:rsidRPr="004500D8" w:rsidRDefault="00596C07" w:rsidP="00596C07">
      <w:pPr>
        <w:widowControl w:val="0"/>
        <w:autoSpaceDE w:val="0"/>
        <w:autoSpaceDN w:val="0"/>
        <w:adjustRightInd w:val="0"/>
        <w:jc w:val="both"/>
        <w:rPr>
          <w:i/>
          <w:sz w:val="22"/>
          <w:szCs w:val="22"/>
          <w:lang w:val="sr-Latn-ME"/>
        </w:rPr>
      </w:pPr>
      <w:r w:rsidRPr="004500D8">
        <w:rPr>
          <w:i/>
          <w:sz w:val="22"/>
          <w:szCs w:val="22"/>
          <w:lang w:val="sr-Latn-ME"/>
        </w:rPr>
        <w:t>Uveitis</w:t>
      </w:r>
    </w:p>
    <w:p w14:paraId="64A57F32" w14:textId="77777777" w:rsidR="00596C07" w:rsidRPr="004500D8" w:rsidRDefault="00596C07" w:rsidP="00596C07">
      <w:pPr>
        <w:widowControl w:val="0"/>
        <w:autoSpaceDE w:val="0"/>
        <w:autoSpaceDN w:val="0"/>
        <w:adjustRightInd w:val="0"/>
        <w:jc w:val="both"/>
        <w:rPr>
          <w:sz w:val="22"/>
          <w:szCs w:val="22"/>
          <w:lang w:val="sr-Latn-ME"/>
        </w:rPr>
      </w:pPr>
    </w:p>
    <w:p w14:paraId="3C0D7DA0"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Bezbjednost i efikasnost lijeka Humira ocjenjivale su se kod odraslih pacijenata s neinfektivnim intermedijalnim, posteriornim i panuveitisom, isključujući pacijente sa izolovanim anteriornim uveitisom, u dva randomizovana, dvostruko slijepa, placebom kontrolisana ispitivanja (UV I i II). Pacijenti su primali placebo ili lijek Humira u početnoj dozi od 80 mg, nakon koje je slijedila doza od 40 mg svake druge nedjelje, počevši nedjelju dana nakon početne doze. Bila je dopuštena istovremena primjena stabilnih doza jednog nebiološkog imunosupresiva. </w:t>
      </w:r>
    </w:p>
    <w:p w14:paraId="6C994282" w14:textId="77777777" w:rsidR="00596C07" w:rsidRPr="004500D8" w:rsidRDefault="00596C07" w:rsidP="00596C07">
      <w:pPr>
        <w:widowControl w:val="0"/>
        <w:autoSpaceDE w:val="0"/>
        <w:autoSpaceDN w:val="0"/>
        <w:adjustRightInd w:val="0"/>
        <w:jc w:val="both"/>
        <w:rPr>
          <w:sz w:val="22"/>
          <w:szCs w:val="22"/>
          <w:lang w:val="sr-Latn-ME"/>
        </w:rPr>
      </w:pPr>
    </w:p>
    <w:p w14:paraId="4E9957D5"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lastRenderedPageBreak/>
        <w:t>Ispitivanje UV I procjenjivalo je 217 pacijenata sa aktivnim uveitisom uprkos liječenju kortikosteroidima (oralni prednizon u dozi od 10 do 60 mg/dan). Svi su pacijenti pri uključivanju u ispitivanje 2 nedjelje primali standardnu dozu prednizona od 60 mg/dan, nakon čega je uslijedilo obavezno postupno smanjivanje doze, uz potpuni prestanak primjene kortikosteroida do 15. nedjelje.</w:t>
      </w:r>
    </w:p>
    <w:p w14:paraId="6BCB61B7" w14:textId="77777777" w:rsidR="00596C07" w:rsidRPr="004500D8" w:rsidRDefault="00596C07" w:rsidP="00596C07">
      <w:pPr>
        <w:widowControl w:val="0"/>
        <w:autoSpaceDE w:val="0"/>
        <w:autoSpaceDN w:val="0"/>
        <w:adjustRightInd w:val="0"/>
        <w:jc w:val="both"/>
        <w:rPr>
          <w:sz w:val="22"/>
          <w:szCs w:val="22"/>
          <w:lang w:val="sr-Latn-ME"/>
        </w:rPr>
      </w:pPr>
    </w:p>
    <w:p w14:paraId="7470936D"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Ispitivanje UV II procjenjivalo je 226 pacijenata sa neaktivnim uveitisom kojima je na početku ispitivanja za kontrolu bolesti bilo potrebno hronično liječenje kortikosteroidima (oralni prednizon u dozi od 10 do 35 mg/dan). Nakon toga je uslijedilo obavezno postupno smanjivanje doze i potpuni prestanak primjene kortikosteroida do 19. nedjelje. </w:t>
      </w:r>
    </w:p>
    <w:p w14:paraId="1DD4B6CF" w14:textId="77777777" w:rsidR="00596C07" w:rsidRPr="004500D8" w:rsidRDefault="00596C07" w:rsidP="00596C07">
      <w:pPr>
        <w:widowControl w:val="0"/>
        <w:autoSpaceDE w:val="0"/>
        <w:autoSpaceDN w:val="0"/>
        <w:adjustRightInd w:val="0"/>
        <w:jc w:val="both"/>
        <w:rPr>
          <w:sz w:val="22"/>
          <w:szCs w:val="22"/>
          <w:lang w:val="sr-Latn-ME"/>
        </w:rPr>
      </w:pPr>
    </w:p>
    <w:p w14:paraId="0475E092" w14:textId="37BB3FD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Primarna mjera ishoda za efikasnost u oba ispitivanja bilo je „vrijeme do neuspjeha liječenja“. Neuspjeh liječenja definisao se višekomponentnim ishodom koji se temeljio na upalnim horioretinalnim i/ili upalnim retinalnim vaskularnim lezijama, stepenu prema broju ćelija u prednjoj očnoj komori (engl. </w:t>
      </w:r>
      <w:r w:rsidRPr="004500D8">
        <w:rPr>
          <w:i/>
          <w:sz w:val="22"/>
          <w:szCs w:val="22"/>
          <w:lang w:val="sr-Latn-ME"/>
        </w:rPr>
        <w:t>anterior chamber</w:t>
      </w:r>
      <w:r w:rsidRPr="004500D8">
        <w:rPr>
          <w:sz w:val="22"/>
          <w:szCs w:val="22"/>
          <w:lang w:val="sr-Latn-ME"/>
        </w:rPr>
        <w:t xml:space="preserve"> [AC] </w:t>
      </w:r>
      <w:r w:rsidRPr="004500D8">
        <w:rPr>
          <w:i/>
          <w:sz w:val="22"/>
          <w:szCs w:val="22"/>
          <w:lang w:val="sr-Latn-ME"/>
        </w:rPr>
        <w:t>cell grade</w:t>
      </w:r>
      <w:r w:rsidRPr="004500D8">
        <w:rPr>
          <w:sz w:val="22"/>
          <w:szCs w:val="22"/>
          <w:lang w:val="sr-Latn-ME"/>
        </w:rPr>
        <w:t xml:space="preserve">), stepenu prema zamućenju staklastog tijela (engl. </w:t>
      </w:r>
      <w:r w:rsidRPr="004500D8">
        <w:rPr>
          <w:i/>
          <w:sz w:val="22"/>
          <w:szCs w:val="22"/>
          <w:lang w:val="sr-Latn-ME"/>
        </w:rPr>
        <w:t>vitreous haze</w:t>
      </w:r>
      <w:r w:rsidRPr="004500D8">
        <w:rPr>
          <w:sz w:val="22"/>
          <w:szCs w:val="22"/>
          <w:lang w:val="sr-Latn-ME"/>
        </w:rPr>
        <w:t xml:space="preserve"> [VH] </w:t>
      </w:r>
      <w:r w:rsidRPr="004500D8">
        <w:rPr>
          <w:i/>
          <w:sz w:val="22"/>
          <w:szCs w:val="22"/>
          <w:lang w:val="sr-Latn-ME"/>
        </w:rPr>
        <w:t>grade</w:t>
      </w:r>
      <w:r w:rsidRPr="004500D8">
        <w:rPr>
          <w:sz w:val="22"/>
          <w:szCs w:val="22"/>
          <w:lang w:val="sr-Latn-ME"/>
        </w:rPr>
        <w:t xml:space="preserve">) te najboljoj korigovanoj oštrini vida (engl. </w:t>
      </w:r>
      <w:r w:rsidRPr="004500D8">
        <w:rPr>
          <w:i/>
          <w:sz w:val="22"/>
          <w:szCs w:val="22"/>
          <w:lang w:val="sr-Latn-ME"/>
        </w:rPr>
        <w:t>best corrected visual acuity</w:t>
      </w:r>
      <w:r w:rsidRPr="004500D8">
        <w:rPr>
          <w:sz w:val="22"/>
          <w:szCs w:val="22"/>
          <w:lang w:val="sr-Latn-ME"/>
        </w:rPr>
        <w:t>, BCVA).</w:t>
      </w:r>
      <w:r w:rsidRPr="004500D8">
        <w:rPr>
          <w:sz w:val="22"/>
          <w:szCs w:val="22"/>
          <w:lang w:val="sr-Latn-ME"/>
        </w:rPr>
        <w:cr/>
      </w:r>
    </w:p>
    <w:p w14:paraId="258CF59F" w14:textId="1DA4B821" w:rsidR="00560668" w:rsidRPr="004500D8" w:rsidRDefault="00560668" w:rsidP="00596C07">
      <w:pPr>
        <w:widowControl w:val="0"/>
        <w:autoSpaceDE w:val="0"/>
        <w:autoSpaceDN w:val="0"/>
        <w:adjustRightInd w:val="0"/>
        <w:jc w:val="both"/>
        <w:rPr>
          <w:sz w:val="22"/>
          <w:szCs w:val="22"/>
          <w:lang w:val="sr-Latn-ME"/>
        </w:rPr>
      </w:pPr>
      <w:r w:rsidRPr="004500D8">
        <w:rPr>
          <w:sz w:val="22"/>
          <w:szCs w:val="22"/>
          <w:lang w:val="sr-Latn-ME"/>
        </w:rPr>
        <w:t xml:space="preserve">Pacijenti koji su završili ispitivanja UV I i UV II zadovoljavali su kriterijume za uključivanje u nekontrolisani digoročni produžetak ispitivanja čije je planirano vrijeme trajanja bilo 78 nedjelja. Pacijenti su smjeli nastaviti liječenje ispitivanim lijekom nakon 78. nedjelje do trenutka kada im je omogućen pristup lijeku Humira. </w:t>
      </w:r>
    </w:p>
    <w:p w14:paraId="5338828F" w14:textId="77777777" w:rsidR="00560668" w:rsidRPr="004500D8" w:rsidRDefault="00560668" w:rsidP="00596C07">
      <w:pPr>
        <w:widowControl w:val="0"/>
        <w:autoSpaceDE w:val="0"/>
        <w:autoSpaceDN w:val="0"/>
        <w:adjustRightInd w:val="0"/>
        <w:jc w:val="both"/>
        <w:rPr>
          <w:sz w:val="22"/>
          <w:szCs w:val="22"/>
          <w:lang w:val="sr-Latn-ME"/>
        </w:rPr>
      </w:pPr>
    </w:p>
    <w:p w14:paraId="3934EB73" w14:textId="77777777" w:rsidR="00596C07" w:rsidRPr="004500D8" w:rsidRDefault="00596C07" w:rsidP="00596C07">
      <w:pPr>
        <w:widowControl w:val="0"/>
        <w:autoSpaceDE w:val="0"/>
        <w:autoSpaceDN w:val="0"/>
        <w:adjustRightInd w:val="0"/>
        <w:jc w:val="both"/>
        <w:rPr>
          <w:i/>
          <w:sz w:val="22"/>
          <w:szCs w:val="22"/>
          <w:u w:val="single"/>
          <w:lang w:val="sr-Latn-ME"/>
        </w:rPr>
      </w:pPr>
      <w:r w:rsidRPr="004500D8">
        <w:rPr>
          <w:i/>
          <w:sz w:val="22"/>
          <w:szCs w:val="22"/>
          <w:u w:val="single"/>
          <w:lang w:val="sr-Latn-ME"/>
        </w:rPr>
        <w:t>Klinički odgovor</w:t>
      </w:r>
    </w:p>
    <w:p w14:paraId="3E396D46" w14:textId="77777777" w:rsidR="00596C07" w:rsidRPr="004500D8" w:rsidRDefault="00596C07" w:rsidP="00596C07">
      <w:pPr>
        <w:widowControl w:val="0"/>
        <w:autoSpaceDE w:val="0"/>
        <w:autoSpaceDN w:val="0"/>
        <w:adjustRightInd w:val="0"/>
        <w:jc w:val="both"/>
        <w:rPr>
          <w:sz w:val="22"/>
          <w:szCs w:val="22"/>
          <w:lang w:val="sr-Latn-ME"/>
        </w:rPr>
      </w:pPr>
    </w:p>
    <w:p w14:paraId="3C21EFBF"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Rezultati iz oba ispitivanja pokazali su statistički značajno smanjenje rizika od neuspjeha liječenja kod pacijenata liječenih lijekom Humira u odnosu na one koji su primali placebo (vidjeti Tabelu 17). Oba su ispitivanja pokazala rani i održan efekat lijeka Humira na stopu neuspjeha liječenja u odnosu na placebo (vidjeti Sliku 1).</w:t>
      </w:r>
    </w:p>
    <w:p w14:paraId="6315F704" w14:textId="77777777" w:rsidR="00560668" w:rsidRPr="004500D8" w:rsidRDefault="00560668" w:rsidP="003B242C">
      <w:pPr>
        <w:widowControl w:val="0"/>
        <w:autoSpaceDE w:val="0"/>
        <w:autoSpaceDN w:val="0"/>
        <w:adjustRightInd w:val="0"/>
        <w:rPr>
          <w:sz w:val="22"/>
          <w:szCs w:val="22"/>
          <w:lang w:val="sr-Latn-ME"/>
        </w:rPr>
      </w:pPr>
    </w:p>
    <w:p w14:paraId="3455A3AE" w14:textId="452F0FD9" w:rsidR="00596C07" w:rsidRPr="004500D8" w:rsidRDefault="00596C07" w:rsidP="003B242C">
      <w:pPr>
        <w:widowControl w:val="0"/>
        <w:autoSpaceDE w:val="0"/>
        <w:autoSpaceDN w:val="0"/>
        <w:adjustRightInd w:val="0"/>
        <w:rPr>
          <w:b/>
          <w:sz w:val="22"/>
          <w:szCs w:val="22"/>
          <w:lang w:val="sr-Latn-ME"/>
        </w:rPr>
      </w:pPr>
      <w:r w:rsidRPr="004500D8">
        <w:rPr>
          <w:b/>
          <w:sz w:val="22"/>
          <w:szCs w:val="22"/>
          <w:lang w:val="sr-Latn-ME"/>
        </w:rPr>
        <w:t>Tabela 17</w:t>
      </w:r>
      <w:r w:rsidR="00560668" w:rsidRPr="004500D8">
        <w:rPr>
          <w:b/>
          <w:sz w:val="22"/>
          <w:szCs w:val="22"/>
          <w:lang w:val="sr-Latn-ME"/>
        </w:rPr>
        <w:t xml:space="preserve">. </w:t>
      </w:r>
      <w:r w:rsidRPr="004500D8">
        <w:rPr>
          <w:b/>
          <w:sz w:val="22"/>
          <w:szCs w:val="22"/>
          <w:lang w:val="sr-Latn-ME"/>
        </w:rPr>
        <w:t>Vrijeme do neuspjeha liječenja u ispitivanjima UV I i UV II</w:t>
      </w:r>
      <w:r w:rsidRPr="004500D8">
        <w:rPr>
          <w:b/>
          <w:sz w:val="22"/>
          <w:szCs w:val="22"/>
          <w:lang w:val="sr-Latn-ME"/>
        </w:rPr>
        <w:cr/>
      </w:r>
    </w:p>
    <w:tbl>
      <w:tblPr>
        <w:tblW w:w="0" w:type="auto"/>
        <w:tblBorders>
          <w:top w:val="single" w:sz="4" w:space="0" w:color="auto"/>
          <w:bottom w:val="single" w:sz="4" w:space="0" w:color="auto"/>
        </w:tblBorders>
        <w:tblLook w:val="04A0" w:firstRow="1" w:lastRow="0" w:firstColumn="1" w:lastColumn="0" w:noHBand="0" w:noVBand="1"/>
      </w:tblPr>
      <w:tblGrid>
        <w:gridCol w:w="2249"/>
        <w:gridCol w:w="711"/>
        <w:gridCol w:w="1166"/>
        <w:gridCol w:w="1851"/>
        <w:gridCol w:w="714"/>
        <w:gridCol w:w="1142"/>
        <w:gridCol w:w="1240"/>
      </w:tblGrid>
      <w:tr w:rsidR="00596C07" w:rsidRPr="004500D8" w14:paraId="691CF868" w14:textId="77777777" w:rsidTr="00596C07">
        <w:tc>
          <w:tcPr>
            <w:tcW w:w="2268" w:type="dxa"/>
            <w:tcBorders>
              <w:top w:val="single" w:sz="4" w:space="0" w:color="auto"/>
              <w:bottom w:val="single" w:sz="4" w:space="0" w:color="auto"/>
            </w:tcBorders>
            <w:shd w:val="clear" w:color="auto" w:fill="auto"/>
          </w:tcPr>
          <w:p w14:paraId="54751630" w14:textId="77777777" w:rsidR="00596C07" w:rsidRPr="004500D8" w:rsidRDefault="00596C07" w:rsidP="00596C07">
            <w:pPr>
              <w:tabs>
                <w:tab w:val="left" w:pos="562"/>
              </w:tabs>
              <w:suppressAutoHyphens/>
              <w:rPr>
                <w:b/>
                <w:sz w:val="22"/>
                <w:szCs w:val="22"/>
                <w:lang w:val="sr-Latn-ME"/>
              </w:rPr>
            </w:pPr>
            <w:r w:rsidRPr="004500D8">
              <w:rPr>
                <w:b/>
                <w:sz w:val="22"/>
                <w:szCs w:val="22"/>
                <w:lang w:val="sr-Latn-ME"/>
              </w:rPr>
              <w:t>Analiza</w:t>
            </w:r>
          </w:p>
          <w:p w14:paraId="2AE11052" w14:textId="77777777" w:rsidR="00596C07" w:rsidRPr="004500D8" w:rsidRDefault="00596C07" w:rsidP="00596C07">
            <w:pPr>
              <w:tabs>
                <w:tab w:val="left" w:pos="562"/>
              </w:tabs>
              <w:suppressAutoHyphens/>
              <w:rPr>
                <w:b/>
                <w:sz w:val="22"/>
                <w:szCs w:val="22"/>
                <w:lang w:val="sr-Latn-ME"/>
              </w:rPr>
            </w:pPr>
            <w:r w:rsidRPr="004500D8">
              <w:rPr>
                <w:b/>
                <w:sz w:val="22"/>
                <w:szCs w:val="22"/>
                <w:lang w:val="sr-Latn-ME"/>
              </w:rPr>
              <w:tab/>
              <w:t>Liječenje</w:t>
            </w:r>
          </w:p>
        </w:tc>
        <w:tc>
          <w:tcPr>
            <w:tcW w:w="720" w:type="dxa"/>
            <w:tcBorders>
              <w:top w:val="single" w:sz="4" w:space="0" w:color="auto"/>
              <w:bottom w:val="single" w:sz="4" w:space="0" w:color="auto"/>
            </w:tcBorders>
            <w:shd w:val="clear" w:color="auto" w:fill="auto"/>
          </w:tcPr>
          <w:p w14:paraId="173BEE50" w14:textId="77777777" w:rsidR="00596C07" w:rsidRPr="004500D8" w:rsidRDefault="00596C07" w:rsidP="00596C07">
            <w:pPr>
              <w:tabs>
                <w:tab w:val="left" w:pos="562"/>
              </w:tabs>
              <w:suppressAutoHyphens/>
              <w:rPr>
                <w:b/>
                <w:sz w:val="22"/>
                <w:szCs w:val="22"/>
                <w:lang w:val="sr-Latn-ME"/>
              </w:rPr>
            </w:pPr>
            <w:r w:rsidRPr="004500D8">
              <w:rPr>
                <w:b/>
                <w:sz w:val="22"/>
                <w:szCs w:val="22"/>
                <w:lang w:val="sr-Latn-ME"/>
              </w:rPr>
              <w:t>N</w:t>
            </w:r>
          </w:p>
        </w:tc>
        <w:tc>
          <w:tcPr>
            <w:tcW w:w="1170" w:type="dxa"/>
            <w:tcBorders>
              <w:top w:val="single" w:sz="4" w:space="0" w:color="auto"/>
              <w:bottom w:val="single" w:sz="4" w:space="0" w:color="auto"/>
            </w:tcBorders>
            <w:shd w:val="clear" w:color="auto" w:fill="auto"/>
          </w:tcPr>
          <w:p w14:paraId="71322257" w14:textId="77777777" w:rsidR="00596C07" w:rsidRPr="004500D8" w:rsidRDefault="00596C07" w:rsidP="00596C07">
            <w:pPr>
              <w:tabs>
                <w:tab w:val="left" w:pos="562"/>
              </w:tabs>
              <w:suppressAutoHyphens/>
              <w:rPr>
                <w:b/>
                <w:sz w:val="22"/>
                <w:szCs w:val="22"/>
                <w:lang w:val="sr-Latn-ME"/>
              </w:rPr>
            </w:pPr>
            <w:r w:rsidRPr="004500D8">
              <w:rPr>
                <w:b/>
                <w:sz w:val="22"/>
                <w:szCs w:val="22"/>
                <w:lang w:val="sr-Latn-ME"/>
              </w:rPr>
              <w:t>Neuspjeh</w:t>
            </w:r>
            <w:r w:rsidRPr="004500D8">
              <w:rPr>
                <w:b/>
                <w:sz w:val="22"/>
                <w:szCs w:val="22"/>
                <w:lang w:val="sr-Latn-ME"/>
              </w:rPr>
              <w:br/>
              <w:t>N (%)</w:t>
            </w:r>
          </w:p>
        </w:tc>
        <w:tc>
          <w:tcPr>
            <w:tcW w:w="1890" w:type="dxa"/>
            <w:tcBorders>
              <w:top w:val="single" w:sz="4" w:space="0" w:color="auto"/>
              <w:bottom w:val="single" w:sz="4" w:space="0" w:color="auto"/>
            </w:tcBorders>
            <w:shd w:val="clear" w:color="auto" w:fill="auto"/>
          </w:tcPr>
          <w:p w14:paraId="2B5C550C" w14:textId="77777777" w:rsidR="00596C07" w:rsidRPr="004500D8" w:rsidRDefault="00596C07" w:rsidP="00596C07">
            <w:pPr>
              <w:tabs>
                <w:tab w:val="left" w:pos="562"/>
              </w:tabs>
              <w:suppressAutoHyphens/>
              <w:rPr>
                <w:b/>
                <w:sz w:val="22"/>
                <w:szCs w:val="22"/>
                <w:lang w:val="sr-Latn-ME"/>
              </w:rPr>
            </w:pPr>
            <w:r w:rsidRPr="004500D8">
              <w:rPr>
                <w:b/>
                <w:sz w:val="22"/>
                <w:szCs w:val="22"/>
                <w:lang w:val="sr-Latn-ME"/>
              </w:rPr>
              <w:t>Medijana vremena do neuspjeha (mjeseci)</w:t>
            </w:r>
          </w:p>
        </w:tc>
        <w:tc>
          <w:tcPr>
            <w:tcW w:w="720" w:type="dxa"/>
            <w:tcBorders>
              <w:top w:val="single" w:sz="4" w:space="0" w:color="auto"/>
              <w:bottom w:val="single" w:sz="4" w:space="0" w:color="auto"/>
            </w:tcBorders>
            <w:shd w:val="clear" w:color="auto" w:fill="auto"/>
          </w:tcPr>
          <w:p w14:paraId="10378780" w14:textId="77777777" w:rsidR="00596C07" w:rsidRPr="004500D8" w:rsidRDefault="00596C07" w:rsidP="00596C07">
            <w:pPr>
              <w:tabs>
                <w:tab w:val="left" w:pos="562"/>
              </w:tabs>
              <w:suppressAutoHyphens/>
              <w:rPr>
                <w:b/>
                <w:sz w:val="22"/>
                <w:szCs w:val="22"/>
                <w:lang w:val="sr-Latn-ME"/>
              </w:rPr>
            </w:pPr>
            <w:r w:rsidRPr="004500D8">
              <w:rPr>
                <w:b/>
                <w:sz w:val="22"/>
                <w:szCs w:val="22"/>
                <w:lang w:val="sr-Latn-ME"/>
              </w:rPr>
              <w:t>HR</w:t>
            </w:r>
            <w:r w:rsidRPr="004500D8">
              <w:rPr>
                <w:b/>
                <w:sz w:val="22"/>
                <w:szCs w:val="22"/>
                <w:vertAlign w:val="superscript"/>
                <w:lang w:val="sr-Latn-ME"/>
              </w:rPr>
              <w:t>a</w:t>
            </w:r>
          </w:p>
        </w:tc>
        <w:tc>
          <w:tcPr>
            <w:tcW w:w="1170" w:type="dxa"/>
            <w:tcBorders>
              <w:top w:val="single" w:sz="4" w:space="0" w:color="auto"/>
              <w:bottom w:val="single" w:sz="4" w:space="0" w:color="auto"/>
            </w:tcBorders>
            <w:shd w:val="clear" w:color="auto" w:fill="auto"/>
          </w:tcPr>
          <w:p w14:paraId="3D5600AF" w14:textId="77777777" w:rsidR="00596C07" w:rsidRPr="004500D8" w:rsidRDefault="00596C07" w:rsidP="00596C07">
            <w:pPr>
              <w:tabs>
                <w:tab w:val="left" w:pos="562"/>
              </w:tabs>
              <w:suppressAutoHyphens/>
              <w:rPr>
                <w:b/>
                <w:sz w:val="22"/>
                <w:szCs w:val="22"/>
                <w:lang w:val="sr-Latn-ME"/>
              </w:rPr>
            </w:pPr>
            <w:r w:rsidRPr="004500D8">
              <w:rPr>
                <w:b/>
                <w:sz w:val="22"/>
                <w:szCs w:val="22"/>
                <w:lang w:val="sr-Latn-ME"/>
              </w:rPr>
              <w:t>CI 95% za HR</w:t>
            </w:r>
            <w:r w:rsidRPr="004500D8">
              <w:rPr>
                <w:b/>
                <w:sz w:val="22"/>
                <w:szCs w:val="22"/>
                <w:vertAlign w:val="superscript"/>
                <w:lang w:val="sr-Latn-ME"/>
              </w:rPr>
              <w:t>a</w:t>
            </w:r>
          </w:p>
        </w:tc>
        <w:tc>
          <w:tcPr>
            <w:tcW w:w="1170" w:type="dxa"/>
            <w:tcBorders>
              <w:top w:val="single" w:sz="4" w:space="0" w:color="auto"/>
              <w:bottom w:val="single" w:sz="4" w:space="0" w:color="auto"/>
            </w:tcBorders>
            <w:shd w:val="clear" w:color="auto" w:fill="auto"/>
          </w:tcPr>
          <w:p w14:paraId="2765027B" w14:textId="77777777" w:rsidR="00596C07" w:rsidRPr="004500D8" w:rsidRDefault="00596C07" w:rsidP="00596C07">
            <w:pPr>
              <w:tabs>
                <w:tab w:val="left" w:pos="562"/>
              </w:tabs>
              <w:suppressAutoHyphens/>
              <w:rPr>
                <w:b/>
                <w:sz w:val="22"/>
                <w:szCs w:val="22"/>
                <w:lang w:val="sr-Latn-ME"/>
              </w:rPr>
            </w:pPr>
            <w:r w:rsidRPr="004500D8">
              <w:rPr>
                <w:b/>
                <w:i/>
                <w:sz w:val="22"/>
                <w:szCs w:val="22"/>
                <w:lang w:val="sr-Latn-ME"/>
              </w:rPr>
              <w:t>P</w:t>
            </w:r>
            <w:r w:rsidRPr="004500D8">
              <w:rPr>
                <w:b/>
                <w:sz w:val="22"/>
                <w:szCs w:val="22"/>
                <w:lang w:val="sr-Latn-ME"/>
              </w:rPr>
              <w:t>- vrijednost</w:t>
            </w:r>
            <w:r w:rsidRPr="004500D8">
              <w:rPr>
                <w:sz w:val="22"/>
                <w:szCs w:val="22"/>
                <w:vertAlign w:val="superscript"/>
                <w:lang w:val="sr-Latn-ME"/>
              </w:rPr>
              <w:t>b</w:t>
            </w:r>
          </w:p>
        </w:tc>
      </w:tr>
      <w:tr w:rsidR="00596C07" w:rsidRPr="004500D8" w14:paraId="21509ED9" w14:textId="77777777" w:rsidTr="00596C07">
        <w:tc>
          <w:tcPr>
            <w:tcW w:w="9108" w:type="dxa"/>
            <w:gridSpan w:val="7"/>
            <w:tcBorders>
              <w:top w:val="single" w:sz="4" w:space="0" w:color="auto"/>
              <w:bottom w:val="nil"/>
            </w:tcBorders>
            <w:shd w:val="clear" w:color="auto" w:fill="auto"/>
          </w:tcPr>
          <w:p w14:paraId="177291D0" w14:textId="77777777" w:rsidR="00596C07" w:rsidRPr="004500D8" w:rsidRDefault="00596C07" w:rsidP="00596C07">
            <w:pPr>
              <w:tabs>
                <w:tab w:val="left" w:pos="562"/>
              </w:tabs>
              <w:suppressAutoHyphens/>
              <w:rPr>
                <w:b/>
                <w:sz w:val="22"/>
                <w:szCs w:val="22"/>
                <w:lang w:val="sr-Latn-ME"/>
              </w:rPr>
            </w:pPr>
            <w:r w:rsidRPr="004500D8">
              <w:rPr>
                <w:b/>
                <w:sz w:val="22"/>
                <w:szCs w:val="22"/>
                <w:lang w:val="sr-Latn-ME"/>
              </w:rPr>
              <w:t xml:space="preserve">Vrijeme do neuspjeha liječenja u 6. nedjelji ili nakon nje u ispitivanju UV I  </w:t>
            </w:r>
          </w:p>
        </w:tc>
      </w:tr>
      <w:tr w:rsidR="00596C07" w:rsidRPr="004500D8" w14:paraId="28214BED" w14:textId="77777777" w:rsidTr="00596C07">
        <w:tc>
          <w:tcPr>
            <w:tcW w:w="2988" w:type="dxa"/>
            <w:gridSpan w:val="2"/>
            <w:tcBorders>
              <w:top w:val="nil"/>
              <w:bottom w:val="nil"/>
            </w:tcBorders>
            <w:shd w:val="clear" w:color="auto" w:fill="auto"/>
          </w:tcPr>
          <w:p w14:paraId="2CEAACD8"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Primarna analiza (ITT)</w:t>
            </w:r>
          </w:p>
        </w:tc>
        <w:tc>
          <w:tcPr>
            <w:tcW w:w="1170" w:type="dxa"/>
            <w:tcBorders>
              <w:top w:val="nil"/>
              <w:bottom w:val="nil"/>
            </w:tcBorders>
            <w:shd w:val="clear" w:color="auto" w:fill="auto"/>
          </w:tcPr>
          <w:p w14:paraId="41F5B548" w14:textId="77777777" w:rsidR="00596C07" w:rsidRPr="004500D8" w:rsidRDefault="00596C07" w:rsidP="00596C07">
            <w:pPr>
              <w:tabs>
                <w:tab w:val="left" w:pos="562"/>
              </w:tabs>
              <w:suppressAutoHyphens/>
              <w:rPr>
                <w:sz w:val="22"/>
                <w:szCs w:val="22"/>
                <w:lang w:val="sr-Latn-ME"/>
              </w:rPr>
            </w:pPr>
          </w:p>
        </w:tc>
        <w:tc>
          <w:tcPr>
            <w:tcW w:w="1890" w:type="dxa"/>
            <w:tcBorders>
              <w:top w:val="nil"/>
              <w:bottom w:val="nil"/>
            </w:tcBorders>
            <w:shd w:val="clear" w:color="auto" w:fill="auto"/>
          </w:tcPr>
          <w:p w14:paraId="0A386AB2" w14:textId="77777777" w:rsidR="00596C07" w:rsidRPr="004500D8" w:rsidRDefault="00596C07" w:rsidP="00596C07">
            <w:pPr>
              <w:tabs>
                <w:tab w:val="left" w:pos="562"/>
              </w:tabs>
              <w:suppressAutoHyphens/>
              <w:rPr>
                <w:sz w:val="22"/>
                <w:szCs w:val="22"/>
                <w:lang w:val="sr-Latn-ME"/>
              </w:rPr>
            </w:pPr>
          </w:p>
        </w:tc>
        <w:tc>
          <w:tcPr>
            <w:tcW w:w="720" w:type="dxa"/>
            <w:tcBorders>
              <w:top w:val="nil"/>
              <w:bottom w:val="nil"/>
            </w:tcBorders>
            <w:shd w:val="clear" w:color="auto" w:fill="auto"/>
          </w:tcPr>
          <w:p w14:paraId="3161D27B" w14:textId="77777777" w:rsidR="00596C07" w:rsidRPr="004500D8" w:rsidRDefault="00596C07" w:rsidP="00596C07">
            <w:pPr>
              <w:tabs>
                <w:tab w:val="left" w:pos="562"/>
              </w:tabs>
              <w:suppressAutoHyphens/>
              <w:rPr>
                <w:sz w:val="22"/>
                <w:szCs w:val="22"/>
                <w:lang w:val="sr-Latn-ME"/>
              </w:rPr>
            </w:pPr>
          </w:p>
        </w:tc>
        <w:tc>
          <w:tcPr>
            <w:tcW w:w="1170" w:type="dxa"/>
            <w:tcBorders>
              <w:top w:val="nil"/>
              <w:bottom w:val="nil"/>
            </w:tcBorders>
            <w:shd w:val="clear" w:color="auto" w:fill="auto"/>
          </w:tcPr>
          <w:p w14:paraId="10D48BC8" w14:textId="77777777" w:rsidR="00596C07" w:rsidRPr="004500D8" w:rsidRDefault="00596C07" w:rsidP="00596C07">
            <w:pPr>
              <w:tabs>
                <w:tab w:val="left" w:pos="562"/>
              </w:tabs>
              <w:suppressAutoHyphens/>
              <w:rPr>
                <w:sz w:val="22"/>
                <w:szCs w:val="22"/>
                <w:lang w:val="sr-Latn-ME"/>
              </w:rPr>
            </w:pPr>
          </w:p>
        </w:tc>
        <w:tc>
          <w:tcPr>
            <w:tcW w:w="1170" w:type="dxa"/>
            <w:tcBorders>
              <w:top w:val="nil"/>
              <w:bottom w:val="nil"/>
            </w:tcBorders>
            <w:shd w:val="clear" w:color="auto" w:fill="auto"/>
          </w:tcPr>
          <w:p w14:paraId="45033BFE" w14:textId="77777777" w:rsidR="00596C07" w:rsidRPr="004500D8" w:rsidRDefault="00596C07" w:rsidP="00596C07">
            <w:pPr>
              <w:tabs>
                <w:tab w:val="left" w:pos="562"/>
              </w:tabs>
              <w:suppressAutoHyphens/>
              <w:rPr>
                <w:sz w:val="22"/>
                <w:szCs w:val="22"/>
                <w:lang w:val="sr-Latn-ME"/>
              </w:rPr>
            </w:pPr>
          </w:p>
        </w:tc>
      </w:tr>
      <w:tr w:rsidR="00596C07" w:rsidRPr="004500D8" w14:paraId="0C6B4B40" w14:textId="77777777" w:rsidTr="00596C07">
        <w:tc>
          <w:tcPr>
            <w:tcW w:w="2268" w:type="dxa"/>
            <w:tcBorders>
              <w:top w:val="nil"/>
              <w:bottom w:val="nil"/>
            </w:tcBorders>
            <w:shd w:val="clear" w:color="auto" w:fill="auto"/>
          </w:tcPr>
          <w:p w14:paraId="206A95F8"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ab/>
              <w:t>Placebo</w:t>
            </w:r>
          </w:p>
        </w:tc>
        <w:tc>
          <w:tcPr>
            <w:tcW w:w="720" w:type="dxa"/>
            <w:tcBorders>
              <w:top w:val="nil"/>
              <w:bottom w:val="nil"/>
            </w:tcBorders>
            <w:shd w:val="clear" w:color="auto" w:fill="auto"/>
          </w:tcPr>
          <w:p w14:paraId="340820E3"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107</w:t>
            </w:r>
          </w:p>
        </w:tc>
        <w:tc>
          <w:tcPr>
            <w:tcW w:w="1170" w:type="dxa"/>
            <w:tcBorders>
              <w:top w:val="nil"/>
              <w:bottom w:val="nil"/>
            </w:tcBorders>
            <w:shd w:val="clear" w:color="auto" w:fill="auto"/>
          </w:tcPr>
          <w:p w14:paraId="36E27D7B"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84 (78,5)</w:t>
            </w:r>
          </w:p>
        </w:tc>
        <w:tc>
          <w:tcPr>
            <w:tcW w:w="1890" w:type="dxa"/>
            <w:tcBorders>
              <w:top w:val="nil"/>
              <w:bottom w:val="nil"/>
            </w:tcBorders>
            <w:shd w:val="clear" w:color="auto" w:fill="auto"/>
          </w:tcPr>
          <w:p w14:paraId="29F4A96F"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3,0</w:t>
            </w:r>
          </w:p>
        </w:tc>
        <w:tc>
          <w:tcPr>
            <w:tcW w:w="720" w:type="dxa"/>
            <w:tcBorders>
              <w:top w:val="nil"/>
              <w:bottom w:val="nil"/>
            </w:tcBorders>
            <w:shd w:val="clear" w:color="auto" w:fill="auto"/>
          </w:tcPr>
          <w:p w14:paraId="2A14C152"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w:t>
            </w:r>
          </w:p>
        </w:tc>
        <w:tc>
          <w:tcPr>
            <w:tcW w:w="1170" w:type="dxa"/>
            <w:tcBorders>
              <w:top w:val="nil"/>
              <w:bottom w:val="nil"/>
            </w:tcBorders>
            <w:shd w:val="clear" w:color="auto" w:fill="auto"/>
          </w:tcPr>
          <w:p w14:paraId="794930E4"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w:t>
            </w:r>
          </w:p>
        </w:tc>
        <w:tc>
          <w:tcPr>
            <w:tcW w:w="1170" w:type="dxa"/>
            <w:tcBorders>
              <w:top w:val="nil"/>
              <w:bottom w:val="nil"/>
            </w:tcBorders>
            <w:shd w:val="clear" w:color="auto" w:fill="auto"/>
          </w:tcPr>
          <w:p w14:paraId="07E58D53"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w:t>
            </w:r>
          </w:p>
        </w:tc>
      </w:tr>
      <w:tr w:rsidR="00596C07" w:rsidRPr="004500D8" w14:paraId="4F10504F" w14:textId="77777777" w:rsidTr="00596C07">
        <w:tc>
          <w:tcPr>
            <w:tcW w:w="2268" w:type="dxa"/>
            <w:tcBorders>
              <w:top w:val="nil"/>
              <w:bottom w:val="single" w:sz="4" w:space="0" w:color="auto"/>
            </w:tcBorders>
            <w:shd w:val="clear" w:color="auto" w:fill="auto"/>
          </w:tcPr>
          <w:p w14:paraId="0B327C2B"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ab/>
              <w:t>Adalimumab</w:t>
            </w:r>
          </w:p>
        </w:tc>
        <w:tc>
          <w:tcPr>
            <w:tcW w:w="720" w:type="dxa"/>
            <w:tcBorders>
              <w:top w:val="nil"/>
              <w:bottom w:val="single" w:sz="4" w:space="0" w:color="auto"/>
            </w:tcBorders>
            <w:shd w:val="clear" w:color="auto" w:fill="auto"/>
          </w:tcPr>
          <w:p w14:paraId="2AD22DA7"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110</w:t>
            </w:r>
          </w:p>
        </w:tc>
        <w:tc>
          <w:tcPr>
            <w:tcW w:w="1170" w:type="dxa"/>
            <w:tcBorders>
              <w:top w:val="nil"/>
              <w:bottom w:val="single" w:sz="4" w:space="0" w:color="auto"/>
            </w:tcBorders>
            <w:shd w:val="clear" w:color="auto" w:fill="auto"/>
          </w:tcPr>
          <w:p w14:paraId="5C2E23B4"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60 (54,5)</w:t>
            </w:r>
          </w:p>
        </w:tc>
        <w:tc>
          <w:tcPr>
            <w:tcW w:w="1890" w:type="dxa"/>
            <w:tcBorders>
              <w:top w:val="nil"/>
              <w:bottom w:val="single" w:sz="4" w:space="0" w:color="auto"/>
            </w:tcBorders>
            <w:shd w:val="clear" w:color="auto" w:fill="auto"/>
          </w:tcPr>
          <w:p w14:paraId="711C8788"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5,6</w:t>
            </w:r>
          </w:p>
        </w:tc>
        <w:tc>
          <w:tcPr>
            <w:tcW w:w="720" w:type="dxa"/>
            <w:tcBorders>
              <w:top w:val="nil"/>
              <w:bottom w:val="single" w:sz="4" w:space="0" w:color="auto"/>
            </w:tcBorders>
            <w:shd w:val="clear" w:color="auto" w:fill="auto"/>
          </w:tcPr>
          <w:p w14:paraId="6E884FC2"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0,50</w:t>
            </w:r>
          </w:p>
        </w:tc>
        <w:tc>
          <w:tcPr>
            <w:tcW w:w="1170" w:type="dxa"/>
            <w:tcBorders>
              <w:top w:val="nil"/>
              <w:bottom w:val="single" w:sz="4" w:space="0" w:color="auto"/>
            </w:tcBorders>
            <w:shd w:val="clear" w:color="auto" w:fill="auto"/>
          </w:tcPr>
          <w:p w14:paraId="7E68C048"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0,36, 0,70</w:t>
            </w:r>
            <w:r w:rsidRPr="004500D8">
              <w:rPr>
                <w:sz w:val="22"/>
                <w:szCs w:val="22"/>
                <w:vertAlign w:val="superscript"/>
                <w:lang w:val="sr-Latn-ME"/>
              </w:rPr>
              <w:t xml:space="preserve"> </w:t>
            </w:r>
          </w:p>
        </w:tc>
        <w:tc>
          <w:tcPr>
            <w:tcW w:w="1170" w:type="dxa"/>
            <w:tcBorders>
              <w:top w:val="nil"/>
              <w:bottom w:val="single" w:sz="4" w:space="0" w:color="auto"/>
            </w:tcBorders>
            <w:shd w:val="clear" w:color="auto" w:fill="auto"/>
          </w:tcPr>
          <w:p w14:paraId="13A57F46"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&lt; 0,001</w:t>
            </w:r>
          </w:p>
        </w:tc>
      </w:tr>
      <w:tr w:rsidR="00596C07" w:rsidRPr="004500D8" w14:paraId="6C7CDB47" w14:textId="77777777" w:rsidTr="00596C07">
        <w:tblPrEx>
          <w:tblBorders>
            <w:left w:val="single" w:sz="4" w:space="0" w:color="auto"/>
            <w:right w:val="single" w:sz="4" w:space="0" w:color="auto"/>
            <w:insideH w:val="single" w:sz="4" w:space="0" w:color="auto"/>
            <w:insideV w:val="single" w:sz="4" w:space="0" w:color="auto"/>
          </w:tblBorders>
        </w:tblPrEx>
        <w:tc>
          <w:tcPr>
            <w:tcW w:w="9108" w:type="dxa"/>
            <w:gridSpan w:val="7"/>
            <w:tcBorders>
              <w:left w:val="nil"/>
              <w:bottom w:val="nil"/>
              <w:right w:val="nil"/>
            </w:tcBorders>
            <w:shd w:val="clear" w:color="auto" w:fill="auto"/>
          </w:tcPr>
          <w:p w14:paraId="3FE5C329" w14:textId="77777777" w:rsidR="00596C07" w:rsidRPr="004500D8" w:rsidRDefault="00596C07" w:rsidP="00596C07">
            <w:pPr>
              <w:tabs>
                <w:tab w:val="left" w:pos="562"/>
              </w:tabs>
              <w:suppressAutoHyphens/>
              <w:rPr>
                <w:b/>
                <w:sz w:val="22"/>
                <w:szCs w:val="22"/>
                <w:lang w:val="sr-Latn-ME"/>
              </w:rPr>
            </w:pPr>
            <w:r w:rsidRPr="004500D8">
              <w:rPr>
                <w:b/>
                <w:sz w:val="22"/>
                <w:szCs w:val="22"/>
                <w:lang w:val="sr-Latn-ME"/>
              </w:rPr>
              <w:t>Vrijeme do neuspjeha liječenja u 2. nedjelji ili nakon nje u ispitivanju UV II</w:t>
            </w:r>
          </w:p>
        </w:tc>
      </w:tr>
      <w:tr w:rsidR="00596C07" w:rsidRPr="004500D8" w14:paraId="72AAB622" w14:textId="77777777" w:rsidTr="00596C07">
        <w:tblPrEx>
          <w:tblBorders>
            <w:left w:val="single" w:sz="4" w:space="0" w:color="auto"/>
            <w:right w:val="single" w:sz="4" w:space="0" w:color="auto"/>
            <w:insideH w:val="single" w:sz="4" w:space="0" w:color="auto"/>
            <w:insideV w:val="single" w:sz="4" w:space="0" w:color="auto"/>
          </w:tblBorders>
        </w:tblPrEx>
        <w:tc>
          <w:tcPr>
            <w:tcW w:w="2988" w:type="dxa"/>
            <w:gridSpan w:val="2"/>
            <w:tcBorders>
              <w:top w:val="nil"/>
              <w:left w:val="nil"/>
              <w:bottom w:val="nil"/>
              <w:right w:val="nil"/>
            </w:tcBorders>
            <w:shd w:val="clear" w:color="auto" w:fill="auto"/>
          </w:tcPr>
          <w:p w14:paraId="0CF51567"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Primarna analiza (ITT)</w:t>
            </w:r>
          </w:p>
        </w:tc>
        <w:tc>
          <w:tcPr>
            <w:tcW w:w="1170" w:type="dxa"/>
            <w:tcBorders>
              <w:top w:val="nil"/>
              <w:left w:val="nil"/>
              <w:bottom w:val="nil"/>
              <w:right w:val="nil"/>
            </w:tcBorders>
            <w:shd w:val="clear" w:color="auto" w:fill="auto"/>
          </w:tcPr>
          <w:p w14:paraId="3142C565" w14:textId="77777777" w:rsidR="00596C07" w:rsidRPr="004500D8" w:rsidRDefault="00596C07" w:rsidP="00596C07">
            <w:pPr>
              <w:tabs>
                <w:tab w:val="left" w:pos="562"/>
              </w:tabs>
              <w:suppressAutoHyphens/>
              <w:rPr>
                <w:sz w:val="22"/>
                <w:szCs w:val="22"/>
                <w:lang w:val="sr-Latn-ME"/>
              </w:rPr>
            </w:pPr>
          </w:p>
        </w:tc>
        <w:tc>
          <w:tcPr>
            <w:tcW w:w="1890" w:type="dxa"/>
            <w:tcBorders>
              <w:top w:val="nil"/>
              <w:left w:val="nil"/>
              <w:bottom w:val="nil"/>
              <w:right w:val="nil"/>
            </w:tcBorders>
            <w:shd w:val="clear" w:color="auto" w:fill="auto"/>
          </w:tcPr>
          <w:p w14:paraId="699B7746" w14:textId="77777777" w:rsidR="00596C07" w:rsidRPr="004500D8" w:rsidRDefault="00596C07" w:rsidP="00596C07">
            <w:pPr>
              <w:tabs>
                <w:tab w:val="left" w:pos="562"/>
              </w:tabs>
              <w:suppressAutoHyphens/>
              <w:rPr>
                <w:sz w:val="22"/>
                <w:szCs w:val="22"/>
                <w:lang w:val="sr-Latn-ME"/>
              </w:rPr>
            </w:pPr>
          </w:p>
        </w:tc>
        <w:tc>
          <w:tcPr>
            <w:tcW w:w="720" w:type="dxa"/>
            <w:tcBorders>
              <w:top w:val="nil"/>
              <w:left w:val="nil"/>
              <w:bottom w:val="nil"/>
              <w:right w:val="nil"/>
            </w:tcBorders>
            <w:shd w:val="clear" w:color="auto" w:fill="auto"/>
          </w:tcPr>
          <w:p w14:paraId="0C3BB27E" w14:textId="77777777" w:rsidR="00596C07" w:rsidRPr="004500D8" w:rsidRDefault="00596C07" w:rsidP="00596C07">
            <w:pPr>
              <w:tabs>
                <w:tab w:val="left" w:pos="562"/>
              </w:tabs>
              <w:suppressAutoHyphens/>
              <w:rPr>
                <w:sz w:val="22"/>
                <w:szCs w:val="22"/>
                <w:lang w:val="sr-Latn-ME"/>
              </w:rPr>
            </w:pPr>
          </w:p>
        </w:tc>
        <w:tc>
          <w:tcPr>
            <w:tcW w:w="1170" w:type="dxa"/>
            <w:tcBorders>
              <w:top w:val="nil"/>
              <w:left w:val="nil"/>
              <w:bottom w:val="nil"/>
              <w:right w:val="nil"/>
            </w:tcBorders>
            <w:shd w:val="clear" w:color="auto" w:fill="auto"/>
          </w:tcPr>
          <w:p w14:paraId="693B3B20" w14:textId="77777777" w:rsidR="00596C07" w:rsidRPr="004500D8" w:rsidRDefault="00596C07" w:rsidP="00596C07">
            <w:pPr>
              <w:tabs>
                <w:tab w:val="left" w:pos="562"/>
              </w:tabs>
              <w:suppressAutoHyphens/>
              <w:rPr>
                <w:sz w:val="22"/>
                <w:szCs w:val="22"/>
                <w:lang w:val="sr-Latn-ME"/>
              </w:rPr>
            </w:pPr>
          </w:p>
        </w:tc>
        <w:tc>
          <w:tcPr>
            <w:tcW w:w="1170" w:type="dxa"/>
            <w:tcBorders>
              <w:top w:val="nil"/>
              <w:left w:val="nil"/>
              <w:bottom w:val="nil"/>
              <w:right w:val="nil"/>
            </w:tcBorders>
            <w:shd w:val="clear" w:color="auto" w:fill="auto"/>
          </w:tcPr>
          <w:p w14:paraId="20583309" w14:textId="77777777" w:rsidR="00596C07" w:rsidRPr="004500D8" w:rsidRDefault="00596C07" w:rsidP="00596C07">
            <w:pPr>
              <w:tabs>
                <w:tab w:val="left" w:pos="562"/>
              </w:tabs>
              <w:suppressAutoHyphens/>
              <w:rPr>
                <w:sz w:val="22"/>
                <w:szCs w:val="22"/>
                <w:lang w:val="sr-Latn-ME"/>
              </w:rPr>
            </w:pPr>
          </w:p>
        </w:tc>
      </w:tr>
      <w:tr w:rsidR="00596C07" w:rsidRPr="004500D8" w14:paraId="11995700" w14:textId="77777777" w:rsidTr="00596C07">
        <w:tblPrEx>
          <w:tblBorders>
            <w:left w:val="single" w:sz="4" w:space="0" w:color="auto"/>
            <w:right w:val="single" w:sz="4" w:space="0" w:color="auto"/>
            <w:insideH w:val="single" w:sz="4" w:space="0" w:color="auto"/>
            <w:insideV w:val="single" w:sz="4" w:space="0" w:color="auto"/>
          </w:tblBorders>
        </w:tblPrEx>
        <w:tc>
          <w:tcPr>
            <w:tcW w:w="2268" w:type="dxa"/>
            <w:tcBorders>
              <w:top w:val="nil"/>
              <w:left w:val="nil"/>
              <w:bottom w:val="nil"/>
              <w:right w:val="nil"/>
            </w:tcBorders>
            <w:shd w:val="clear" w:color="auto" w:fill="auto"/>
          </w:tcPr>
          <w:p w14:paraId="1A1A3CB3"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ab/>
              <w:t>Placebo</w:t>
            </w:r>
          </w:p>
        </w:tc>
        <w:tc>
          <w:tcPr>
            <w:tcW w:w="720" w:type="dxa"/>
            <w:tcBorders>
              <w:top w:val="nil"/>
              <w:left w:val="nil"/>
              <w:bottom w:val="nil"/>
              <w:right w:val="nil"/>
            </w:tcBorders>
            <w:shd w:val="clear" w:color="auto" w:fill="auto"/>
          </w:tcPr>
          <w:p w14:paraId="7B976CBA"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111</w:t>
            </w:r>
          </w:p>
        </w:tc>
        <w:tc>
          <w:tcPr>
            <w:tcW w:w="1170" w:type="dxa"/>
            <w:tcBorders>
              <w:top w:val="nil"/>
              <w:left w:val="nil"/>
              <w:bottom w:val="nil"/>
              <w:right w:val="nil"/>
            </w:tcBorders>
            <w:shd w:val="clear" w:color="auto" w:fill="auto"/>
          </w:tcPr>
          <w:p w14:paraId="7B330345"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61 (55,0)</w:t>
            </w:r>
          </w:p>
        </w:tc>
        <w:tc>
          <w:tcPr>
            <w:tcW w:w="1890" w:type="dxa"/>
            <w:tcBorders>
              <w:top w:val="nil"/>
              <w:left w:val="nil"/>
              <w:bottom w:val="nil"/>
              <w:right w:val="nil"/>
            </w:tcBorders>
            <w:shd w:val="clear" w:color="auto" w:fill="auto"/>
          </w:tcPr>
          <w:p w14:paraId="6F1156E3"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8.3</w:t>
            </w:r>
          </w:p>
        </w:tc>
        <w:tc>
          <w:tcPr>
            <w:tcW w:w="720" w:type="dxa"/>
            <w:tcBorders>
              <w:top w:val="nil"/>
              <w:left w:val="nil"/>
              <w:bottom w:val="nil"/>
              <w:right w:val="nil"/>
            </w:tcBorders>
            <w:shd w:val="clear" w:color="auto" w:fill="auto"/>
          </w:tcPr>
          <w:p w14:paraId="073F472B"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w:t>
            </w:r>
          </w:p>
        </w:tc>
        <w:tc>
          <w:tcPr>
            <w:tcW w:w="1170" w:type="dxa"/>
            <w:tcBorders>
              <w:top w:val="nil"/>
              <w:left w:val="nil"/>
              <w:bottom w:val="nil"/>
              <w:right w:val="nil"/>
            </w:tcBorders>
            <w:shd w:val="clear" w:color="auto" w:fill="auto"/>
          </w:tcPr>
          <w:p w14:paraId="2199E41C"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w:t>
            </w:r>
          </w:p>
        </w:tc>
        <w:tc>
          <w:tcPr>
            <w:tcW w:w="1170" w:type="dxa"/>
            <w:tcBorders>
              <w:top w:val="nil"/>
              <w:left w:val="nil"/>
              <w:bottom w:val="nil"/>
              <w:right w:val="nil"/>
            </w:tcBorders>
            <w:shd w:val="clear" w:color="auto" w:fill="auto"/>
          </w:tcPr>
          <w:p w14:paraId="27D0D573"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w:t>
            </w:r>
          </w:p>
        </w:tc>
      </w:tr>
      <w:tr w:rsidR="00596C07" w:rsidRPr="004500D8" w14:paraId="316EDF1C" w14:textId="77777777" w:rsidTr="00596C07">
        <w:tblPrEx>
          <w:tblBorders>
            <w:left w:val="single" w:sz="4" w:space="0" w:color="auto"/>
            <w:right w:val="single" w:sz="4" w:space="0" w:color="auto"/>
            <w:insideH w:val="single" w:sz="4" w:space="0" w:color="auto"/>
            <w:insideV w:val="single" w:sz="4" w:space="0" w:color="auto"/>
          </w:tblBorders>
        </w:tblPrEx>
        <w:tc>
          <w:tcPr>
            <w:tcW w:w="2268" w:type="dxa"/>
            <w:tcBorders>
              <w:top w:val="nil"/>
              <w:left w:val="nil"/>
              <w:bottom w:val="single" w:sz="4" w:space="0" w:color="auto"/>
              <w:right w:val="nil"/>
            </w:tcBorders>
            <w:shd w:val="clear" w:color="auto" w:fill="auto"/>
          </w:tcPr>
          <w:p w14:paraId="42AB53A5"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ab/>
              <w:t>Adalimumab</w:t>
            </w:r>
          </w:p>
        </w:tc>
        <w:tc>
          <w:tcPr>
            <w:tcW w:w="720" w:type="dxa"/>
            <w:tcBorders>
              <w:top w:val="nil"/>
              <w:left w:val="nil"/>
              <w:bottom w:val="single" w:sz="4" w:space="0" w:color="auto"/>
              <w:right w:val="nil"/>
            </w:tcBorders>
            <w:shd w:val="clear" w:color="auto" w:fill="auto"/>
          </w:tcPr>
          <w:p w14:paraId="41B4C712"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115</w:t>
            </w:r>
          </w:p>
        </w:tc>
        <w:tc>
          <w:tcPr>
            <w:tcW w:w="1170" w:type="dxa"/>
            <w:tcBorders>
              <w:top w:val="nil"/>
              <w:left w:val="nil"/>
              <w:bottom w:val="single" w:sz="4" w:space="0" w:color="auto"/>
              <w:right w:val="nil"/>
            </w:tcBorders>
            <w:shd w:val="clear" w:color="auto" w:fill="auto"/>
          </w:tcPr>
          <w:p w14:paraId="4F45C71E"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45 (39,1)</w:t>
            </w:r>
          </w:p>
        </w:tc>
        <w:tc>
          <w:tcPr>
            <w:tcW w:w="1890" w:type="dxa"/>
            <w:tcBorders>
              <w:top w:val="nil"/>
              <w:left w:val="nil"/>
              <w:bottom w:val="single" w:sz="4" w:space="0" w:color="auto"/>
              <w:right w:val="nil"/>
            </w:tcBorders>
            <w:shd w:val="clear" w:color="auto" w:fill="auto"/>
          </w:tcPr>
          <w:p w14:paraId="42F4B1F9" w14:textId="397FD591" w:rsidR="00596C07" w:rsidRPr="004500D8" w:rsidRDefault="00596C07" w:rsidP="00596C07">
            <w:pPr>
              <w:tabs>
                <w:tab w:val="left" w:pos="562"/>
              </w:tabs>
              <w:suppressAutoHyphens/>
              <w:rPr>
                <w:sz w:val="22"/>
                <w:szCs w:val="22"/>
                <w:lang w:val="sr-Latn-ME"/>
              </w:rPr>
            </w:pPr>
            <w:r w:rsidRPr="004500D8">
              <w:rPr>
                <w:sz w:val="22"/>
                <w:szCs w:val="22"/>
                <w:lang w:val="sr-Latn-ME"/>
              </w:rPr>
              <w:t>N</w:t>
            </w:r>
            <w:r w:rsidR="00560668" w:rsidRPr="004500D8">
              <w:rPr>
                <w:sz w:val="22"/>
                <w:szCs w:val="22"/>
                <w:lang w:val="sr-Latn-ME"/>
              </w:rPr>
              <w:t>P</w:t>
            </w:r>
            <w:r w:rsidRPr="004500D8">
              <w:rPr>
                <w:sz w:val="22"/>
                <w:szCs w:val="22"/>
                <w:vertAlign w:val="superscript"/>
                <w:lang w:val="sr-Latn-ME"/>
              </w:rPr>
              <w:t>c</w:t>
            </w:r>
          </w:p>
        </w:tc>
        <w:tc>
          <w:tcPr>
            <w:tcW w:w="720" w:type="dxa"/>
            <w:tcBorders>
              <w:top w:val="nil"/>
              <w:left w:val="nil"/>
              <w:bottom w:val="single" w:sz="4" w:space="0" w:color="auto"/>
              <w:right w:val="nil"/>
            </w:tcBorders>
            <w:shd w:val="clear" w:color="auto" w:fill="auto"/>
          </w:tcPr>
          <w:p w14:paraId="405C82C3"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0,57</w:t>
            </w:r>
          </w:p>
        </w:tc>
        <w:tc>
          <w:tcPr>
            <w:tcW w:w="1170" w:type="dxa"/>
            <w:tcBorders>
              <w:top w:val="nil"/>
              <w:left w:val="nil"/>
              <w:bottom w:val="single" w:sz="4" w:space="0" w:color="auto"/>
              <w:right w:val="nil"/>
            </w:tcBorders>
            <w:shd w:val="clear" w:color="auto" w:fill="auto"/>
          </w:tcPr>
          <w:p w14:paraId="38113C7F"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0,39, 0,84</w:t>
            </w:r>
          </w:p>
        </w:tc>
        <w:tc>
          <w:tcPr>
            <w:tcW w:w="1170" w:type="dxa"/>
            <w:tcBorders>
              <w:top w:val="nil"/>
              <w:left w:val="nil"/>
              <w:bottom w:val="single" w:sz="4" w:space="0" w:color="auto"/>
              <w:right w:val="nil"/>
            </w:tcBorders>
            <w:shd w:val="clear" w:color="auto" w:fill="auto"/>
          </w:tcPr>
          <w:p w14:paraId="084A9CD2"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0,004</w:t>
            </w:r>
          </w:p>
        </w:tc>
      </w:tr>
    </w:tbl>
    <w:p w14:paraId="0571FF34"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Napomena: Neuspjeh liječenja u 6. nedjelji ili nakon nje (ispitivanje UV I) odnosno u 2. nedjelji ili nakon nje (ispitivanje UV II) smatrao se događajem. Pacijenti koji su izašli iz ispitivanja zbog razloga koji nisu bili neuspjeh liječenja bili su cenzurisani u trenutku izlaska iz ispitivanja.</w:t>
      </w:r>
    </w:p>
    <w:p w14:paraId="0158330E" w14:textId="7830FE6E" w:rsidR="00596C07" w:rsidRPr="004500D8" w:rsidRDefault="00596C07" w:rsidP="00596C07">
      <w:pPr>
        <w:widowControl w:val="0"/>
        <w:autoSpaceDE w:val="0"/>
        <w:autoSpaceDN w:val="0"/>
        <w:adjustRightInd w:val="0"/>
        <w:jc w:val="both"/>
        <w:rPr>
          <w:sz w:val="22"/>
          <w:szCs w:val="22"/>
          <w:lang w:val="sr-Latn-ME"/>
        </w:rPr>
      </w:pPr>
      <w:r w:rsidRPr="003B242C">
        <w:rPr>
          <w:sz w:val="22"/>
          <w:szCs w:val="22"/>
          <w:vertAlign w:val="superscript"/>
          <w:lang w:val="sr-Latn-ME"/>
        </w:rPr>
        <w:t>a</w:t>
      </w:r>
      <w:r w:rsidRPr="004500D8">
        <w:rPr>
          <w:sz w:val="22"/>
          <w:szCs w:val="22"/>
          <w:lang w:val="sr-Latn-ME"/>
        </w:rPr>
        <w:t xml:space="preserve"> HR za adalimumab naspram placeba iz regresije proporcionalnih hazarda, uz liječenje kao faktor.</w:t>
      </w:r>
    </w:p>
    <w:p w14:paraId="2FAB464D" w14:textId="0A9DAB3D" w:rsidR="00596C07" w:rsidRPr="004500D8" w:rsidRDefault="00596C07" w:rsidP="00596C07">
      <w:pPr>
        <w:widowControl w:val="0"/>
        <w:autoSpaceDE w:val="0"/>
        <w:autoSpaceDN w:val="0"/>
        <w:adjustRightInd w:val="0"/>
        <w:jc w:val="both"/>
        <w:rPr>
          <w:sz w:val="22"/>
          <w:szCs w:val="22"/>
          <w:lang w:val="sr-Latn-ME"/>
        </w:rPr>
      </w:pPr>
      <w:r w:rsidRPr="003B242C">
        <w:rPr>
          <w:sz w:val="22"/>
          <w:szCs w:val="22"/>
          <w:vertAlign w:val="superscript"/>
          <w:lang w:val="sr-Latn-ME"/>
        </w:rPr>
        <w:t>b</w:t>
      </w:r>
      <w:r w:rsidRPr="004500D8">
        <w:rPr>
          <w:sz w:val="22"/>
          <w:szCs w:val="22"/>
          <w:lang w:val="sr-Latn-ME"/>
        </w:rPr>
        <w:t xml:space="preserve"> Dvostrana P-vrijednost iz log rank testa.</w:t>
      </w:r>
    </w:p>
    <w:p w14:paraId="58B4C3E0" w14:textId="5DBEFE94" w:rsidR="00596C07" w:rsidRPr="004500D8" w:rsidRDefault="00596C07" w:rsidP="00596C07">
      <w:pPr>
        <w:widowControl w:val="0"/>
        <w:autoSpaceDE w:val="0"/>
        <w:autoSpaceDN w:val="0"/>
        <w:adjustRightInd w:val="0"/>
        <w:jc w:val="both"/>
        <w:rPr>
          <w:sz w:val="22"/>
          <w:szCs w:val="22"/>
          <w:lang w:val="sr-Latn-ME"/>
        </w:rPr>
      </w:pPr>
      <w:r w:rsidRPr="003B242C">
        <w:rPr>
          <w:sz w:val="22"/>
          <w:szCs w:val="22"/>
          <w:vertAlign w:val="superscript"/>
          <w:lang w:val="sr-Latn-ME"/>
        </w:rPr>
        <w:t>c</w:t>
      </w:r>
      <w:r w:rsidRPr="004500D8">
        <w:rPr>
          <w:sz w:val="22"/>
          <w:szCs w:val="22"/>
          <w:lang w:val="sr-Latn-ME"/>
        </w:rPr>
        <w:t xml:space="preserve"> NP = ne može se procijeniti. Manje od polovine pacijenata pod rizikom imalo je događaj.</w:t>
      </w:r>
    </w:p>
    <w:p w14:paraId="469A2821" w14:textId="77777777" w:rsidR="00596C07" w:rsidRPr="004500D8" w:rsidRDefault="00596C07" w:rsidP="00596C07">
      <w:pPr>
        <w:widowControl w:val="0"/>
        <w:autoSpaceDE w:val="0"/>
        <w:autoSpaceDN w:val="0"/>
        <w:adjustRightInd w:val="0"/>
        <w:jc w:val="both"/>
        <w:rPr>
          <w:sz w:val="22"/>
          <w:szCs w:val="22"/>
          <w:lang w:val="sr-Latn-ME"/>
        </w:rPr>
      </w:pPr>
    </w:p>
    <w:p w14:paraId="3773A6F1" w14:textId="25899A48" w:rsidR="00596C07" w:rsidRPr="004500D8" w:rsidRDefault="00596C07" w:rsidP="003B242C">
      <w:pPr>
        <w:widowControl w:val="0"/>
        <w:autoSpaceDE w:val="0"/>
        <w:autoSpaceDN w:val="0"/>
        <w:adjustRightInd w:val="0"/>
        <w:jc w:val="both"/>
        <w:rPr>
          <w:b/>
          <w:sz w:val="22"/>
          <w:szCs w:val="22"/>
          <w:lang w:val="sr-Latn-ME"/>
        </w:rPr>
      </w:pPr>
      <w:r w:rsidRPr="004500D8">
        <w:rPr>
          <w:b/>
          <w:sz w:val="22"/>
          <w:szCs w:val="22"/>
          <w:lang w:val="sr-Latn-ME"/>
        </w:rPr>
        <w:t>Slika 1</w:t>
      </w:r>
      <w:r w:rsidR="00560668" w:rsidRPr="004500D8">
        <w:rPr>
          <w:b/>
          <w:sz w:val="22"/>
          <w:szCs w:val="22"/>
          <w:lang w:val="sr-Latn-ME"/>
        </w:rPr>
        <w:t>.</w:t>
      </w:r>
      <w:r w:rsidRPr="004500D8">
        <w:rPr>
          <w:b/>
          <w:sz w:val="22"/>
          <w:szCs w:val="22"/>
          <w:lang w:val="sr-Latn-ME"/>
        </w:rPr>
        <w:t xml:space="preserve"> Kaplan-Meier-ove krive koje sažeto prikazuju vrijeme do neuspjeha liječenja u</w:t>
      </w:r>
      <w:r w:rsidR="00560668" w:rsidRPr="004500D8">
        <w:rPr>
          <w:b/>
          <w:sz w:val="22"/>
          <w:szCs w:val="22"/>
          <w:lang w:val="sr-Latn-ME"/>
        </w:rPr>
        <w:t xml:space="preserve"> </w:t>
      </w:r>
      <w:r w:rsidRPr="004500D8">
        <w:rPr>
          <w:b/>
          <w:sz w:val="22"/>
          <w:szCs w:val="22"/>
          <w:lang w:val="sr-Latn-ME"/>
        </w:rPr>
        <w:t>6. nedjelji ili nakon nje (ispitivanje UV I) odnosno u 2. nedjelji ili nakon nje (ispitivanje</w:t>
      </w:r>
      <w:r w:rsidR="00560668" w:rsidRPr="004500D8">
        <w:rPr>
          <w:b/>
          <w:sz w:val="22"/>
          <w:szCs w:val="22"/>
          <w:lang w:val="sr-Latn-ME"/>
        </w:rPr>
        <w:t xml:space="preserve"> </w:t>
      </w:r>
      <w:r w:rsidRPr="004500D8">
        <w:rPr>
          <w:b/>
          <w:sz w:val="22"/>
          <w:szCs w:val="22"/>
          <w:lang w:val="sr-Latn-ME"/>
        </w:rPr>
        <w:t>UV II)</w:t>
      </w:r>
    </w:p>
    <w:p w14:paraId="6AD84EFA" w14:textId="77777777" w:rsidR="00596C07" w:rsidRPr="004500D8" w:rsidRDefault="00596C07" w:rsidP="00596C07">
      <w:pPr>
        <w:widowControl w:val="0"/>
        <w:autoSpaceDE w:val="0"/>
        <w:autoSpaceDN w:val="0"/>
        <w:adjustRightInd w:val="0"/>
        <w:jc w:val="center"/>
        <w:rPr>
          <w:b/>
          <w:sz w:val="22"/>
          <w:szCs w:val="22"/>
          <w:lang w:val="sr-Latn-ME"/>
        </w:rPr>
      </w:pPr>
    </w:p>
    <w:tbl>
      <w:tblPr>
        <w:tblW w:w="9288" w:type="dxa"/>
        <w:tblLayout w:type="fixed"/>
        <w:tblLook w:val="04A0" w:firstRow="1" w:lastRow="0" w:firstColumn="1" w:lastColumn="0" w:noHBand="0" w:noVBand="1"/>
      </w:tblPr>
      <w:tblGrid>
        <w:gridCol w:w="675"/>
        <w:gridCol w:w="3303"/>
        <w:gridCol w:w="1170"/>
        <w:gridCol w:w="1350"/>
        <w:gridCol w:w="900"/>
        <w:gridCol w:w="1890"/>
      </w:tblGrid>
      <w:tr w:rsidR="00596C07" w:rsidRPr="004500D8" w14:paraId="6A36903F" w14:textId="77777777" w:rsidTr="003B242C">
        <w:trPr>
          <w:cantSplit/>
          <w:trHeight w:val="4389"/>
        </w:trPr>
        <w:tc>
          <w:tcPr>
            <w:tcW w:w="675" w:type="dxa"/>
            <w:shd w:val="clear" w:color="auto" w:fill="auto"/>
            <w:textDirection w:val="btLr"/>
            <w:vAlign w:val="bottom"/>
          </w:tcPr>
          <w:p w14:paraId="075ACE73" w14:textId="2AF082E4" w:rsidR="00596C07" w:rsidRPr="004500D8" w:rsidRDefault="00560668" w:rsidP="00596C07">
            <w:pPr>
              <w:keepNext/>
              <w:tabs>
                <w:tab w:val="left" w:pos="562"/>
              </w:tabs>
              <w:suppressAutoHyphens/>
              <w:ind w:left="113" w:right="113"/>
              <w:jc w:val="center"/>
              <w:rPr>
                <w:b/>
                <w:sz w:val="22"/>
                <w:szCs w:val="22"/>
                <w:lang w:val="sr-Latn-ME"/>
              </w:rPr>
            </w:pPr>
            <w:r w:rsidRPr="004500D8">
              <w:rPr>
                <w:b/>
                <w:sz w:val="22"/>
                <w:szCs w:val="22"/>
                <w:lang w:val="sr-Latn-ME"/>
              </w:rPr>
              <w:lastRenderedPageBreak/>
              <w:t xml:space="preserve">STOPA </w:t>
            </w:r>
            <w:r w:rsidR="00596C07" w:rsidRPr="004500D8">
              <w:rPr>
                <w:b/>
                <w:sz w:val="22"/>
                <w:szCs w:val="22"/>
                <w:lang w:val="sr-Latn-ME"/>
              </w:rPr>
              <w:t>NEUSPJEHA LIJEČENJA(%)</w:t>
            </w:r>
          </w:p>
        </w:tc>
        <w:tc>
          <w:tcPr>
            <w:tcW w:w="8613" w:type="dxa"/>
            <w:gridSpan w:val="5"/>
            <w:shd w:val="clear" w:color="auto" w:fill="auto"/>
            <w:vAlign w:val="bottom"/>
          </w:tcPr>
          <w:p w14:paraId="41AECE8B" w14:textId="77777777" w:rsidR="00596C07" w:rsidRPr="004500D8" w:rsidRDefault="00596C07" w:rsidP="00596C07">
            <w:pPr>
              <w:keepNext/>
              <w:tabs>
                <w:tab w:val="left" w:pos="562"/>
              </w:tabs>
              <w:suppressAutoHyphens/>
              <w:rPr>
                <w:sz w:val="22"/>
                <w:szCs w:val="22"/>
                <w:lang w:val="sr-Latn-ME"/>
              </w:rPr>
            </w:pPr>
            <w:r w:rsidRPr="003B242C">
              <w:rPr>
                <w:noProof/>
                <w:sz w:val="22"/>
                <w:szCs w:val="22"/>
                <w:lang w:val="sr-Latn-ME"/>
              </w:rPr>
              <w:drawing>
                <wp:inline distT="0" distB="0" distL="0" distR="0" wp14:anchorId="4EB5429C" wp14:editId="1AC9479F">
                  <wp:extent cx="5486400" cy="2207260"/>
                  <wp:effectExtent l="0" t="0" r="0" b="2540"/>
                  <wp:docPr id="14" name="Picture 14" descr="Humira Uveitis Figure 5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umira Uveitis Figure 5_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207260"/>
                          </a:xfrm>
                          <a:prstGeom prst="rect">
                            <a:avLst/>
                          </a:prstGeom>
                          <a:noFill/>
                          <a:ln>
                            <a:noFill/>
                          </a:ln>
                        </pic:spPr>
                      </pic:pic>
                    </a:graphicData>
                  </a:graphic>
                </wp:inline>
              </w:drawing>
            </w:r>
          </w:p>
        </w:tc>
      </w:tr>
      <w:tr w:rsidR="00596C07" w:rsidRPr="004500D8" w14:paraId="27E8D185" w14:textId="77777777" w:rsidTr="00596C07">
        <w:tc>
          <w:tcPr>
            <w:tcW w:w="675" w:type="dxa"/>
            <w:shd w:val="clear" w:color="auto" w:fill="auto"/>
          </w:tcPr>
          <w:p w14:paraId="4A48B45A" w14:textId="77777777" w:rsidR="00596C07" w:rsidRPr="004500D8" w:rsidRDefault="00596C07" w:rsidP="00596C07">
            <w:pPr>
              <w:tabs>
                <w:tab w:val="left" w:pos="562"/>
              </w:tabs>
              <w:suppressAutoHyphens/>
              <w:rPr>
                <w:sz w:val="22"/>
                <w:szCs w:val="22"/>
                <w:lang w:val="sr-Latn-ME"/>
              </w:rPr>
            </w:pPr>
          </w:p>
        </w:tc>
        <w:tc>
          <w:tcPr>
            <w:tcW w:w="8613" w:type="dxa"/>
            <w:gridSpan w:val="5"/>
            <w:shd w:val="clear" w:color="auto" w:fill="auto"/>
          </w:tcPr>
          <w:p w14:paraId="623BB703" w14:textId="77777777" w:rsidR="00596C07" w:rsidRPr="004500D8" w:rsidRDefault="00596C07" w:rsidP="00596C07">
            <w:pPr>
              <w:tabs>
                <w:tab w:val="left" w:pos="562"/>
              </w:tabs>
              <w:suppressAutoHyphens/>
              <w:jc w:val="center"/>
              <w:rPr>
                <w:b/>
                <w:sz w:val="22"/>
                <w:szCs w:val="22"/>
                <w:lang w:val="sr-Latn-ME"/>
              </w:rPr>
            </w:pPr>
            <w:r w:rsidRPr="004500D8">
              <w:rPr>
                <w:b/>
                <w:sz w:val="22"/>
                <w:szCs w:val="22"/>
                <w:lang w:val="sr-Latn-ME"/>
              </w:rPr>
              <w:t>VRIJEME (MJESECI)</w:t>
            </w:r>
          </w:p>
        </w:tc>
      </w:tr>
      <w:tr w:rsidR="00596C07" w:rsidRPr="004500D8" w14:paraId="12973BD5" w14:textId="77777777" w:rsidTr="00596C07">
        <w:tc>
          <w:tcPr>
            <w:tcW w:w="675" w:type="dxa"/>
            <w:shd w:val="clear" w:color="auto" w:fill="auto"/>
          </w:tcPr>
          <w:p w14:paraId="29BAB695" w14:textId="77777777" w:rsidR="00596C07" w:rsidRPr="004500D8" w:rsidRDefault="00596C07" w:rsidP="00596C07">
            <w:pPr>
              <w:tabs>
                <w:tab w:val="left" w:pos="562"/>
              </w:tabs>
              <w:suppressAutoHyphens/>
              <w:rPr>
                <w:sz w:val="22"/>
                <w:szCs w:val="22"/>
                <w:lang w:val="sr-Latn-ME"/>
              </w:rPr>
            </w:pPr>
          </w:p>
        </w:tc>
        <w:tc>
          <w:tcPr>
            <w:tcW w:w="3303" w:type="dxa"/>
            <w:shd w:val="clear" w:color="auto" w:fill="auto"/>
          </w:tcPr>
          <w:p w14:paraId="7AFB2EBE"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Ispitivanje UV I        Liječenje</w:t>
            </w:r>
          </w:p>
        </w:tc>
        <w:tc>
          <w:tcPr>
            <w:tcW w:w="1170" w:type="dxa"/>
            <w:shd w:val="clear" w:color="auto" w:fill="auto"/>
          </w:tcPr>
          <w:p w14:paraId="113D2D35" w14:textId="77777777" w:rsidR="00596C07" w:rsidRPr="004500D8" w:rsidRDefault="00596C07" w:rsidP="00596C07">
            <w:pPr>
              <w:tabs>
                <w:tab w:val="left" w:pos="562"/>
              </w:tabs>
              <w:suppressAutoHyphens/>
              <w:jc w:val="right"/>
              <w:rPr>
                <w:sz w:val="22"/>
                <w:szCs w:val="22"/>
                <w:lang w:val="sr-Latn-ME"/>
              </w:rPr>
            </w:pPr>
            <w:r w:rsidRPr="003B242C">
              <w:rPr>
                <w:noProof/>
                <w:sz w:val="22"/>
                <w:szCs w:val="22"/>
                <w:lang w:val="sr-Latn-ME"/>
              </w:rPr>
              <w:drawing>
                <wp:inline distT="0" distB="0" distL="0" distR="0" wp14:anchorId="36CD5649" wp14:editId="7E73F8D8">
                  <wp:extent cx="396875" cy="180340"/>
                  <wp:effectExtent l="0" t="0" r="3175" b="0"/>
                  <wp:docPr id="6" name="Picture 6" descr="Humira Uveitis Figure 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mira Uveitis Figure 5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875" cy="180340"/>
                          </a:xfrm>
                          <a:prstGeom prst="rect">
                            <a:avLst/>
                          </a:prstGeom>
                          <a:noFill/>
                          <a:ln>
                            <a:noFill/>
                          </a:ln>
                        </pic:spPr>
                      </pic:pic>
                    </a:graphicData>
                  </a:graphic>
                </wp:inline>
              </w:drawing>
            </w:r>
          </w:p>
        </w:tc>
        <w:tc>
          <w:tcPr>
            <w:tcW w:w="1350" w:type="dxa"/>
            <w:shd w:val="clear" w:color="auto" w:fill="auto"/>
          </w:tcPr>
          <w:p w14:paraId="72FBF93B"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Placebo</w:t>
            </w:r>
          </w:p>
        </w:tc>
        <w:tc>
          <w:tcPr>
            <w:tcW w:w="900" w:type="dxa"/>
            <w:shd w:val="clear" w:color="auto" w:fill="auto"/>
          </w:tcPr>
          <w:p w14:paraId="4795485D" w14:textId="77777777" w:rsidR="00596C07" w:rsidRPr="004500D8" w:rsidRDefault="00596C07" w:rsidP="00596C07">
            <w:pPr>
              <w:tabs>
                <w:tab w:val="left" w:pos="562"/>
              </w:tabs>
              <w:suppressAutoHyphens/>
              <w:jc w:val="right"/>
              <w:rPr>
                <w:sz w:val="22"/>
                <w:szCs w:val="22"/>
                <w:lang w:val="sr-Latn-ME"/>
              </w:rPr>
            </w:pPr>
            <w:r w:rsidRPr="003B242C">
              <w:rPr>
                <w:noProof/>
                <w:sz w:val="22"/>
                <w:szCs w:val="22"/>
                <w:lang w:val="sr-Latn-ME"/>
              </w:rPr>
              <w:drawing>
                <wp:inline distT="0" distB="0" distL="0" distR="0" wp14:anchorId="421E7DDD" wp14:editId="26CF69D1">
                  <wp:extent cx="565785" cy="180340"/>
                  <wp:effectExtent l="0" t="0" r="5715" b="0"/>
                  <wp:docPr id="5" name="Picture 5" descr="Humira Uveitis Figure 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mira Uveitis Figure 5_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785" cy="180340"/>
                          </a:xfrm>
                          <a:prstGeom prst="rect">
                            <a:avLst/>
                          </a:prstGeom>
                          <a:noFill/>
                          <a:ln>
                            <a:noFill/>
                          </a:ln>
                        </pic:spPr>
                      </pic:pic>
                    </a:graphicData>
                  </a:graphic>
                </wp:inline>
              </w:drawing>
            </w:r>
          </w:p>
        </w:tc>
        <w:tc>
          <w:tcPr>
            <w:tcW w:w="1890" w:type="dxa"/>
            <w:shd w:val="clear" w:color="auto" w:fill="auto"/>
          </w:tcPr>
          <w:p w14:paraId="45060268"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Adalimumab</w:t>
            </w:r>
          </w:p>
        </w:tc>
      </w:tr>
      <w:tr w:rsidR="00596C07" w:rsidRPr="004500D8" w14:paraId="2F2264FB" w14:textId="77777777" w:rsidTr="00596C07">
        <w:trPr>
          <w:trHeight w:val="3869"/>
        </w:trPr>
        <w:tc>
          <w:tcPr>
            <w:tcW w:w="675" w:type="dxa"/>
            <w:shd w:val="clear" w:color="auto" w:fill="auto"/>
            <w:textDirection w:val="btLr"/>
            <w:vAlign w:val="bottom"/>
          </w:tcPr>
          <w:p w14:paraId="4EDF0B02" w14:textId="77777777" w:rsidR="00596C07" w:rsidRPr="004500D8" w:rsidRDefault="00596C07" w:rsidP="00596C07">
            <w:pPr>
              <w:tabs>
                <w:tab w:val="left" w:pos="562"/>
              </w:tabs>
              <w:suppressAutoHyphens/>
              <w:jc w:val="center"/>
              <w:rPr>
                <w:sz w:val="22"/>
                <w:szCs w:val="22"/>
                <w:lang w:val="sr-Latn-ME"/>
              </w:rPr>
            </w:pPr>
            <w:r w:rsidRPr="004500D8">
              <w:rPr>
                <w:b/>
                <w:sz w:val="22"/>
                <w:szCs w:val="22"/>
                <w:lang w:val="sr-Latn-ME"/>
              </w:rPr>
              <w:t>STOPA NEUSPJEHA LIJEČENJA (%)</w:t>
            </w:r>
          </w:p>
        </w:tc>
        <w:tc>
          <w:tcPr>
            <w:tcW w:w="8613" w:type="dxa"/>
            <w:gridSpan w:val="5"/>
            <w:shd w:val="clear" w:color="auto" w:fill="auto"/>
            <w:vAlign w:val="bottom"/>
          </w:tcPr>
          <w:p w14:paraId="5DB62125" w14:textId="77777777" w:rsidR="00596C07" w:rsidRPr="004500D8" w:rsidRDefault="00596C07" w:rsidP="00596C07">
            <w:pPr>
              <w:tabs>
                <w:tab w:val="left" w:pos="562"/>
              </w:tabs>
              <w:suppressAutoHyphens/>
              <w:rPr>
                <w:sz w:val="22"/>
                <w:szCs w:val="22"/>
                <w:lang w:val="sr-Latn-ME"/>
              </w:rPr>
            </w:pPr>
            <w:r w:rsidRPr="003B242C">
              <w:rPr>
                <w:noProof/>
                <w:sz w:val="22"/>
                <w:szCs w:val="22"/>
                <w:lang w:val="sr-Latn-ME"/>
              </w:rPr>
              <w:drawing>
                <wp:inline distT="0" distB="0" distL="0" distR="0" wp14:anchorId="7E1B4B4B" wp14:editId="78246A50">
                  <wp:extent cx="5486400" cy="2175510"/>
                  <wp:effectExtent l="0" t="0" r="0" b="0"/>
                  <wp:docPr id="15" name="Picture 15" descr="Humira Uveitis Figure 5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umira Uveitis Figure 5_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175510"/>
                          </a:xfrm>
                          <a:prstGeom prst="rect">
                            <a:avLst/>
                          </a:prstGeom>
                          <a:noFill/>
                          <a:ln>
                            <a:noFill/>
                          </a:ln>
                        </pic:spPr>
                      </pic:pic>
                    </a:graphicData>
                  </a:graphic>
                </wp:inline>
              </w:drawing>
            </w:r>
          </w:p>
        </w:tc>
      </w:tr>
      <w:tr w:rsidR="00596C07" w:rsidRPr="004500D8" w14:paraId="76B4AE4E" w14:textId="77777777" w:rsidTr="00596C07">
        <w:tc>
          <w:tcPr>
            <w:tcW w:w="675" w:type="dxa"/>
            <w:shd w:val="clear" w:color="auto" w:fill="auto"/>
          </w:tcPr>
          <w:p w14:paraId="5588B12C" w14:textId="77777777" w:rsidR="00596C07" w:rsidRPr="004500D8" w:rsidRDefault="00596C07" w:rsidP="00596C07">
            <w:pPr>
              <w:tabs>
                <w:tab w:val="left" w:pos="562"/>
              </w:tabs>
              <w:suppressAutoHyphens/>
              <w:rPr>
                <w:sz w:val="22"/>
                <w:szCs w:val="22"/>
                <w:lang w:val="sr-Latn-ME"/>
              </w:rPr>
            </w:pPr>
          </w:p>
        </w:tc>
        <w:tc>
          <w:tcPr>
            <w:tcW w:w="8613" w:type="dxa"/>
            <w:gridSpan w:val="5"/>
            <w:shd w:val="clear" w:color="auto" w:fill="auto"/>
          </w:tcPr>
          <w:p w14:paraId="7801C377" w14:textId="77777777" w:rsidR="00596C07" w:rsidRPr="004500D8" w:rsidRDefault="00596C07" w:rsidP="00596C07">
            <w:pPr>
              <w:tabs>
                <w:tab w:val="left" w:pos="562"/>
              </w:tabs>
              <w:suppressAutoHyphens/>
              <w:jc w:val="center"/>
              <w:rPr>
                <w:b/>
                <w:sz w:val="22"/>
                <w:szCs w:val="22"/>
                <w:lang w:val="sr-Latn-ME"/>
              </w:rPr>
            </w:pPr>
            <w:r w:rsidRPr="004500D8">
              <w:rPr>
                <w:b/>
                <w:sz w:val="22"/>
                <w:szCs w:val="22"/>
                <w:lang w:val="sr-Latn-ME"/>
              </w:rPr>
              <w:t>VRIJEME (MJESECI)</w:t>
            </w:r>
          </w:p>
        </w:tc>
      </w:tr>
      <w:tr w:rsidR="00596C07" w:rsidRPr="004500D8" w14:paraId="61B00341" w14:textId="77777777" w:rsidTr="00596C07">
        <w:trPr>
          <w:trHeight w:val="369"/>
        </w:trPr>
        <w:tc>
          <w:tcPr>
            <w:tcW w:w="675" w:type="dxa"/>
            <w:shd w:val="clear" w:color="auto" w:fill="auto"/>
          </w:tcPr>
          <w:p w14:paraId="0C8FCCC4" w14:textId="77777777" w:rsidR="00596C07" w:rsidRPr="004500D8" w:rsidRDefault="00596C07" w:rsidP="00596C07">
            <w:pPr>
              <w:tabs>
                <w:tab w:val="left" w:pos="562"/>
              </w:tabs>
              <w:suppressAutoHyphens/>
              <w:rPr>
                <w:sz w:val="22"/>
                <w:szCs w:val="22"/>
                <w:lang w:val="sr-Latn-ME"/>
              </w:rPr>
            </w:pPr>
          </w:p>
        </w:tc>
        <w:tc>
          <w:tcPr>
            <w:tcW w:w="3303" w:type="dxa"/>
            <w:shd w:val="clear" w:color="auto" w:fill="auto"/>
          </w:tcPr>
          <w:p w14:paraId="03AF3A5F"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Ispitivanje UV II        Liječenje</w:t>
            </w:r>
          </w:p>
        </w:tc>
        <w:tc>
          <w:tcPr>
            <w:tcW w:w="1170" w:type="dxa"/>
            <w:shd w:val="clear" w:color="auto" w:fill="auto"/>
          </w:tcPr>
          <w:p w14:paraId="745F06B4" w14:textId="77777777" w:rsidR="00596C07" w:rsidRPr="004500D8" w:rsidRDefault="00596C07" w:rsidP="00596C07">
            <w:pPr>
              <w:tabs>
                <w:tab w:val="left" w:pos="562"/>
              </w:tabs>
              <w:suppressAutoHyphens/>
              <w:jc w:val="right"/>
              <w:rPr>
                <w:sz w:val="22"/>
                <w:szCs w:val="22"/>
                <w:lang w:val="sr-Latn-ME"/>
              </w:rPr>
            </w:pPr>
            <w:r w:rsidRPr="003B242C">
              <w:rPr>
                <w:noProof/>
                <w:sz w:val="22"/>
                <w:szCs w:val="22"/>
                <w:lang w:val="sr-Latn-ME"/>
              </w:rPr>
              <w:drawing>
                <wp:inline distT="0" distB="0" distL="0" distR="0" wp14:anchorId="280F78D3" wp14:editId="749AF092">
                  <wp:extent cx="396875" cy="180340"/>
                  <wp:effectExtent l="0" t="0" r="3175" b="0"/>
                  <wp:docPr id="3" name="Picture 3" descr="Humira Uveitis Figure 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umira Uveitis Figure 5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875" cy="180340"/>
                          </a:xfrm>
                          <a:prstGeom prst="rect">
                            <a:avLst/>
                          </a:prstGeom>
                          <a:noFill/>
                          <a:ln>
                            <a:noFill/>
                          </a:ln>
                        </pic:spPr>
                      </pic:pic>
                    </a:graphicData>
                  </a:graphic>
                </wp:inline>
              </w:drawing>
            </w:r>
          </w:p>
        </w:tc>
        <w:tc>
          <w:tcPr>
            <w:tcW w:w="1350" w:type="dxa"/>
            <w:shd w:val="clear" w:color="auto" w:fill="auto"/>
          </w:tcPr>
          <w:p w14:paraId="7C91306E"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Placebo</w:t>
            </w:r>
          </w:p>
        </w:tc>
        <w:tc>
          <w:tcPr>
            <w:tcW w:w="900" w:type="dxa"/>
            <w:shd w:val="clear" w:color="auto" w:fill="auto"/>
          </w:tcPr>
          <w:p w14:paraId="68FBF4B4" w14:textId="77777777" w:rsidR="00596C07" w:rsidRPr="004500D8" w:rsidRDefault="00596C07" w:rsidP="00596C07">
            <w:pPr>
              <w:tabs>
                <w:tab w:val="left" w:pos="562"/>
              </w:tabs>
              <w:suppressAutoHyphens/>
              <w:jc w:val="right"/>
              <w:rPr>
                <w:sz w:val="22"/>
                <w:szCs w:val="22"/>
                <w:lang w:val="sr-Latn-ME"/>
              </w:rPr>
            </w:pPr>
            <w:r w:rsidRPr="003B242C">
              <w:rPr>
                <w:noProof/>
                <w:sz w:val="22"/>
                <w:szCs w:val="22"/>
                <w:lang w:val="sr-Latn-ME"/>
              </w:rPr>
              <w:drawing>
                <wp:inline distT="0" distB="0" distL="0" distR="0" wp14:anchorId="770BFA89" wp14:editId="21975062">
                  <wp:extent cx="565785" cy="180340"/>
                  <wp:effectExtent l="0" t="0" r="5715" b="0"/>
                  <wp:docPr id="2" name="Picture 2" descr="Humira Uveitis Figure 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mira Uveitis Figure 5_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785" cy="180340"/>
                          </a:xfrm>
                          <a:prstGeom prst="rect">
                            <a:avLst/>
                          </a:prstGeom>
                          <a:noFill/>
                          <a:ln>
                            <a:noFill/>
                          </a:ln>
                        </pic:spPr>
                      </pic:pic>
                    </a:graphicData>
                  </a:graphic>
                </wp:inline>
              </w:drawing>
            </w:r>
          </w:p>
        </w:tc>
        <w:tc>
          <w:tcPr>
            <w:tcW w:w="1890" w:type="dxa"/>
            <w:shd w:val="clear" w:color="auto" w:fill="auto"/>
          </w:tcPr>
          <w:p w14:paraId="24E78A43" w14:textId="77777777" w:rsidR="00596C07" w:rsidRPr="004500D8" w:rsidRDefault="00596C07" w:rsidP="00596C07">
            <w:pPr>
              <w:tabs>
                <w:tab w:val="left" w:pos="562"/>
              </w:tabs>
              <w:suppressAutoHyphens/>
              <w:rPr>
                <w:sz w:val="22"/>
                <w:szCs w:val="22"/>
                <w:lang w:val="sr-Latn-ME"/>
              </w:rPr>
            </w:pPr>
            <w:r w:rsidRPr="004500D8">
              <w:rPr>
                <w:sz w:val="22"/>
                <w:szCs w:val="22"/>
                <w:lang w:val="sr-Latn-ME"/>
              </w:rPr>
              <w:t>Adalimumab</w:t>
            </w:r>
          </w:p>
        </w:tc>
      </w:tr>
      <w:tr w:rsidR="00596C07" w:rsidRPr="004500D8" w14:paraId="33313B42" w14:textId="77777777" w:rsidTr="00596C07">
        <w:trPr>
          <w:trHeight w:val="629"/>
        </w:trPr>
        <w:tc>
          <w:tcPr>
            <w:tcW w:w="9288" w:type="dxa"/>
            <w:gridSpan w:val="6"/>
            <w:shd w:val="clear" w:color="auto" w:fill="auto"/>
            <w:vAlign w:val="center"/>
          </w:tcPr>
          <w:p w14:paraId="3879C96D" w14:textId="77777777" w:rsidR="00596C07" w:rsidRPr="004500D8" w:rsidRDefault="00596C07" w:rsidP="003B242C">
            <w:pPr>
              <w:tabs>
                <w:tab w:val="left" w:pos="562"/>
              </w:tabs>
              <w:suppressAutoHyphens/>
              <w:ind w:left="-105"/>
              <w:jc w:val="both"/>
              <w:rPr>
                <w:sz w:val="22"/>
                <w:szCs w:val="22"/>
                <w:lang w:val="sr-Latn-ME"/>
              </w:rPr>
            </w:pPr>
            <w:r w:rsidRPr="004500D8">
              <w:rPr>
                <w:sz w:val="22"/>
                <w:szCs w:val="22"/>
                <w:lang w:val="sr-Latn-ME"/>
              </w:rPr>
              <w:t>Napomena: P# = Placebo (Broj događaja/broj pacijenata pod rizikom); A# = HUMIRA (Broj događaja/broj pacijenata pod rizikom).</w:t>
            </w:r>
          </w:p>
        </w:tc>
      </w:tr>
    </w:tbl>
    <w:p w14:paraId="02BB1298" w14:textId="77777777" w:rsidR="00596C07" w:rsidRPr="004500D8" w:rsidRDefault="00596C07" w:rsidP="00596C07">
      <w:pPr>
        <w:widowControl w:val="0"/>
        <w:autoSpaceDE w:val="0"/>
        <w:autoSpaceDN w:val="0"/>
        <w:adjustRightInd w:val="0"/>
        <w:jc w:val="both"/>
        <w:rPr>
          <w:sz w:val="22"/>
          <w:szCs w:val="22"/>
          <w:u w:val="single"/>
          <w:lang w:val="sr-Latn-ME"/>
        </w:rPr>
      </w:pPr>
    </w:p>
    <w:p w14:paraId="5DC50CDC"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 ispitivanju UV I primijećene su statistički značajne razlike u korist adalimumaba naspram placeba za svaku komponentu neuspjeha liječenja. U ispitivanju UV II, statistički značajne razlike primijećene su samo za oštrinu vida, ali su druge komponente brojčano bile u korist adalimumaba.</w:t>
      </w:r>
    </w:p>
    <w:p w14:paraId="58C5D3B7" w14:textId="77777777" w:rsidR="00596C07" w:rsidRPr="004500D8" w:rsidRDefault="00596C07" w:rsidP="00596C07">
      <w:pPr>
        <w:widowControl w:val="0"/>
        <w:autoSpaceDE w:val="0"/>
        <w:autoSpaceDN w:val="0"/>
        <w:adjustRightInd w:val="0"/>
        <w:jc w:val="both"/>
        <w:rPr>
          <w:sz w:val="22"/>
          <w:szCs w:val="22"/>
          <w:lang w:val="sr-Latn-ME"/>
        </w:rPr>
      </w:pPr>
    </w:p>
    <w:p w14:paraId="3858018D"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Od ukupno 424 ispitanika koji su bili uključeni u nekontrolisani dugotrajni produžetak ispitivanja UV I i UV II, 60 ispitanika se smatralo nepogodnim (npr. zbog odstupanja ili zbog komplikacije kao posledica dijabetičke retinopatije, usljed operacije uklanjanja katarakte ili vitrektomije) i bili su isključeni iz prve analize efikasnosti. Od 364 pacijenata koji su ostali, 269 pacijenata (74%) koji su se mogli evaluirati su dostigli 78 nedjelja u otvorenoj studiji sa liječenjem adalimumabom. Na osnovu posmatranih podataka, 216 (80,3%) su bili u mirovanju (nije bilo aktivnih inflamatornih lezija, AC stepen prema broju ćelija ≤ 0,5+, VH stepen ≤ 0,5+) sa istovremenom dozom steroida ≤ 7,5 mg na dan, i 178 (66,2 %) su bili stabilni bez steroida. Najbolje korigovana vidna oštrina (BCVA) je bila povećana ili održana kod 88,6% očiju (pogoršanje &lt; 5 slova) u 78. nedjelji. Podaci koji su dobijeni nakon 78. nedjelja uglavnom su bili uskladjeni sa ovim rezutatima, ali se broj uključenih ispitanika smanjio nakon 78. nedjelja. Sveukupno medju pacijentima koji su prekinuli ispitivanje, njih 18% je prekinulo usljed neželjenih reakcija, a 8% usljed nedostatka odgovora na liječenje adalimumabom.</w:t>
      </w:r>
    </w:p>
    <w:p w14:paraId="2340518C" w14:textId="77777777" w:rsidR="00596C07" w:rsidRPr="004500D8" w:rsidRDefault="00596C07" w:rsidP="00596C07">
      <w:pPr>
        <w:widowControl w:val="0"/>
        <w:autoSpaceDE w:val="0"/>
        <w:autoSpaceDN w:val="0"/>
        <w:adjustRightInd w:val="0"/>
        <w:jc w:val="both"/>
        <w:rPr>
          <w:sz w:val="22"/>
          <w:szCs w:val="22"/>
          <w:u w:val="single"/>
          <w:lang w:val="sr-Latn-ME"/>
        </w:rPr>
      </w:pPr>
    </w:p>
    <w:p w14:paraId="75851ABC" w14:textId="77777777" w:rsidR="00596C07" w:rsidRPr="004500D8" w:rsidRDefault="00596C07" w:rsidP="00596C07">
      <w:pPr>
        <w:widowControl w:val="0"/>
        <w:autoSpaceDE w:val="0"/>
        <w:autoSpaceDN w:val="0"/>
        <w:adjustRightInd w:val="0"/>
        <w:jc w:val="both"/>
        <w:rPr>
          <w:i/>
          <w:sz w:val="22"/>
          <w:szCs w:val="22"/>
          <w:u w:val="single"/>
          <w:lang w:val="sr-Latn-ME"/>
        </w:rPr>
      </w:pPr>
      <w:r w:rsidRPr="004500D8">
        <w:rPr>
          <w:i/>
          <w:sz w:val="22"/>
          <w:szCs w:val="22"/>
          <w:u w:val="single"/>
          <w:lang w:val="sr-Latn-ME"/>
        </w:rPr>
        <w:t>Kvalitet života</w:t>
      </w:r>
    </w:p>
    <w:p w14:paraId="0E5F84F4" w14:textId="77777777" w:rsidR="00596C07" w:rsidRPr="004500D8" w:rsidRDefault="00596C07" w:rsidP="00596C07">
      <w:pPr>
        <w:widowControl w:val="0"/>
        <w:autoSpaceDE w:val="0"/>
        <w:autoSpaceDN w:val="0"/>
        <w:adjustRightInd w:val="0"/>
        <w:jc w:val="both"/>
        <w:rPr>
          <w:sz w:val="22"/>
          <w:szCs w:val="22"/>
          <w:u w:val="single"/>
          <w:lang w:val="sr-Latn-ME"/>
        </w:rPr>
      </w:pPr>
    </w:p>
    <w:p w14:paraId="017C326D"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U oba su se klinička ispitivanja upitnikom NEI VFQ-25 određivali ishodi s obzirom na funkcionisanje povezano s vidom koje su prijavljivali pacijenti. Većina podrezultata brojčano je išla u prilog lijeku Humira, a srednje vrijednosti razlike bile su statistički značajne za opšti vid, bol u oku, vid na blizinu, mentalno zdravlje i ukupan rezultat u ispitivanju UV I te za opšti vid i mentalno zdravlje u ispitivanju UV II. Efekti povezani s vidom koji nisu brojčano išli u prilog lijeku Humira bili su efekti na vid u boji u ispitivanju UV I, odnosno efekti na vid u boji, periferni vid i vid na blizinu u ispitivanju UV II.</w:t>
      </w:r>
    </w:p>
    <w:p w14:paraId="6D4552BD" w14:textId="77777777" w:rsidR="00596C07" w:rsidRPr="004500D8" w:rsidRDefault="00596C07" w:rsidP="00596C07">
      <w:pPr>
        <w:widowControl w:val="0"/>
        <w:autoSpaceDE w:val="0"/>
        <w:autoSpaceDN w:val="0"/>
        <w:adjustRightInd w:val="0"/>
        <w:jc w:val="both"/>
        <w:rPr>
          <w:sz w:val="22"/>
          <w:szCs w:val="22"/>
          <w:lang w:val="sr-Latn-ME"/>
        </w:rPr>
      </w:pPr>
    </w:p>
    <w:p w14:paraId="17840048" w14:textId="77777777" w:rsidR="00596C07" w:rsidRPr="004500D8" w:rsidRDefault="00596C07" w:rsidP="00596C07">
      <w:pPr>
        <w:widowControl w:val="0"/>
        <w:autoSpaceDE w:val="0"/>
        <w:autoSpaceDN w:val="0"/>
        <w:adjustRightInd w:val="0"/>
        <w:jc w:val="both"/>
        <w:rPr>
          <w:sz w:val="22"/>
          <w:szCs w:val="22"/>
          <w:u w:val="single"/>
          <w:lang w:val="sr-Latn-ME"/>
        </w:rPr>
      </w:pPr>
      <w:r w:rsidRPr="004500D8">
        <w:rPr>
          <w:sz w:val="22"/>
          <w:szCs w:val="22"/>
          <w:u w:val="single"/>
          <w:lang w:val="sr-Latn-ME"/>
        </w:rPr>
        <w:t>Imunogenost</w:t>
      </w:r>
    </w:p>
    <w:p w14:paraId="3E0B7D55" w14:textId="77777777" w:rsidR="00596C07" w:rsidRPr="004500D8" w:rsidRDefault="00596C07" w:rsidP="00596C07">
      <w:pPr>
        <w:widowControl w:val="0"/>
        <w:autoSpaceDE w:val="0"/>
        <w:autoSpaceDN w:val="0"/>
        <w:adjustRightInd w:val="0"/>
        <w:jc w:val="both"/>
        <w:rPr>
          <w:sz w:val="22"/>
          <w:szCs w:val="22"/>
          <w:u w:val="single"/>
          <w:lang w:val="sr-Latn-ME"/>
        </w:rPr>
      </w:pPr>
    </w:p>
    <w:p w14:paraId="59D4020A"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Stvaranje anti-adalimumab antitijela povezano je sa bržim uklanjanjem i slabijim terapijskim efektom adalimumaba. Prisutnost antitijela na adalimumab nije povezana sa stopom pojave neželjenih dejstava.</w:t>
      </w:r>
    </w:p>
    <w:p w14:paraId="355F2382" w14:textId="77777777" w:rsidR="00596C07" w:rsidRPr="004500D8" w:rsidRDefault="00596C07" w:rsidP="00596C07">
      <w:pPr>
        <w:widowControl w:val="0"/>
        <w:autoSpaceDE w:val="0"/>
        <w:autoSpaceDN w:val="0"/>
        <w:adjustRightInd w:val="0"/>
        <w:jc w:val="both"/>
        <w:rPr>
          <w:sz w:val="22"/>
          <w:szCs w:val="22"/>
          <w:lang w:val="sr-Latn-ME"/>
        </w:rPr>
      </w:pPr>
    </w:p>
    <w:p w14:paraId="1DE1FEF5"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Kod pacijenata u ispitivanjima reumatoidnog artritisa I, II i III, između 6. i 12. mjeseca terapije u više vremenskih tačaka vršene su pretrage kako bi se utvrdila prisutnost antitijela na adalimumab. U pivotalnim ispitivanjima, antitijela na adalimumab nađena su kod 5,5% (58/1053) pacijenata koji su primali adalimumab u odnosu na 0,5% (2/370) pacijenata koji su primali placebo. Kod pacijenata koji nisu istovremeno primali metotreksat, incidenca je bila 12,4% u odnosu na 0,6% kod pacijenata koji su primali adalimumab uz metotreksat.</w:t>
      </w:r>
    </w:p>
    <w:p w14:paraId="01FEB07C"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Anti-adalimumab antitijela su nađena kod 7/269 (2,6%)ispitanika , a kod ispitanika sa ulceroznim kolitisom nađena su kod 19/487 (3,9%) ispitanika.   </w:t>
      </w:r>
    </w:p>
    <w:p w14:paraId="22C5305C" w14:textId="77777777" w:rsidR="00596C07" w:rsidRPr="004500D8" w:rsidRDefault="00596C07" w:rsidP="00596C07">
      <w:pPr>
        <w:widowControl w:val="0"/>
        <w:autoSpaceDE w:val="0"/>
        <w:autoSpaceDN w:val="0"/>
        <w:adjustRightInd w:val="0"/>
        <w:jc w:val="both"/>
        <w:rPr>
          <w:sz w:val="22"/>
          <w:szCs w:val="22"/>
          <w:lang w:val="sr-Latn-ME"/>
        </w:rPr>
      </w:pPr>
    </w:p>
    <w:p w14:paraId="01DCEC74"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Kod odraslih pacijenata sa psorijazom, anti-adalimumab antitijela su nađena kod 77/920 (8,4%) pacijenata liječenih adalimumabom kao monoterapijom. </w:t>
      </w:r>
    </w:p>
    <w:p w14:paraId="1367DD02" w14:textId="77777777" w:rsidR="00596C07" w:rsidRPr="004500D8" w:rsidRDefault="00596C07" w:rsidP="00596C07">
      <w:pPr>
        <w:widowControl w:val="0"/>
        <w:autoSpaceDE w:val="0"/>
        <w:autoSpaceDN w:val="0"/>
        <w:adjustRightInd w:val="0"/>
        <w:jc w:val="both"/>
        <w:rPr>
          <w:sz w:val="22"/>
          <w:szCs w:val="22"/>
          <w:lang w:val="sr-Latn-ME"/>
        </w:rPr>
      </w:pPr>
    </w:p>
    <w:p w14:paraId="1296586B"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 xml:space="preserve">Kod odraslih pacijenata sa plak psorijazom dugotrajno liječenih monoterapijom adalimumabom koji su učestvovali u ispitivanju prekida terapije i ponovnog uvođenja, stopa antitijela na adalimumab nakon ponovnog uvođenja terapije (11 od 482 ispitanika, 2,3%) bio je sličan stopi zabilježenoj prije prekida terapije (11 od 590 ispitanika, 1,9%). </w:t>
      </w:r>
    </w:p>
    <w:p w14:paraId="2CCABE50" w14:textId="77777777" w:rsidR="00596C07" w:rsidRPr="004500D8" w:rsidRDefault="00596C07" w:rsidP="00596C07">
      <w:pPr>
        <w:widowControl w:val="0"/>
        <w:autoSpaceDE w:val="0"/>
        <w:autoSpaceDN w:val="0"/>
        <w:adjustRightInd w:val="0"/>
        <w:jc w:val="both"/>
        <w:rPr>
          <w:sz w:val="22"/>
          <w:szCs w:val="22"/>
          <w:lang w:val="sr-Latn-ME"/>
        </w:rPr>
      </w:pPr>
    </w:p>
    <w:p w14:paraId="78F3DACD"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Kod pacijenata sa umjerenim do teškim gnojnim hidradenitisom, antitijela na adalimumab nađena su kod 10/99 ispitanika (10,1%) liječenih adalimumabom.</w:t>
      </w:r>
    </w:p>
    <w:p w14:paraId="3E1DDF36" w14:textId="77777777" w:rsidR="00596C07" w:rsidRPr="004500D8" w:rsidRDefault="00596C07" w:rsidP="00596C07">
      <w:pPr>
        <w:widowControl w:val="0"/>
        <w:autoSpaceDE w:val="0"/>
        <w:autoSpaceDN w:val="0"/>
        <w:adjustRightInd w:val="0"/>
        <w:jc w:val="both"/>
        <w:rPr>
          <w:sz w:val="22"/>
          <w:szCs w:val="22"/>
          <w:lang w:val="sr-Latn-ME"/>
        </w:rPr>
      </w:pPr>
    </w:p>
    <w:p w14:paraId="1B08F475"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Kod pacijenata sa umjerenim do teškim oblikom aktivne Crohn-ove bolesti, antitijela na adalimumab nađena su kod 3,3% pacijenata koji su primali adalimumab.</w:t>
      </w:r>
    </w:p>
    <w:p w14:paraId="4196FE2D" w14:textId="77777777" w:rsidR="00596C07" w:rsidRPr="004500D8" w:rsidRDefault="00596C07" w:rsidP="00596C07">
      <w:pPr>
        <w:widowControl w:val="0"/>
        <w:autoSpaceDE w:val="0"/>
        <w:autoSpaceDN w:val="0"/>
        <w:adjustRightInd w:val="0"/>
        <w:jc w:val="both"/>
        <w:rPr>
          <w:sz w:val="22"/>
          <w:szCs w:val="22"/>
          <w:lang w:val="sr-Latn-ME"/>
        </w:rPr>
      </w:pPr>
    </w:p>
    <w:p w14:paraId="58A1DDBC"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Kod odraslih pacijenata sa neinfektivnim uveitisom, antitijela na adalimumab nađena su kod 4,8% (12/249) pacijenata koji primaju adalimumab.</w:t>
      </w:r>
    </w:p>
    <w:p w14:paraId="54C469E2" w14:textId="77777777" w:rsidR="00596C07" w:rsidRPr="004500D8" w:rsidRDefault="00596C07" w:rsidP="00596C07">
      <w:pPr>
        <w:widowControl w:val="0"/>
        <w:autoSpaceDE w:val="0"/>
        <w:autoSpaceDN w:val="0"/>
        <w:adjustRightInd w:val="0"/>
        <w:jc w:val="both"/>
        <w:rPr>
          <w:sz w:val="22"/>
          <w:szCs w:val="22"/>
          <w:lang w:val="sr-Latn-ME"/>
        </w:rPr>
      </w:pPr>
    </w:p>
    <w:p w14:paraId="0E1EF539" w14:textId="77777777" w:rsidR="00596C07" w:rsidRPr="003B242C" w:rsidRDefault="00596C07" w:rsidP="00596C07">
      <w:pPr>
        <w:widowControl w:val="0"/>
        <w:autoSpaceDE w:val="0"/>
        <w:autoSpaceDN w:val="0"/>
        <w:adjustRightInd w:val="0"/>
        <w:jc w:val="both"/>
        <w:rPr>
          <w:sz w:val="22"/>
          <w:szCs w:val="22"/>
          <w:lang w:val="sr-Latn-ME"/>
        </w:rPr>
      </w:pPr>
      <w:r w:rsidRPr="003B242C">
        <w:rPr>
          <w:sz w:val="22"/>
          <w:szCs w:val="22"/>
          <w:lang w:val="sr-Latn-ME"/>
        </w:rPr>
        <w:t>Kod pedijatrijskih bolesnika s umjerenim do teškim oblikom aktivnog ulceroznog kolitisa, stopa stvaranja antitijela na adalimumab kod bolesnika koji su primali adalimumab je bila  3%.</w:t>
      </w:r>
    </w:p>
    <w:p w14:paraId="531AF7AC" w14:textId="77777777" w:rsidR="00596C07" w:rsidRPr="004500D8" w:rsidRDefault="00596C07" w:rsidP="00596C07">
      <w:pPr>
        <w:widowControl w:val="0"/>
        <w:autoSpaceDE w:val="0"/>
        <w:autoSpaceDN w:val="0"/>
        <w:adjustRightInd w:val="0"/>
        <w:jc w:val="both"/>
        <w:rPr>
          <w:sz w:val="22"/>
          <w:szCs w:val="22"/>
          <w:lang w:val="sr-Latn-ME"/>
        </w:rPr>
      </w:pPr>
    </w:p>
    <w:p w14:paraId="4C9C5601"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Zbog toga što je analiza imunogenosti specifična za svaki lijek, nije adekvatno porediti stope antitijela kod različitih ljekova.</w:t>
      </w:r>
    </w:p>
    <w:p w14:paraId="249C3A02" w14:textId="77777777" w:rsidR="00596C07" w:rsidRPr="004500D8" w:rsidRDefault="00596C07" w:rsidP="00596C07">
      <w:pPr>
        <w:widowControl w:val="0"/>
        <w:autoSpaceDE w:val="0"/>
        <w:autoSpaceDN w:val="0"/>
        <w:adjustRightInd w:val="0"/>
        <w:jc w:val="both"/>
        <w:rPr>
          <w:sz w:val="22"/>
          <w:szCs w:val="22"/>
          <w:lang w:val="sr-Latn-ME"/>
        </w:rPr>
      </w:pPr>
    </w:p>
    <w:p w14:paraId="186A29CF" w14:textId="77777777" w:rsidR="00596C07" w:rsidRPr="004500D8" w:rsidRDefault="00596C07" w:rsidP="00596C07">
      <w:pPr>
        <w:widowControl w:val="0"/>
        <w:autoSpaceDE w:val="0"/>
        <w:autoSpaceDN w:val="0"/>
        <w:adjustRightInd w:val="0"/>
        <w:jc w:val="both"/>
        <w:rPr>
          <w:sz w:val="22"/>
          <w:szCs w:val="22"/>
          <w:u w:val="single"/>
          <w:lang w:val="sr-Latn-ME"/>
        </w:rPr>
      </w:pPr>
      <w:r w:rsidRPr="004500D8">
        <w:rPr>
          <w:sz w:val="22"/>
          <w:szCs w:val="22"/>
          <w:u w:val="single"/>
          <w:lang w:val="sr-Latn-ME"/>
        </w:rPr>
        <w:t>Pedijatrijska populacija</w:t>
      </w:r>
    </w:p>
    <w:p w14:paraId="19FD8743" w14:textId="77777777" w:rsidR="00596C07" w:rsidRPr="004500D8" w:rsidRDefault="00596C07" w:rsidP="00596C07">
      <w:pPr>
        <w:tabs>
          <w:tab w:val="left" w:pos="540"/>
          <w:tab w:val="left" w:pos="569"/>
        </w:tabs>
        <w:jc w:val="both"/>
        <w:rPr>
          <w:sz w:val="22"/>
          <w:szCs w:val="22"/>
          <w:lang w:val="sr-Latn-ME"/>
        </w:rPr>
      </w:pPr>
    </w:p>
    <w:p w14:paraId="2E3AE67D" w14:textId="77777777" w:rsidR="00596C07" w:rsidRPr="003B242C" w:rsidRDefault="00596C07" w:rsidP="00596C07">
      <w:pPr>
        <w:tabs>
          <w:tab w:val="left" w:pos="0"/>
        </w:tabs>
        <w:autoSpaceDE w:val="0"/>
        <w:spacing w:after="160"/>
        <w:jc w:val="both"/>
        <w:rPr>
          <w:lang w:val="sr-Latn-ME" w:eastAsia="bs-Latn-BA"/>
        </w:rPr>
      </w:pPr>
      <w:r w:rsidRPr="003B242C">
        <w:rPr>
          <w:i/>
          <w:lang w:val="sr-Latn-ME" w:eastAsia="bs-Latn-BA"/>
        </w:rPr>
        <w:t>Adolescentni gnojni hidradenitis</w:t>
      </w:r>
    </w:p>
    <w:p w14:paraId="061952AE" w14:textId="5A398BF9" w:rsidR="00596C07" w:rsidRPr="003B242C" w:rsidRDefault="00596C07" w:rsidP="00596C07">
      <w:pPr>
        <w:spacing w:after="160" w:line="259" w:lineRule="auto"/>
        <w:jc w:val="both"/>
        <w:rPr>
          <w:iCs/>
          <w:sz w:val="22"/>
          <w:szCs w:val="22"/>
          <w:lang w:val="sr-Latn-ME" w:eastAsia="bs-Latn-BA"/>
        </w:rPr>
      </w:pPr>
      <w:r w:rsidRPr="003B242C">
        <w:rPr>
          <w:iCs/>
          <w:sz w:val="22"/>
          <w:szCs w:val="22"/>
          <w:lang w:val="sr-Latn-ME" w:eastAsia="bs-Latn-BA"/>
        </w:rPr>
        <w:t xml:space="preserve">Nisu </w:t>
      </w:r>
      <w:r w:rsidR="004957EE" w:rsidRPr="003B242C">
        <w:rPr>
          <w:iCs/>
          <w:sz w:val="22"/>
          <w:szCs w:val="22"/>
          <w:lang w:val="sr-Latn-ME" w:eastAsia="bs-Latn-BA"/>
        </w:rPr>
        <w:t>s</w:t>
      </w:r>
      <w:r w:rsidRPr="003B242C">
        <w:rPr>
          <w:iCs/>
          <w:sz w:val="22"/>
          <w:szCs w:val="22"/>
          <w:lang w:val="sr-Latn-ME" w:eastAsia="bs-Latn-BA"/>
        </w:rPr>
        <w:t xml:space="preserve">provedena klinička ispitivanja lijeka Humira kod adolescentnih bolesnika sa gnojnim hidradenitisom. Efikasnost adalimumaba u liječenju adolescentnih bolesnika sa gnojnim hidradenitisom predviđa se na osnovu dokazane efikasnosti i povezanosti izloženosti i odgovora kod odraslih bolesnika sa gnojnim hidradenitisom kao i vjerovatnoće da su tok bolesti, patofiziologija i efekti lijeka u suštini slični kao kod odraslih osoba pri istim nivoima izloženosti. Sigurnost preporučene doze adalimumaba kod adolescentna sa gnojnim hidradenitisom zasniva se na sigurnosnom profilu adalimumaba u drugim </w:t>
      </w:r>
      <w:r w:rsidRPr="003B242C">
        <w:rPr>
          <w:iCs/>
          <w:sz w:val="22"/>
          <w:szCs w:val="22"/>
          <w:lang w:val="sr-Latn-ME" w:eastAsia="bs-Latn-BA"/>
        </w:rPr>
        <w:lastRenderedPageBreak/>
        <w:t>indikacijama i kod odraslih i kod pedijatrijskih bolesnika pri sličnoj ili većoj učestalosti doziranja (vidjeti dio 5.2).</w:t>
      </w:r>
    </w:p>
    <w:p w14:paraId="14857FFB" w14:textId="77777777" w:rsidR="00596C07" w:rsidRPr="003B242C" w:rsidRDefault="00596C07" w:rsidP="00596C07">
      <w:pPr>
        <w:autoSpaceDE w:val="0"/>
        <w:spacing w:after="160"/>
        <w:rPr>
          <w:b/>
          <w:bCs/>
          <w:i/>
          <w:iCs/>
          <w:sz w:val="22"/>
          <w:szCs w:val="22"/>
          <w:lang w:val="sr-Latn-ME" w:eastAsia="bs-Latn-BA"/>
        </w:rPr>
      </w:pPr>
      <w:r w:rsidRPr="003B242C">
        <w:rPr>
          <w:i/>
          <w:iCs/>
          <w:sz w:val="22"/>
          <w:szCs w:val="22"/>
          <w:lang w:val="sr-Latn-ME" w:eastAsia="bs-Latn-BA"/>
        </w:rPr>
        <w:t xml:space="preserve">Crohnova bolest kod djece </w:t>
      </w:r>
    </w:p>
    <w:p w14:paraId="608B7E73" w14:textId="7A628BDA" w:rsidR="00596C07" w:rsidRPr="003B242C" w:rsidRDefault="00596C07" w:rsidP="00596C07">
      <w:pPr>
        <w:autoSpaceDE w:val="0"/>
        <w:spacing w:after="160"/>
        <w:jc w:val="both"/>
        <w:rPr>
          <w:b/>
          <w:bCs/>
          <w:i/>
          <w:iCs/>
          <w:sz w:val="22"/>
          <w:szCs w:val="22"/>
          <w:lang w:val="sr-Latn-ME" w:eastAsia="bs-Latn-BA"/>
        </w:rPr>
      </w:pPr>
      <w:r w:rsidRPr="003B242C">
        <w:rPr>
          <w:sz w:val="22"/>
          <w:szCs w:val="22"/>
          <w:lang w:val="sr-Latn-ME" w:eastAsia="bs-Latn-BA"/>
        </w:rPr>
        <w:t xml:space="preserve">Efikasnost i sigurnost lijeka Humira ispitivane su u multicentričnom, randomiziranom, dvostruko slijepom kliničkom ispitivanju indukcijske terapije i terapije održavanja dozama ovisnim o tjelesnoj težini (&lt; 40 kg ili ≥ 40 kg) kod 192 pedijatrijska ispitanika starosti između (i uključujući) 6 i 17 godina sa umjerenom do teškom Crohnovom bolesti (engl. </w:t>
      </w:r>
      <w:r w:rsidRPr="003B242C">
        <w:rPr>
          <w:i/>
          <w:iCs/>
          <w:sz w:val="22"/>
          <w:szCs w:val="22"/>
          <w:lang w:val="sr-Latn-ME" w:eastAsia="bs-Latn-BA"/>
        </w:rPr>
        <w:t>Crohn's disease</w:t>
      </w:r>
      <w:r w:rsidRPr="003B242C">
        <w:rPr>
          <w:sz w:val="22"/>
          <w:szCs w:val="22"/>
          <w:lang w:val="sr-Latn-ME" w:eastAsia="bs-Latn-BA"/>
        </w:rPr>
        <w:t xml:space="preserve">, CD), definisanom rezultatom prema Indeksu aktivnosti Crohnove bolesti kod djece (engl. </w:t>
      </w:r>
      <w:r w:rsidRPr="003B242C">
        <w:rPr>
          <w:i/>
          <w:iCs/>
          <w:sz w:val="22"/>
          <w:szCs w:val="22"/>
          <w:lang w:val="sr-Latn-ME" w:eastAsia="bs-Latn-BA"/>
        </w:rPr>
        <w:t>Paediatric Crohn’s Disease Activity Index</w:t>
      </w:r>
      <w:r w:rsidRPr="003B242C">
        <w:rPr>
          <w:sz w:val="22"/>
          <w:szCs w:val="22"/>
          <w:lang w:val="sr-Latn-ME" w:eastAsia="bs-Latn-BA"/>
        </w:rPr>
        <w:t xml:space="preserve">, PCDAI) &gt;30. </w:t>
      </w:r>
      <w:r w:rsidR="004957EE" w:rsidRPr="003B242C">
        <w:rPr>
          <w:sz w:val="22"/>
          <w:szCs w:val="22"/>
          <w:lang w:val="sr-Latn-ME" w:eastAsia="bs-Latn-BA"/>
        </w:rPr>
        <w:t xml:space="preserve">Pacijenti </w:t>
      </w:r>
      <w:r w:rsidRPr="003B242C">
        <w:rPr>
          <w:sz w:val="22"/>
          <w:szCs w:val="22"/>
          <w:lang w:val="sr-Latn-ME" w:eastAsia="bs-Latn-BA"/>
        </w:rPr>
        <w:t>su bili pogodni za ispitivanje ako je ranije konvencionalno liječenje Crohnove bolesti bilo neuspješno (uključujući kortikosteroid i/ili imunomodulator). Učestvovati su mogli</w:t>
      </w:r>
      <w:r w:rsidRPr="003B242C">
        <w:rPr>
          <w:rFonts w:ascii="Calibri" w:eastAsia="Calibri" w:hAnsi="Calibri"/>
          <w:sz w:val="22"/>
          <w:szCs w:val="22"/>
          <w:lang w:val="sr-Latn-ME"/>
        </w:rPr>
        <w:t xml:space="preserve"> </w:t>
      </w:r>
      <w:r w:rsidRPr="003B242C">
        <w:rPr>
          <w:sz w:val="22"/>
          <w:szCs w:val="22"/>
          <w:lang w:val="sr-Latn-ME" w:eastAsia="bs-Latn-BA"/>
        </w:rPr>
        <w:t xml:space="preserve">i </w:t>
      </w:r>
      <w:r w:rsidR="004957EE" w:rsidRPr="003B242C">
        <w:rPr>
          <w:sz w:val="22"/>
          <w:szCs w:val="22"/>
          <w:lang w:val="sr-Latn-ME" w:eastAsia="bs-Latn-BA"/>
        </w:rPr>
        <w:t xml:space="preserve">pacijenti </w:t>
      </w:r>
      <w:r w:rsidRPr="003B242C">
        <w:rPr>
          <w:sz w:val="22"/>
          <w:szCs w:val="22"/>
          <w:lang w:val="sr-Latn-ME" w:eastAsia="bs-Latn-BA"/>
        </w:rPr>
        <w:t xml:space="preserve">koji su izgubili odgovor na prethodno liječenje infliksimabom ili koji ga nisu podnosili. </w:t>
      </w:r>
    </w:p>
    <w:p w14:paraId="627ED971" w14:textId="77777777" w:rsidR="00596C07" w:rsidRPr="003B242C" w:rsidRDefault="00596C07" w:rsidP="00596C07">
      <w:pPr>
        <w:tabs>
          <w:tab w:val="left" w:pos="1294"/>
        </w:tabs>
        <w:autoSpaceDE w:val="0"/>
        <w:spacing w:after="160"/>
        <w:jc w:val="both"/>
        <w:rPr>
          <w:sz w:val="22"/>
          <w:szCs w:val="22"/>
          <w:lang w:val="sr-Latn-ME" w:eastAsia="bs-Latn-BA"/>
        </w:rPr>
      </w:pPr>
      <w:r w:rsidRPr="003B242C">
        <w:rPr>
          <w:sz w:val="22"/>
          <w:szCs w:val="22"/>
          <w:lang w:val="sr-Latn-ME" w:eastAsia="bs-Latn-BA"/>
        </w:rPr>
        <w:t>Svi ispitanici su primali otvorenu indukcijsku terapiju u dozi određenoj prema njihovoj početnoj tjelesnoj težini: 160 mg u Sedmici 0 i 80 mg u Sedmici 2 za ispitanike tjelesne težine ≥ 40 kg, odnosno 80 mg i 40 mg za ispitanike tjelesne težine &lt; 40 kg.</w:t>
      </w:r>
    </w:p>
    <w:p w14:paraId="3768B1D2" w14:textId="0FFE68FB" w:rsidR="00596C07" w:rsidRPr="003B242C" w:rsidRDefault="00596C07" w:rsidP="00596C07">
      <w:pPr>
        <w:tabs>
          <w:tab w:val="left" w:pos="562"/>
        </w:tabs>
        <w:autoSpaceDE w:val="0"/>
        <w:spacing w:after="160"/>
        <w:jc w:val="both"/>
        <w:rPr>
          <w:sz w:val="22"/>
          <w:szCs w:val="22"/>
          <w:lang w:val="sr-Latn-ME" w:eastAsia="bs-Latn-BA"/>
        </w:rPr>
      </w:pPr>
      <w:r w:rsidRPr="003B242C">
        <w:rPr>
          <w:sz w:val="22"/>
          <w:szCs w:val="22"/>
          <w:lang w:val="sr-Latn-ME" w:eastAsia="bs-Latn-BA"/>
        </w:rPr>
        <w:t xml:space="preserve">U </w:t>
      </w:r>
      <w:r w:rsidR="004957EE" w:rsidRPr="003B242C">
        <w:rPr>
          <w:sz w:val="22"/>
          <w:szCs w:val="22"/>
          <w:lang w:val="sr-Latn-ME" w:eastAsia="bs-Latn-BA"/>
        </w:rPr>
        <w:t>4. nedjelji</w:t>
      </w:r>
      <w:r w:rsidRPr="003B242C">
        <w:rPr>
          <w:sz w:val="22"/>
          <w:szCs w:val="22"/>
          <w:lang w:val="sr-Latn-ME" w:eastAsia="bs-Latn-BA"/>
        </w:rPr>
        <w:t xml:space="preserve"> ispitanici su randomiz</w:t>
      </w:r>
      <w:r w:rsidR="004957EE" w:rsidRPr="003B242C">
        <w:rPr>
          <w:sz w:val="22"/>
          <w:szCs w:val="22"/>
          <w:lang w:val="sr-Latn-ME" w:eastAsia="bs-Latn-BA"/>
        </w:rPr>
        <w:t>ovani</w:t>
      </w:r>
      <w:r w:rsidRPr="003B242C">
        <w:rPr>
          <w:sz w:val="22"/>
          <w:szCs w:val="22"/>
          <w:lang w:val="sr-Latn-ME" w:eastAsia="bs-Latn-BA"/>
        </w:rPr>
        <w:t xml:space="preserve"> u o</w:t>
      </w:r>
      <w:r w:rsidR="004957EE" w:rsidRPr="003B242C">
        <w:rPr>
          <w:sz w:val="22"/>
          <w:szCs w:val="22"/>
          <w:lang w:val="sr-Latn-ME" w:eastAsia="bs-Latn-BA"/>
        </w:rPr>
        <w:t>dnosu</w:t>
      </w:r>
      <w:r w:rsidRPr="003B242C">
        <w:rPr>
          <w:sz w:val="22"/>
          <w:szCs w:val="22"/>
          <w:lang w:val="sr-Latn-ME" w:eastAsia="bs-Latn-BA"/>
        </w:rPr>
        <w:t xml:space="preserve"> 1:1 na osnovu njihove tjelesne težine u tom trenutku za liječenje niskom dozom ili standardnom dozom održavanja, kako je prikazano u Tabeli 15.</w:t>
      </w:r>
    </w:p>
    <w:p w14:paraId="467AA319" w14:textId="77777777" w:rsidR="00596C07" w:rsidRPr="003B242C" w:rsidRDefault="00596C07" w:rsidP="00596C07">
      <w:pPr>
        <w:tabs>
          <w:tab w:val="left" w:pos="562"/>
        </w:tabs>
        <w:autoSpaceDE w:val="0"/>
        <w:spacing w:after="160"/>
        <w:jc w:val="both"/>
        <w:rPr>
          <w:lang w:val="sr-Latn-ME" w:eastAsia="bs-Latn-BA"/>
        </w:rPr>
      </w:pPr>
    </w:p>
    <w:tbl>
      <w:tblPr>
        <w:tblW w:w="0" w:type="auto"/>
        <w:tblInd w:w="1881" w:type="dxa"/>
        <w:tblLayout w:type="fixed"/>
        <w:tblLook w:val="0000" w:firstRow="0" w:lastRow="0" w:firstColumn="0" w:lastColumn="0" w:noHBand="0" w:noVBand="0"/>
      </w:tblPr>
      <w:tblGrid>
        <w:gridCol w:w="1720"/>
        <w:gridCol w:w="1622"/>
        <w:gridCol w:w="1980"/>
      </w:tblGrid>
      <w:tr w:rsidR="00596C07" w:rsidRPr="004500D8" w14:paraId="65E3B9FD" w14:textId="77777777" w:rsidTr="00596C07">
        <w:trPr>
          <w:trHeight w:val="263"/>
        </w:trPr>
        <w:tc>
          <w:tcPr>
            <w:tcW w:w="5322" w:type="dxa"/>
            <w:gridSpan w:val="3"/>
            <w:tcBorders>
              <w:top w:val="single" w:sz="1" w:space="0" w:color="000000"/>
              <w:left w:val="single" w:sz="1" w:space="0" w:color="000000"/>
              <w:bottom w:val="single" w:sz="1" w:space="0" w:color="000000"/>
              <w:right w:val="single" w:sz="1" w:space="0" w:color="000000"/>
            </w:tcBorders>
            <w:shd w:val="clear" w:color="auto" w:fill="FFFFFF"/>
          </w:tcPr>
          <w:p w14:paraId="66C9C6FD" w14:textId="6C36EFB0" w:rsidR="00596C07" w:rsidRPr="003B242C" w:rsidRDefault="00596C07">
            <w:pPr>
              <w:keepNext/>
              <w:tabs>
                <w:tab w:val="left" w:pos="562"/>
              </w:tabs>
              <w:autoSpaceDE w:val="0"/>
              <w:spacing w:after="160"/>
              <w:jc w:val="center"/>
              <w:rPr>
                <w:sz w:val="22"/>
                <w:szCs w:val="22"/>
                <w:lang w:val="sr-Latn-ME" w:eastAsia="bs-Latn-BA"/>
              </w:rPr>
            </w:pPr>
            <w:r w:rsidRPr="003B242C">
              <w:rPr>
                <w:b/>
                <w:bCs/>
                <w:sz w:val="22"/>
                <w:szCs w:val="22"/>
                <w:lang w:val="sr-Latn-ME" w:eastAsia="bs-Latn-BA"/>
              </w:rPr>
              <w:t>Tabela 1</w:t>
            </w:r>
            <w:r w:rsidR="004957EE" w:rsidRPr="003B242C">
              <w:rPr>
                <w:b/>
                <w:bCs/>
                <w:sz w:val="22"/>
                <w:szCs w:val="22"/>
                <w:lang w:val="sr-Latn-ME" w:eastAsia="bs-Latn-BA"/>
              </w:rPr>
              <w:t xml:space="preserve">8. </w:t>
            </w:r>
            <w:r w:rsidRPr="003B242C">
              <w:rPr>
                <w:b/>
                <w:bCs/>
                <w:sz w:val="22"/>
                <w:szCs w:val="22"/>
                <w:lang w:val="sr-Latn-ME" w:eastAsia="bs-Latn-BA"/>
              </w:rPr>
              <w:t>Režim održavanja</w:t>
            </w:r>
          </w:p>
        </w:tc>
      </w:tr>
      <w:tr w:rsidR="00596C07" w:rsidRPr="004500D8" w14:paraId="5CDC16E8" w14:textId="77777777" w:rsidTr="00596C07">
        <w:trPr>
          <w:trHeight w:val="23"/>
        </w:trPr>
        <w:tc>
          <w:tcPr>
            <w:tcW w:w="1720" w:type="dxa"/>
            <w:tcBorders>
              <w:top w:val="single" w:sz="1" w:space="0" w:color="000000"/>
              <w:left w:val="single" w:sz="1" w:space="0" w:color="000000"/>
              <w:bottom w:val="single" w:sz="1" w:space="0" w:color="000000"/>
            </w:tcBorders>
            <w:shd w:val="clear" w:color="auto" w:fill="FFFFFF"/>
          </w:tcPr>
          <w:p w14:paraId="6C631632" w14:textId="77777777" w:rsidR="00596C07" w:rsidRPr="003B242C" w:rsidRDefault="00596C07" w:rsidP="00596C07">
            <w:pPr>
              <w:keepNext/>
              <w:tabs>
                <w:tab w:val="left" w:pos="562"/>
              </w:tabs>
              <w:autoSpaceDE w:val="0"/>
              <w:spacing w:after="160"/>
              <w:rPr>
                <w:b/>
                <w:bCs/>
                <w:sz w:val="22"/>
                <w:szCs w:val="22"/>
                <w:lang w:val="sr-Latn-ME" w:eastAsia="bs-Latn-BA"/>
              </w:rPr>
            </w:pPr>
            <w:r w:rsidRPr="003B242C">
              <w:rPr>
                <w:b/>
                <w:bCs/>
                <w:sz w:val="22"/>
                <w:szCs w:val="22"/>
                <w:lang w:val="sr-Latn-ME" w:eastAsia="bs-Latn-BA"/>
              </w:rPr>
              <w:t>Tjelesna težina bolesnika</w:t>
            </w:r>
          </w:p>
        </w:tc>
        <w:tc>
          <w:tcPr>
            <w:tcW w:w="1622" w:type="dxa"/>
            <w:tcBorders>
              <w:top w:val="single" w:sz="1" w:space="0" w:color="000000"/>
              <w:left w:val="single" w:sz="1" w:space="0" w:color="000000"/>
              <w:bottom w:val="single" w:sz="1" w:space="0" w:color="000000"/>
            </w:tcBorders>
            <w:shd w:val="clear" w:color="auto" w:fill="FFFFFF"/>
          </w:tcPr>
          <w:p w14:paraId="30575C99" w14:textId="77777777" w:rsidR="00596C07" w:rsidRPr="003B242C" w:rsidRDefault="00596C07" w:rsidP="00596C07">
            <w:pPr>
              <w:keepNext/>
              <w:tabs>
                <w:tab w:val="left" w:pos="562"/>
              </w:tabs>
              <w:autoSpaceDE w:val="0"/>
              <w:spacing w:after="160"/>
              <w:rPr>
                <w:b/>
                <w:bCs/>
                <w:sz w:val="22"/>
                <w:szCs w:val="22"/>
                <w:lang w:val="sr-Latn-ME" w:eastAsia="bs-Latn-BA"/>
              </w:rPr>
            </w:pPr>
            <w:r w:rsidRPr="003B242C">
              <w:rPr>
                <w:b/>
                <w:bCs/>
                <w:sz w:val="22"/>
                <w:szCs w:val="22"/>
                <w:lang w:val="sr-Latn-ME" w:eastAsia="bs-Latn-BA"/>
              </w:rPr>
              <w:t>Niska doza</w:t>
            </w:r>
          </w:p>
        </w:tc>
        <w:tc>
          <w:tcPr>
            <w:tcW w:w="1980" w:type="dxa"/>
            <w:tcBorders>
              <w:top w:val="single" w:sz="1" w:space="0" w:color="000000"/>
              <w:left w:val="single" w:sz="1" w:space="0" w:color="000000"/>
              <w:bottom w:val="single" w:sz="1" w:space="0" w:color="000000"/>
              <w:right w:val="single" w:sz="1" w:space="0" w:color="000000"/>
            </w:tcBorders>
            <w:shd w:val="clear" w:color="auto" w:fill="FFFFFF"/>
          </w:tcPr>
          <w:p w14:paraId="22882ABB" w14:textId="77777777" w:rsidR="00596C07" w:rsidRPr="003B242C" w:rsidRDefault="00596C07" w:rsidP="00596C07">
            <w:pPr>
              <w:keepNext/>
              <w:tabs>
                <w:tab w:val="left" w:pos="562"/>
              </w:tabs>
              <w:autoSpaceDE w:val="0"/>
              <w:spacing w:after="160"/>
              <w:rPr>
                <w:sz w:val="22"/>
                <w:szCs w:val="22"/>
                <w:lang w:val="sr-Latn-ME" w:eastAsia="bs-Latn-BA"/>
              </w:rPr>
            </w:pPr>
            <w:r w:rsidRPr="003B242C">
              <w:rPr>
                <w:b/>
                <w:bCs/>
                <w:sz w:val="22"/>
                <w:szCs w:val="22"/>
                <w:lang w:val="sr-Latn-ME" w:eastAsia="bs-Latn-BA"/>
              </w:rPr>
              <w:t>Standardna doza</w:t>
            </w:r>
          </w:p>
        </w:tc>
      </w:tr>
      <w:tr w:rsidR="00596C07" w:rsidRPr="004500D8" w14:paraId="6C48A5D8" w14:textId="77777777" w:rsidTr="00596C07">
        <w:trPr>
          <w:trHeight w:val="23"/>
        </w:trPr>
        <w:tc>
          <w:tcPr>
            <w:tcW w:w="1720" w:type="dxa"/>
            <w:tcBorders>
              <w:top w:val="single" w:sz="1" w:space="0" w:color="000000"/>
              <w:left w:val="single" w:sz="1" w:space="0" w:color="000000"/>
              <w:bottom w:val="single" w:sz="1" w:space="0" w:color="000000"/>
            </w:tcBorders>
            <w:shd w:val="clear" w:color="auto" w:fill="FFFFFF"/>
          </w:tcPr>
          <w:p w14:paraId="0267AD5C" w14:textId="77777777" w:rsidR="00596C07" w:rsidRPr="003B242C" w:rsidRDefault="00596C07" w:rsidP="00596C07">
            <w:pPr>
              <w:keepNext/>
              <w:tabs>
                <w:tab w:val="left" w:pos="562"/>
              </w:tabs>
              <w:autoSpaceDE w:val="0"/>
              <w:spacing w:after="160"/>
              <w:rPr>
                <w:sz w:val="22"/>
                <w:szCs w:val="22"/>
                <w:lang w:val="sr-Latn-ME" w:eastAsia="bs-Latn-BA"/>
              </w:rPr>
            </w:pPr>
            <w:r w:rsidRPr="003B242C">
              <w:rPr>
                <w:sz w:val="22"/>
                <w:szCs w:val="22"/>
                <w:lang w:val="sr-Latn-ME" w:eastAsia="bs-Latn-BA"/>
              </w:rPr>
              <w:t>&lt; 40 kg</w:t>
            </w:r>
          </w:p>
        </w:tc>
        <w:tc>
          <w:tcPr>
            <w:tcW w:w="1622" w:type="dxa"/>
            <w:tcBorders>
              <w:top w:val="single" w:sz="1" w:space="0" w:color="000000"/>
              <w:left w:val="single" w:sz="1" w:space="0" w:color="000000"/>
              <w:bottom w:val="single" w:sz="1" w:space="0" w:color="000000"/>
            </w:tcBorders>
            <w:shd w:val="clear" w:color="auto" w:fill="FFFFFF"/>
          </w:tcPr>
          <w:p w14:paraId="5E724530" w14:textId="12961E50" w:rsidR="00596C07" w:rsidRPr="003B242C" w:rsidRDefault="00596C07">
            <w:pPr>
              <w:keepNext/>
              <w:tabs>
                <w:tab w:val="left" w:pos="562"/>
              </w:tabs>
              <w:autoSpaceDE w:val="0"/>
              <w:spacing w:after="160"/>
              <w:rPr>
                <w:sz w:val="22"/>
                <w:szCs w:val="22"/>
                <w:lang w:val="sr-Latn-ME" w:eastAsia="bs-Latn-BA"/>
              </w:rPr>
            </w:pPr>
            <w:r w:rsidRPr="003B242C">
              <w:rPr>
                <w:sz w:val="22"/>
                <w:szCs w:val="22"/>
                <w:lang w:val="sr-Latn-ME" w:eastAsia="bs-Latn-BA"/>
              </w:rPr>
              <w:t xml:space="preserve">10 mg svake druge </w:t>
            </w:r>
            <w:r w:rsidR="004957EE" w:rsidRPr="003B242C">
              <w:rPr>
                <w:sz w:val="22"/>
                <w:szCs w:val="22"/>
                <w:lang w:val="sr-Latn-ME" w:eastAsia="bs-Latn-BA"/>
              </w:rPr>
              <w:t>nedjelje</w:t>
            </w:r>
          </w:p>
        </w:tc>
        <w:tc>
          <w:tcPr>
            <w:tcW w:w="1980" w:type="dxa"/>
            <w:tcBorders>
              <w:top w:val="single" w:sz="1" w:space="0" w:color="000000"/>
              <w:left w:val="single" w:sz="1" w:space="0" w:color="000000"/>
              <w:bottom w:val="single" w:sz="1" w:space="0" w:color="000000"/>
              <w:right w:val="single" w:sz="1" w:space="0" w:color="000000"/>
            </w:tcBorders>
            <w:shd w:val="clear" w:color="auto" w:fill="FFFFFF"/>
          </w:tcPr>
          <w:p w14:paraId="60D52711" w14:textId="2415A1C8" w:rsidR="00596C07" w:rsidRPr="003B242C" w:rsidRDefault="00596C07">
            <w:pPr>
              <w:keepNext/>
              <w:tabs>
                <w:tab w:val="left" w:pos="562"/>
              </w:tabs>
              <w:autoSpaceDE w:val="0"/>
              <w:spacing w:after="160"/>
              <w:rPr>
                <w:sz w:val="22"/>
                <w:szCs w:val="22"/>
                <w:lang w:val="sr-Latn-ME" w:eastAsia="bs-Latn-BA"/>
              </w:rPr>
            </w:pPr>
            <w:r w:rsidRPr="003B242C">
              <w:rPr>
                <w:sz w:val="22"/>
                <w:szCs w:val="22"/>
                <w:lang w:val="sr-Latn-ME" w:eastAsia="bs-Latn-BA"/>
              </w:rPr>
              <w:t xml:space="preserve">20 mg svake druge </w:t>
            </w:r>
            <w:r w:rsidR="004957EE" w:rsidRPr="003B242C">
              <w:rPr>
                <w:sz w:val="22"/>
                <w:szCs w:val="22"/>
                <w:lang w:val="sr-Latn-ME" w:eastAsia="bs-Latn-BA"/>
              </w:rPr>
              <w:t>nedjelje</w:t>
            </w:r>
          </w:p>
        </w:tc>
      </w:tr>
      <w:tr w:rsidR="00596C07" w:rsidRPr="004500D8" w14:paraId="6F152FB1" w14:textId="77777777" w:rsidTr="00596C07">
        <w:trPr>
          <w:trHeight w:val="23"/>
        </w:trPr>
        <w:tc>
          <w:tcPr>
            <w:tcW w:w="1720" w:type="dxa"/>
            <w:tcBorders>
              <w:top w:val="single" w:sz="1" w:space="0" w:color="000000"/>
              <w:left w:val="single" w:sz="1" w:space="0" w:color="000000"/>
              <w:bottom w:val="single" w:sz="1" w:space="0" w:color="000000"/>
            </w:tcBorders>
            <w:shd w:val="clear" w:color="auto" w:fill="FFFFFF"/>
          </w:tcPr>
          <w:p w14:paraId="3A0F342C" w14:textId="77777777" w:rsidR="00596C07" w:rsidRPr="003B242C" w:rsidRDefault="00596C07" w:rsidP="00596C07">
            <w:pPr>
              <w:tabs>
                <w:tab w:val="left" w:pos="562"/>
              </w:tabs>
              <w:autoSpaceDE w:val="0"/>
              <w:spacing w:after="160"/>
              <w:rPr>
                <w:sz w:val="22"/>
                <w:szCs w:val="22"/>
                <w:lang w:val="sr-Latn-ME" w:eastAsia="bs-Latn-BA"/>
              </w:rPr>
            </w:pPr>
            <w:r w:rsidRPr="003B242C">
              <w:rPr>
                <w:sz w:val="22"/>
                <w:szCs w:val="22"/>
                <w:lang w:val="sr-Latn-ME" w:eastAsia="bs-Latn-BA"/>
              </w:rPr>
              <w:t>≥ 40 kg</w:t>
            </w:r>
          </w:p>
        </w:tc>
        <w:tc>
          <w:tcPr>
            <w:tcW w:w="1622" w:type="dxa"/>
            <w:tcBorders>
              <w:top w:val="single" w:sz="1" w:space="0" w:color="000000"/>
              <w:left w:val="single" w:sz="1" w:space="0" w:color="000000"/>
              <w:bottom w:val="single" w:sz="1" w:space="0" w:color="000000"/>
            </w:tcBorders>
            <w:shd w:val="clear" w:color="auto" w:fill="FFFFFF"/>
          </w:tcPr>
          <w:p w14:paraId="74515A9E" w14:textId="6CEC2A67" w:rsidR="00596C07" w:rsidRPr="003B242C" w:rsidRDefault="00596C07">
            <w:pPr>
              <w:tabs>
                <w:tab w:val="left" w:pos="562"/>
              </w:tabs>
              <w:autoSpaceDE w:val="0"/>
              <w:spacing w:after="160"/>
              <w:rPr>
                <w:sz w:val="22"/>
                <w:szCs w:val="22"/>
                <w:lang w:val="sr-Latn-ME" w:eastAsia="bs-Latn-BA"/>
              </w:rPr>
            </w:pPr>
            <w:r w:rsidRPr="003B242C">
              <w:rPr>
                <w:sz w:val="22"/>
                <w:szCs w:val="22"/>
                <w:lang w:val="sr-Latn-ME" w:eastAsia="bs-Latn-BA"/>
              </w:rPr>
              <w:t xml:space="preserve">20 mg svake druge </w:t>
            </w:r>
            <w:r w:rsidR="004957EE" w:rsidRPr="003B242C">
              <w:rPr>
                <w:sz w:val="22"/>
                <w:szCs w:val="22"/>
                <w:lang w:val="sr-Latn-ME" w:eastAsia="bs-Latn-BA"/>
              </w:rPr>
              <w:t>nedjelje</w:t>
            </w:r>
          </w:p>
        </w:tc>
        <w:tc>
          <w:tcPr>
            <w:tcW w:w="1980" w:type="dxa"/>
            <w:tcBorders>
              <w:top w:val="single" w:sz="1" w:space="0" w:color="000000"/>
              <w:left w:val="single" w:sz="1" w:space="0" w:color="000000"/>
              <w:bottom w:val="single" w:sz="1" w:space="0" w:color="000000"/>
              <w:right w:val="single" w:sz="1" w:space="0" w:color="000000"/>
            </w:tcBorders>
            <w:shd w:val="clear" w:color="auto" w:fill="FFFFFF"/>
          </w:tcPr>
          <w:p w14:paraId="700E490B" w14:textId="3B23ACD3" w:rsidR="00596C07" w:rsidRPr="003B242C" w:rsidRDefault="00596C07">
            <w:pPr>
              <w:tabs>
                <w:tab w:val="left" w:pos="562"/>
              </w:tabs>
              <w:autoSpaceDE w:val="0"/>
              <w:spacing w:after="160"/>
              <w:rPr>
                <w:sz w:val="22"/>
                <w:szCs w:val="22"/>
                <w:lang w:val="sr-Latn-ME" w:eastAsia="bs-Latn-BA"/>
              </w:rPr>
            </w:pPr>
            <w:r w:rsidRPr="003B242C">
              <w:rPr>
                <w:sz w:val="22"/>
                <w:szCs w:val="22"/>
                <w:lang w:val="sr-Latn-ME" w:eastAsia="bs-Latn-BA"/>
              </w:rPr>
              <w:t xml:space="preserve">40 mg svake druge </w:t>
            </w:r>
            <w:r w:rsidR="004957EE" w:rsidRPr="003B242C">
              <w:rPr>
                <w:sz w:val="22"/>
                <w:szCs w:val="22"/>
                <w:lang w:val="sr-Latn-ME" w:eastAsia="bs-Latn-BA"/>
              </w:rPr>
              <w:t>nedjelje</w:t>
            </w:r>
          </w:p>
        </w:tc>
      </w:tr>
    </w:tbl>
    <w:p w14:paraId="60BA9477" w14:textId="77777777" w:rsidR="004500D8" w:rsidRPr="003B242C" w:rsidRDefault="004500D8" w:rsidP="00596C07">
      <w:pPr>
        <w:tabs>
          <w:tab w:val="left" w:pos="562"/>
        </w:tabs>
        <w:autoSpaceDE w:val="0"/>
        <w:spacing w:after="160"/>
        <w:rPr>
          <w:sz w:val="22"/>
          <w:szCs w:val="22"/>
          <w:lang w:val="sr-Latn-ME" w:eastAsia="bs-Latn-BA"/>
        </w:rPr>
      </w:pPr>
    </w:p>
    <w:p w14:paraId="40E8D04D" w14:textId="77777777" w:rsidR="00596C07" w:rsidRPr="003B242C" w:rsidRDefault="00596C07" w:rsidP="003B242C">
      <w:pPr>
        <w:tabs>
          <w:tab w:val="left" w:pos="562"/>
        </w:tabs>
        <w:autoSpaceDE w:val="0"/>
        <w:spacing w:after="160"/>
        <w:jc w:val="both"/>
        <w:rPr>
          <w:sz w:val="22"/>
          <w:szCs w:val="22"/>
          <w:lang w:val="sr-Latn-ME" w:eastAsia="bs-Latn-BA"/>
        </w:rPr>
      </w:pPr>
      <w:r w:rsidRPr="003B242C">
        <w:rPr>
          <w:i/>
          <w:iCs/>
          <w:sz w:val="22"/>
          <w:szCs w:val="22"/>
          <w:u w:val="single"/>
          <w:lang w:val="sr-Latn-ME" w:eastAsia="bs-Latn-BA"/>
        </w:rPr>
        <w:t>Rezultati efikasnosti</w:t>
      </w:r>
    </w:p>
    <w:p w14:paraId="3E8C0186" w14:textId="62A9FAC9" w:rsidR="00596C07" w:rsidRPr="003B242C" w:rsidRDefault="00596C07">
      <w:pPr>
        <w:tabs>
          <w:tab w:val="left" w:pos="562"/>
        </w:tabs>
        <w:autoSpaceDE w:val="0"/>
        <w:spacing w:after="160"/>
        <w:jc w:val="both"/>
        <w:rPr>
          <w:sz w:val="22"/>
          <w:szCs w:val="22"/>
          <w:lang w:val="sr-Latn-ME" w:eastAsia="bs-Latn-BA"/>
        </w:rPr>
      </w:pPr>
      <w:r w:rsidRPr="003B242C">
        <w:rPr>
          <w:sz w:val="22"/>
          <w:szCs w:val="22"/>
          <w:lang w:val="sr-Latn-ME" w:eastAsia="bs-Latn-BA"/>
        </w:rPr>
        <w:t xml:space="preserve">Primarna mjera ishoda ispitivanja bila je klinička remisija u </w:t>
      </w:r>
      <w:r w:rsidR="007519E5" w:rsidRPr="003B242C">
        <w:rPr>
          <w:sz w:val="22"/>
          <w:szCs w:val="22"/>
          <w:lang w:val="sr-Latn-ME" w:eastAsia="bs-Latn-BA"/>
        </w:rPr>
        <w:t>26. nedjelji</w:t>
      </w:r>
      <w:r w:rsidRPr="003B242C">
        <w:rPr>
          <w:sz w:val="22"/>
          <w:szCs w:val="22"/>
          <w:lang w:val="sr-Latn-ME" w:eastAsia="bs-Latn-BA"/>
        </w:rPr>
        <w:t>, definisana kao PCDAI rezultat ≤10.</w:t>
      </w:r>
    </w:p>
    <w:p w14:paraId="1C234C92" w14:textId="55E3489E" w:rsidR="00596C07" w:rsidRPr="003B242C" w:rsidRDefault="00596C07">
      <w:pPr>
        <w:tabs>
          <w:tab w:val="left" w:pos="562"/>
        </w:tabs>
        <w:autoSpaceDE w:val="0"/>
        <w:spacing w:after="160"/>
        <w:jc w:val="both"/>
        <w:rPr>
          <w:sz w:val="22"/>
          <w:szCs w:val="22"/>
          <w:lang w:val="sr-Latn-ME" w:eastAsia="bs-Latn-BA"/>
        </w:rPr>
      </w:pPr>
      <w:r w:rsidRPr="003B242C">
        <w:rPr>
          <w:sz w:val="22"/>
          <w:szCs w:val="22"/>
          <w:lang w:val="sr-Latn-ME" w:eastAsia="bs-Latn-BA"/>
        </w:rPr>
        <w:t>Stope kliničke remisije i kliničkog odgovora (definisano kao smanjenje PCDAI rezultata za barem 15 bodova od početne vrijednosti) prikazane su u Tabeli 1</w:t>
      </w:r>
      <w:r w:rsidR="004957EE" w:rsidRPr="003B242C">
        <w:rPr>
          <w:sz w:val="22"/>
          <w:szCs w:val="22"/>
          <w:lang w:val="sr-Latn-ME" w:eastAsia="bs-Latn-BA"/>
        </w:rPr>
        <w:t>9</w:t>
      </w:r>
      <w:r w:rsidRPr="003B242C">
        <w:rPr>
          <w:sz w:val="22"/>
          <w:szCs w:val="22"/>
          <w:lang w:val="sr-Latn-ME" w:eastAsia="bs-Latn-BA"/>
        </w:rPr>
        <w:t xml:space="preserve">.  Stope prestanka uzimanja kortikosteroida ili imunomodulatora prikazane su u Tabeli </w:t>
      </w:r>
      <w:r w:rsidR="004957EE" w:rsidRPr="003B242C">
        <w:rPr>
          <w:sz w:val="22"/>
          <w:szCs w:val="22"/>
          <w:lang w:val="sr-Latn-ME" w:eastAsia="bs-Latn-BA"/>
        </w:rPr>
        <w:t>20</w:t>
      </w:r>
      <w:r w:rsidRPr="003B242C">
        <w:rPr>
          <w:sz w:val="22"/>
          <w:szCs w:val="22"/>
          <w:lang w:val="sr-Latn-ME" w:eastAsia="bs-Latn-BA"/>
        </w:rPr>
        <w:t>.</w:t>
      </w:r>
    </w:p>
    <w:p w14:paraId="113D3D2E" w14:textId="77777777" w:rsidR="00596C07" w:rsidRPr="003B242C" w:rsidRDefault="00596C07" w:rsidP="00596C07">
      <w:pPr>
        <w:tabs>
          <w:tab w:val="left" w:pos="562"/>
        </w:tabs>
        <w:autoSpaceDE w:val="0"/>
        <w:spacing w:after="160"/>
        <w:jc w:val="both"/>
        <w:rPr>
          <w:lang w:val="sr-Latn-ME" w:eastAsia="bs-Latn-BA"/>
        </w:rPr>
      </w:pPr>
    </w:p>
    <w:tbl>
      <w:tblPr>
        <w:tblW w:w="0" w:type="auto"/>
        <w:tblInd w:w="1153" w:type="dxa"/>
        <w:tblLayout w:type="fixed"/>
        <w:tblCellMar>
          <w:left w:w="28" w:type="dxa"/>
          <w:right w:w="28" w:type="dxa"/>
        </w:tblCellMar>
        <w:tblLook w:val="0000" w:firstRow="0" w:lastRow="0" w:firstColumn="0" w:lastColumn="0" w:noHBand="0" w:noVBand="0"/>
      </w:tblPr>
      <w:tblGrid>
        <w:gridCol w:w="2321"/>
        <w:gridCol w:w="1614"/>
        <w:gridCol w:w="1591"/>
        <w:gridCol w:w="1257"/>
      </w:tblGrid>
      <w:tr w:rsidR="00596C07" w:rsidRPr="004500D8" w14:paraId="6481F390" w14:textId="77777777" w:rsidTr="00596C07">
        <w:trPr>
          <w:trHeight w:val="23"/>
        </w:trPr>
        <w:tc>
          <w:tcPr>
            <w:tcW w:w="6783" w:type="dxa"/>
            <w:gridSpan w:val="4"/>
            <w:tcBorders>
              <w:top w:val="single" w:sz="1" w:space="0" w:color="000000"/>
              <w:left w:val="single" w:sz="1" w:space="0" w:color="000000"/>
              <w:bottom w:val="single" w:sz="1" w:space="0" w:color="000000"/>
              <w:right w:val="single" w:sz="1" w:space="0" w:color="000000"/>
            </w:tcBorders>
            <w:shd w:val="clear" w:color="auto" w:fill="FFFFFF"/>
          </w:tcPr>
          <w:p w14:paraId="54734098" w14:textId="7171C9CB" w:rsidR="00596C07" w:rsidRPr="003B242C" w:rsidRDefault="00596C07">
            <w:pPr>
              <w:keepNext/>
              <w:tabs>
                <w:tab w:val="left" w:pos="-878"/>
                <w:tab w:val="left" w:pos="562"/>
              </w:tabs>
              <w:autoSpaceDE w:val="0"/>
              <w:spacing w:after="160"/>
              <w:ind w:left="15"/>
              <w:jc w:val="center"/>
              <w:rPr>
                <w:sz w:val="22"/>
                <w:szCs w:val="22"/>
                <w:lang w:val="sr-Latn-ME" w:eastAsia="bs-Latn-BA"/>
              </w:rPr>
            </w:pPr>
            <w:r w:rsidRPr="003B242C">
              <w:rPr>
                <w:b/>
                <w:bCs/>
                <w:sz w:val="22"/>
                <w:szCs w:val="22"/>
                <w:lang w:val="sr-Latn-ME" w:eastAsia="bs-Latn-BA"/>
              </w:rPr>
              <w:lastRenderedPageBreak/>
              <w:t>Tabela 1</w:t>
            </w:r>
            <w:r w:rsidR="004957EE" w:rsidRPr="003B242C">
              <w:rPr>
                <w:b/>
                <w:bCs/>
                <w:sz w:val="22"/>
                <w:szCs w:val="22"/>
                <w:lang w:val="sr-Latn-ME" w:eastAsia="bs-Latn-BA"/>
              </w:rPr>
              <w:t xml:space="preserve">9. </w:t>
            </w:r>
            <w:r w:rsidRPr="003B242C">
              <w:rPr>
                <w:b/>
                <w:bCs/>
                <w:sz w:val="22"/>
                <w:szCs w:val="22"/>
                <w:lang w:val="sr-Latn-ME" w:eastAsia="bs-Latn-BA"/>
              </w:rPr>
              <w:t>Ispitivanje Crohnove bolesti kod djece</w:t>
            </w:r>
            <w:r w:rsidR="004957EE" w:rsidRPr="003B242C">
              <w:rPr>
                <w:b/>
                <w:bCs/>
                <w:sz w:val="22"/>
                <w:szCs w:val="22"/>
                <w:lang w:val="sr-Latn-ME" w:eastAsia="bs-Latn-BA"/>
              </w:rPr>
              <w:t xml:space="preserve"> </w:t>
            </w:r>
            <w:r w:rsidRPr="003B242C">
              <w:rPr>
                <w:b/>
                <w:bCs/>
                <w:sz w:val="22"/>
                <w:szCs w:val="22"/>
                <w:lang w:val="sr-Latn-ME" w:eastAsia="bs-Latn-BA"/>
              </w:rPr>
              <w:t>PCDAI klinička remisija i odgovor</w:t>
            </w:r>
          </w:p>
        </w:tc>
      </w:tr>
      <w:tr w:rsidR="00596C07" w:rsidRPr="004500D8" w14:paraId="46216A6D" w14:textId="77777777" w:rsidTr="00596C07">
        <w:trPr>
          <w:trHeight w:val="23"/>
        </w:trPr>
        <w:tc>
          <w:tcPr>
            <w:tcW w:w="2321" w:type="dxa"/>
            <w:tcBorders>
              <w:top w:val="single" w:sz="1" w:space="0" w:color="000000"/>
              <w:left w:val="single" w:sz="1" w:space="0" w:color="000000"/>
              <w:bottom w:val="single" w:sz="1" w:space="0" w:color="000000"/>
            </w:tcBorders>
            <w:shd w:val="clear" w:color="auto" w:fill="FFFFFF"/>
          </w:tcPr>
          <w:p w14:paraId="6869CE2D" w14:textId="77777777" w:rsidR="00596C07" w:rsidRPr="003B242C" w:rsidRDefault="00596C07" w:rsidP="00596C07">
            <w:pPr>
              <w:keepNext/>
              <w:keepLines/>
              <w:tabs>
                <w:tab w:val="left" w:pos="-1080"/>
                <w:tab w:val="left" w:pos="562"/>
              </w:tabs>
              <w:autoSpaceDE w:val="0"/>
              <w:snapToGrid w:val="0"/>
              <w:spacing w:after="160"/>
              <w:ind w:left="15"/>
              <w:jc w:val="center"/>
              <w:rPr>
                <w:rFonts w:eastAsia="Calibri"/>
                <w:sz w:val="22"/>
                <w:szCs w:val="22"/>
                <w:lang w:val="sr-Latn-ME" w:eastAsia="bs-Latn-BA"/>
              </w:rPr>
            </w:pPr>
          </w:p>
        </w:tc>
        <w:tc>
          <w:tcPr>
            <w:tcW w:w="1614" w:type="dxa"/>
            <w:tcBorders>
              <w:top w:val="single" w:sz="1" w:space="0" w:color="000000"/>
              <w:left w:val="single" w:sz="1" w:space="0" w:color="000000"/>
              <w:bottom w:val="single" w:sz="1" w:space="0" w:color="000000"/>
            </w:tcBorders>
            <w:shd w:val="clear" w:color="auto" w:fill="FFFFFF"/>
          </w:tcPr>
          <w:p w14:paraId="3E177FA5" w14:textId="77777777" w:rsidR="00596C07" w:rsidRPr="003B242C" w:rsidRDefault="00596C07" w:rsidP="00596C07">
            <w:pPr>
              <w:keepNext/>
              <w:keepLines/>
              <w:tabs>
                <w:tab w:val="left" w:pos="-1080"/>
                <w:tab w:val="left" w:pos="562"/>
              </w:tabs>
              <w:autoSpaceDE w:val="0"/>
              <w:spacing w:after="160"/>
              <w:ind w:left="15"/>
              <w:jc w:val="center"/>
              <w:rPr>
                <w:b/>
                <w:bCs/>
                <w:sz w:val="22"/>
                <w:szCs w:val="22"/>
                <w:lang w:val="sr-Latn-ME" w:eastAsia="bs-Latn-BA"/>
              </w:rPr>
            </w:pPr>
            <w:r w:rsidRPr="003B242C">
              <w:rPr>
                <w:b/>
                <w:bCs/>
                <w:sz w:val="22"/>
                <w:szCs w:val="22"/>
                <w:lang w:val="sr-Latn-ME" w:eastAsia="bs-Latn-BA"/>
              </w:rPr>
              <w:t>Standardna doza</w:t>
            </w:r>
          </w:p>
          <w:p w14:paraId="2688BAFA" w14:textId="35575587" w:rsidR="00596C07" w:rsidRPr="003B242C" w:rsidRDefault="00596C07" w:rsidP="00596C07">
            <w:pPr>
              <w:keepNext/>
              <w:keepLines/>
              <w:tabs>
                <w:tab w:val="left" w:pos="-1080"/>
                <w:tab w:val="left" w:pos="562"/>
              </w:tabs>
              <w:autoSpaceDE w:val="0"/>
              <w:spacing w:after="160"/>
              <w:ind w:left="15"/>
              <w:jc w:val="center"/>
              <w:rPr>
                <w:b/>
                <w:bCs/>
                <w:sz w:val="22"/>
                <w:szCs w:val="22"/>
                <w:lang w:val="sr-Latn-ME" w:eastAsia="bs-Latn-BA"/>
              </w:rPr>
            </w:pPr>
            <w:r w:rsidRPr="003B242C">
              <w:rPr>
                <w:b/>
                <w:bCs/>
                <w:sz w:val="22"/>
                <w:szCs w:val="22"/>
                <w:lang w:val="sr-Latn-ME" w:eastAsia="bs-Latn-BA"/>
              </w:rPr>
              <w:t xml:space="preserve">40/20 mg svake druge </w:t>
            </w:r>
            <w:r w:rsidR="004957EE" w:rsidRPr="003B242C">
              <w:rPr>
                <w:b/>
                <w:bCs/>
                <w:sz w:val="22"/>
                <w:szCs w:val="22"/>
                <w:lang w:val="sr-Latn-ME" w:eastAsia="bs-Latn-BA"/>
              </w:rPr>
              <w:t xml:space="preserve">nedjelje </w:t>
            </w:r>
          </w:p>
          <w:p w14:paraId="6679E115" w14:textId="77777777" w:rsidR="00596C07" w:rsidRPr="003B242C" w:rsidRDefault="00596C07" w:rsidP="00596C07">
            <w:pPr>
              <w:keepNext/>
              <w:keepLines/>
              <w:tabs>
                <w:tab w:val="left" w:pos="-1080"/>
                <w:tab w:val="left" w:pos="562"/>
              </w:tabs>
              <w:autoSpaceDE w:val="0"/>
              <w:spacing w:after="160"/>
              <w:ind w:left="15"/>
              <w:jc w:val="center"/>
              <w:rPr>
                <w:b/>
                <w:bCs/>
                <w:sz w:val="22"/>
                <w:szCs w:val="22"/>
                <w:lang w:val="sr-Latn-ME" w:eastAsia="bs-Latn-BA"/>
              </w:rPr>
            </w:pPr>
            <w:r w:rsidRPr="003B242C">
              <w:rPr>
                <w:b/>
                <w:bCs/>
                <w:sz w:val="22"/>
                <w:szCs w:val="22"/>
                <w:lang w:val="sr-Latn-ME" w:eastAsia="bs-Latn-BA"/>
              </w:rPr>
              <w:t>N = 93</w:t>
            </w:r>
          </w:p>
        </w:tc>
        <w:tc>
          <w:tcPr>
            <w:tcW w:w="1591" w:type="dxa"/>
            <w:tcBorders>
              <w:top w:val="single" w:sz="1" w:space="0" w:color="000000"/>
              <w:left w:val="single" w:sz="1" w:space="0" w:color="000000"/>
              <w:bottom w:val="single" w:sz="1" w:space="0" w:color="000000"/>
            </w:tcBorders>
            <w:shd w:val="clear" w:color="auto" w:fill="FFFFFF"/>
          </w:tcPr>
          <w:p w14:paraId="6CBCE1C8" w14:textId="77777777" w:rsidR="00596C07" w:rsidRPr="003B242C" w:rsidRDefault="00596C07" w:rsidP="00596C07">
            <w:pPr>
              <w:keepNext/>
              <w:keepLines/>
              <w:tabs>
                <w:tab w:val="left" w:pos="-1080"/>
                <w:tab w:val="left" w:pos="562"/>
              </w:tabs>
              <w:autoSpaceDE w:val="0"/>
              <w:spacing w:after="160"/>
              <w:ind w:left="15"/>
              <w:jc w:val="center"/>
              <w:rPr>
                <w:b/>
                <w:bCs/>
                <w:sz w:val="22"/>
                <w:szCs w:val="22"/>
                <w:lang w:val="sr-Latn-ME" w:eastAsia="bs-Latn-BA"/>
              </w:rPr>
            </w:pPr>
            <w:r w:rsidRPr="003B242C">
              <w:rPr>
                <w:b/>
                <w:bCs/>
                <w:sz w:val="22"/>
                <w:szCs w:val="22"/>
                <w:lang w:val="sr-Latn-ME" w:eastAsia="bs-Latn-BA"/>
              </w:rPr>
              <w:t>Niska doza</w:t>
            </w:r>
          </w:p>
          <w:p w14:paraId="252E98DD" w14:textId="7278DB5B" w:rsidR="00596C07" w:rsidRPr="003B242C" w:rsidRDefault="00596C07" w:rsidP="00596C07">
            <w:pPr>
              <w:keepNext/>
              <w:keepLines/>
              <w:tabs>
                <w:tab w:val="left" w:pos="-1080"/>
                <w:tab w:val="left" w:pos="562"/>
              </w:tabs>
              <w:autoSpaceDE w:val="0"/>
              <w:spacing w:after="160"/>
              <w:ind w:left="15"/>
              <w:jc w:val="center"/>
              <w:rPr>
                <w:b/>
                <w:bCs/>
                <w:sz w:val="22"/>
                <w:szCs w:val="22"/>
                <w:lang w:val="sr-Latn-ME" w:eastAsia="bs-Latn-BA"/>
              </w:rPr>
            </w:pPr>
            <w:r w:rsidRPr="003B242C">
              <w:rPr>
                <w:b/>
                <w:bCs/>
                <w:sz w:val="22"/>
                <w:szCs w:val="22"/>
                <w:lang w:val="sr-Latn-ME" w:eastAsia="bs-Latn-BA"/>
              </w:rPr>
              <w:t xml:space="preserve">20/10 mg svake druge </w:t>
            </w:r>
            <w:r w:rsidR="004957EE" w:rsidRPr="003B242C">
              <w:rPr>
                <w:b/>
                <w:bCs/>
                <w:sz w:val="22"/>
                <w:szCs w:val="22"/>
                <w:lang w:val="sr-Latn-ME" w:eastAsia="bs-Latn-BA"/>
              </w:rPr>
              <w:t>nedjelj</w:t>
            </w:r>
            <w:r w:rsidRPr="003B242C">
              <w:rPr>
                <w:b/>
                <w:bCs/>
                <w:sz w:val="22"/>
                <w:szCs w:val="22"/>
                <w:lang w:val="sr-Latn-ME" w:eastAsia="bs-Latn-BA"/>
              </w:rPr>
              <w:t xml:space="preserve">e </w:t>
            </w:r>
          </w:p>
          <w:p w14:paraId="07AB1CA6" w14:textId="77777777" w:rsidR="00596C07" w:rsidRPr="003B242C" w:rsidRDefault="00596C07" w:rsidP="00596C07">
            <w:pPr>
              <w:keepNext/>
              <w:keepLines/>
              <w:tabs>
                <w:tab w:val="left" w:pos="-1080"/>
                <w:tab w:val="left" w:pos="562"/>
              </w:tabs>
              <w:autoSpaceDE w:val="0"/>
              <w:spacing w:after="160"/>
              <w:ind w:left="15"/>
              <w:jc w:val="center"/>
              <w:rPr>
                <w:b/>
                <w:bCs/>
                <w:sz w:val="22"/>
                <w:szCs w:val="22"/>
                <w:lang w:val="sr-Latn-ME" w:eastAsia="bs-Latn-BA"/>
              </w:rPr>
            </w:pPr>
            <w:r w:rsidRPr="003B242C">
              <w:rPr>
                <w:b/>
                <w:bCs/>
                <w:sz w:val="22"/>
                <w:szCs w:val="22"/>
                <w:lang w:val="sr-Latn-ME" w:eastAsia="bs-Latn-BA"/>
              </w:rPr>
              <w:t>N = 95</w:t>
            </w:r>
          </w:p>
        </w:tc>
        <w:tc>
          <w:tcPr>
            <w:tcW w:w="1257" w:type="dxa"/>
            <w:tcBorders>
              <w:top w:val="single" w:sz="1" w:space="0" w:color="000000"/>
              <w:left w:val="single" w:sz="1" w:space="0" w:color="000000"/>
              <w:bottom w:val="single" w:sz="1" w:space="0" w:color="000000"/>
              <w:right w:val="single" w:sz="1" w:space="0" w:color="000000"/>
            </w:tcBorders>
            <w:shd w:val="clear" w:color="auto" w:fill="FFFFFF"/>
          </w:tcPr>
          <w:p w14:paraId="4A76AEEC"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b/>
                <w:bCs/>
                <w:sz w:val="22"/>
                <w:szCs w:val="22"/>
                <w:lang w:val="sr-Latn-ME" w:eastAsia="bs-Latn-BA"/>
              </w:rPr>
              <w:t>P vrijednost</w:t>
            </w:r>
            <w:r w:rsidRPr="003B242C">
              <w:rPr>
                <w:sz w:val="22"/>
                <w:szCs w:val="22"/>
                <w:lang w:val="sr-Latn-ME" w:eastAsia="bs-Latn-BA"/>
              </w:rPr>
              <w:t>*</w:t>
            </w:r>
          </w:p>
        </w:tc>
      </w:tr>
      <w:tr w:rsidR="00596C07" w:rsidRPr="004500D8" w14:paraId="42E96019" w14:textId="77777777" w:rsidTr="00596C07">
        <w:trPr>
          <w:trHeight w:val="23"/>
        </w:trPr>
        <w:tc>
          <w:tcPr>
            <w:tcW w:w="2321" w:type="dxa"/>
            <w:tcBorders>
              <w:top w:val="single" w:sz="1" w:space="0" w:color="000000"/>
              <w:left w:val="single" w:sz="1" w:space="0" w:color="000000"/>
              <w:bottom w:val="single" w:sz="1" w:space="0" w:color="000000"/>
            </w:tcBorders>
            <w:shd w:val="clear" w:color="auto" w:fill="FFFFFF"/>
            <w:vAlign w:val="bottom"/>
          </w:tcPr>
          <w:p w14:paraId="0AFCB782" w14:textId="21841E8F" w:rsidR="00596C07" w:rsidRPr="003B242C" w:rsidRDefault="00596C07" w:rsidP="00596C07">
            <w:pPr>
              <w:keepNext/>
              <w:keepLines/>
              <w:tabs>
                <w:tab w:val="left" w:pos="-1080"/>
                <w:tab w:val="left" w:pos="562"/>
              </w:tabs>
              <w:autoSpaceDE w:val="0"/>
              <w:spacing w:after="160"/>
              <w:ind w:left="15"/>
              <w:rPr>
                <w:rFonts w:eastAsia="Calibri"/>
                <w:sz w:val="22"/>
                <w:szCs w:val="22"/>
                <w:lang w:val="sr-Latn-ME" w:eastAsia="bs-Latn-BA"/>
              </w:rPr>
            </w:pPr>
            <w:r w:rsidRPr="003B242C">
              <w:rPr>
                <w:b/>
                <w:bCs/>
                <w:sz w:val="22"/>
                <w:szCs w:val="22"/>
                <w:lang w:val="sr-Latn-ME" w:eastAsia="bs-Latn-BA"/>
              </w:rPr>
              <w:t>26</w:t>
            </w:r>
            <w:r w:rsidR="004957EE" w:rsidRPr="003B242C">
              <w:rPr>
                <w:b/>
                <w:bCs/>
                <w:sz w:val="22"/>
                <w:szCs w:val="22"/>
                <w:lang w:val="sr-Latn-ME" w:eastAsia="bs-Latn-BA"/>
              </w:rPr>
              <w:t>. nedjelja</w:t>
            </w:r>
            <w:r w:rsidRPr="003B242C">
              <w:rPr>
                <w:b/>
                <w:bCs/>
                <w:sz w:val="22"/>
                <w:szCs w:val="22"/>
                <w:lang w:val="sr-Latn-ME" w:eastAsia="bs-Latn-BA"/>
              </w:rPr>
              <w:t xml:space="preserve"> </w:t>
            </w:r>
          </w:p>
        </w:tc>
        <w:tc>
          <w:tcPr>
            <w:tcW w:w="1614" w:type="dxa"/>
            <w:tcBorders>
              <w:top w:val="single" w:sz="1" w:space="0" w:color="000000"/>
              <w:left w:val="single" w:sz="1" w:space="0" w:color="000000"/>
              <w:bottom w:val="single" w:sz="1" w:space="0" w:color="000000"/>
            </w:tcBorders>
            <w:shd w:val="clear" w:color="auto" w:fill="FFFFFF"/>
            <w:vAlign w:val="bottom"/>
          </w:tcPr>
          <w:p w14:paraId="1C18BCE3" w14:textId="77777777" w:rsidR="00596C07" w:rsidRPr="003B242C" w:rsidRDefault="00596C07" w:rsidP="00596C07">
            <w:pPr>
              <w:keepNext/>
              <w:keepLines/>
              <w:tabs>
                <w:tab w:val="left" w:pos="-1080"/>
                <w:tab w:val="left" w:pos="562"/>
              </w:tabs>
              <w:autoSpaceDE w:val="0"/>
              <w:snapToGrid w:val="0"/>
              <w:spacing w:after="160"/>
              <w:ind w:left="15"/>
              <w:jc w:val="center"/>
              <w:rPr>
                <w:rFonts w:eastAsia="Calibri"/>
                <w:sz w:val="22"/>
                <w:szCs w:val="22"/>
                <w:lang w:val="sr-Latn-ME" w:eastAsia="bs-Latn-BA"/>
              </w:rPr>
            </w:pPr>
          </w:p>
        </w:tc>
        <w:tc>
          <w:tcPr>
            <w:tcW w:w="1591" w:type="dxa"/>
            <w:tcBorders>
              <w:top w:val="single" w:sz="1" w:space="0" w:color="000000"/>
              <w:left w:val="single" w:sz="1" w:space="0" w:color="000000"/>
              <w:bottom w:val="single" w:sz="1" w:space="0" w:color="000000"/>
            </w:tcBorders>
            <w:shd w:val="clear" w:color="auto" w:fill="FFFFFF"/>
            <w:vAlign w:val="bottom"/>
          </w:tcPr>
          <w:p w14:paraId="7C130EF4" w14:textId="77777777" w:rsidR="00596C07" w:rsidRPr="003B242C" w:rsidRDefault="00596C07" w:rsidP="00596C07">
            <w:pPr>
              <w:keepNext/>
              <w:keepLines/>
              <w:tabs>
                <w:tab w:val="left" w:pos="-1080"/>
                <w:tab w:val="left" w:pos="562"/>
              </w:tabs>
              <w:autoSpaceDE w:val="0"/>
              <w:snapToGrid w:val="0"/>
              <w:spacing w:after="160"/>
              <w:ind w:left="15"/>
              <w:jc w:val="center"/>
              <w:rPr>
                <w:rFonts w:eastAsia="Calibri"/>
                <w:sz w:val="22"/>
                <w:szCs w:val="22"/>
                <w:lang w:val="sr-Latn-ME" w:eastAsia="bs-Latn-BA"/>
              </w:rPr>
            </w:pPr>
          </w:p>
        </w:tc>
        <w:tc>
          <w:tcPr>
            <w:tcW w:w="1257" w:type="dxa"/>
            <w:tcBorders>
              <w:top w:val="single" w:sz="1" w:space="0" w:color="000000"/>
              <w:left w:val="single" w:sz="1" w:space="0" w:color="000000"/>
              <w:bottom w:val="single" w:sz="1" w:space="0" w:color="000000"/>
              <w:right w:val="single" w:sz="1" w:space="0" w:color="000000"/>
            </w:tcBorders>
            <w:shd w:val="clear" w:color="auto" w:fill="FFFFFF"/>
            <w:vAlign w:val="bottom"/>
          </w:tcPr>
          <w:p w14:paraId="02319337" w14:textId="77777777" w:rsidR="00596C07" w:rsidRPr="003B242C" w:rsidRDefault="00596C07" w:rsidP="00596C07">
            <w:pPr>
              <w:keepNext/>
              <w:tabs>
                <w:tab w:val="left" w:pos="562"/>
              </w:tabs>
              <w:autoSpaceDE w:val="0"/>
              <w:snapToGrid w:val="0"/>
              <w:spacing w:after="160"/>
              <w:ind w:left="15"/>
              <w:rPr>
                <w:rFonts w:eastAsia="Calibri"/>
                <w:sz w:val="22"/>
                <w:szCs w:val="22"/>
                <w:lang w:val="sr-Latn-ME" w:eastAsia="bs-Latn-BA"/>
              </w:rPr>
            </w:pPr>
          </w:p>
        </w:tc>
      </w:tr>
      <w:tr w:rsidR="00596C07" w:rsidRPr="004500D8" w14:paraId="4E219C07" w14:textId="77777777" w:rsidTr="00596C07">
        <w:trPr>
          <w:trHeight w:val="23"/>
        </w:trPr>
        <w:tc>
          <w:tcPr>
            <w:tcW w:w="2321" w:type="dxa"/>
            <w:tcBorders>
              <w:top w:val="single" w:sz="1" w:space="0" w:color="000000"/>
              <w:left w:val="single" w:sz="1" w:space="0" w:color="000000"/>
              <w:bottom w:val="single" w:sz="1" w:space="0" w:color="000000"/>
            </w:tcBorders>
            <w:shd w:val="clear" w:color="auto" w:fill="FFFFFF"/>
            <w:vAlign w:val="bottom"/>
          </w:tcPr>
          <w:p w14:paraId="0E1884FD" w14:textId="77777777" w:rsidR="00596C07" w:rsidRPr="003B242C" w:rsidRDefault="00596C07" w:rsidP="00596C07">
            <w:pPr>
              <w:keepNext/>
              <w:keepLines/>
              <w:tabs>
                <w:tab w:val="left" w:pos="-1080"/>
                <w:tab w:val="left" w:pos="562"/>
              </w:tabs>
              <w:autoSpaceDE w:val="0"/>
              <w:spacing w:after="160"/>
              <w:ind w:left="15"/>
              <w:rPr>
                <w:sz w:val="22"/>
                <w:szCs w:val="22"/>
                <w:lang w:val="sr-Latn-ME" w:eastAsia="bs-Latn-BA"/>
              </w:rPr>
            </w:pPr>
            <w:r w:rsidRPr="003B242C">
              <w:rPr>
                <w:sz w:val="22"/>
                <w:szCs w:val="22"/>
                <w:lang w:val="sr-Latn-ME" w:eastAsia="bs-Latn-BA"/>
              </w:rPr>
              <w:t xml:space="preserve">   Klinička remisija</w:t>
            </w:r>
          </w:p>
        </w:tc>
        <w:tc>
          <w:tcPr>
            <w:tcW w:w="1614" w:type="dxa"/>
            <w:tcBorders>
              <w:top w:val="single" w:sz="1" w:space="0" w:color="000000"/>
              <w:left w:val="single" w:sz="1" w:space="0" w:color="000000"/>
              <w:bottom w:val="single" w:sz="1" w:space="0" w:color="000000"/>
            </w:tcBorders>
            <w:shd w:val="clear" w:color="auto" w:fill="FFFFFF"/>
            <w:vAlign w:val="bottom"/>
          </w:tcPr>
          <w:p w14:paraId="5DB2A996"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38,7%</w:t>
            </w:r>
          </w:p>
        </w:tc>
        <w:tc>
          <w:tcPr>
            <w:tcW w:w="1591" w:type="dxa"/>
            <w:tcBorders>
              <w:top w:val="single" w:sz="1" w:space="0" w:color="000000"/>
              <w:left w:val="single" w:sz="1" w:space="0" w:color="000000"/>
              <w:bottom w:val="single" w:sz="1" w:space="0" w:color="000000"/>
            </w:tcBorders>
            <w:shd w:val="clear" w:color="auto" w:fill="FFFFFF"/>
            <w:vAlign w:val="bottom"/>
          </w:tcPr>
          <w:p w14:paraId="2A20CADE"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28,4%</w:t>
            </w:r>
          </w:p>
        </w:tc>
        <w:tc>
          <w:tcPr>
            <w:tcW w:w="1257" w:type="dxa"/>
            <w:tcBorders>
              <w:top w:val="single" w:sz="1" w:space="0" w:color="000000"/>
              <w:left w:val="single" w:sz="1" w:space="0" w:color="000000"/>
              <w:bottom w:val="single" w:sz="1" w:space="0" w:color="000000"/>
              <w:right w:val="single" w:sz="1" w:space="0" w:color="000000"/>
            </w:tcBorders>
            <w:shd w:val="clear" w:color="auto" w:fill="FFFFFF"/>
            <w:vAlign w:val="bottom"/>
          </w:tcPr>
          <w:p w14:paraId="4713654A"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0,075</w:t>
            </w:r>
          </w:p>
        </w:tc>
      </w:tr>
      <w:tr w:rsidR="00596C07" w:rsidRPr="004500D8" w14:paraId="39EB1647" w14:textId="77777777" w:rsidTr="00596C07">
        <w:trPr>
          <w:trHeight w:val="23"/>
        </w:trPr>
        <w:tc>
          <w:tcPr>
            <w:tcW w:w="2321" w:type="dxa"/>
            <w:tcBorders>
              <w:top w:val="single" w:sz="1" w:space="0" w:color="000000"/>
              <w:left w:val="single" w:sz="1" w:space="0" w:color="000000"/>
              <w:bottom w:val="single" w:sz="1" w:space="0" w:color="000000"/>
            </w:tcBorders>
            <w:shd w:val="clear" w:color="auto" w:fill="FFFFFF"/>
          </w:tcPr>
          <w:p w14:paraId="7A6B91B4" w14:textId="77777777" w:rsidR="00596C07" w:rsidRPr="003B242C" w:rsidRDefault="00596C07" w:rsidP="00596C07">
            <w:pPr>
              <w:keepNext/>
              <w:keepLines/>
              <w:tabs>
                <w:tab w:val="left" w:pos="-1080"/>
                <w:tab w:val="left" w:pos="562"/>
              </w:tabs>
              <w:autoSpaceDE w:val="0"/>
              <w:spacing w:after="160"/>
              <w:ind w:left="15"/>
              <w:rPr>
                <w:sz w:val="22"/>
                <w:szCs w:val="22"/>
                <w:lang w:val="sr-Latn-ME" w:eastAsia="bs-Latn-BA"/>
              </w:rPr>
            </w:pPr>
            <w:r w:rsidRPr="003B242C">
              <w:rPr>
                <w:sz w:val="22"/>
                <w:szCs w:val="22"/>
                <w:lang w:val="sr-Latn-ME" w:eastAsia="bs-Latn-BA"/>
              </w:rPr>
              <w:t xml:space="preserve">   Klinički odgovor </w:t>
            </w:r>
          </w:p>
        </w:tc>
        <w:tc>
          <w:tcPr>
            <w:tcW w:w="1614" w:type="dxa"/>
            <w:tcBorders>
              <w:top w:val="single" w:sz="1" w:space="0" w:color="000000"/>
              <w:left w:val="single" w:sz="1" w:space="0" w:color="000000"/>
              <w:bottom w:val="single" w:sz="1" w:space="0" w:color="000000"/>
            </w:tcBorders>
            <w:shd w:val="clear" w:color="auto" w:fill="FFFFFF"/>
          </w:tcPr>
          <w:p w14:paraId="0BC1AC71"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59,1%</w:t>
            </w:r>
          </w:p>
        </w:tc>
        <w:tc>
          <w:tcPr>
            <w:tcW w:w="1591" w:type="dxa"/>
            <w:tcBorders>
              <w:top w:val="single" w:sz="1" w:space="0" w:color="000000"/>
              <w:left w:val="single" w:sz="1" w:space="0" w:color="000000"/>
              <w:bottom w:val="single" w:sz="1" w:space="0" w:color="000000"/>
            </w:tcBorders>
            <w:shd w:val="clear" w:color="auto" w:fill="FFFFFF"/>
          </w:tcPr>
          <w:p w14:paraId="20011CE1"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48,4%</w:t>
            </w:r>
          </w:p>
        </w:tc>
        <w:tc>
          <w:tcPr>
            <w:tcW w:w="1257" w:type="dxa"/>
            <w:tcBorders>
              <w:top w:val="single" w:sz="1" w:space="0" w:color="000000"/>
              <w:left w:val="single" w:sz="1" w:space="0" w:color="000000"/>
              <w:bottom w:val="single" w:sz="1" w:space="0" w:color="000000"/>
              <w:right w:val="single" w:sz="1" w:space="0" w:color="000000"/>
            </w:tcBorders>
            <w:shd w:val="clear" w:color="auto" w:fill="FFFFFF"/>
          </w:tcPr>
          <w:p w14:paraId="65BDB58F"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0,073</w:t>
            </w:r>
          </w:p>
        </w:tc>
      </w:tr>
      <w:tr w:rsidR="00596C07" w:rsidRPr="004500D8" w14:paraId="419A7B2C" w14:textId="77777777" w:rsidTr="00596C07">
        <w:trPr>
          <w:trHeight w:val="23"/>
        </w:trPr>
        <w:tc>
          <w:tcPr>
            <w:tcW w:w="2321" w:type="dxa"/>
            <w:tcBorders>
              <w:top w:val="single" w:sz="1" w:space="0" w:color="000000"/>
              <w:left w:val="single" w:sz="1" w:space="0" w:color="000000"/>
              <w:bottom w:val="single" w:sz="1" w:space="0" w:color="000000"/>
            </w:tcBorders>
            <w:shd w:val="clear" w:color="auto" w:fill="FFFFFF"/>
            <w:vAlign w:val="bottom"/>
          </w:tcPr>
          <w:p w14:paraId="0AC267C8" w14:textId="64950806" w:rsidR="00596C07" w:rsidRPr="003B242C" w:rsidRDefault="00596C07">
            <w:pPr>
              <w:keepNext/>
              <w:keepLines/>
              <w:tabs>
                <w:tab w:val="left" w:pos="-1080"/>
                <w:tab w:val="left" w:pos="562"/>
              </w:tabs>
              <w:autoSpaceDE w:val="0"/>
              <w:spacing w:after="160"/>
              <w:ind w:left="15"/>
              <w:rPr>
                <w:rFonts w:eastAsia="Calibri"/>
                <w:sz w:val="22"/>
                <w:szCs w:val="22"/>
                <w:lang w:val="sr-Latn-ME" w:eastAsia="bs-Latn-BA"/>
              </w:rPr>
            </w:pPr>
            <w:r w:rsidRPr="003B242C">
              <w:rPr>
                <w:b/>
                <w:bCs/>
                <w:sz w:val="22"/>
                <w:szCs w:val="22"/>
                <w:lang w:val="sr-Latn-ME" w:eastAsia="bs-Latn-BA"/>
              </w:rPr>
              <w:t>52</w:t>
            </w:r>
            <w:r w:rsidR="004957EE" w:rsidRPr="003B242C">
              <w:rPr>
                <w:b/>
                <w:bCs/>
                <w:sz w:val="22"/>
                <w:szCs w:val="22"/>
                <w:lang w:val="sr-Latn-ME" w:eastAsia="bs-Latn-BA"/>
              </w:rPr>
              <w:t xml:space="preserve">. nedjelja </w:t>
            </w:r>
          </w:p>
        </w:tc>
        <w:tc>
          <w:tcPr>
            <w:tcW w:w="1614" w:type="dxa"/>
            <w:tcBorders>
              <w:top w:val="single" w:sz="1" w:space="0" w:color="000000"/>
              <w:left w:val="single" w:sz="1" w:space="0" w:color="000000"/>
              <w:bottom w:val="single" w:sz="1" w:space="0" w:color="000000"/>
            </w:tcBorders>
            <w:shd w:val="clear" w:color="auto" w:fill="FFFFFF"/>
            <w:vAlign w:val="bottom"/>
          </w:tcPr>
          <w:p w14:paraId="5F1409CB" w14:textId="77777777" w:rsidR="00596C07" w:rsidRPr="003B242C" w:rsidRDefault="00596C07" w:rsidP="00596C07">
            <w:pPr>
              <w:keepNext/>
              <w:keepLines/>
              <w:tabs>
                <w:tab w:val="left" w:pos="-1080"/>
                <w:tab w:val="left" w:pos="562"/>
              </w:tabs>
              <w:autoSpaceDE w:val="0"/>
              <w:snapToGrid w:val="0"/>
              <w:spacing w:after="160"/>
              <w:ind w:left="15"/>
              <w:jc w:val="center"/>
              <w:rPr>
                <w:rFonts w:eastAsia="Calibri"/>
                <w:sz w:val="22"/>
                <w:szCs w:val="22"/>
                <w:lang w:val="sr-Latn-ME" w:eastAsia="bs-Latn-BA"/>
              </w:rPr>
            </w:pPr>
          </w:p>
        </w:tc>
        <w:tc>
          <w:tcPr>
            <w:tcW w:w="1591" w:type="dxa"/>
            <w:tcBorders>
              <w:top w:val="single" w:sz="1" w:space="0" w:color="000000"/>
              <w:left w:val="single" w:sz="1" w:space="0" w:color="000000"/>
              <w:bottom w:val="single" w:sz="1" w:space="0" w:color="000000"/>
            </w:tcBorders>
            <w:shd w:val="clear" w:color="auto" w:fill="FFFFFF"/>
            <w:vAlign w:val="bottom"/>
          </w:tcPr>
          <w:p w14:paraId="1EC89C0C" w14:textId="77777777" w:rsidR="00596C07" w:rsidRPr="003B242C" w:rsidRDefault="00596C07" w:rsidP="00596C07">
            <w:pPr>
              <w:keepNext/>
              <w:keepLines/>
              <w:tabs>
                <w:tab w:val="left" w:pos="-1080"/>
                <w:tab w:val="left" w:pos="562"/>
              </w:tabs>
              <w:autoSpaceDE w:val="0"/>
              <w:snapToGrid w:val="0"/>
              <w:spacing w:after="160"/>
              <w:ind w:left="15"/>
              <w:jc w:val="center"/>
              <w:rPr>
                <w:rFonts w:eastAsia="Calibri"/>
                <w:sz w:val="22"/>
                <w:szCs w:val="22"/>
                <w:lang w:val="sr-Latn-ME" w:eastAsia="bs-Latn-BA"/>
              </w:rPr>
            </w:pPr>
          </w:p>
        </w:tc>
        <w:tc>
          <w:tcPr>
            <w:tcW w:w="1257" w:type="dxa"/>
            <w:tcBorders>
              <w:top w:val="single" w:sz="1" w:space="0" w:color="000000"/>
              <w:left w:val="single" w:sz="1" w:space="0" w:color="000000"/>
              <w:bottom w:val="single" w:sz="1" w:space="0" w:color="000000"/>
              <w:right w:val="single" w:sz="1" w:space="0" w:color="000000"/>
            </w:tcBorders>
            <w:shd w:val="clear" w:color="auto" w:fill="FFFFFF"/>
            <w:vAlign w:val="bottom"/>
          </w:tcPr>
          <w:p w14:paraId="11173009" w14:textId="77777777" w:rsidR="00596C07" w:rsidRPr="003B242C" w:rsidRDefault="00596C07" w:rsidP="00596C07">
            <w:pPr>
              <w:keepNext/>
              <w:tabs>
                <w:tab w:val="left" w:pos="562"/>
              </w:tabs>
              <w:autoSpaceDE w:val="0"/>
              <w:snapToGrid w:val="0"/>
              <w:spacing w:after="160"/>
              <w:ind w:left="15"/>
              <w:rPr>
                <w:rFonts w:eastAsia="Calibri"/>
                <w:sz w:val="22"/>
                <w:szCs w:val="22"/>
                <w:lang w:val="sr-Latn-ME" w:eastAsia="bs-Latn-BA"/>
              </w:rPr>
            </w:pPr>
          </w:p>
        </w:tc>
      </w:tr>
      <w:tr w:rsidR="00596C07" w:rsidRPr="004500D8" w14:paraId="656C38CB" w14:textId="77777777" w:rsidTr="00596C07">
        <w:trPr>
          <w:trHeight w:val="23"/>
        </w:trPr>
        <w:tc>
          <w:tcPr>
            <w:tcW w:w="2321" w:type="dxa"/>
            <w:tcBorders>
              <w:top w:val="single" w:sz="1" w:space="0" w:color="000000"/>
              <w:left w:val="single" w:sz="1" w:space="0" w:color="000000"/>
              <w:bottom w:val="single" w:sz="1" w:space="0" w:color="000000"/>
            </w:tcBorders>
            <w:shd w:val="clear" w:color="auto" w:fill="FFFFFF"/>
            <w:vAlign w:val="bottom"/>
          </w:tcPr>
          <w:p w14:paraId="5E741FC6" w14:textId="77777777" w:rsidR="00596C07" w:rsidRPr="003B242C" w:rsidRDefault="00596C07" w:rsidP="00596C07">
            <w:pPr>
              <w:keepNext/>
              <w:keepLines/>
              <w:tabs>
                <w:tab w:val="left" w:pos="-1080"/>
                <w:tab w:val="left" w:pos="562"/>
              </w:tabs>
              <w:autoSpaceDE w:val="0"/>
              <w:spacing w:after="160"/>
              <w:ind w:left="15"/>
              <w:rPr>
                <w:sz w:val="22"/>
                <w:szCs w:val="22"/>
                <w:lang w:val="sr-Latn-ME" w:eastAsia="bs-Latn-BA"/>
              </w:rPr>
            </w:pPr>
            <w:r w:rsidRPr="003B242C">
              <w:rPr>
                <w:sz w:val="22"/>
                <w:szCs w:val="22"/>
                <w:lang w:val="sr-Latn-ME" w:eastAsia="bs-Latn-BA"/>
              </w:rPr>
              <w:t xml:space="preserve">   Klinička remisija</w:t>
            </w:r>
          </w:p>
        </w:tc>
        <w:tc>
          <w:tcPr>
            <w:tcW w:w="1614" w:type="dxa"/>
            <w:tcBorders>
              <w:top w:val="single" w:sz="1" w:space="0" w:color="000000"/>
              <w:left w:val="single" w:sz="1" w:space="0" w:color="000000"/>
              <w:bottom w:val="single" w:sz="1" w:space="0" w:color="000000"/>
            </w:tcBorders>
            <w:shd w:val="clear" w:color="auto" w:fill="FFFFFF"/>
            <w:vAlign w:val="bottom"/>
          </w:tcPr>
          <w:p w14:paraId="27F3D223"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33,3%</w:t>
            </w:r>
          </w:p>
        </w:tc>
        <w:tc>
          <w:tcPr>
            <w:tcW w:w="1591" w:type="dxa"/>
            <w:tcBorders>
              <w:top w:val="single" w:sz="1" w:space="0" w:color="000000"/>
              <w:left w:val="single" w:sz="1" w:space="0" w:color="000000"/>
              <w:bottom w:val="single" w:sz="1" w:space="0" w:color="000000"/>
            </w:tcBorders>
            <w:shd w:val="clear" w:color="auto" w:fill="FFFFFF"/>
            <w:vAlign w:val="bottom"/>
          </w:tcPr>
          <w:p w14:paraId="4FD14F12"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23,2%</w:t>
            </w:r>
          </w:p>
        </w:tc>
        <w:tc>
          <w:tcPr>
            <w:tcW w:w="1257" w:type="dxa"/>
            <w:tcBorders>
              <w:top w:val="single" w:sz="1" w:space="0" w:color="000000"/>
              <w:left w:val="single" w:sz="1" w:space="0" w:color="000000"/>
              <w:bottom w:val="single" w:sz="1" w:space="0" w:color="000000"/>
              <w:right w:val="single" w:sz="1" w:space="0" w:color="000000"/>
            </w:tcBorders>
            <w:shd w:val="clear" w:color="auto" w:fill="FFFFFF"/>
            <w:vAlign w:val="bottom"/>
          </w:tcPr>
          <w:p w14:paraId="2BD354E2"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0,100</w:t>
            </w:r>
          </w:p>
        </w:tc>
      </w:tr>
      <w:tr w:rsidR="00596C07" w:rsidRPr="004500D8" w14:paraId="4C9B750C" w14:textId="77777777" w:rsidTr="00596C07">
        <w:trPr>
          <w:trHeight w:val="23"/>
        </w:trPr>
        <w:tc>
          <w:tcPr>
            <w:tcW w:w="2321" w:type="dxa"/>
            <w:tcBorders>
              <w:top w:val="single" w:sz="1" w:space="0" w:color="000000"/>
              <w:left w:val="single" w:sz="1" w:space="0" w:color="000000"/>
              <w:bottom w:val="single" w:sz="1" w:space="0" w:color="000000"/>
            </w:tcBorders>
            <w:shd w:val="clear" w:color="auto" w:fill="FFFFFF"/>
          </w:tcPr>
          <w:p w14:paraId="03CBA3A9" w14:textId="77777777" w:rsidR="00596C07" w:rsidRPr="003B242C" w:rsidRDefault="00596C07" w:rsidP="00596C07">
            <w:pPr>
              <w:keepNext/>
              <w:keepLines/>
              <w:tabs>
                <w:tab w:val="left" w:pos="-1080"/>
                <w:tab w:val="left" w:pos="562"/>
              </w:tabs>
              <w:autoSpaceDE w:val="0"/>
              <w:spacing w:after="160"/>
              <w:ind w:left="15"/>
              <w:rPr>
                <w:sz w:val="22"/>
                <w:szCs w:val="22"/>
                <w:lang w:val="sr-Latn-ME" w:eastAsia="bs-Latn-BA"/>
              </w:rPr>
            </w:pPr>
            <w:r w:rsidRPr="003B242C">
              <w:rPr>
                <w:sz w:val="22"/>
                <w:szCs w:val="22"/>
                <w:lang w:val="sr-Latn-ME" w:eastAsia="bs-Latn-BA"/>
              </w:rPr>
              <w:t xml:space="preserve">   Klinički odgovor</w:t>
            </w:r>
          </w:p>
        </w:tc>
        <w:tc>
          <w:tcPr>
            <w:tcW w:w="1614" w:type="dxa"/>
            <w:tcBorders>
              <w:top w:val="single" w:sz="1" w:space="0" w:color="000000"/>
              <w:left w:val="single" w:sz="1" w:space="0" w:color="000000"/>
              <w:bottom w:val="single" w:sz="1" w:space="0" w:color="000000"/>
            </w:tcBorders>
            <w:shd w:val="clear" w:color="auto" w:fill="FFFFFF"/>
          </w:tcPr>
          <w:p w14:paraId="36522AB1"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41,9%</w:t>
            </w:r>
          </w:p>
        </w:tc>
        <w:tc>
          <w:tcPr>
            <w:tcW w:w="1591" w:type="dxa"/>
            <w:tcBorders>
              <w:top w:val="single" w:sz="1" w:space="0" w:color="000000"/>
              <w:left w:val="single" w:sz="1" w:space="0" w:color="000000"/>
              <w:bottom w:val="single" w:sz="1" w:space="0" w:color="000000"/>
            </w:tcBorders>
            <w:shd w:val="clear" w:color="auto" w:fill="FFFFFF"/>
          </w:tcPr>
          <w:p w14:paraId="093C86CB"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28,4%</w:t>
            </w:r>
          </w:p>
        </w:tc>
        <w:tc>
          <w:tcPr>
            <w:tcW w:w="1257" w:type="dxa"/>
            <w:tcBorders>
              <w:top w:val="single" w:sz="1" w:space="0" w:color="000000"/>
              <w:left w:val="single" w:sz="1" w:space="0" w:color="000000"/>
              <w:bottom w:val="single" w:sz="1" w:space="0" w:color="000000"/>
              <w:right w:val="single" w:sz="1" w:space="0" w:color="000000"/>
            </w:tcBorders>
            <w:shd w:val="clear" w:color="auto" w:fill="FFFFFF"/>
          </w:tcPr>
          <w:p w14:paraId="720BDFF4"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0,038</w:t>
            </w:r>
          </w:p>
        </w:tc>
      </w:tr>
      <w:tr w:rsidR="00596C07" w:rsidRPr="004500D8" w14:paraId="533E1867" w14:textId="77777777" w:rsidTr="00596C07">
        <w:trPr>
          <w:trHeight w:val="23"/>
        </w:trPr>
        <w:tc>
          <w:tcPr>
            <w:tcW w:w="6783" w:type="dxa"/>
            <w:gridSpan w:val="4"/>
            <w:tcBorders>
              <w:top w:val="single" w:sz="1" w:space="0" w:color="000000"/>
              <w:left w:val="single" w:sz="1" w:space="0" w:color="000000"/>
              <w:bottom w:val="single" w:sz="1" w:space="0" w:color="000000"/>
              <w:right w:val="single" w:sz="1" w:space="0" w:color="000000"/>
            </w:tcBorders>
            <w:shd w:val="clear" w:color="auto" w:fill="FFFFFF"/>
          </w:tcPr>
          <w:p w14:paraId="02E62C4C" w14:textId="77777777" w:rsidR="00596C07" w:rsidRPr="003B242C" w:rsidRDefault="00596C07" w:rsidP="00596C07">
            <w:pPr>
              <w:keepLines/>
              <w:tabs>
                <w:tab w:val="left" w:pos="-1080"/>
                <w:tab w:val="left" w:pos="562"/>
              </w:tabs>
              <w:autoSpaceDE w:val="0"/>
              <w:spacing w:after="160"/>
              <w:ind w:left="15"/>
              <w:rPr>
                <w:sz w:val="22"/>
                <w:szCs w:val="22"/>
                <w:lang w:val="sr-Latn-ME" w:eastAsia="bs-Latn-BA"/>
              </w:rPr>
            </w:pPr>
            <w:r w:rsidRPr="003B242C">
              <w:rPr>
                <w:sz w:val="22"/>
                <w:szCs w:val="22"/>
                <w:lang w:val="sr-Latn-ME" w:eastAsia="bs-Latn-BA"/>
              </w:rPr>
              <w:t>* p vrijednost za standardnu dozu u poređenju sa niskom dozom.</w:t>
            </w:r>
          </w:p>
        </w:tc>
      </w:tr>
    </w:tbl>
    <w:p w14:paraId="103B1B7D" w14:textId="77777777" w:rsidR="00596C07" w:rsidRPr="003B242C" w:rsidRDefault="00596C07" w:rsidP="00596C07">
      <w:pPr>
        <w:tabs>
          <w:tab w:val="left" w:pos="1294"/>
        </w:tabs>
        <w:autoSpaceDE w:val="0"/>
        <w:spacing w:after="160"/>
        <w:rPr>
          <w:lang w:val="sr-Latn-ME" w:eastAsia="bs-Latn-BA"/>
        </w:rPr>
      </w:pPr>
      <w:r w:rsidRPr="003B242C">
        <w:rPr>
          <w:lang w:val="sr-Latn-ME" w:eastAsia="bs-Latn-BA"/>
        </w:rPr>
        <w:t xml:space="preserve"> </w:t>
      </w:r>
    </w:p>
    <w:p w14:paraId="469A3C63" w14:textId="77777777" w:rsidR="00596C07" w:rsidRPr="003B242C" w:rsidRDefault="00596C07" w:rsidP="00596C07">
      <w:pPr>
        <w:tabs>
          <w:tab w:val="left" w:pos="562"/>
        </w:tabs>
        <w:autoSpaceDE w:val="0"/>
        <w:spacing w:after="160"/>
        <w:rPr>
          <w:lang w:val="sr-Latn-ME" w:eastAsia="bs-Latn-BA"/>
        </w:rPr>
      </w:pPr>
    </w:p>
    <w:tbl>
      <w:tblPr>
        <w:tblW w:w="0" w:type="auto"/>
        <w:tblInd w:w="28" w:type="dxa"/>
        <w:tblLayout w:type="fixed"/>
        <w:tblCellMar>
          <w:left w:w="28" w:type="dxa"/>
          <w:right w:w="28" w:type="dxa"/>
        </w:tblCellMar>
        <w:tblLook w:val="0000" w:firstRow="0" w:lastRow="0" w:firstColumn="0" w:lastColumn="0" w:noHBand="0" w:noVBand="0"/>
      </w:tblPr>
      <w:tblGrid>
        <w:gridCol w:w="3205"/>
        <w:gridCol w:w="1987"/>
        <w:gridCol w:w="1863"/>
        <w:gridCol w:w="1385"/>
        <w:gridCol w:w="26"/>
        <w:gridCol w:w="26"/>
        <w:gridCol w:w="26"/>
        <w:gridCol w:w="26"/>
        <w:gridCol w:w="6"/>
      </w:tblGrid>
      <w:tr w:rsidR="00596C07" w:rsidRPr="004500D8" w14:paraId="0AE6BA08" w14:textId="77777777" w:rsidTr="00596C07">
        <w:trPr>
          <w:trHeight w:val="23"/>
        </w:trPr>
        <w:tc>
          <w:tcPr>
            <w:tcW w:w="8550" w:type="dxa"/>
            <w:gridSpan w:val="9"/>
            <w:tcBorders>
              <w:top w:val="single" w:sz="1" w:space="0" w:color="000000"/>
              <w:left w:val="single" w:sz="1" w:space="0" w:color="000000"/>
              <w:bottom w:val="single" w:sz="1" w:space="0" w:color="000000"/>
              <w:right w:val="single" w:sz="1" w:space="0" w:color="000000"/>
            </w:tcBorders>
            <w:shd w:val="clear" w:color="auto" w:fill="FFFFFF"/>
          </w:tcPr>
          <w:p w14:paraId="1BAC84FB" w14:textId="101D0A5B" w:rsidR="00596C07" w:rsidRPr="003B242C" w:rsidRDefault="00596C07" w:rsidP="003B242C">
            <w:pPr>
              <w:keepNext/>
              <w:tabs>
                <w:tab w:val="left" w:pos="-878"/>
                <w:tab w:val="left" w:pos="562"/>
              </w:tabs>
              <w:autoSpaceDE w:val="0"/>
              <w:rPr>
                <w:b/>
                <w:bCs/>
                <w:sz w:val="22"/>
                <w:szCs w:val="22"/>
                <w:lang w:val="sr-Latn-ME" w:eastAsia="bs-Latn-BA"/>
              </w:rPr>
            </w:pPr>
            <w:r w:rsidRPr="003B242C">
              <w:rPr>
                <w:b/>
                <w:bCs/>
                <w:sz w:val="22"/>
                <w:szCs w:val="22"/>
                <w:lang w:val="sr-Latn-ME" w:eastAsia="bs-Latn-BA"/>
              </w:rPr>
              <w:t xml:space="preserve">Tabela </w:t>
            </w:r>
            <w:r w:rsidR="004957EE" w:rsidRPr="003B242C">
              <w:rPr>
                <w:b/>
                <w:bCs/>
                <w:sz w:val="22"/>
                <w:szCs w:val="22"/>
                <w:lang w:val="sr-Latn-ME" w:eastAsia="bs-Latn-BA"/>
              </w:rPr>
              <w:t xml:space="preserve">20.  </w:t>
            </w:r>
            <w:r w:rsidRPr="003B242C">
              <w:rPr>
                <w:b/>
                <w:bCs/>
                <w:sz w:val="22"/>
                <w:szCs w:val="22"/>
                <w:lang w:val="sr-Latn-ME" w:eastAsia="bs-Latn-BA"/>
              </w:rPr>
              <w:t>Ispitivanje Crohnove bolesti kod djece</w:t>
            </w:r>
          </w:p>
          <w:p w14:paraId="447656A4" w14:textId="77777777" w:rsidR="00596C07" w:rsidRPr="003B242C" w:rsidRDefault="00596C07" w:rsidP="003B242C">
            <w:pPr>
              <w:keepNext/>
              <w:tabs>
                <w:tab w:val="left" w:pos="-878"/>
                <w:tab w:val="left" w:pos="562"/>
              </w:tabs>
              <w:autoSpaceDE w:val="0"/>
              <w:rPr>
                <w:sz w:val="22"/>
                <w:szCs w:val="22"/>
                <w:lang w:val="sr-Latn-ME" w:eastAsia="bs-Latn-BA"/>
              </w:rPr>
            </w:pPr>
            <w:r w:rsidRPr="003B242C">
              <w:rPr>
                <w:b/>
                <w:bCs/>
                <w:sz w:val="22"/>
                <w:szCs w:val="22"/>
                <w:lang w:val="sr-Latn-ME" w:eastAsia="bs-Latn-BA"/>
              </w:rPr>
              <w:t>Prestanak uzimanja kortikosteroida ili imunomodulatora i remisija fistula</w:t>
            </w:r>
          </w:p>
        </w:tc>
      </w:tr>
      <w:tr w:rsidR="00596C07" w:rsidRPr="004500D8" w14:paraId="7332FA2F" w14:textId="77777777" w:rsidTr="00596C07">
        <w:trPr>
          <w:trHeight w:val="23"/>
        </w:trPr>
        <w:tc>
          <w:tcPr>
            <w:tcW w:w="3205" w:type="dxa"/>
            <w:tcBorders>
              <w:top w:val="single" w:sz="1" w:space="0" w:color="000000"/>
              <w:left w:val="single" w:sz="1" w:space="0" w:color="000000"/>
              <w:bottom w:val="single" w:sz="1" w:space="0" w:color="000000"/>
            </w:tcBorders>
            <w:shd w:val="clear" w:color="auto" w:fill="FFFFFF"/>
          </w:tcPr>
          <w:p w14:paraId="507B8053" w14:textId="77777777" w:rsidR="00596C07" w:rsidRPr="003B242C" w:rsidRDefault="00596C07" w:rsidP="00596C07">
            <w:pPr>
              <w:keepNext/>
              <w:keepLines/>
              <w:tabs>
                <w:tab w:val="left" w:pos="-1080"/>
                <w:tab w:val="left" w:pos="562"/>
              </w:tabs>
              <w:autoSpaceDE w:val="0"/>
              <w:snapToGrid w:val="0"/>
              <w:spacing w:after="160"/>
              <w:jc w:val="center"/>
              <w:rPr>
                <w:rFonts w:eastAsia="Calibri"/>
                <w:sz w:val="22"/>
                <w:szCs w:val="22"/>
                <w:lang w:val="sr-Latn-ME" w:eastAsia="bs-Latn-BA"/>
              </w:rPr>
            </w:pPr>
          </w:p>
        </w:tc>
        <w:tc>
          <w:tcPr>
            <w:tcW w:w="1987" w:type="dxa"/>
            <w:tcBorders>
              <w:top w:val="single" w:sz="1" w:space="0" w:color="000000"/>
              <w:left w:val="single" w:sz="1" w:space="0" w:color="000000"/>
              <w:bottom w:val="single" w:sz="1" w:space="0" w:color="000000"/>
            </w:tcBorders>
            <w:shd w:val="clear" w:color="auto" w:fill="FFFFFF"/>
          </w:tcPr>
          <w:p w14:paraId="2CF6CB91" w14:textId="77777777" w:rsidR="00596C07" w:rsidRPr="003B242C" w:rsidRDefault="00596C07" w:rsidP="00596C07">
            <w:pPr>
              <w:keepNext/>
              <w:keepLines/>
              <w:tabs>
                <w:tab w:val="left" w:pos="-1080"/>
                <w:tab w:val="left" w:pos="562"/>
              </w:tabs>
              <w:autoSpaceDE w:val="0"/>
              <w:spacing w:after="160"/>
              <w:ind w:left="15"/>
              <w:jc w:val="center"/>
              <w:rPr>
                <w:b/>
                <w:bCs/>
                <w:sz w:val="22"/>
                <w:szCs w:val="22"/>
                <w:lang w:val="sr-Latn-ME" w:eastAsia="bs-Latn-BA"/>
              </w:rPr>
            </w:pPr>
            <w:r w:rsidRPr="003B242C">
              <w:rPr>
                <w:b/>
                <w:bCs/>
                <w:sz w:val="22"/>
                <w:szCs w:val="22"/>
                <w:lang w:val="sr-Latn-ME" w:eastAsia="bs-Latn-BA"/>
              </w:rPr>
              <w:t>Standardna doza</w:t>
            </w:r>
          </w:p>
          <w:p w14:paraId="12EC443C" w14:textId="77777777" w:rsidR="00596C07" w:rsidRPr="003B242C" w:rsidRDefault="00596C07" w:rsidP="00596C07">
            <w:pPr>
              <w:keepNext/>
              <w:keepLines/>
              <w:tabs>
                <w:tab w:val="left" w:pos="-1080"/>
                <w:tab w:val="left" w:pos="562"/>
              </w:tabs>
              <w:autoSpaceDE w:val="0"/>
              <w:spacing w:after="160"/>
              <w:ind w:left="15"/>
              <w:jc w:val="center"/>
              <w:rPr>
                <w:b/>
                <w:bCs/>
                <w:sz w:val="22"/>
                <w:szCs w:val="22"/>
                <w:lang w:val="sr-Latn-ME" w:eastAsia="bs-Latn-BA"/>
              </w:rPr>
            </w:pPr>
            <w:r w:rsidRPr="003B242C">
              <w:rPr>
                <w:b/>
                <w:bCs/>
                <w:sz w:val="22"/>
                <w:szCs w:val="22"/>
                <w:lang w:val="sr-Latn-ME" w:eastAsia="bs-Latn-BA"/>
              </w:rPr>
              <w:t>40/20 mg svake druge sedmice</w:t>
            </w:r>
          </w:p>
        </w:tc>
        <w:tc>
          <w:tcPr>
            <w:tcW w:w="1863" w:type="dxa"/>
            <w:tcBorders>
              <w:top w:val="single" w:sz="1" w:space="0" w:color="000000"/>
              <w:left w:val="single" w:sz="1" w:space="0" w:color="000000"/>
              <w:bottom w:val="single" w:sz="1" w:space="0" w:color="000000"/>
            </w:tcBorders>
            <w:shd w:val="clear" w:color="auto" w:fill="FFFFFF"/>
          </w:tcPr>
          <w:p w14:paraId="0D025B03" w14:textId="77777777" w:rsidR="00596C07" w:rsidRPr="003B242C" w:rsidRDefault="00596C07" w:rsidP="00596C07">
            <w:pPr>
              <w:keepNext/>
              <w:keepLines/>
              <w:tabs>
                <w:tab w:val="left" w:pos="-1080"/>
                <w:tab w:val="left" w:pos="562"/>
              </w:tabs>
              <w:autoSpaceDE w:val="0"/>
              <w:spacing w:after="160"/>
              <w:ind w:left="15"/>
              <w:jc w:val="center"/>
              <w:rPr>
                <w:b/>
                <w:bCs/>
                <w:sz w:val="22"/>
                <w:szCs w:val="22"/>
                <w:lang w:val="sr-Latn-ME" w:eastAsia="bs-Latn-BA"/>
              </w:rPr>
            </w:pPr>
            <w:r w:rsidRPr="003B242C">
              <w:rPr>
                <w:b/>
                <w:bCs/>
                <w:sz w:val="22"/>
                <w:szCs w:val="22"/>
                <w:lang w:val="sr-Latn-ME" w:eastAsia="bs-Latn-BA"/>
              </w:rPr>
              <w:t>Niska doza</w:t>
            </w:r>
          </w:p>
          <w:p w14:paraId="2E6A31D2" w14:textId="77777777" w:rsidR="00596C07" w:rsidRPr="003B242C" w:rsidRDefault="00596C07" w:rsidP="00596C07">
            <w:pPr>
              <w:keepNext/>
              <w:keepLines/>
              <w:tabs>
                <w:tab w:val="left" w:pos="-1080"/>
                <w:tab w:val="left" w:pos="562"/>
              </w:tabs>
              <w:autoSpaceDE w:val="0"/>
              <w:spacing w:after="160"/>
              <w:ind w:left="15"/>
              <w:jc w:val="center"/>
              <w:rPr>
                <w:b/>
                <w:bCs/>
                <w:sz w:val="22"/>
                <w:szCs w:val="22"/>
                <w:lang w:val="sr-Latn-ME" w:eastAsia="bs-Latn-BA"/>
              </w:rPr>
            </w:pPr>
            <w:r w:rsidRPr="003B242C">
              <w:rPr>
                <w:b/>
                <w:bCs/>
                <w:sz w:val="22"/>
                <w:szCs w:val="22"/>
                <w:lang w:val="sr-Latn-ME" w:eastAsia="bs-Latn-BA"/>
              </w:rPr>
              <w:t>20/10 mg svake druge sedmice</w:t>
            </w:r>
          </w:p>
        </w:tc>
        <w:tc>
          <w:tcPr>
            <w:tcW w:w="1495" w:type="dxa"/>
            <w:gridSpan w:val="6"/>
            <w:tcBorders>
              <w:top w:val="single" w:sz="1" w:space="0" w:color="000000"/>
              <w:left w:val="single" w:sz="1" w:space="0" w:color="000000"/>
              <w:bottom w:val="single" w:sz="1" w:space="0" w:color="000000"/>
              <w:right w:val="single" w:sz="1" w:space="0" w:color="000000"/>
            </w:tcBorders>
            <w:shd w:val="clear" w:color="auto" w:fill="FFFFFF"/>
          </w:tcPr>
          <w:p w14:paraId="3B0613D1"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b/>
                <w:bCs/>
                <w:sz w:val="22"/>
                <w:szCs w:val="22"/>
                <w:lang w:val="sr-Latn-ME" w:eastAsia="bs-Latn-BA"/>
              </w:rPr>
              <w:t>P vrijednost</w:t>
            </w:r>
            <w:r w:rsidRPr="003B242C">
              <w:rPr>
                <w:b/>
                <w:bCs/>
                <w:position w:val="6"/>
                <w:sz w:val="22"/>
                <w:szCs w:val="22"/>
                <w:lang w:val="sr-Latn-ME" w:eastAsia="bs-Latn-BA"/>
              </w:rPr>
              <w:t>1</w:t>
            </w:r>
          </w:p>
        </w:tc>
      </w:tr>
      <w:tr w:rsidR="00596C07" w:rsidRPr="004500D8" w14:paraId="4E372B8D" w14:textId="77777777" w:rsidTr="00596C07">
        <w:trPr>
          <w:trHeight w:val="23"/>
        </w:trPr>
        <w:tc>
          <w:tcPr>
            <w:tcW w:w="3205" w:type="dxa"/>
            <w:tcBorders>
              <w:top w:val="single" w:sz="1" w:space="0" w:color="000000"/>
              <w:left w:val="single" w:sz="1" w:space="0" w:color="000000"/>
              <w:bottom w:val="single" w:sz="1" w:space="0" w:color="000000"/>
            </w:tcBorders>
            <w:shd w:val="clear" w:color="auto" w:fill="FFFFFF"/>
            <w:vAlign w:val="bottom"/>
          </w:tcPr>
          <w:p w14:paraId="05B4E54C" w14:textId="77777777" w:rsidR="00596C07" w:rsidRPr="003B242C" w:rsidRDefault="00596C07" w:rsidP="00596C07">
            <w:pPr>
              <w:keepNext/>
              <w:keepLines/>
              <w:tabs>
                <w:tab w:val="left" w:pos="-1080"/>
                <w:tab w:val="left" w:pos="562"/>
              </w:tabs>
              <w:autoSpaceDE w:val="0"/>
              <w:spacing w:after="160"/>
              <w:rPr>
                <w:b/>
                <w:bCs/>
                <w:sz w:val="22"/>
                <w:szCs w:val="22"/>
                <w:lang w:val="sr-Latn-ME" w:eastAsia="bs-Latn-BA"/>
              </w:rPr>
            </w:pPr>
            <w:r w:rsidRPr="003B242C">
              <w:rPr>
                <w:b/>
                <w:bCs/>
                <w:sz w:val="22"/>
                <w:szCs w:val="22"/>
                <w:lang w:val="sr-Latn-ME" w:eastAsia="bs-Latn-BA"/>
              </w:rPr>
              <w:t>Prekinuta primjena kortikosteroida</w:t>
            </w:r>
          </w:p>
        </w:tc>
        <w:tc>
          <w:tcPr>
            <w:tcW w:w="1987" w:type="dxa"/>
            <w:tcBorders>
              <w:top w:val="single" w:sz="1" w:space="0" w:color="000000"/>
              <w:left w:val="single" w:sz="1" w:space="0" w:color="000000"/>
              <w:bottom w:val="single" w:sz="1" w:space="0" w:color="000000"/>
            </w:tcBorders>
            <w:shd w:val="clear" w:color="auto" w:fill="FFFFFF"/>
            <w:vAlign w:val="bottom"/>
          </w:tcPr>
          <w:p w14:paraId="07CD50C8" w14:textId="77777777" w:rsidR="00596C07" w:rsidRPr="003B242C" w:rsidRDefault="00596C07" w:rsidP="00596C07">
            <w:pPr>
              <w:keepNext/>
              <w:keepLines/>
              <w:tabs>
                <w:tab w:val="left" w:pos="-1080"/>
                <w:tab w:val="left" w:pos="562"/>
              </w:tabs>
              <w:autoSpaceDE w:val="0"/>
              <w:spacing w:after="160"/>
              <w:ind w:left="15"/>
              <w:jc w:val="center"/>
              <w:rPr>
                <w:b/>
                <w:bCs/>
                <w:sz w:val="22"/>
                <w:szCs w:val="22"/>
                <w:lang w:val="sr-Latn-ME" w:eastAsia="bs-Latn-BA"/>
              </w:rPr>
            </w:pPr>
            <w:r w:rsidRPr="003B242C">
              <w:rPr>
                <w:b/>
                <w:bCs/>
                <w:sz w:val="22"/>
                <w:szCs w:val="22"/>
                <w:lang w:val="sr-Latn-ME" w:eastAsia="bs-Latn-BA"/>
              </w:rPr>
              <w:t>N= 33</w:t>
            </w:r>
          </w:p>
        </w:tc>
        <w:tc>
          <w:tcPr>
            <w:tcW w:w="1863" w:type="dxa"/>
            <w:tcBorders>
              <w:top w:val="single" w:sz="1" w:space="0" w:color="000000"/>
              <w:left w:val="single" w:sz="1" w:space="0" w:color="000000"/>
              <w:bottom w:val="single" w:sz="1" w:space="0" w:color="000000"/>
            </w:tcBorders>
            <w:shd w:val="clear" w:color="auto" w:fill="FFFFFF"/>
            <w:vAlign w:val="bottom"/>
          </w:tcPr>
          <w:p w14:paraId="6AA0B6A9" w14:textId="77777777" w:rsidR="00596C07" w:rsidRPr="003B242C" w:rsidRDefault="00596C07" w:rsidP="00596C07">
            <w:pPr>
              <w:keepNext/>
              <w:keepLines/>
              <w:tabs>
                <w:tab w:val="left" w:pos="-1080"/>
                <w:tab w:val="left" w:pos="562"/>
              </w:tabs>
              <w:autoSpaceDE w:val="0"/>
              <w:spacing w:after="160"/>
              <w:ind w:left="15"/>
              <w:jc w:val="center"/>
              <w:rPr>
                <w:rFonts w:eastAsia="Calibri"/>
                <w:sz w:val="22"/>
                <w:szCs w:val="22"/>
                <w:lang w:val="sr-Latn-ME" w:eastAsia="bs-Latn-BA"/>
              </w:rPr>
            </w:pPr>
            <w:r w:rsidRPr="003B242C">
              <w:rPr>
                <w:b/>
                <w:bCs/>
                <w:sz w:val="22"/>
                <w:szCs w:val="22"/>
                <w:lang w:val="sr-Latn-ME" w:eastAsia="bs-Latn-BA"/>
              </w:rPr>
              <w:t>N=38</w:t>
            </w:r>
          </w:p>
        </w:tc>
        <w:tc>
          <w:tcPr>
            <w:tcW w:w="1495" w:type="dxa"/>
            <w:gridSpan w:val="6"/>
            <w:tcBorders>
              <w:top w:val="single" w:sz="1" w:space="0" w:color="000000"/>
              <w:left w:val="single" w:sz="1" w:space="0" w:color="000000"/>
              <w:bottom w:val="single" w:sz="1" w:space="0" w:color="000000"/>
              <w:right w:val="single" w:sz="1" w:space="0" w:color="000000"/>
            </w:tcBorders>
            <w:shd w:val="clear" w:color="auto" w:fill="FFFFFF"/>
            <w:vAlign w:val="bottom"/>
          </w:tcPr>
          <w:p w14:paraId="328C5F77" w14:textId="77777777" w:rsidR="00596C07" w:rsidRPr="003B242C" w:rsidRDefault="00596C07" w:rsidP="00596C07">
            <w:pPr>
              <w:keepNext/>
              <w:tabs>
                <w:tab w:val="left" w:pos="562"/>
              </w:tabs>
              <w:autoSpaceDE w:val="0"/>
              <w:snapToGrid w:val="0"/>
              <w:spacing w:after="160"/>
              <w:ind w:left="15"/>
              <w:rPr>
                <w:rFonts w:eastAsia="Calibri"/>
                <w:sz w:val="22"/>
                <w:szCs w:val="22"/>
                <w:lang w:val="sr-Latn-ME" w:eastAsia="bs-Latn-BA"/>
              </w:rPr>
            </w:pPr>
          </w:p>
        </w:tc>
      </w:tr>
      <w:tr w:rsidR="00596C07" w:rsidRPr="004500D8" w14:paraId="4EB5CACF" w14:textId="77777777" w:rsidTr="003B242C">
        <w:trPr>
          <w:trHeight w:val="439"/>
        </w:trPr>
        <w:tc>
          <w:tcPr>
            <w:tcW w:w="3205" w:type="dxa"/>
            <w:tcBorders>
              <w:top w:val="single" w:sz="1" w:space="0" w:color="000000"/>
              <w:left w:val="single" w:sz="1" w:space="0" w:color="000000"/>
              <w:bottom w:val="single" w:sz="1" w:space="0" w:color="000000"/>
            </w:tcBorders>
            <w:shd w:val="clear" w:color="auto" w:fill="FFFFFF"/>
            <w:vAlign w:val="bottom"/>
          </w:tcPr>
          <w:p w14:paraId="358E9977" w14:textId="4522F4A3" w:rsidR="00596C07" w:rsidRPr="003B242C" w:rsidRDefault="00596C07" w:rsidP="00596C07">
            <w:pPr>
              <w:keepNext/>
              <w:keepLines/>
              <w:tabs>
                <w:tab w:val="left" w:pos="-1080"/>
                <w:tab w:val="left" w:pos="562"/>
              </w:tabs>
              <w:autoSpaceDE w:val="0"/>
              <w:spacing w:after="160"/>
              <w:rPr>
                <w:sz w:val="22"/>
                <w:szCs w:val="22"/>
                <w:lang w:val="sr-Latn-ME" w:eastAsia="bs-Latn-BA"/>
              </w:rPr>
            </w:pPr>
            <w:r w:rsidRPr="003B242C">
              <w:rPr>
                <w:sz w:val="22"/>
                <w:szCs w:val="22"/>
                <w:lang w:val="sr-Latn-ME" w:eastAsia="bs-Latn-BA"/>
              </w:rPr>
              <w:t>26</w:t>
            </w:r>
            <w:r w:rsidR="00EF17AB" w:rsidRPr="003B242C">
              <w:rPr>
                <w:sz w:val="22"/>
                <w:szCs w:val="22"/>
                <w:lang w:val="sr-Latn-ME" w:eastAsia="bs-Latn-BA"/>
              </w:rPr>
              <w:t>. nedjelja</w:t>
            </w:r>
          </w:p>
        </w:tc>
        <w:tc>
          <w:tcPr>
            <w:tcW w:w="1987" w:type="dxa"/>
            <w:tcBorders>
              <w:top w:val="single" w:sz="1" w:space="0" w:color="000000"/>
              <w:left w:val="single" w:sz="1" w:space="0" w:color="000000"/>
              <w:bottom w:val="single" w:sz="1" w:space="0" w:color="000000"/>
            </w:tcBorders>
            <w:shd w:val="clear" w:color="auto" w:fill="FFFFFF"/>
            <w:vAlign w:val="bottom"/>
          </w:tcPr>
          <w:p w14:paraId="3AA22A85"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84,8%</w:t>
            </w:r>
          </w:p>
        </w:tc>
        <w:tc>
          <w:tcPr>
            <w:tcW w:w="1863" w:type="dxa"/>
            <w:tcBorders>
              <w:top w:val="single" w:sz="1" w:space="0" w:color="000000"/>
              <w:left w:val="single" w:sz="1" w:space="0" w:color="000000"/>
              <w:bottom w:val="single" w:sz="1" w:space="0" w:color="000000"/>
            </w:tcBorders>
            <w:shd w:val="clear" w:color="auto" w:fill="FFFFFF"/>
            <w:vAlign w:val="bottom"/>
          </w:tcPr>
          <w:p w14:paraId="7A46044F"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65,8%</w:t>
            </w:r>
          </w:p>
        </w:tc>
        <w:tc>
          <w:tcPr>
            <w:tcW w:w="1495" w:type="dxa"/>
            <w:gridSpan w:val="6"/>
            <w:tcBorders>
              <w:top w:val="single" w:sz="1" w:space="0" w:color="000000"/>
              <w:left w:val="single" w:sz="1" w:space="0" w:color="000000"/>
              <w:bottom w:val="single" w:sz="1" w:space="0" w:color="000000"/>
              <w:right w:val="single" w:sz="1" w:space="0" w:color="000000"/>
            </w:tcBorders>
            <w:shd w:val="clear" w:color="auto" w:fill="FFFFFF"/>
            <w:vAlign w:val="bottom"/>
          </w:tcPr>
          <w:p w14:paraId="6B203C4A"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0,066</w:t>
            </w:r>
          </w:p>
        </w:tc>
      </w:tr>
      <w:tr w:rsidR="00596C07" w:rsidRPr="004500D8" w14:paraId="22AB820E" w14:textId="77777777" w:rsidTr="00596C07">
        <w:trPr>
          <w:trHeight w:val="23"/>
        </w:trPr>
        <w:tc>
          <w:tcPr>
            <w:tcW w:w="3205" w:type="dxa"/>
            <w:tcBorders>
              <w:top w:val="single" w:sz="1" w:space="0" w:color="000000"/>
              <w:left w:val="single" w:sz="1" w:space="0" w:color="000000"/>
              <w:bottom w:val="single" w:sz="1" w:space="0" w:color="000000"/>
            </w:tcBorders>
            <w:shd w:val="clear" w:color="auto" w:fill="FFFFFF"/>
            <w:vAlign w:val="bottom"/>
          </w:tcPr>
          <w:p w14:paraId="2F323EA4" w14:textId="690FF82A" w:rsidR="00596C07" w:rsidRPr="003B242C" w:rsidRDefault="00596C07" w:rsidP="00596C07">
            <w:pPr>
              <w:keepNext/>
              <w:keepLines/>
              <w:tabs>
                <w:tab w:val="left" w:pos="-1080"/>
                <w:tab w:val="left" w:pos="562"/>
              </w:tabs>
              <w:autoSpaceDE w:val="0"/>
              <w:spacing w:after="160"/>
              <w:rPr>
                <w:sz w:val="22"/>
                <w:szCs w:val="22"/>
                <w:lang w:val="sr-Latn-ME" w:eastAsia="bs-Latn-BA"/>
              </w:rPr>
            </w:pPr>
            <w:r w:rsidRPr="003B242C">
              <w:rPr>
                <w:sz w:val="22"/>
                <w:szCs w:val="22"/>
                <w:lang w:val="sr-Latn-ME" w:eastAsia="bs-Latn-BA"/>
              </w:rPr>
              <w:t>52</w:t>
            </w:r>
            <w:r w:rsidR="00EF17AB" w:rsidRPr="003B242C">
              <w:rPr>
                <w:sz w:val="22"/>
                <w:szCs w:val="22"/>
                <w:lang w:val="sr-Latn-ME" w:eastAsia="bs-Latn-BA"/>
              </w:rPr>
              <w:t>. nedjelja</w:t>
            </w:r>
          </w:p>
        </w:tc>
        <w:tc>
          <w:tcPr>
            <w:tcW w:w="1987" w:type="dxa"/>
            <w:tcBorders>
              <w:top w:val="single" w:sz="1" w:space="0" w:color="000000"/>
              <w:left w:val="single" w:sz="1" w:space="0" w:color="000000"/>
              <w:bottom w:val="single" w:sz="1" w:space="0" w:color="000000"/>
            </w:tcBorders>
            <w:shd w:val="clear" w:color="auto" w:fill="FFFFFF"/>
          </w:tcPr>
          <w:p w14:paraId="3599F272"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69,7%</w:t>
            </w:r>
          </w:p>
        </w:tc>
        <w:tc>
          <w:tcPr>
            <w:tcW w:w="1863" w:type="dxa"/>
            <w:tcBorders>
              <w:top w:val="single" w:sz="1" w:space="0" w:color="000000"/>
              <w:left w:val="single" w:sz="1" w:space="0" w:color="000000"/>
              <w:bottom w:val="single" w:sz="1" w:space="0" w:color="000000"/>
            </w:tcBorders>
            <w:shd w:val="clear" w:color="auto" w:fill="FFFFFF"/>
          </w:tcPr>
          <w:p w14:paraId="6DF6C339"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60,5%</w:t>
            </w:r>
          </w:p>
        </w:tc>
        <w:tc>
          <w:tcPr>
            <w:tcW w:w="1495" w:type="dxa"/>
            <w:gridSpan w:val="6"/>
            <w:tcBorders>
              <w:top w:val="single" w:sz="1" w:space="0" w:color="000000"/>
              <w:left w:val="single" w:sz="1" w:space="0" w:color="000000"/>
              <w:bottom w:val="single" w:sz="1" w:space="0" w:color="000000"/>
              <w:right w:val="single" w:sz="1" w:space="0" w:color="000000"/>
            </w:tcBorders>
            <w:shd w:val="clear" w:color="auto" w:fill="FFFFFF"/>
            <w:vAlign w:val="bottom"/>
          </w:tcPr>
          <w:p w14:paraId="2EAC4A4F"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0,420</w:t>
            </w:r>
          </w:p>
        </w:tc>
      </w:tr>
      <w:tr w:rsidR="00596C07" w:rsidRPr="004500D8" w14:paraId="61BA776B" w14:textId="77777777" w:rsidTr="00596C07">
        <w:trPr>
          <w:trHeight w:val="23"/>
        </w:trPr>
        <w:tc>
          <w:tcPr>
            <w:tcW w:w="3205" w:type="dxa"/>
            <w:tcBorders>
              <w:top w:val="single" w:sz="1" w:space="0" w:color="000000"/>
              <w:left w:val="single" w:sz="1" w:space="0" w:color="000000"/>
              <w:bottom w:val="single" w:sz="1" w:space="0" w:color="000000"/>
            </w:tcBorders>
            <w:shd w:val="clear" w:color="auto" w:fill="FFFFFF"/>
            <w:vAlign w:val="bottom"/>
          </w:tcPr>
          <w:p w14:paraId="28A92642" w14:textId="77777777" w:rsidR="00596C07" w:rsidRPr="003B242C" w:rsidRDefault="00596C07" w:rsidP="00596C07">
            <w:pPr>
              <w:keepNext/>
              <w:keepLines/>
              <w:tabs>
                <w:tab w:val="left" w:pos="-1080"/>
                <w:tab w:val="left" w:pos="562"/>
              </w:tabs>
              <w:autoSpaceDE w:val="0"/>
              <w:spacing w:after="160"/>
              <w:rPr>
                <w:b/>
                <w:bCs/>
                <w:sz w:val="22"/>
                <w:szCs w:val="22"/>
                <w:lang w:val="sr-Latn-ME" w:eastAsia="bs-Latn-BA"/>
              </w:rPr>
            </w:pPr>
            <w:r w:rsidRPr="003B242C">
              <w:rPr>
                <w:b/>
                <w:bCs/>
                <w:sz w:val="22"/>
                <w:szCs w:val="22"/>
                <w:lang w:val="sr-Latn-ME" w:eastAsia="bs-Latn-BA"/>
              </w:rPr>
              <w:t>Prekinuta primjena imunomodulatora</w:t>
            </w:r>
            <w:r w:rsidRPr="003B242C">
              <w:rPr>
                <w:b/>
                <w:bCs/>
                <w:position w:val="6"/>
                <w:sz w:val="22"/>
                <w:szCs w:val="22"/>
                <w:vertAlign w:val="superscript"/>
                <w:lang w:val="sr-Latn-ME" w:eastAsia="bs-Latn-BA"/>
              </w:rPr>
              <w:t>2</w:t>
            </w:r>
          </w:p>
        </w:tc>
        <w:tc>
          <w:tcPr>
            <w:tcW w:w="1987" w:type="dxa"/>
            <w:tcBorders>
              <w:top w:val="single" w:sz="1" w:space="0" w:color="000000"/>
              <w:left w:val="single" w:sz="1" w:space="0" w:color="000000"/>
              <w:bottom w:val="single" w:sz="1" w:space="0" w:color="000000"/>
            </w:tcBorders>
            <w:shd w:val="clear" w:color="auto" w:fill="FFFFFF"/>
            <w:vAlign w:val="bottom"/>
          </w:tcPr>
          <w:p w14:paraId="7C2D7D47" w14:textId="77777777" w:rsidR="00596C07" w:rsidRPr="003B242C" w:rsidRDefault="00596C07" w:rsidP="00596C07">
            <w:pPr>
              <w:keepNext/>
              <w:keepLines/>
              <w:tabs>
                <w:tab w:val="left" w:pos="-1080"/>
                <w:tab w:val="left" w:pos="562"/>
              </w:tabs>
              <w:autoSpaceDE w:val="0"/>
              <w:spacing w:after="160"/>
              <w:ind w:left="15"/>
              <w:jc w:val="center"/>
              <w:rPr>
                <w:b/>
                <w:bCs/>
                <w:sz w:val="22"/>
                <w:szCs w:val="22"/>
                <w:lang w:val="sr-Latn-ME" w:eastAsia="bs-Latn-BA"/>
              </w:rPr>
            </w:pPr>
            <w:r w:rsidRPr="003B242C">
              <w:rPr>
                <w:b/>
                <w:bCs/>
                <w:sz w:val="22"/>
                <w:szCs w:val="22"/>
                <w:lang w:val="sr-Latn-ME" w:eastAsia="bs-Latn-BA"/>
              </w:rPr>
              <w:t>N=60</w:t>
            </w:r>
          </w:p>
        </w:tc>
        <w:tc>
          <w:tcPr>
            <w:tcW w:w="1863" w:type="dxa"/>
            <w:tcBorders>
              <w:top w:val="single" w:sz="1" w:space="0" w:color="000000"/>
              <w:left w:val="single" w:sz="1" w:space="0" w:color="000000"/>
              <w:bottom w:val="single" w:sz="1" w:space="0" w:color="000000"/>
            </w:tcBorders>
            <w:shd w:val="clear" w:color="auto" w:fill="FFFFFF"/>
            <w:vAlign w:val="bottom"/>
          </w:tcPr>
          <w:p w14:paraId="782BFBAF" w14:textId="77777777" w:rsidR="00596C07" w:rsidRPr="003B242C" w:rsidRDefault="00596C07" w:rsidP="00596C07">
            <w:pPr>
              <w:keepNext/>
              <w:keepLines/>
              <w:tabs>
                <w:tab w:val="left" w:pos="-1080"/>
                <w:tab w:val="left" w:pos="562"/>
              </w:tabs>
              <w:autoSpaceDE w:val="0"/>
              <w:spacing w:after="160"/>
              <w:ind w:left="15"/>
              <w:jc w:val="center"/>
              <w:rPr>
                <w:rFonts w:eastAsia="Calibri"/>
                <w:sz w:val="22"/>
                <w:szCs w:val="22"/>
                <w:lang w:val="sr-Latn-ME" w:eastAsia="bs-Latn-BA"/>
              </w:rPr>
            </w:pPr>
            <w:r w:rsidRPr="003B242C">
              <w:rPr>
                <w:b/>
                <w:bCs/>
                <w:sz w:val="22"/>
                <w:szCs w:val="22"/>
                <w:lang w:val="sr-Latn-ME" w:eastAsia="bs-Latn-BA"/>
              </w:rPr>
              <w:t>N=57</w:t>
            </w:r>
          </w:p>
        </w:tc>
        <w:tc>
          <w:tcPr>
            <w:tcW w:w="1495" w:type="dxa"/>
            <w:gridSpan w:val="6"/>
            <w:tcBorders>
              <w:top w:val="single" w:sz="1" w:space="0" w:color="000000"/>
              <w:left w:val="single" w:sz="1" w:space="0" w:color="000000"/>
              <w:bottom w:val="single" w:sz="1" w:space="0" w:color="000000"/>
              <w:right w:val="single" w:sz="1" w:space="0" w:color="000000"/>
            </w:tcBorders>
            <w:shd w:val="clear" w:color="auto" w:fill="FFFFFF"/>
            <w:vAlign w:val="bottom"/>
          </w:tcPr>
          <w:p w14:paraId="4A63622F" w14:textId="77777777" w:rsidR="00596C07" w:rsidRPr="003B242C" w:rsidRDefault="00596C07" w:rsidP="00596C07">
            <w:pPr>
              <w:keepNext/>
              <w:tabs>
                <w:tab w:val="left" w:pos="562"/>
              </w:tabs>
              <w:autoSpaceDE w:val="0"/>
              <w:snapToGrid w:val="0"/>
              <w:spacing w:after="160"/>
              <w:ind w:left="15"/>
              <w:rPr>
                <w:rFonts w:eastAsia="Calibri"/>
                <w:sz w:val="22"/>
                <w:szCs w:val="22"/>
                <w:lang w:val="sr-Latn-ME" w:eastAsia="bs-Latn-BA"/>
              </w:rPr>
            </w:pPr>
          </w:p>
        </w:tc>
      </w:tr>
      <w:tr w:rsidR="00596C07" w:rsidRPr="004500D8" w14:paraId="315128FF" w14:textId="77777777" w:rsidTr="00596C07">
        <w:trPr>
          <w:trHeight w:val="23"/>
        </w:trPr>
        <w:tc>
          <w:tcPr>
            <w:tcW w:w="3205" w:type="dxa"/>
            <w:tcBorders>
              <w:top w:val="single" w:sz="1" w:space="0" w:color="000000"/>
              <w:left w:val="single" w:sz="1" w:space="0" w:color="000000"/>
              <w:bottom w:val="single" w:sz="1" w:space="0" w:color="000000"/>
            </w:tcBorders>
            <w:shd w:val="clear" w:color="auto" w:fill="FFFFFF"/>
          </w:tcPr>
          <w:p w14:paraId="4984359D" w14:textId="24B05321" w:rsidR="00596C07" w:rsidRPr="003B242C" w:rsidRDefault="00596C07" w:rsidP="00596C07">
            <w:pPr>
              <w:keepNext/>
              <w:keepLines/>
              <w:tabs>
                <w:tab w:val="left" w:pos="-1080"/>
                <w:tab w:val="left" w:pos="562"/>
              </w:tabs>
              <w:autoSpaceDE w:val="0"/>
              <w:spacing w:after="160"/>
              <w:rPr>
                <w:sz w:val="22"/>
                <w:szCs w:val="22"/>
                <w:lang w:val="sr-Latn-ME" w:eastAsia="bs-Latn-BA"/>
              </w:rPr>
            </w:pPr>
            <w:r w:rsidRPr="003B242C">
              <w:rPr>
                <w:sz w:val="22"/>
                <w:szCs w:val="22"/>
                <w:lang w:val="sr-Latn-ME" w:eastAsia="bs-Latn-BA"/>
              </w:rPr>
              <w:t>52</w:t>
            </w:r>
            <w:r w:rsidR="00EF17AB" w:rsidRPr="003B242C">
              <w:rPr>
                <w:sz w:val="22"/>
                <w:szCs w:val="22"/>
                <w:lang w:val="sr-Latn-ME" w:eastAsia="bs-Latn-BA"/>
              </w:rPr>
              <w:t>. nedjelja</w:t>
            </w:r>
          </w:p>
        </w:tc>
        <w:tc>
          <w:tcPr>
            <w:tcW w:w="1987" w:type="dxa"/>
            <w:tcBorders>
              <w:top w:val="single" w:sz="1" w:space="0" w:color="000000"/>
              <w:left w:val="single" w:sz="1" w:space="0" w:color="000000"/>
              <w:bottom w:val="single" w:sz="1" w:space="0" w:color="000000"/>
            </w:tcBorders>
            <w:shd w:val="clear" w:color="auto" w:fill="FFFFFF"/>
          </w:tcPr>
          <w:p w14:paraId="70099788"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30,0%</w:t>
            </w:r>
          </w:p>
        </w:tc>
        <w:tc>
          <w:tcPr>
            <w:tcW w:w="1863" w:type="dxa"/>
            <w:tcBorders>
              <w:top w:val="single" w:sz="1" w:space="0" w:color="000000"/>
              <w:left w:val="single" w:sz="1" w:space="0" w:color="000000"/>
              <w:bottom w:val="single" w:sz="1" w:space="0" w:color="000000"/>
            </w:tcBorders>
            <w:shd w:val="clear" w:color="auto" w:fill="FFFFFF"/>
          </w:tcPr>
          <w:p w14:paraId="3B0731E5"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29,8%</w:t>
            </w:r>
          </w:p>
        </w:tc>
        <w:tc>
          <w:tcPr>
            <w:tcW w:w="1495" w:type="dxa"/>
            <w:gridSpan w:val="6"/>
            <w:tcBorders>
              <w:top w:val="single" w:sz="1" w:space="0" w:color="000000"/>
              <w:left w:val="single" w:sz="1" w:space="0" w:color="000000"/>
              <w:bottom w:val="single" w:sz="1" w:space="0" w:color="000000"/>
              <w:right w:val="single" w:sz="1" w:space="0" w:color="000000"/>
            </w:tcBorders>
            <w:shd w:val="clear" w:color="auto" w:fill="FFFFFF"/>
          </w:tcPr>
          <w:p w14:paraId="1E11F0D7"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0,983</w:t>
            </w:r>
          </w:p>
        </w:tc>
      </w:tr>
      <w:tr w:rsidR="00596C07" w:rsidRPr="004500D8" w14:paraId="497AB233" w14:textId="77777777" w:rsidTr="00596C07">
        <w:trPr>
          <w:trHeight w:val="23"/>
        </w:trPr>
        <w:tc>
          <w:tcPr>
            <w:tcW w:w="3205" w:type="dxa"/>
            <w:tcBorders>
              <w:top w:val="single" w:sz="1" w:space="0" w:color="000000"/>
              <w:left w:val="single" w:sz="1" w:space="0" w:color="000000"/>
              <w:bottom w:val="single" w:sz="1" w:space="0" w:color="000000"/>
            </w:tcBorders>
            <w:shd w:val="clear" w:color="auto" w:fill="FFFFFF"/>
          </w:tcPr>
          <w:p w14:paraId="119E7DA8" w14:textId="77777777" w:rsidR="00596C07" w:rsidRPr="003B242C" w:rsidRDefault="00596C07" w:rsidP="00596C07">
            <w:pPr>
              <w:keepNext/>
              <w:keepLines/>
              <w:tabs>
                <w:tab w:val="left" w:pos="-1080"/>
                <w:tab w:val="left" w:pos="562"/>
              </w:tabs>
              <w:autoSpaceDE w:val="0"/>
              <w:spacing w:after="160"/>
              <w:rPr>
                <w:b/>
                <w:bCs/>
                <w:sz w:val="22"/>
                <w:szCs w:val="22"/>
                <w:lang w:val="sr-Latn-ME" w:eastAsia="bs-Latn-BA"/>
              </w:rPr>
            </w:pPr>
            <w:r w:rsidRPr="003B242C">
              <w:rPr>
                <w:b/>
                <w:bCs/>
                <w:sz w:val="22"/>
                <w:szCs w:val="22"/>
                <w:lang w:val="sr-Latn-ME" w:eastAsia="bs-Latn-BA"/>
              </w:rPr>
              <w:t>Remisija fistula</w:t>
            </w:r>
            <w:r w:rsidRPr="003B242C">
              <w:rPr>
                <w:b/>
                <w:bCs/>
                <w:position w:val="6"/>
                <w:sz w:val="22"/>
                <w:szCs w:val="22"/>
                <w:vertAlign w:val="superscript"/>
                <w:lang w:val="sr-Latn-ME" w:eastAsia="bs-Latn-BA"/>
              </w:rPr>
              <w:t>3</w:t>
            </w:r>
          </w:p>
        </w:tc>
        <w:tc>
          <w:tcPr>
            <w:tcW w:w="1987" w:type="dxa"/>
            <w:tcBorders>
              <w:top w:val="single" w:sz="1" w:space="0" w:color="000000"/>
              <w:left w:val="single" w:sz="1" w:space="0" w:color="000000"/>
              <w:bottom w:val="single" w:sz="1" w:space="0" w:color="000000"/>
            </w:tcBorders>
            <w:shd w:val="clear" w:color="auto" w:fill="FFFFFF"/>
          </w:tcPr>
          <w:p w14:paraId="0847404B" w14:textId="77777777" w:rsidR="00596C07" w:rsidRPr="003B242C" w:rsidRDefault="00596C07" w:rsidP="00596C07">
            <w:pPr>
              <w:keepNext/>
              <w:keepLines/>
              <w:tabs>
                <w:tab w:val="left" w:pos="-1080"/>
                <w:tab w:val="left" w:pos="562"/>
              </w:tabs>
              <w:autoSpaceDE w:val="0"/>
              <w:spacing w:after="160"/>
              <w:ind w:left="15"/>
              <w:jc w:val="center"/>
              <w:rPr>
                <w:b/>
                <w:bCs/>
                <w:sz w:val="22"/>
                <w:szCs w:val="22"/>
                <w:lang w:val="sr-Latn-ME" w:eastAsia="bs-Latn-BA"/>
              </w:rPr>
            </w:pPr>
            <w:r w:rsidRPr="003B242C">
              <w:rPr>
                <w:b/>
                <w:bCs/>
                <w:sz w:val="22"/>
                <w:szCs w:val="22"/>
                <w:lang w:val="sr-Latn-ME" w:eastAsia="bs-Latn-BA"/>
              </w:rPr>
              <w:t>N=15</w:t>
            </w:r>
          </w:p>
        </w:tc>
        <w:tc>
          <w:tcPr>
            <w:tcW w:w="1863" w:type="dxa"/>
            <w:tcBorders>
              <w:top w:val="single" w:sz="1" w:space="0" w:color="000000"/>
              <w:left w:val="single" w:sz="1" w:space="0" w:color="000000"/>
              <w:bottom w:val="single" w:sz="1" w:space="0" w:color="000000"/>
            </w:tcBorders>
            <w:shd w:val="clear" w:color="auto" w:fill="FFFFFF"/>
          </w:tcPr>
          <w:p w14:paraId="307A41CF" w14:textId="77777777" w:rsidR="00596C07" w:rsidRPr="003B242C" w:rsidRDefault="00596C07" w:rsidP="00596C07">
            <w:pPr>
              <w:keepNext/>
              <w:keepLines/>
              <w:tabs>
                <w:tab w:val="left" w:pos="-1080"/>
                <w:tab w:val="left" w:pos="562"/>
              </w:tabs>
              <w:autoSpaceDE w:val="0"/>
              <w:spacing w:after="160"/>
              <w:ind w:left="15"/>
              <w:jc w:val="center"/>
              <w:rPr>
                <w:rFonts w:eastAsia="Calibri"/>
                <w:sz w:val="22"/>
                <w:szCs w:val="22"/>
                <w:lang w:val="sr-Latn-ME" w:eastAsia="bs-Latn-BA"/>
              </w:rPr>
            </w:pPr>
            <w:r w:rsidRPr="003B242C">
              <w:rPr>
                <w:b/>
                <w:bCs/>
                <w:sz w:val="22"/>
                <w:szCs w:val="22"/>
                <w:lang w:val="sr-Latn-ME" w:eastAsia="bs-Latn-BA"/>
              </w:rPr>
              <w:t>N=21</w:t>
            </w:r>
          </w:p>
        </w:tc>
        <w:tc>
          <w:tcPr>
            <w:tcW w:w="1495" w:type="dxa"/>
            <w:gridSpan w:val="6"/>
            <w:tcBorders>
              <w:top w:val="single" w:sz="1" w:space="0" w:color="000000"/>
              <w:left w:val="single" w:sz="1" w:space="0" w:color="000000"/>
              <w:bottom w:val="single" w:sz="1" w:space="0" w:color="000000"/>
              <w:right w:val="single" w:sz="1" w:space="0" w:color="000000"/>
            </w:tcBorders>
            <w:shd w:val="clear" w:color="auto" w:fill="FFFFFF"/>
          </w:tcPr>
          <w:p w14:paraId="5D3B5D64" w14:textId="77777777" w:rsidR="00596C07" w:rsidRPr="003B242C" w:rsidRDefault="00596C07" w:rsidP="00596C07">
            <w:pPr>
              <w:keepNext/>
              <w:keepLines/>
              <w:tabs>
                <w:tab w:val="left" w:pos="-1080"/>
                <w:tab w:val="left" w:pos="562"/>
              </w:tabs>
              <w:autoSpaceDE w:val="0"/>
              <w:snapToGrid w:val="0"/>
              <w:spacing w:after="160"/>
              <w:ind w:left="15"/>
              <w:jc w:val="center"/>
              <w:rPr>
                <w:rFonts w:eastAsia="Calibri"/>
                <w:sz w:val="22"/>
                <w:szCs w:val="22"/>
                <w:lang w:val="sr-Latn-ME" w:eastAsia="bs-Latn-BA"/>
              </w:rPr>
            </w:pPr>
          </w:p>
        </w:tc>
      </w:tr>
      <w:tr w:rsidR="00596C07" w:rsidRPr="004500D8" w14:paraId="63E7BE58" w14:textId="77777777" w:rsidTr="00596C07">
        <w:trPr>
          <w:trHeight w:val="23"/>
        </w:trPr>
        <w:tc>
          <w:tcPr>
            <w:tcW w:w="3205" w:type="dxa"/>
            <w:tcBorders>
              <w:top w:val="single" w:sz="1" w:space="0" w:color="000000"/>
              <w:left w:val="single" w:sz="1" w:space="0" w:color="000000"/>
              <w:bottom w:val="single" w:sz="1" w:space="0" w:color="000000"/>
            </w:tcBorders>
            <w:shd w:val="clear" w:color="auto" w:fill="FFFFFF"/>
          </w:tcPr>
          <w:p w14:paraId="03132573" w14:textId="1B71D3BC" w:rsidR="00596C07" w:rsidRPr="003B242C" w:rsidRDefault="00596C07" w:rsidP="00596C07">
            <w:pPr>
              <w:keepNext/>
              <w:keepLines/>
              <w:tabs>
                <w:tab w:val="left" w:pos="-1080"/>
                <w:tab w:val="left" w:pos="562"/>
              </w:tabs>
              <w:autoSpaceDE w:val="0"/>
              <w:spacing w:after="160"/>
              <w:rPr>
                <w:sz w:val="22"/>
                <w:szCs w:val="22"/>
                <w:lang w:val="sr-Latn-ME" w:eastAsia="bs-Latn-BA"/>
              </w:rPr>
            </w:pPr>
            <w:r w:rsidRPr="003B242C">
              <w:rPr>
                <w:sz w:val="22"/>
                <w:szCs w:val="22"/>
                <w:lang w:val="sr-Latn-ME" w:eastAsia="bs-Latn-BA"/>
              </w:rPr>
              <w:t>26</w:t>
            </w:r>
            <w:r w:rsidR="00EF17AB" w:rsidRPr="003B242C">
              <w:rPr>
                <w:sz w:val="22"/>
                <w:szCs w:val="22"/>
                <w:lang w:val="sr-Latn-ME" w:eastAsia="bs-Latn-BA"/>
              </w:rPr>
              <w:t xml:space="preserve">. nedjelja </w:t>
            </w:r>
          </w:p>
        </w:tc>
        <w:tc>
          <w:tcPr>
            <w:tcW w:w="1987" w:type="dxa"/>
            <w:tcBorders>
              <w:top w:val="single" w:sz="1" w:space="0" w:color="000000"/>
              <w:left w:val="single" w:sz="1" w:space="0" w:color="000000"/>
              <w:bottom w:val="single" w:sz="1" w:space="0" w:color="000000"/>
            </w:tcBorders>
            <w:shd w:val="clear" w:color="auto" w:fill="FFFFFF"/>
          </w:tcPr>
          <w:p w14:paraId="109054DE"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46,7%</w:t>
            </w:r>
          </w:p>
        </w:tc>
        <w:tc>
          <w:tcPr>
            <w:tcW w:w="1863" w:type="dxa"/>
            <w:tcBorders>
              <w:top w:val="single" w:sz="1" w:space="0" w:color="000000"/>
              <w:left w:val="single" w:sz="1" w:space="0" w:color="000000"/>
              <w:bottom w:val="single" w:sz="1" w:space="0" w:color="000000"/>
            </w:tcBorders>
            <w:shd w:val="clear" w:color="auto" w:fill="FFFFFF"/>
          </w:tcPr>
          <w:p w14:paraId="0C1482F3"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38,1%</w:t>
            </w:r>
          </w:p>
        </w:tc>
        <w:tc>
          <w:tcPr>
            <w:tcW w:w="1495" w:type="dxa"/>
            <w:gridSpan w:val="6"/>
            <w:tcBorders>
              <w:top w:val="single" w:sz="1" w:space="0" w:color="000000"/>
              <w:left w:val="single" w:sz="1" w:space="0" w:color="000000"/>
              <w:bottom w:val="single" w:sz="1" w:space="0" w:color="000000"/>
              <w:right w:val="single" w:sz="1" w:space="0" w:color="000000"/>
            </w:tcBorders>
            <w:shd w:val="clear" w:color="auto" w:fill="FFFFFF"/>
          </w:tcPr>
          <w:p w14:paraId="09F05489"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0,608</w:t>
            </w:r>
          </w:p>
        </w:tc>
      </w:tr>
      <w:tr w:rsidR="00596C07" w:rsidRPr="004500D8" w14:paraId="22612374" w14:textId="77777777" w:rsidTr="00596C07">
        <w:trPr>
          <w:trHeight w:val="23"/>
        </w:trPr>
        <w:tc>
          <w:tcPr>
            <w:tcW w:w="3205" w:type="dxa"/>
            <w:tcBorders>
              <w:top w:val="single" w:sz="1" w:space="0" w:color="000000"/>
              <w:left w:val="single" w:sz="1" w:space="0" w:color="000000"/>
              <w:bottom w:val="single" w:sz="1" w:space="0" w:color="000000"/>
            </w:tcBorders>
            <w:shd w:val="clear" w:color="auto" w:fill="FFFFFF"/>
          </w:tcPr>
          <w:p w14:paraId="4C7E271C" w14:textId="78D4965B" w:rsidR="00596C07" w:rsidRPr="003B242C" w:rsidRDefault="00596C07" w:rsidP="00596C07">
            <w:pPr>
              <w:keepNext/>
              <w:keepLines/>
              <w:tabs>
                <w:tab w:val="left" w:pos="-1080"/>
                <w:tab w:val="left" w:pos="562"/>
              </w:tabs>
              <w:autoSpaceDE w:val="0"/>
              <w:spacing w:after="160"/>
              <w:rPr>
                <w:sz w:val="22"/>
                <w:szCs w:val="22"/>
                <w:lang w:val="sr-Latn-ME" w:eastAsia="bs-Latn-BA"/>
              </w:rPr>
            </w:pPr>
            <w:r w:rsidRPr="003B242C">
              <w:rPr>
                <w:sz w:val="22"/>
                <w:szCs w:val="22"/>
                <w:lang w:val="sr-Latn-ME" w:eastAsia="bs-Latn-BA"/>
              </w:rPr>
              <w:t>52</w:t>
            </w:r>
            <w:r w:rsidR="00EF17AB" w:rsidRPr="003B242C">
              <w:rPr>
                <w:sz w:val="22"/>
                <w:szCs w:val="22"/>
                <w:lang w:val="sr-Latn-ME" w:eastAsia="bs-Latn-BA"/>
              </w:rPr>
              <w:t xml:space="preserve">. nedjelja </w:t>
            </w:r>
          </w:p>
        </w:tc>
        <w:tc>
          <w:tcPr>
            <w:tcW w:w="1987" w:type="dxa"/>
            <w:tcBorders>
              <w:top w:val="single" w:sz="1" w:space="0" w:color="000000"/>
              <w:left w:val="single" w:sz="1" w:space="0" w:color="000000"/>
              <w:bottom w:val="single" w:sz="1" w:space="0" w:color="000000"/>
            </w:tcBorders>
            <w:shd w:val="clear" w:color="auto" w:fill="FFFFFF"/>
          </w:tcPr>
          <w:p w14:paraId="1EAF41A7"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40,0%</w:t>
            </w:r>
          </w:p>
        </w:tc>
        <w:tc>
          <w:tcPr>
            <w:tcW w:w="1863" w:type="dxa"/>
            <w:tcBorders>
              <w:top w:val="single" w:sz="1" w:space="0" w:color="000000"/>
              <w:left w:val="single" w:sz="1" w:space="0" w:color="000000"/>
              <w:bottom w:val="single" w:sz="1" w:space="0" w:color="000000"/>
            </w:tcBorders>
            <w:shd w:val="clear" w:color="auto" w:fill="FFFFFF"/>
          </w:tcPr>
          <w:p w14:paraId="44766D66"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23,8%</w:t>
            </w:r>
          </w:p>
        </w:tc>
        <w:tc>
          <w:tcPr>
            <w:tcW w:w="1495" w:type="dxa"/>
            <w:gridSpan w:val="6"/>
            <w:tcBorders>
              <w:top w:val="single" w:sz="1" w:space="0" w:color="000000"/>
              <w:left w:val="single" w:sz="1" w:space="0" w:color="000000"/>
              <w:bottom w:val="single" w:sz="1" w:space="0" w:color="000000"/>
              <w:right w:val="single" w:sz="1" w:space="0" w:color="000000"/>
            </w:tcBorders>
            <w:shd w:val="clear" w:color="auto" w:fill="FFFFFF"/>
          </w:tcPr>
          <w:p w14:paraId="0E4FB1B5" w14:textId="77777777" w:rsidR="00596C07" w:rsidRPr="003B242C" w:rsidRDefault="00596C07" w:rsidP="00596C07">
            <w:pPr>
              <w:keepNext/>
              <w:keepLines/>
              <w:tabs>
                <w:tab w:val="left" w:pos="-1080"/>
                <w:tab w:val="left" w:pos="562"/>
              </w:tabs>
              <w:autoSpaceDE w:val="0"/>
              <w:spacing w:after="160"/>
              <w:ind w:left="15"/>
              <w:jc w:val="center"/>
              <w:rPr>
                <w:sz w:val="22"/>
                <w:szCs w:val="22"/>
                <w:lang w:val="sr-Latn-ME" w:eastAsia="bs-Latn-BA"/>
              </w:rPr>
            </w:pPr>
            <w:r w:rsidRPr="003B242C">
              <w:rPr>
                <w:sz w:val="22"/>
                <w:szCs w:val="22"/>
                <w:lang w:val="sr-Latn-ME" w:eastAsia="bs-Latn-BA"/>
              </w:rPr>
              <w:t>0,303</w:t>
            </w:r>
          </w:p>
        </w:tc>
      </w:tr>
      <w:tr w:rsidR="00596C07" w:rsidRPr="004500D8" w14:paraId="716F6AD5" w14:textId="77777777" w:rsidTr="00596C07">
        <w:tblPrEx>
          <w:tblCellMar>
            <w:left w:w="0" w:type="dxa"/>
            <w:right w:w="0" w:type="dxa"/>
          </w:tblCellMar>
        </w:tblPrEx>
        <w:trPr>
          <w:gridAfter w:val="1"/>
          <w:wAfter w:w="6" w:type="dxa"/>
          <w:trHeight w:val="177"/>
        </w:trPr>
        <w:tc>
          <w:tcPr>
            <w:tcW w:w="8440" w:type="dxa"/>
            <w:gridSpan w:val="4"/>
            <w:tcBorders>
              <w:top w:val="single" w:sz="1" w:space="0" w:color="000000"/>
            </w:tcBorders>
            <w:shd w:val="clear" w:color="auto" w:fill="FFFFFF"/>
          </w:tcPr>
          <w:p w14:paraId="0399E38C" w14:textId="77777777" w:rsidR="00596C07" w:rsidRPr="003B242C" w:rsidRDefault="00596C07" w:rsidP="003B242C">
            <w:pPr>
              <w:keepLines/>
              <w:tabs>
                <w:tab w:val="left" w:pos="-1080"/>
                <w:tab w:val="left" w:pos="562"/>
              </w:tabs>
              <w:autoSpaceDE w:val="0"/>
              <w:rPr>
                <w:position w:val="6"/>
                <w:sz w:val="22"/>
                <w:szCs w:val="22"/>
                <w:lang w:val="sr-Latn-ME" w:eastAsia="bs-Latn-BA"/>
              </w:rPr>
            </w:pPr>
            <w:r w:rsidRPr="003B242C">
              <w:rPr>
                <w:position w:val="6"/>
                <w:sz w:val="22"/>
                <w:szCs w:val="22"/>
                <w:lang w:val="sr-Latn-ME" w:eastAsia="bs-Latn-BA"/>
              </w:rPr>
              <w:t>1</w:t>
            </w:r>
            <w:r w:rsidRPr="003B242C">
              <w:rPr>
                <w:sz w:val="22"/>
                <w:szCs w:val="22"/>
                <w:lang w:val="sr-Latn-ME" w:eastAsia="bs-Latn-BA"/>
              </w:rPr>
              <w:t>p vrijednost za standardnu dozu u poređenju sa niskom dozom.</w:t>
            </w:r>
          </w:p>
          <w:p w14:paraId="41BB337F" w14:textId="77777777" w:rsidR="00596C07" w:rsidRPr="003B242C" w:rsidRDefault="00596C07" w:rsidP="003B242C">
            <w:pPr>
              <w:keepLines/>
              <w:tabs>
                <w:tab w:val="left" w:pos="-1080"/>
                <w:tab w:val="left" w:pos="562"/>
              </w:tabs>
              <w:autoSpaceDE w:val="0"/>
              <w:rPr>
                <w:position w:val="6"/>
                <w:sz w:val="22"/>
                <w:szCs w:val="22"/>
                <w:lang w:val="sr-Latn-ME" w:eastAsia="bs-Latn-BA"/>
              </w:rPr>
            </w:pPr>
            <w:r w:rsidRPr="003B242C">
              <w:rPr>
                <w:position w:val="6"/>
                <w:sz w:val="22"/>
                <w:szCs w:val="22"/>
                <w:lang w:val="sr-Latn-ME" w:eastAsia="bs-Latn-BA"/>
              </w:rPr>
              <w:t xml:space="preserve"> 2</w:t>
            </w:r>
            <w:r w:rsidRPr="003B242C">
              <w:rPr>
                <w:sz w:val="22"/>
                <w:szCs w:val="22"/>
                <w:lang w:val="sr-Latn-ME" w:eastAsia="bs-Latn-BA"/>
              </w:rPr>
              <w:t xml:space="preserve"> Imunosupresivna terapija mogla se obustaviti samo u Sedmici 26 ili kasnije, prema slobodnoj procjeni ispitivača ako je ispitanik ispunio kriterij kliničkog odgovora </w:t>
            </w:r>
          </w:p>
          <w:p w14:paraId="45B36D79" w14:textId="77777777" w:rsidR="00596C07" w:rsidRPr="003B242C" w:rsidRDefault="00596C07" w:rsidP="003B242C">
            <w:pPr>
              <w:keepLines/>
              <w:tabs>
                <w:tab w:val="left" w:pos="-1080"/>
                <w:tab w:val="left" w:pos="562"/>
              </w:tabs>
              <w:autoSpaceDE w:val="0"/>
              <w:jc w:val="both"/>
              <w:rPr>
                <w:lang w:val="sr-Latn-ME" w:eastAsia="bs-Latn-BA"/>
              </w:rPr>
            </w:pPr>
            <w:r w:rsidRPr="003B242C">
              <w:rPr>
                <w:position w:val="6"/>
                <w:sz w:val="22"/>
                <w:szCs w:val="22"/>
                <w:lang w:val="sr-Latn-ME" w:eastAsia="bs-Latn-BA"/>
              </w:rPr>
              <w:t>3</w:t>
            </w:r>
            <w:r w:rsidRPr="003B242C">
              <w:rPr>
                <w:sz w:val="22"/>
                <w:szCs w:val="22"/>
                <w:lang w:val="sr-Latn-ME" w:eastAsia="bs-Latn-BA"/>
              </w:rPr>
              <w:t xml:space="preserve"> definisano kao zatvaranje svih fistula iz kojih se na početku cijedio sadržaj, održano kroz barem 2 uzastopna posjeta nakon početka liječenja</w:t>
            </w:r>
          </w:p>
        </w:tc>
        <w:tc>
          <w:tcPr>
            <w:tcW w:w="26" w:type="dxa"/>
            <w:shd w:val="clear" w:color="auto" w:fill="auto"/>
          </w:tcPr>
          <w:p w14:paraId="0F7B88BC" w14:textId="77777777" w:rsidR="00596C07" w:rsidRPr="003B242C" w:rsidRDefault="00596C07" w:rsidP="00596C07">
            <w:pPr>
              <w:snapToGrid w:val="0"/>
              <w:spacing w:after="160" w:line="259" w:lineRule="auto"/>
              <w:rPr>
                <w:lang w:val="sr-Latn-ME" w:eastAsia="bs-Latn-BA"/>
              </w:rPr>
            </w:pPr>
          </w:p>
        </w:tc>
        <w:tc>
          <w:tcPr>
            <w:tcW w:w="26" w:type="dxa"/>
            <w:shd w:val="clear" w:color="auto" w:fill="auto"/>
          </w:tcPr>
          <w:p w14:paraId="11395C9B" w14:textId="77777777" w:rsidR="00596C07" w:rsidRPr="003B242C" w:rsidRDefault="00596C07" w:rsidP="00596C07">
            <w:pPr>
              <w:snapToGrid w:val="0"/>
              <w:spacing w:after="160" w:line="259" w:lineRule="auto"/>
              <w:rPr>
                <w:lang w:val="sr-Latn-ME" w:eastAsia="bs-Latn-BA"/>
              </w:rPr>
            </w:pPr>
          </w:p>
        </w:tc>
        <w:tc>
          <w:tcPr>
            <w:tcW w:w="26" w:type="dxa"/>
            <w:shd w:val="clear" w:color="auto" w:fill="auto"/>
          </w:tcPr>
          <w:p w14:paraId="60A264A6" w14:textId="77777777" w:rsidR="00596C07" w:rsidRPr="003B242C" w:rsidRDefault="00596C07" w:rsidP="00596C07">
            <w:pPr>
              <w:snapToGrid w:val="0"/>
              <w:spacing w:after="160" w:line="259" w:lineRule="auto"/>
              <w:rPr>
                <w:lang w:val="sr-Latn-ME" w:eastAsia="bs-Latn-BA"/>
              </w:rPr>
            </w:pPr>
          </w:p>
        </w:tc>
        <w:tc>
          <w:tcPr>
            <w:tcW w:w="26" w:type="dxa"/>
            <w:shd w:val="clear" w:color="auto" w:fill="auto"/>
          </w:tcPr>
          <w:p w14:paraId="50FC12F0" w14:textId="77777777" w:rsidR="00596C07" w:rsidRPr="003B242C" w:rsidRDefault="00596C07" w:rsidP="00596C07">
            <w:pPr>
              <w:snapToGrid w:val="0"/>
              <w:spacing w:after="160" w:line="259" w:lineRule="auto"/>
              <w:rPr>
                <w:lang w:val="sr-Latn-ME" w:eastAsia="bs-Latn-BA"/>
              </w:rPr>
            </w:pPr>
          </w:p>
        </w:tc>
      </w:tr>
    </w:tbl>
    <w:p w14:paraId="5A6271ED" w14:textId="77777777" w:rsidR="00596C07" w:rsidRPr="003B242C" w:rsidRDefault="00596C07" w:rsidP="003B242C">
      <w:pPr>
        <w:tabs>
          <w:tab w:val="left" w:pos="562"/>
        </w:tabs>
        <w:autoSpaceDE w:val="0"/>
        <w:spacing w:after="160"/>
        <w:jc w:val="both"/>
        <w:rPr>
          <w:lang w:val="sr-Latn-ME" w:eastAsia="bs-Latn-BA"/>
        </w:rPr>
      </w:pPr>
    </w:p>
    <w:p w14:paraId="0DB97761" w14:textId="212295BF" w:rsidR="00596C07" w:rsidRPr="003B242C" w:rsidRDefault="00596C07" w:rsidP="003B242C">
      <w:pPr>
        <w:tabs>
          <w:tab w:val="left" w:pos="562"/>
        </w:tabs>
        <w:autoSpaceDE w:val="0"/>
        <w:spacing w:after="160"/>
        <w:jc w:val="both"/>
        <w:rPr>
          <w:u w:val="single"/>
          <w:lang w:val="sr-Latn-ME" w:eastAsia="bs-Latn-BA"/>
        </w:rPr>
      </w:pPr>
      <w:r w:rsidRPr="003B242C">
        <w:rPr>
          <w:lang w:val="sr-Latn-ME" w:eastAsia="bs-Latn-BA"/>
        </w:rPr>
        <w:t xml:space="preserve">U obje grupe su zabilježena statistički značajna povećanja (poboljšanja) indeksa tjelesne mase i brzine rasta u </w:t>
      </w:r>
      <w:r w:rsidR="00EF17AB" w:rsidRPr="003B242C">
        <w:rPr>
          <w:lang w:val="sr-Latn-ME" w:eastAsia="bs-Latn-BA"/>
        </w:rPr>
        <w:t xml:space="preserve">26. nedjelji </w:t>
      </w:r>
      <w:r w:rsidRPr="003B242C">
        <w:rPr>
          <w:lang w:val="sr-Latn-ME" w:eastAsia="bs-Latn-BA"/>
        </w:rPr>
        <w:t xml:space="preserve"> i </w:t>
      </w:r>
      <w:r w:rsidR="00EF17AB" w:rsidRPr="003B242C">
        <w:rPr>
          <w:lang w:val="sr-Latn-ME" w:eastAsia="bs-Latn-BA"/>
        </w:rPr>
        <w:t>52. nedjelji</w:t>
      </w:r>
      <w:r w:rsidRPr="003B242C">
        <w:rPr>
          <w:lang w:val="sr-Latn-ME" w:eastAsia="bs-Latn-BA"/>
        </w:rPr>
        <w:t xml:space="preserve"> u odnosu na početne vrijednosti.</w:t>
      </w:r>
    </w:p>
    <w:p w14:paraId="1F257565" w14:textId="77777777" w:rsidR="00596C07" w:rsidRPr="003B242C" w:rsidRDefault="00596C07">
      <w:pPr>
        <w:tabs>
          <w:tab w:val="left" w:pos="562"/>
        </w:tabs>
        <w:autoSpaceDE w:val="0"/>
        <w:spacing w:before="240" w:after="240"/>
        <w:jc w:val="both"/>
        <w:rPr>
          <w:lang w:val="sr-Latn-ME" w:eastAsia="bs-Latn-BA"/>
        </w:rPr>
      </w:pPr>
      <w:r w:rsidRPr="003B242C">
        <w:rPr>
          <w:lang w:val="sr-Latn-ME" w:eastAsia="bs-Latn-BA"/>
        </w:rPr>
        <w:lastRenderedPageBreak/>
        <w:t>Takođe su u obje grupe u odnosu na početne vrijednosti zabilježena statistički i klinički značajna poboljšanja parametara kvalitete života (uključujući IMPACT III).</w:t>
      </w:r>
    </w:p>
    <w:p w14:paraId="1106D40B" w14:textId="53E4CD35" w:rsidR="00596C07" w:rsidRPr="003B242C" w:rsidRDefault="00596C07" w:rsidP="00596C07">
      <w:pPr>
        <w:tabs>
          <w:tab w:val="left" w:pos="562"/>
        </w:tabs>
        <w:suppressAutoHyphens/>
        <w:spacing w:before="240" w:after="240"/>
        <w:jc w:val="both"/>
        <w:rPr>
          <w:i/>
          <w:iCs/>
          <w:lang w:val="sr-Latn-ME"/>
        </w:rPr>
      </w:pPr>
      <w:r w:rsidRPr="003B242C">
        <w:rPr>
          <w:lang w:val="sr-Latn-ME"/>
        </w:rPr>
        <w:t xml:space="preserve">Stotinu </w:t>
      </w:r>
      <w:r w:rsidR="00EF17AB" w:rsidRPr="003B242C">
        <w:rPr>
          <w:lang w:val="sr-Latn-ME"/>
        </w:rPr>
        <w:t xml:space="preserve">pacijenata </w:t>
      </w:r>
      <w:r w:rsidRPr="003B242C">
        <w:rPr>
          <w:lang w:val="sr-Latn-ME"/>
        </w:rPr>
        <w:t xml:space="preserve">(n=100) iz ispitivanja pedijatrijskih bolesnika sa Crohnovom bolešću (engl. </w:t>
      </w:r>
      <w:r w:rsidRPr="003B242C">
        <w:rPr>
          <w:i/>
          <w:lang w:val="sr-Latn-ME"/>
        </w:rPr>
        <w:t>Paediatric CD Study</w:t>
      </w:r>
      <w:r w:rsidRPr="003B242C">
        <w:rPr>
          <w:lang w:val="sr-Latn-ME"/>
        </w:rPr>
        <w:t>) nastavilo je</w:t>
      </w:r>
      <w:r w:rsidRPr="003B242C">
        <w:rPr>
          <w:rFonts w:ascii="Calibri" w:eastAsia="Calibri" w:hAnsi="Calibri"/>
          <w:sz w:val="22"/>
          <w:szCs w:val="22"/>
          <w:lang w:val="sr-Latn-ME"/>
        </w:rPr>
        <w:t xml:space="preserve"> </w:t>
      </w:r>
      <w:r w:rsidRPr="003B242C">
        <w:rPr>
          <w:lang w:val="sr-Latn-ME"/>
        </w:rPr>
        <w:t xml:space="preserve">učestvovanje u otvorenom dugotrajnom produžetaku ispitivanja. Nakon 5 godina terapije adalimumabom, 74,0% (37/50) od 50 </w:t>
      </w:r>
      <w:r w:rsidR="00EF17AB" w:rsidRPr="003B242C">
        <w:rPr>
          <w:lang w:val="sr-Latn-ME"/>
        </w:rPr>
        <w:t>pacijenat</w:t>
      </w:r>
      <w:r w:rsidRPr="003B242C">
        <w:rPr>
          <w:lang w:val="sr-Latn-ME"/>
        </w:rPr>
        <w:t xml:space="preserve">a koji su ostali u ispitivanju i dalje je bilo u kliničkoj remisiji dok je 92,0% (46/50) </w:t>
      </w:r>
      <w:r w:rsidR="00EF17AB" w:rsidRPr="003B242C">
        <w:rPr>
          <w:lang w:val="sr-Latn-ME"/>
        </w:rPr>
        <w:t>pacijenata</w:t>
      </w:r>
      <w:r w:rsidRPr="003B242C">
        <w:rPr>
          <w:lang w:val="sr-Latn-ME"/>
        </w:rPr>
        <w:t xml:space="preserve"> i dalje imalo klinički odgovor prema PCDAI rezultatu</w:t>
      </w:r>
    </w:p>
    <w:p w14:paraId="4E01577A" w14:textId="0404C74A" w:rsidR="00596C07" w:rsidRPr="003B242C" w:rsidRDefault="00596C07" w:rsidP="00596C07">
      <w:pPr>
        <w:tabs>
          <w:tab w:val="left" w:pos="562"/>
        </w:tabs>
        <w:suppressAutoHyphens/>
        <w:jc w:val="both"/>
        <w:rPr>
          <w:i/>
          <w:iCs/>
          <w:sz w:val="22"/>
          <w:szCs w:val="22"/>
          <w:lang w:val="sr-Latn-ME"/>
        </w:rPr>
      </w:pPr>
      <w:r w:rsidRPr="003B242C">
        <w:rPr>
          <w:i/>
          <w:iCs/>
          <w:sz w:val="22"/>
          <w:szCs w:val="22"/>
          <w:lang w:val="sr-Latn-ME"/>
        </w:rPr>
        <w:t>Ulcerozni kolitis kod djece</w:t>
      </w:r>
    </w:p>
    <w:p w14:paraId="465E0819" w14:textId="77777777" w:rsidR="00EF17AB" w:rsidRPr="003B242C" w:rsidRDefault="00EF17AB" w:rsidP="00596C07">
      <w:pPr>
        <w:tabs>
          <w:tab w:val="left" w:pos="562"/>
        </w:tabs>
        <w:suppressAutoHyphens/>
        <w:jc w:val="both"/>
        <w:rPr>
          <w:iCs/>
          <w:sz w:val="22"/>
          <w:szCs w:val="22"/>
          <w:lang w:val="sr-Latn-ME"/>
        </w:rPr>
      </w:pPr>
    </w:p>
    <w:p w14:paraId="2485C6FA" w14:textId="433C59B4" w:rsidR="00596C07" w:rsidRPr="003B242C" w:rsidRDefault="00596C07" w:rsidP="00596C07">
      <w:pPr>
        <w:tabs>
          <w:tab w:val="left" w:pos="562"/>
        </w:tabs>
        <w:suppressAutoHyphens/>
        <w:jc w:val="both"/>
        <w:rPr>
          <w:iCs/>
          <w:sz w:val="22"/>
          <w:szCs w:val="22"/>
          <w:lang w:val="sr-Latn-ME"/>
        </w:rPr>
      </w:pPr>
      <w:r w:rsidRPr="003B242C">
        <w:rPr>
          <w:iCs/>
          <w:sz w:val="22"/>
          <w:szCs w:val="22"/>
          <w:lang w:val="sr-Latn-ME"/>
        </w:rPr>
        <w:t>Sigurnost i efikasnost lijeka Humira ocjenjivali su se u multicentričnom, randomiz</w:t>
      </w:r>
      <w:r w:rsidR="00EF17AB" w:rsidRPr="003B242C">
        <w:rPr>
          <w:iCs/>
          <w:sz w:val="22"/>
          <w:szCs w:val="22"/>
          <w:lang w:val="sr-Latn-ME"/>
        </w:rPr>
        <w:t>ovanom</w:t>
      </w:r>
      <w:r w:rsidRPr="003B242C">
        <w:rPr>
          <w:iCs/>
          <w:sz w:val="22"/>
          <w:szCs w:val="22"/>
          <w:lang w:val="sr-Latn-ME"/>
        </w:rPr>
        <w:t xml:space="preserve">, dvostruko slijepom ispitivanju provedenom kod 93 pedijatrijska </w:t>
      </w:r>
      <w:r w:rsidR="00EF17AB" w:rsidRPr="003B242C">
        <w:rPr>
          <w:iCs/>
          <w:sz w:val="22"/>
          <w:szCs w:val="22"/>
          <w:lang w:val="sr-Latn-ME"/>
        </w:rPr>
        <w:t>pacijenta uzrasta</w:t>
      </w:r>
      <w:r w:rsidRPr="003B242C">
        <w:rPr>
          <w:iCs/>
          <w:sz w:val="22"/>
          <w:szCs w:val="22"/>
          <w:lang w:val="sr-Latn-ME"/>
        </w:rPr>
        <w:t xml:space="preserve"> od 5 do 17 godina sa umjerenim do teškim oblikom ulceroznog kolitisa (Mayo rezultat od 6 do 12 uz endoskopski podrezultat od 2 do 3 boda, potvrđen centralno očitanim rezultatima endoskopije) koji nisu postigli zadovoljavajući odgovor ili nisu podnosili konvencionalnu terapiju. Oko 16% </w:t>
      </w:r>
      <w:r w:rsidR="00EF17AB" w:rsidRPr="003B242C">
        <w:rPr>
          <w:iCs/>
          <w:sz w:val="22"/>
          <w:szCs w:val="22"/>
          <w:lang w:val="sr-Latn-ME"/>
        </w:rPr>
        <w:t xml:space="preserve">pacijenata </w:t>
      </w:r>
      <w:r w:rsidRPr="003B242C">
        <w:rPr>
          <w:iCs/>
          <w:sz w:val="22"/>
          <w:szCs w:val="22"/>
          <w:lang w:val="sr-Latn-ME"/>
        </w:rPr>
        <w:t xml:space="preserve">u ispitivanju nije imalo uspjeha sa prethodnim liječenjem antagonistom TNF-a. </w:t>
      </w:r>
      <w:r w:rsidR="00EF17AB" w:rsidRPr="003B242C">
        <w:rPr>
          <w:iCs/>
          <w:sz w:val="22"/>
          <w:szCs w:val="22"/>
          <w:lang w:val="sr-Latn-ME"/>
        </w:rPr>
        <w:t xml:space="preserve">Pacijentima </w:t>
      </w:r>
      <w:r w:rsidRPr="003B242C">
        <w:rPr>
          <w:iCs/>
          <w:sz w:val="22"/>
          <w:szCs w:val="22"/>
          <w:lang w:val="sr-Latn-ME"/>
        </w:rPr>
        <w:t xml:space="preserve">koji su primali kortikosteroide pri uključivanju bilo je dopušteno postepeno smanjenje doze kortikosteroida nakon </w:t>
      </w:r>
      <w:r w:rsidR="00EF17AB" w:rsidRPr="003B242C">
        <w:rPr>
          <w:iCs/>
          <w:sz w:val="22"/>
          <w:szCs w:val="22"/>
          <w:lang w:val="sr-Latn-ME"/>
        </w:rPr>
        <w:t xml:space="preserve">4. nedjelje. </w:t>
      </w:r>
    </w:p>
    <w:p w14:paraId="3B2F2EA0" w14:textId="77777777" w:rsidR="00596C07" w:rsidRPr="003B242C" w:rsidRDefault="00596C07" w:rsidP="00596C07">
      <w:pPr>
        <w:tabs>
          <w:tab w:val="left" w:pos="562"/>
        </w:tabs>
        <w:suppressAutoHyphens/>
        <w:jc w:val="both"/>
        <w:rPr>
          <w:iCs/>
          <w:sz w:val="22"/>
          <w:szCs w:val="22"/>
          <w:lang w:val="sr-Latn-ME"/>
        </w:rPr>
      </w:pPr>
    </w:p>
    <w:p w14:paraId="0D69FFF7" w14:textId="44FF1079" w:rsidR="00596C07" w:rsidRPr="003B242C" w:rsidRDefault="00596C07" w:rsidP="00596C07">
      <w:pPr>
        <w:tabs>
          <w:tab w:val="left" w:pos="562"/>
        </w:tabs>
        <w:suppressAutoHyphens/>
        <w:jc w:val="both"/>
        <w:rPr>
          <w:iCs/>
          <w:sz w:val="22"/>
          <w:szCs w:val="22"/>
          <w:lang w:val="sr-Latn-ME"/>
        </w:rPr>
      </w:pPr>
      <w:r w:rsidRPr="003B242C">
        <w:rPr>
          <w:iCs/>
          <w:sz w:val="22"/>
          <w:szCs w:val="22"/>
          <w:lang w:val="sr-Latn-ME"/>
        </w:rPr>
        <w:t>U indukcijskom periodu ispitivanja, 77 </w:t>
      </w:r>
      <w:r w:rsidR="00EF17AB" w:rsidRPr="003B242C">
        <w:rPr>
          <w:iCs/>
          <w:sz w:val="22"/>
          <w:szCs w:val="22"/>
          <w:lang w:val="sr-Latn-ME"/>
        </w:rPr>
        <w:t xml:space="preserve">pacijenata </w:t>
      </w:r>
      <w:r w:rsidRPr="003B242C">
        <w:rPr>
          <w:iCs/>
          <w:sz w:val="22"/>
          <w:szCs w:val="22"/>
          <w:lang w:val="sr-Latn-ME"/>
        </w:rPr>
        <w:t>bilo je randomiz</w:t>
      </w:r>
      <w:r w:rsidR="00EF17AB" w:rsidRPr="003B242C">
        <w:rPr>
          <w:iCs/>
          <w:sz w:val="22"/>
          <w:szCs w:val="22"/>
          <w:lang w:val="sr-Latn-ME"/>
        </w:rPr>
        <w:t>ovano</w:t>
      </w:r>
      <w:r w:rsidRPr="003B242C">
        <w:rPr>
          <w:iCs/>
          <w:sz w:val="22"/>
          <w:szCs w:val="22"/>
          <w:lang w:val="sr-Latn-ME"/>
        </w:rPr>
        <w:t xml:space="preserve"> u o</w:t>
      </w:r>
      <w:r w:rsidR="00EF17AB" w:rsidRPr="003B242C">
        <w:rPr>
          <w:iCs/>
          <w:sz w:val="22"/>
          <w:szCs w:val="22"/>
          <w:lang w:val="sr-Latn-ME"/>
        </w:rPr>
        <w:t xml:space="preserve">dnosu </w:t>
      </w:r>
      <w:r w:rsidRPr="003B242C">
        <w:rPr>
          <w:iCs/>
          <w:sz w:val="22"/>
          <w:szCs w:val="22"/>
          <w:lang w:val="sr-Latn-ME"/>
        </w:rPr>
        <w:t>3:2 za primanje dvostruko slijepog liječenja sa lijekom Humira u indukcijskoj dozi od 2,4 mg/kg (maksimalno 160 mg) u Sedmici 0 i Sedmici 1; te 1,2 mg/kg (maksimalno 80 mg) u Sedmici 2 ili u indukcijskoj dozi od 2,4 mg/kg (maksimalno 160 mg) u Sedmici 0 te placeba u Sedmici 1 i 1,2 mg/kg (maksimalno 80 mg) u Sedmici 2.</w:t>
      </w:r>
      <w:r w:rsidRPr="003B242C">
        <w:rPr>
          <w:sz w:val="22"/>
          <w:szCs w:val="22"/>
          <w:lang w:val="sr-Latn-ME"/>
        </w:rPr>
        <w:t xml:space="preserve"> </w:t>
      </w:r>
      <w:r w:rsidRPr="003B242C">
        <w:rPr>
          <w:iCs/>
          <w:sz w:val="22"/>
          <w:szCs w:val="22"/>
          <w:lang w:val="sr-Latn-ME"/>
        </w:rPr>
        <w:t xml:space="preserve">Obje grupe su primile 0,6 mg/kg (maksimalno 40 mg) u Sedmici 4 i Sedmici 6. Nakon izmjene i dopune plana ispitivanja, preostalih 16 </w:t>
      </w:r>
      <w:r w:rsidR="00EF17AB" w:rsidRPr="003B242C">
        <w:rPr>
          <w:iCs/>
          <w:sz w:val="22"/>
          <w:szCs w:val="22"/>
          <w:lang w:val="sr-Latn-ME"/>
        </w:rPr>
        <w:t xml:space="preserve">pacijenata </w:t>
      </w:r>
      <w:r w:rsidRPr="003B242C">
        <w:rPr>
          <w:iCs/>
          <w:sz w:val="22"/>
          <w:szCs w:val="22"/>
          <w:lang w:val="sr-Latn-ME"/>
        </w:rPr>
        <w:t xml:space="preserve">koji su se uključili u indukcijski period primilo je otvoreno liječenje lijekom Humira u indukcijskoj dozi od 2,4 mg/kg (maksimalno 160 mg) u </w:t>
      </w:r>
      <w:r w:rsidR="00EF17AB" w:rsidRPr="003B242C">
        <w:rPr>
          <w:iCs/>
          <w:sz w:val="22"/>
          <w:szCs w:val="22"/>
          <w:lang w:val="sr-Latn-ME"/>
        </w:rPr>
        <w:t>nultoj nedjelji</w:t>
      </w:r>
      <w:r w:rsidRPr="003B242C">
        <w:rPr>
          <w:iCs/>
          <w:sz w:val="22"/>
          <w:szCs w:val="22"/>
          <w:lang w:val="sr-Latn-ME"/>
        </w:rPr>
        <w:t xml:space="preserve"> i </w:t>
      </w:r>
      <w:r w:rsidR="00EF17AB" w:rsidRPr="003B242C">
        <w:rPr>
          <w:iCs/>
          <w:sz w:val="22"/>
          <w:szCs w:val="22"/>
          <w:lang w:val="sr-Latn-ME"/>
        </w:rPr>
        <w:t>prvoj nedjelji</w:t>
      </w:r>
      <w:r w:rsidRPr="003B242C">
        <w:rPr>
          <w:iCs/>
          <w:sz w:val="22"/>
          <w:szCs w:val="22"/>
          <w:lang w:val="sr-Latn-ME"/>
        </w:rPr>
        <w:t xml:space="preserve">; te 1,2 mg/kg (maksimalno 80 mg) u </w:t>
      </w:r>
      <w:r w:rsidR="00EF17AB" w:rsidRPr="003B242C">
        <w:rPr>
          <w:iCs/>
          <w:sz w:val="22"/>
          <w:szCs w:val="22"/>
          <w:lang w:val="sr-Latn-ME"/>
        </w:rPr>
        <w:t xml:space="preserve">drugoj nedjelji. </w:t>
      </w:r>
    </w:p>
    <w:p w14:paraId="368D7183" w14:textId="090B3A6E" w:rsidR="00596C07" w:rsidRPr="003B242C" w:rsidRDefault="00596C07" w:rsidP="00596C07">
      <w:pPr>
        <w:tabs>
          <w:tab w:val="left" w:pos="562"/>
        </w:tabs>
        <w:suppressAutoHyphens/>
        <w:jc w:val="both"/>
        <w:rPr>
          <w:iCs/>
          <w:sz w:val="22"/>
          <w:szCs w:val="22"/>
          <w:lang w:val="sr-Latn-ME"/>
        </w:rPr>
      </w:pPr>
      <w:r w:rsidRPr="003B242C">
        <w:rPr>
          <w:iCs/>
          <w:sz w:val="22"/>
          <w:szCs w:val="22"/>
          <w:lang w:val="sr-Latn-ME"/>
        </w:rPr>
        <w:t xml:space="preserve">U </w:t>
      </w:r>
      <w:r w:rsidR="00EF17AB" w:rsidRPr="003B242C">
        <w:rPr>
          <w:iCs/>
          <w:sz w:val="22"/>
          <w:szCs w:val="22"/>
          <w:lang w:val="sr-Latn-ME"/>
        </w:rPr>
        <w:t>8. nedjelji</w:t>
      </w:r>
      <w:r w:rsidRPr="003B242C">
        <w:rPr>
          <w:iCs/>
          <w:sz w:val="22"/>
          <w:szCs w:val="22"/>
          <w:lang w:val="sr-Latn-ME"/>
        </w:rPr>
        <w:t xml:space="preserve"> 62 </w:t>
      </w:r>
      <w:r w:rsidR="00EF17AB" w:rsidRPr="003B242C">
        <w:rPr>
          <w:iCs/>
          <w:sz w:val="22"/>
          <w:szCs w:val="22"/>
          <w:lang w:val="sr-Latn-ME"/>
        </w:rPr>
        <w:t xml:space="preserve">pacijenta </w:t>
      </w:r>
      <w:r w:rsidRPr="003B242C">
        <w:rPr>
          <w:iCs/>
          <w:sz w:val="22"/>
          <w:szCs w:val="22"/>
          <w:lang w:val="sr-Latn-ME"/>
        </w:rPr>
        <w:t xml:space="preserve">koja su pokazala klinički odgovor prema djelimičnom Mayo rezultatu (engl. </w:t>
      </w:r>
      <w:r w:rsidRPr="003B242C">
        <w:rPr>
          <w:i/>
          <w:sz w:val="22"/>
          <w:szCs w:val="22"/>
          <w:lang w:val="sr-Latn-ME"/>
        </w:rPr>
        <w:t>Partial Mayo Score</w:t>
      </w:r>
      <w:r w:rsidRPr="003B242C">
        <w:rPr>
          <w:iCs/>
          <w:sz w:val="22"/>
          <w:szCs w:val="22"/>
          <w:lang w:val="sr-Latn-ME"/>
        </w:rPr>
        <w:t xml:space="preserve">, PMS; definisan kao smanjenje PMS-a ≥ 2 boda i ≥ 30% u odnosu na početne vrijednosti) ravnomjerno su randomizirana za primanje dvostruko slijepog liječenja održavanja lijekom Humira u dozi od 0,6 mg/kg (maksimalno 40 mg) svake </w:t>
      </w:r>
      <w:r w:rsidR="00EF17AB" w:rsidRPr="003B242C">
        <w:rPr>
          <w:iCs/>
          <w:sz w:val="22"/>
          <w:szCs w:val="22"/>
          <w:lang w:val="sr-Latn-ME"/>
        </w:rPr>
        <w:t xml:space="preserve">nedjelje </w:t>
      </w:r>
      <w:r w:rsidRPr="003B242C">
        <w:rPr>
          <w:iCs/>
          <w:sz w:val="22"/>
          <w:szCs w:val="22"/>
          <w:lang w:val="sr-Latn-ME"/>
        </w:rPr>
        <w:t xml:space="preserve">ili doze održavanja od 0,6 mg/kg (maksimalno 40 mg) svake druge </w:t>
      </w:r>
      <w:r w:rsidR="00EF17AB" w:rsidRPr="003B242C">
        <w:rPr>
          <w:iCs/>
          <w:sz w:val="22"/>
          <w:szCs w:val="22"/>
          <w:lang w:val="sr-Latn-ME"/>
        </w:rPr>
        <w:t>nedjelje</w:t>
      </w:r>
      <w:r w:rsidRPr="003B242C">
        <w:rPr>
          <w:iCs/>
          <w:sz w:val="22"/>
          <w:szCs w:val="22"/>
          <w:lang w:val="sr-Latn-ME"/>
        </w:rPr>
        <w:t xml:space="preserve">. Prije izmjene i dopune plana ispitivanja 12 dodatnih </w:t>
      </w:r>
      <w:r w:rsidR="00EF17AB" w:rsidRPr="003B242C">
        <w:rPr>
          <w:iCs/>
          <w:sz w:val="22"/>
          <w:szCs w:val="22"/>
          <w:lang w:val="sr-Latn-ME"/>
        </w:rPr>
        <w:t xml:space="preserve">pacijenata </w:t>
      </w:r>
      <w:r w:rsidRPr="003B242C">
        <w:rPr>
          <w:iCs/>
          <w:sz w:val="22"/>
          <w:szCs w:val="22"/>
          <w:lang w:val="sr-Latn-ME"/>
        </w:rPr>
        <w:t>koji su pokazali klinički odgovor prema PMS-u randomizirano je za primanje placeba, no nije uključeno u potvrdnu analizu efikasnosti.</w:t>
      </w:r>
    </w:p>
    <w:p w14:paraId="6B486CB4" w14:textId="77777777" w:rsidR="00596C07" w:rsidRPr="003B242C" w:rsidRDefault="00596C07" w:rsidP="00596C07">
      <w:pPr>
        <w:tabs>
          <w:tab w:val="left" w:pos="562"/>
        </w:tabs>
        <w:suppressAutoHyphens/>
        <w:jc w:val="both"/>
        <w:rPr>
          <w:iCs/>
          <w:sz w:val="22"/>
          <w:szCs w:val="22"/>
          <w:lang w:val="sr-Latn-ME"/>
        </w:rPr>
      </w:pPr>
    </w:p>
    <w:p w14:paraId="547F257C" w14:textId="12A9A814" w:rsidR="00596C07" w:rsidRPr="003B242C" w:rsidRDefault="00596C07" w:rsidP="00596C07">
      <w:pPr>
        <w:tabs>
          <w:tab w:val="left" w:pos="562"/>
        </w:tabs>
        <w:suppressAutoHyphens/>
        <w:jc w:val="both"/>
        <w:rPr>
          <w:iCs/>
          <w:sz w:val="22"/>
          <w:szCs w:val="22"/>
          <w:lang w:val="sr-Latn-ME"/>
        </w:rPr>
      </w:pPr>
      <w:r w:rsidRPr="003B242C">
        <w:rPr>
          <w:iCs/>
          <w:sz w:val="22"/>
          <w:szCs w:val="22"/>
          <w:lang w:val="sr-Latn-ME"/>
        </w:rPr>
        <w:t xml:space="preserve">Ponovna reaktivacija bolesti definisana je kao povećanje PMS-a za barem 3 boda (za </w:t>
      </w:r>
      <w:r w:rsidR="00EF17AB" w:rsidRPr="003B242C">
        <w:rPr>
          <w:iCs/>
          <w:sz w:val="22"/>
          <w:szCs w:val="22"/>
          <w:lang w:val="sr-Latn-ME"/>
        </w:rPr>
        <w:t xml:space="preserve">pacijente </w:t>
      </w:r>
      <w:r w:rsidRPr="003B242C">
        <w:rPr>
          <w:iCs/>
          <w:sz w:val="22"/>
          <w:szCs w:val="22"/>
          <w:lang w:val="sr-Latn-ME"/>
        </w:rPr>
        <w:t xml:space="preserve">s PMS-om od 0 do 2 u </w:t>
      </w:r>
      <w:r w:rsidR="00EF17AB" w:rsidRPr="003B242C">
        <w:rPr>
          <w:iCs/>
          <w:sz w:val="22"/>
          <w:szCs w:val="22"/>
          <w:lang w:val="sr-Latn-ME"/>
        </w:rPr>
        <w:t>8. nedjelji</w:t>
      </w:r>
      <w:r w:rsidRPr="003B242C">
        <w:rPr>
          <w:iCs/>
          <w:sz w:val="22"/>
          <w:szCs w:val="22"/>
          <w:lang w:val="sr-Latn-ME"/>
        </w:rPr>
        <w:t xml:space="preserve">), barem 2 boda (za </w:t>
      </w:r>
      <w:r w:rsidR="00EF17AB" w:rsidRPr="003B242C">
        <w:rPr>
          <w:iCs/>
          <w:sz w:val="22"/>
          <w:szCs w:val="22"/>
          <w:lang w:val="sr-Latn-ME"/>
        </w:rPr>
        <w:t>pacijente</w:t>
      </w:r>
      <w:r w:rsidRPr="003B242C">
        <w:rPr>
          <w:iCs/>
          <w:sz w:val="22"/>
          <w:szCs w:val="22"/>
          <w:lang w:val="sr-Latn-ME"/>
        </w:rPr>
        <w:t xml:space="preserve"> s PMS-om od 3 do 4 u </w:t>
      </w:r>
      <w:r w:rsidR="00EF17AB" w:rsidRPr="003B242C">
        <w:rPr>
          <w:iCs/>
          <w:sz w:val="22"/>
          <w:szCs w:val="22"/>
          <w:lang w:val="sr-Latn-ME"/>
        </w:rPr>
        <w:t>8. nedjelji</w:t>
      </w:r>
      <w:r w:rsidRPr="003B242C">
        <w:rPr>
          <w:iCs/>
          <w:sz w:val="22"/>
          <w:szCs w:val="22"/>
          <w:lang w:val="sr-Latn-ME"/>
        </w:rPr>
        <w:t xml:space="preserve">) ili barem 1 bod (za </w:t>
      </w:r>
      <w:r w:rsidR="00EF17AB" w:rsidRPr="003B242C">
        <w:rPr>
          <w:iCs/>
          <w:sz w:val="22"/>
          <w:szCs w:val="22"/>
          <w:lang w:val="sr-Latn-ME"/>
        </w:rPr>
        <w:t xml:space="preserve">pacijente </w:t>
      </w:r>
      <w:r w:rsidRPr="003B242C">
        <w:rPr>
          <w:iCs/>
          <w:sz w:val="22"/>
          <w:szCs w:val="22"/>
          <w:lang w:val="sr-Latn-ME"/>
        </w:rPr>
        <w:t xml:space="preserve">s PMS-om od 5 do 6 u </w:t>
      </w:r>
      <w:r w:rsidR="00EF17AB" w:rsidRPr="003B242C">
        <w:rPr>
          <w:iCs/>
          <w:sz w:val="22"/>
          <w:szCs w:val="22"/>
          <w:lang w:val="sr-Latn-ME"/>
        </w:rPr>
        <w:t>8. nedjelji</w:t>
      </w:r>
      <w:r w:rsidRPr="003B242C">
        <w:rPr>
          <w:iCs/>
          <w:sz w:val="22"/>
          <w:szCs w:val="22"/>
          <w:lang w:val="sr-Latn-ME"/>
        </w:rPr>
        <w:t>).</w:t>
      </w:r>
    </w:p>
    <w:p w14:paraId="2CCDD5B2" w14:textId="77777777" w:rsidR="00596C07" w:rsidRPr="003B242C" w:rsidRDefault="00596C07" w:rsidP="00596C07">
      <w:pPr>
        <w:tabs>
          <w:tab w:val="left" w:pos="562"/>
        </w:tabs>
        <w:suppressAutoHyphens/>
        <w:jc w:val="both"/>
        <w:rPr>
          <w:iCs/>
          <w:sz w:val="22"/>
          <w:szCs w:val="22"/>
          <w:lang w:val="sr-Latn-ME"/>
        </w:rPr>
      </w:pPr>
    </w:p>
    <w:p w14:paraId="6F8BEAB9" w14:textId="602C81E6" w:rsidR="00596C07" w:rsidRPr="003B242C" w:rsidRDefault="00EF17AB" w:rsidP="00596C07">
      <w:pPr>
        <w:tabs>
          <w:tab w:val="left" w:pos="562"/>
        </w:tabs>
        <w:suppressAutoHyphens/>
        <w:jc w:val="both"/>
        <w:rPr>
          <w:iCs/>
          <w:sz w:val="22"/>
          <w:szCs w:val="22"/>
          <w:lang w:val="sr-Latn-ME"/>
        </w:rPr>
      </w:pPr>
      <w:r w:rsidRPr="003B242C">
        <w:rPr>
          <w:iCs/>
          <w:sz w:val="22"/>
          <w:szCs w:val="22"/>
          <w:lang w:val="sr-Latn-ME"/>
        </w:rPr>
        <w:t xml:space="preserve">Pacijenti </w:t>
      </w:r>
      <w:r w:rsidR="00596C07" w:rsidRPr="003B242C">
        <w:rPr>
          <w:iCs/>
          <w:sz w:val="22"/>
          <w:szCs w:val="22"/>
          <w:lang w:val="sr-Latn-ME"/>
        </w:rPr>
        <w:t>koji su ispunili kriterij</w:t>
      </w:r>
      <w:r w:rsidRPr="003B242C">
        <w:rPr>
          <w:iCs/>
          <w:sz w:val="22"/>
          <w:szCs w:val="22"/>
          <w:lang w:val="sr-Latn-ME"/>
        </w:rPr>
        <w:t>ume</w:t>
      </w:r>
      <w:r w:rsidR="00596C07" w:rsidRPr="003B242C">
        <w:rPr>
          <w:iCs/>
          <w:sz w:val="22"/>
          <w:szCs w:val="22"/>
          <w:lang w:val="sr-Latn-ME"/>
        </w:rPr>
        <w:t xml:space="preserve"> za ponovnu reaktivaciju bolesti u 12</w:t>
      </w:r>
      <w:r w:rsidRPr="003B242C">
        <w:rPr>
          <w:iCs/>
          <w:sz w:val="22"/>
          <w:szCs w:val="22"/>
          <w:lang w:val="sr-Latn-ME"/>
        </w:rPr>
        <w:t>. nedjelji</w:t>
      </w:r>
      <w:r w:rsidR="00596C07" w:rsidRPr="003B242C">
        <w:rPr>
          <w:iCs/>
          <w:sz w:val="22"/>
          <w:szCs w:val="22"/>
          <w:lang w:val="sr-Latn-ME"/>
        </w:rPr>
        <w:t xml:space="preserve"> ili kasnije, randomiz</w:t>
      </w:r>
      <w:r w:rsidRPr="003B242C">
        <w:rPr>
          <w:iCs/>
          <w:sz w:val="22"/>
          <w:szCs w:val="22"/>
          <w:lang w:val="sr-Latn-ME"/>
        </w:rPr>
        <w:t>ovani</w:t>
      </w:r>
      <w:r w:rsidR="00596C07" w:rsidRPr="003B242C">
        <w:rPr>
          <w:iCs/>
          <w:sz w:val="22"/>
          <w:szCs w:val="22"/>
          <w:lang w:val="sr-Latn-ME"/>
        </w:rPr>
        <w:t xml:space="preserve"> su za primanje ponovne indukcijske doze od 2,4 mg/kg (maksimalno 160 mg) ili doze od 0,6 mg/kg (maksimalno 40 mg) i nakon toga su nastavili primati svoje doze prema režimu održavanja.</w:t>
      </w:r>
    </w:p>
    <w:p w14:paraId="65B8ABF9" w14:textId="77777777" w:rsidR="00596C07" w:rsidRPr="003B242C" w:rsidRDefault="00596C07" w:rsidP="00596C07">
      <w:pPr>
        <w:tabs>
          <w:tab w:val="left" w:pos="562"/>
        </w:tabs>
        <w:suppressAutoHyphens/>
        <w:jc w:val="both"/>
        <w:rPr>
          <w:iCs/>
          <w:lang w:val="sr-Latn-ME"/>
        </w:rPr>
      </w:pPr>
    </w:p>
    <w:p w14:paraId="78AA5787" w14:textId="77777777" w:rsidR="00596C07" w:rsidRPr="003B242C" w:rsidRDefault="00596C07" w:rsidP="00596C07">
      <w:pPr>
        <w:tabs>
          <w:tab w:val="left" w:pos="562"/>
        </w:tabs>
        <w:suppressAutoHyphens/>
        <w:jc w:val="both"/>
        <w:rPr>
          <w:i/>
          <w:sz w:val="22"/>
          <w:szCs w:val="22"/>
          <w:lang w:val="sr-Latn-ME"/>
        </w:rPr>
      </w:pPr>
      <w:r w:rsidRPr="003B242C">
        <w:rPr>
          <w:i/>
          <w:sz w:val="22"/>
          <w:szCs w:val="22"/>
          <w:lang w:val="sr-Latn-ME"/>
        </w:rPr>
        <w:t>Rezultati efikasnosti</w:t>
      </w:r>
    </w:p>
    <w:p w14:paraId="39ECE1B6" w14:textId="77777777" w:rsidR="00596C07" w:rsidRPr="003B242C" w:rsidRDefault="00596C07" w:rsidP="00596C07">
      <w:pPr>
        <w:tabs>
          <w:tab w:val="left" w:pos="562"/>
        </w:tabs>
        <w:suppressAutoHyphens/>
        <w:jc w:val="both"/>
        <w:rPr>
          <w:iCs/>
          <w:sz w:val="22"/>
          <w:szCs w:val="22"/>
          <w:lang w:val="sr-Latn-ME"/>
        </w:rPr>
      </w:pPr>
    </w:p>
    <w:p w14:paraId="4F9BCCC5" w14:textId="392DCAD6" w:rsidR="00596C07" w:rsidRPr="003B242C" w:rsidRDefault="00596C07" w:rsidP="00596C07">
      <w:pPr>
        <w:tabs>
          <w:tab w:val="left" w:pos="562"/>
        </w:tabs>
        <w:suppressAutoHyphens/>
        <w:jc w:val="both"/>
        <w:rPr>
          <w:iCs/>
          <w:sz w:val="22"/>
          <w:szCs w:val="22"/>
          <w:lang w:val="sr-Latn-ME"/>
        </w:rPr>
      </w:pPr>
      <w:r w:rsidRPr="003B242C">
        <w:rPr>
          <w:iCs/>
          <w:sz w:val="22"/>
          <w:szCs w:val="22"/>
          <w:lang w:val="sr-Latn-ME"/>
        </w:rPr>
        <w:t xml:space="preserve">Koprimarne mjere ishoda ispitivanja bile su klinička remisija prema PMS-u (definisana kao PMS ≤ 2 bez pojedinačnog podrezultata &gt; 1) u </w:t>
      </w:r>
      <w:r w:rsidR="00EF17AB" w:rsidRPr="003B242C">
        <w:rPr>
          <w:iCs/>
          <w:sz w:val="22"/>
          <w:szCs w:val="22"/>
          <w:lang w:val="sr-Latn-ME"/>
        </w:rPr>
        <w:t>8. nedjelji</w:t>
      </w:r>
      <w:r w:rsidRPr="003B242C">
        <w:rPr>
          <w:iCs/>
          <w:sz w:val="22"/>
          <w:szCs w:val="22"/>
          <w:lang w:val="sr-Latn-ME"/>
        </w:rPr>
        <w:t xml:space="preserve"> i klinička remisija prema ukupnom Mayo rezultatu (engl. Full Mayo Score, FMS) (definisana kao rezultat Mayo ≤ 2 bez pojedinačnog podrezultata &gt; 1) u </w:t>
      </w:r>
      <w:r w:rsidR="00EF17AB" w:rsidRPr="003B242C">
        <w:rPr>
          <w:iCs/>
          <w:sz w:val="22"/>
          <w:szCs w:val="22"/>
          <w:lang w:val="sr-Latn-ME"/>
        </w:rPr>
        <w:t>52. nedjelji</w:t>
      </w:r>
      <w:r w:rsidRPr="003B242C">
        <w:rPr>
          <w:iCs/>
          <w:sz w:val="22"/>
          <w:szCs w:val="22"/>
          <w:lang w:val="sr-Latn-ME"/>
        </w:rPr>
        <w:t xml:space="preserve"> kod </w:t>
      </w:r>
      <w:r w:rsidR="00EF17AB" w:rsidRPr="003B242C">
        <w:rPr>
          <w:iCs/>
          <w:sz w:val="22"/>
          <w:szCs w:val="22"/>
          <w:lang w:val="sr-Latn-ME"/>
        </w:rPr>
        <w:t>pacijenat</w:t>
      </w:r>
      <w:r w:rsidRPr="003B242C">
        <w:rPr>
          <w:iCs/>
          <w:sz w:val="22"/>
          <w:szCs w:val="22"/>
          <w:lang w:val="sr-Latn-ME"/>
        </w:rPr>
        <w:t xml:space="preserve">a koji su postigli klinički odgovor prema PMS-u u </w:t>
      </w:r>
      <w:r w:rsidR="00EF17AB" w:rsidRPr="003B242C">
        <w:rPr>
          <w:iCs/>
          <w:sz w:val="22"/>
          <w:szCs w:val="22"/>
          <w:lang w:val="sr-Latn-ME"/>
        </w:rPr>
        <w:t>8. nedjelji</w:t>
      </w:r>
      <w:r w:rsidRPr="003B242C">
        <w:rPr>
          <w:iCs/>
          <w:sz w:val="22"/>
          <w:szCs w:val="22"/>
          <w:lang w:val="sr-Latn-ME"/>
        </w:rPr>
        <w:t>.</w:t>
      </w:r>
    </w:p>
    <w:p w14:paraId="270B909D" w14:textId="77777777" w:rsidR="00596C07" w:rsidRPr="003B242C" w:rsidRDefault="00596C07" w:rsidP="00596C07">
      <w:pPr>
        <w:tabs>
          <w:tab w:val="left" w:pos="562"/>
        </w:tabs>
        <w:suppressAutoHyphens/>
        <w:jc w:val="both"/>
        <w:rPr>
          <w:iCs/>
          <w:sz w:val="22"/>
          <w:szCs w:val="22"/>
          <w:lang w:val="sr-Latn-ME"/>
        </w:rPr>
      </w:pPr>
    </w:p>
    <w:p w14:paraId="01B791DC" w14:textId="2CCB4D48" w:rsidR="00596C07" w:rsidRPr="003B242C" w:rsidRDefault="00596C07" w:rsidP="00596C07">
      <w:pPr>
        <w:tabs>
          <w:tab w:val="left" w:pos="562"/>
        </w:tabs>
        <w:suppressAutoHyphens/>
        <w:jc w:val="both"/>
        <w:rPr>
          <w:iCs/>
          <w:sz w:val="22"/>
          <w:szCs w:val="22"/>
          <w:lang w:val="sr-Latn-ME"/>
        </w:rPr>
      </w:pPr>
      <w:r w:rsidRPr="003B242C">
        <w:rPr>
          <w:iCs/>
          <w:sz w:val="22"/>
          <w:szCs w:val="22"/>
          <w:lang w:val="sr-Latn-ME"/>
        </w:rPr>
        <w:t xml:space="preserve">Stope kliničke remisije prema PMS-u u </w:t>
      </w:r>
      <w:r w:rsidR="00EF17AB" w:rsidRPr="003B242C">
        <w:rPr>
          <w:iCs/>
          <w:sz w:val="22"/>
          <w:szCs w:val="22"/>
          <w:lang w:val="sr-Latn-ME"/>
        </w:rPr>
        <w:t>8. nedjelji</w:t>
      </w:r>
      <w:r w:rsidRPr="003B242C">
        <w:rPr>
          <w:iCs/>
          <w:sz w:val="22"/>
          <w:szCs w:val="22"/>
          <w:lang w:val="sr-Latn-ME"/>
        </w:rPr>
        <w:t xml:space="preserve"> za pojedine dvostruko slijepe indukcijske grupe bolesnika koje su primale lijek Humira prikazane su u Tabeli 21.</w:t>
      </w:r>
    </w:p>
    <w:p w14:paraId="7A634896" w14:textId="77777777" w:rsidR="00596C07" w:rsidRPr="003B242C" w:rsidRDefault="00596C07" w:rsidP="00596C07">
      <w:pPr>
        <w:tabs>
          <w:tab w:val="left" w:pos="562"/>
        </w:tabs>
        <w:suppressAutoHyphens/>
        <w:rPr>
          <w:lang w:val="sr-Latn-ME"/>
        </w:rPr>
      </w:pPr>
    </w:p>
    <w:p w14:paraId="4DE48E04" w14:textId="0E609F52" w:rsidR="00596C07" w:rsidRPr="003B242C" w:rsidRDefault="00596C07" w:rsidP="00596C07">
      <w:pPr>
        <w:keepNext/>
        <w:spacing w:before="240" w:after="240" w:line="300" w:lineRule="auto"/>
        <w:jc w:val="center"/>
        <w:rPr>
          <w:sz w:val="22"/>
          <w:szCs w:val="22"/>
          <w:lang w:val="sr-Latn-ME"/>
        </w:rPr>
      </w:pPr>
      <w:r w:rsidRPr="003B242C">
        <w:rPr>
          <w:b/>
          <w:sz w:val="22"/>
          <w:szCs w:val="22"/>
          <w:lang w:val="sr-Latn-ME"/>
        </w:rPr>
        <w:lastRenderedPageBreak/>
        <w:t xml:space="preserve">Tabela 21: Klinička remisija prema PMS-u u </w:t>
      </w:r>
      <w:r w:rsidR="00EF17AB" w:rsidRPr="003B242C">
        <w:rPr>
          <w:b/>
          <w:sz w:val="22"/>
          <w:szCs w:val="22"/>
          <w:lang w:val="sr-Latn-ME"/>
        </w:rPr>
        <w:t>8. nedjelji</w:t>
      </w:r>
    </w:p>
    <w:tbl>
      <w:tblPr>
        <w:tblW w:w="4246" w:type="pct"/>
        <w:jc w:val="center"/>
        <w:tblLook w:val="04A0" w:firstRow="1" w:lastRow="0" w:firstColumn="1" w:lastColumn="0" w:noHBand="0" w:noVBand="1"/>
      </w:tblPr>
      <w:tblGrid>
        <w:gridCol w:w="1904"/>
        <w:gridCol w:w="2867"/>
        <w:gridCol w:w="2920"/>
      </w:tblGrid>
      <w:tr w:rsidR="00596C07" w:rsidRPr="004500D8" w14:paraId="31A1E590" w14:textId="77777777" w:rsidTr="00596C07">
        <w:trPr>
          <w:jc w:val="center"/>
        </w:trPr>
        <w:tc>
          <w:tcPr>
            <w:tcW w:w="12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291308" w14:textId="77777777" w:rsidR="00596C07" w:rsidRPr="003B242C" w:rsidRDefault="00596C07" w:rsidP="00596C07">
            <w:pPr>
              <w:tabs>
                <w:tab w:val="left" w:pos="562"/>
              </w:tabs>
              <w:suppressAutoHyphens/>
              <w:rPr>
                <w:sz w:val="22"/>
                <w:szCs w:val="22"/>
                <w:lang w:val="sr-Latn-ME"/>
              </w:rPr>
            </w:pPr>
          </w:p>
        </w:tc>
        <w:tc>
          <w:tcPr>
            <w:tcW w:w="1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CC031B" w14:textId="77777777" w:rsidR="00596C07" w:rsidRPr="003B242C" w:rsidRDefault="00596C07" w:rsidP="00596C07">
            <w:pPr>
              <w:keepNext/>
              <w:spacing w:line="259" w:lineRule="auto"/>
              <w:jc w:val="center"/>
              <w:textAlignment w:val="baseline"/>
              <w:rPr>
                <w:sz w:val="22"/>
                <w:szCs w:val="22"/>
                <w:lang w:val="sr-Latn-ME"/>
              </w:rPr>
            </w:pPr>
            <w:r w:rsidRPr="003B242C">
              <w:rPr>
                <w:b/>
                <w:bCs/>
                <w:sz w:val="22"/>
                <w:szCs w:val="22"/>
                <w:lang w:val="sr-Latn-ME"/>
              </w:rPr>
              <w:t>Humira</w:t>
            </w:r>
            <w:r w:rsidRPr="003B242C">
              <w:rPr>
                <w:b/>
                <w:sz w:val="22"/>
                <w:szCs w:val="22"/>
                <w:vertAlign w:val="superscript"/>
                <w:lang w:val="sr-Latn-ME"/>
              </w:rPr>
              <w:t>a</w:t>
            </w:r>
            <w:r w:rsidRPr="003B242C">
              <w:rPr>
                <w:sz w:val="22"/>
                <w:szCs w:val="22"/>
                <w:lang w:val="sr-Latn-ME"/>
              </w:rPr>
              <w:t> </w:t>
            </w:r>
          </w:p>
          <w:p w14:paraId="1B9FFD8D" w14:textId="59223ADD" w:rsidR="00596C07" w:rsidRPr="003B242C" w:rsidRDefault="00596C07" w:rsidP="00596C07">
            <w:pPr>
              <w:keepNext/>
              <w:tabs>
                <w:tab w:val="left" w:pos="562"/>
              </w:tabs>
              <w:suppressAutoHyphens/>
              <w:spacing w:line="259" w:lineRule="auto"/>
              <w:jc w:val="center"/>
              <w:rPr>
                <w:sz w:val="22"/>
                <w:szCs w:val="22"/>
                <w:lang w:val="sr-Latn-ME"/>
              </w:rPr>
            </w:pPr>
            <w:r w:rsidRPr="003B242C">
              <w:rPr>
                <w:b/>
                <w:bCs/>
                <w:sz w:val="22"/>
                <w:szCs w:val="22"/>
                <w:lang w:val="sr-Latn-ME"/>
              </w:rPr>
              <w:t xml:space="preserve">Maksimalno 160 mg u </w:t>
            </w:r>
            <w:r w:rsidR="00EF17AB" w:rsidRPr="003B242C">
              <w:rPr>
                <w:b/>
                <w:bCs/>
                <w:sz w:val="22"/>
                <w:szCs w:val="22"/>
                <w:lang w:val="sr-Latn-ME"/>
              </w:rPr>
              <w:t>nultoj nedjelji</w:t>
            </w:r>
            <w:r w:rsidRPr="003B242C">
              <w:rPr>
                <w:b/>
                <w:bCs/>
                <w:sz w:val="22"/>
                <w:szCs w:val="22"/>
                <w:lang w:val="sr-Latn-ME"/>
              </w:rPr>
              <w:t xml:space="preserve"> / placebo u </w:t>
            </w:r>
            <w:r w:rsidR="00EF17AB" w:rsidRPr="003B242C">
              <w:rPr>
                <w:b/>
                <w:bCs/>
                <w:sz w:val="22"/>
                <w:szCs w:val="22"/>
                <w:lang w:val="sr-Latn-ME"/>
              </w:rPr>
              <w:t>1. nedjelji</w:t>
            </w:r>
            <w:r w:rsidRPr="003B242C">
              <w:rPr>
                <w:sz w:val="22"/>
                <w:szCs w:val="22"/>
                <w:lang w:val="sr-Latn-ME"/>
              </w:rPr>
              <w:t> </w:t>
            </w:r>
          </w:p>
          <w:p w14:paraId="63CEBC6C" w14:textId="77777777" w:rsidR="00596C07" w:rsidRPr="003B242C" w:rsidRDefault="00596C07" w:rsidP="00596C07">
            <w:pPr>
              <w:keepNext/>
              <w:tabs>
                <w:tab w:val="left" w:pos="562"/>
              </w:tabs>
              <w:suppressAutoHyphens/>
              <w:spacing w:line="259" w:lineRule="auto"/>
              <w:jc w:val="center"/>
              <w:rPr>
                <w:sz w:val="22"/>
                <w:szCs w:val="22"/>
                <w:lang w:val="sr-Latn-ME"/>
              </w:rPr>
            </w:pPr>
            <w:r w:rsidRPr="003B242C">
              <w:rPr>
                <w:sz w:val="22"/>
                <w:szCs w:val="22"/>
                <w:lang w:val="sr-Latn-ME"/>
              </w:rPr>
              <w:t>N = 30</w:t>
            </w:r>
          </w:p>
        </w:tc>
        <w:tc>
          <w:tcPr>
            <w:tcW w:w="1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1F6FE7" w14:textId="77777777" w:rsidR="00596C07" w:rsidRPr="003B242C" w:rsidRDefault="00596C07" w:rsidP="00596C07">
            <w:pPr>
              <w:keepNext/>
              <w:spacing w:line="259" w:lineRule="auto"/>
              <w:jc w:val="center"/>
              <w:textAlignment w:val="baseline"/>
              <w:rPr>
                <w:sz w:val="22"/>
                <w:szCs w:val="22"/>
                <w:lang w:val="sr-Latn-ME"/>
              </w:rPr>
            </w:pPr>
            <w:r w:rsidRPr="003B242C">
              <w:rPr>
                <w:b/>
                <w:bCs/>
                <w:sz w:val="22"/>
                <w:szCs w:val="22"/>
                <w:lang w:val="sr-Latn-ME"/>
              </w:rPr>
              <w:t>Humira</w:t>
            </w:r>
            <w:r w:rsidRPr="003B242C">
              <w:rPr>
                <w:b/>
                <w:sz w:val="22"/>
                <w:szCs w:val="22"/>
                <w:vertAlign w:val="superscript"/>
                <w:lang w:val="sr-Latn-ME"/>
              </w:rPr>
              <w:t>b, c</w:t>
            </w:r>
            <w:r w:rsidRPr="003B242C">
              <w:rPr>
                <w:sz w:val="22"/>
                <w:szCs w:val="22"/>
                <w:lang w:val="sr-Latn-ME"/>
              </w:rPr>
              <w:t> </w:t>
            </w:r>
          </w:p>
          <w:p w14:paraId="0A149D47" w14:textId="58CF8B0C" w:rsidR="00596C07" w:rsidRPr="003B242C" w:rsidRDefault="00596C07" w:rsidP="00596C07">
            <w:pPr>
              <w:keepNext/>
              <w:tabs>
                <w:tab w:val="left" w:pos="562"/>
              </w:tabs>
              <w:suppressAutoHyphens/>
              <w:spacing w:line="259" w:lineRule="auto"/>
              <w:jc w:val="center"/>
              <w:rPr>
                <w:sz w:val="22"/>
                <w:szCs w:val="22"/>
                <w:lang w:val="sr-Latn-ME"/>
              </w:rPr>
            </w:pPr>
            <w:r w:rsidRPr="003B242C">
              <w:rPr>
                <w:b/>
                <w:bCs/>
                <w:sz w:val="22"/>
                <w:szCs w:val="22"/>
                <w:lang w:val="sr-Latn-ME"/>
              </w:rPr>
              <w:t xml:space="preserve">Maksimalno 160 mg u </w:t>
            </w:r>
            <w:r w:rsidR="00EF17AB" w:rsidRPr="003B242C">
              <w:rPr>
                <w:b/>
                <w:bCs/>
                <w:sz w:val="22"/>
                <w:szCs w:val="22"/>
                <w:lang w:val="sr-Latn-ME"/>
              </w:rPr>
              <w:t>nultoj nedjelji i 1. nedjelji</w:t>
            </w:r>
          </w:p>
          <w:p w14:paraId="53E274A6" w14:textId="77777777" w:rsidR="00596C07" w:rsidRPr="003B242C" w:rsidRDefault="00596C07" w:rsidP="00596C07">
            <w:pPr>
              <w:keepNext/>
              <w:tabs>
                <w:tab w:val="left" w:pos="562"/>
              </w:tabs>
              <w:suppressAutoHyphens/>
              <w:spacing w:line="259" w:lineRule="auto"/>
              <w:jc w:val="center"/>
              <w:rPr>
                <w:sz w:val="22"/>
                <w:szCs w:val="22"/>
                <w:lang w:val="sr-Latn-ME"/>
              </w:rPr>
            </w:pPr>
            <w:r w:rsidRPr="003B242C">
              <w:rPr>
                <w:sz w:val="22"/>
                <w:szCs w:val="22"/>
                <w:lang w:val="sr-Latn-ME"/>
              </w:rPr>
              <w:t>N = 47</w:t>
            </w:r>
          </w:p>
        </w:tc>
      </w:tr>
      <w:tr w:rsidR="00596C07" w:rsidRPr="004500D8" w14:paraId="252ED770" w14:textId="77777777" w:rsidTr="00596C07">
        <w:trPr>
          <w:jc w:val="center"/>
        </w:trPr>
        <w:tc>
          <w:tcPr>
            <w:tcW w:w="12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F09650" w14:textId="77777777" w:rsidR="00596C07" w:rsidRPr="003B242C" w:rsidRDefault="00596C07" w:rsidP="00596C07">
            <w:pPr>
              <w:keepNext/>
              <w:tabs>
                <w:tab w:val="left" w:pos="562"/>
              </w:tabs>
              <w:suppressAutoHyphens/>
              <w:spacing w:line="259" w:lineRule="auto"/>
              <w:rPr>
                <w:sz w:val="22"/>
                <w:szCs w:val="22"/>
                <w:lang w:val="sr-Latn-ME"/>
              </w:rPr>
            </w:pPr>
            <w:r w:rsidRPr="003B242C">
              <w:rPr>
                <w:sz w:val="22"/>
                <w:szCs w:val="22"/>
                <w:lang w:val="sr-Latn-ME"/>
              </w:rPr>
              <w:t>Klinička remisija</w:t>
            </w:r>
          </w:p>
        </w:tc>
        <w:tc>
          <w:tcPr>
            <w:tcW w:w="1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C33C19" w14:textId="77777777" w:rsidR="00596C07" w:rsidRPr="003B242C" w:rsidRDefault="00596C07" w:rsidP="00596C07">
            <w:pPr>
              <w:keepNext/>
              <w:tabs>
                <w:tab w:val="left" w:pos="562"/>
              </w:tabs>
              <w:suppressAutoHyphens/>
              <w:spacing w:line="259" w:lineRule="auto"/>
              <w:jc w:val="center"/>
              <w:rPr>
                <w:sz w:val="22"/>
                <w:szCs w:val="22"/>
                <w:lang w:val="sr-Latn-ME"/>
              </w:rPr>
            </w:pPr>
            <w:r w:rsidRPr="003B242C">
              <w:rPr>
                <w:sz w:val="22"/>
                <w:szCs w:val="22"/>
                <w:lang w:val="sr-Latn-ME"/>
              </w:rPr>
              <w:t>13/30 (43,3%)</w:t>
            </w:r>
          </w:p>
        </w:tc>
        <w:tc>
          <w:tcPr>
            <w:tcW w:w="1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E57E65" w14:textId="77777777" w:rsidR="00596C07" w:rsidRPr="003B242C" w:rsidRDefault="00596C07" w:rsidP="00596C07">
            <w:pPr>
              <w:keepNext/>
              <w:tabs>
                <w:tab w:val="left" w:pos="562"/>
              </w:tabs>
              <w:suppressAutoHyphens/>
              <w:spacing w:line="259" w:lineRule="auto"/>
              <w:jc w:val="center"/>
              <w:rPr>
                <w:sz w:val="22"/>
                <w:szCs w:val="22"/>
                <w:vertAlign w:val="superscript"/>
                <w:lang w:val="sr-Latn-ME"/>
              </w:rPr>
            </w:pPr>
            <w:r w:rsidRPr="003B242C">
              <w:rPr>
                <w:sz w:val="22"/>
                <w:szCs w:val="22"/>
                <w:lang w:val="sr-Latn-ME"/>
              </w:rPr>
              <w:t>28/47 (59,6%)</w:t>
            </w:r>
          </w:p>
        </w:tc>
      </w:tr>
      <w:tr w:rsidR="00596C07" w:rsidRPr="004500D8" w14:paraId="5FB7F29E" w14:textId="77777777" w:rsidTr="00596C07">
        <w:trPr>
          <w:trHeight w:val="2517"/>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0BA900" w14:textId="6CCC53E5" w:rsidR="00596C07" w:rsidRPr="003B242C" w:rsidRDefault="00596C07" w:rsidP="00596C07">
            <w:pPr>
              <w:spacing w:line="259" w:lineRule="auto"/>
              <w:textAlignment w:val="baseline"/>
              <w:rPr>
                <w:sz w:val="22"/>
                <w:szCs w:val="22"/>
                <w:lang w:val="sr-Latn-ME"/>
              </w:rPr>
            </w:pPr>
            <w:r w:rsidRPr="003B242C">
              <w:rPr>
                <w:sz w:val="22"/>
                <w:szCs w:val="22"/>
                <w:vertAlign w:val="superscript"/>
                <w:lang w:val="sr-Latn-ME"/>
              </w:rPr>
              <w:t>a </w:t>
            </w:r>
            <w:r w:rsidRPr="003B242C">
              <w:rPr>
                <w:sz w:val="22"/>
                <w:szCs w:val="22"/>
                <w:lang w:val="sr-Latn-ME"/>
              </w:rPr>
              <w:t xml:space="preserve">Humira 2,4 mg/kg (maksimalno 160 mg) u </w:t>
            </w:r>
            <w:r w:rsidR="00EF17AB" w:rsidRPr="003B242C">
              <w:rPr>
                <w:sz w:val="22"/>
                <w:szCs w:val="22"/>
                <w:lang w:val="sr-Latn-ME"/>
              </w:rPr>
              <w:t>nultoj nedjelji</w:t>
            </w:r>
            <w:r w:rsidRPr="003B242C">
              <w:rPr>
                <w:sz w:val="22"/>
                <w:szCs w:val="22"/>
                <w:lang w:val="sr-Latn-ME"/>
              </w:rPr>
              <w:t xml:space="preserve">, placebo u </w:t>
            </w:r>
            <w:r w:rsidR="00EF17AB" w:rsidRPr="003B242C">
              <w:rPr>
                <w:sz w:val="22"/>
                <w:szCs w:val="22"/>
                <w:lang w:val="sr-Latn-ME"/>
              </w:rPr>
              <w:t>1. nedjelji</w:t>
            </w:r>
            <w:r w:rsidRPr="003B242C">
              <w:rPr>
                <w:sz w:val="22"/>
                <w:szCs w:val="22"/>
                <w:lang w:val="sr-Latn-ME"/>
              </w:rPr>
              <w:t xml:space="preserve">, te 1,2 mg/kg (maksimalno 80 mg) u </w:t>
            </w:r>
            <w:r w:rsidR="00EF17AB" w:rsidRPr="003B242C">
              <w:rPr>
                <w:sz w:val="22"/>
                <w:szCs w:val="22"/>
                <w:lang w:val="sr-Latn-ME"/>
              </w:rPr>
              <w:t>2. nedjelji</w:t>
            </w:r>
          </w:p>
          <w:p w14:paraId="075F1927" w14:textId="17BF7C87" w:rsidR="00596C07" w:rsidRPr="003B242C" w:rsidRDefault="00596C07" w:rsidP="00596C07">
            <w:pPr>
              <w:spacing w:line="259" w:lineRule="auto"/>
              <w:textAlignment w:val="baseline"/>
              <w:rPr>
                <w:sz w:val="22"/>
                <w:szCs w:val="22"/>
                <w:lang w:val="sr-Latn-ME"/>
              </w:rPr>
            </w:pPr>
            <w:r w:rsidRPr="003B242C">
              <w:rPr>
                <w:sz w:val="22"/>
                <w:szCs w:val="22"/>
                <w:vertAlign w:val="superscript"/>
                <w:lang w:val="sr-Latn-ME"/>
              </w:rPr>
              <w:t>b </w:t>
            </w:r>
            <w:r w:rsidRPr="003B242C">
              <w:rPr>
                <w:sz w:val="22"/>
                <w:szCs w:val="22"/>
                <w:lang w:val="sr-Latn-ME"/>
              </w:rPr>
              <w:t xml:space="preserve">Humira 2,4 mg/kg (maksimalno 160 mg) u </w:t>
            </w:r>
            <w:r w:rsidR="00EF17AB" w:rsidRPr="003B242C">
              <w:rPr>
                <w:sz w:val="22"/>
                <w:szCs w:val="22"/>
                <w:lang w:val="sr-Latn-ME"/>
              </w:rPr>
              <w:t>nultoj nedjelji</w:t>
            </w:r>
            <w:r w:rsidRPr="003B242C">
              <w:rPr>
                <w:sz w:val="22"/>
                <w:szCs w:val="22"/>
                <w:lang w:val="sr-Latn-ME"/>
              </w:rPr>
              <w:t xml:space="preserve"> i </w:t>
            </w:r>
            <w:r w:rsidR="00EF17AB" w:rsidRPr="003B242C">
              <w:rPr>
                <w:sz w:val="22"/>
                <w:szCs w:val="22"/>
                <w:lang w:val="sr-Latn-ME"/>
              </w:rPr>
              <w:t>1. nedjelji</w:t>
            </w:r>
            <w:r w:rsidRPr="003B242C">
              <w:rPr>
                <w:sz w:val="22"/>
                <w:szCs w:val="22"/>
                <w:lang w:val="sr-Latn-ME"/>
              </w:rPr>
              <w:t xml:space="preserve">, te 1,2 mg/kg (maksimalno 80 mg) u </w:t>
            </w:r>
            <w:r w:rsidR="00EF17AB" w:rsidRPr="003B242C">
              <w:rPr>
                <w:sz w:val="22"/>
                <w:szCs w:val="22"/>
                <w:lang w:val="sr-Latn-ME"/>
              </w:rPr>
              <w:t>2. nedjelji</w:t>
            </w:r>
          </w:p>
          <w:p w14:paraId="6654B0D4" w14:textId="1AA0D3A2" w:rsidR="00596C07" w:rsidRPr="003B242C" w:rsidRDefault="00596C07" w:rsidP="00596C07">
            <w:pPr>
              <w:spacing w:line="259" w:lineRule="auto"/>
              <w:textAlignment w:val="baseline"/>
              <w:rPr>
                <w:sz w:val="22"/>
                <w:szCs w:val="22"/>
                <w:lang w:val="sr-Latn-ME"/>
              </w:rPr>
            </w:pPr>
            <w:r w:rsidRPr="003B242C">
              <w:rPr>
                <w:sz w:val="22"/>
                <w:szCs w:val="22"/>
                <w:vertAlign w:val="superscript"/>
                <w:lang w:val="sr-Latn-ME"/>
              </w:rPr>
              <w:t>c</w:t>
            </w:r>
            <w:r w:rsidRPr="003B242C">
              <w:rPr>
                <w:sz w:val="22"/>
                <w:szCs w:val="22"/>
                <w:lang w:val="sr-Latn-ME"/>
              </w:rPr>
              <w:t xml:space="preserve"> Ne uključujući otvorenu indukcijsku dozu lijeka Humira od 2,4 mg/kg (maksimalno 160 mg) u </w:t>
            </w:r>
            <w:r w:rsidR="00F51EE5" w:rsidRPr="003B242C">
              <w:rPr>
                <w:sz w:val="22"/>
                <w:szCs w:val="22"/>
                <w:lang w:val="sr-Latn-ME"/>
              </w:rPr>
              <w:t>nultoj nedjelji</w:t>
            </w:r>
            <w:r w:rsidRPr="003B242C">
              <w:rPr>
                <w:sz w:val="22"/>
                <w:szCs w:val="22"/>
                <w:lang w:val="sr-Latn-ME"/>
              </w:rPr>
              <w:t xml:space="preserve"> i </w:t>
            </w:r>
            <w:r w:rsidR="00F51EE5" w:rsidRPr="003B242C">
              <w:rPr>
                <w:sz w:val="22"/>
                <w:szCs w:val="22"/>
                <w:lang w:val="sr-Latn-ME"/>
              </w:rPr>
              <w:t>1. nedjelji</w:t>
            </w:r>
            <w:r w:rsidRPr="003B242C">
              <w:rPr>
                <w:sz w:val="22"/>
                <w:szCs w:val="22"/>
                <w:lang w:val="sr-Latn-ME"/>
              </w:rPr>
              <w:t xml:space="preserve"> te 1,2mg/kg (maksimalno 80 mg) u </w:t>
            </w:r>
            <w:r w:rsidR="00F51EE5" w:rsidRPr="003B242C">
              <w:rPr>
                <w:sz w:val="22"/>
                <w:szCs w:val="22"/>
                <w:lang w:val="sr-Latn-ME"/>
              </w:rPr>
              <w:t>2. nedjelji</w:t>
            </w:r>
          </w:p>
          <w:p w14:paraId="5A108FAD" w14:textId="08AD82CA" w:rsidR="00596C07" w:rsidRPr="003B242C" w:rsidRDefault="00596C07" w:rsidP="00596C07">
            <w:pPr>
              <w:spacing w:line="259" w:lineRule="auto"/>
              <w:textAlignment w:val="baseline"/>
              <w:rPr>
                <w:sz w:val="22"/>
                <w:szCs w:val="22"/>
                <w:lang w:val="sr-Latn-ME"/>
              </w:rPr>
            </w:pPr>
            <w:r w:rsidRPr="003B242C">
              <w:rPr>
                <w:sz w:val="22"/>
                <w:szCs w:val="22"/>
                <w:lang w:val="sr-Latn-ME"/>
              </w:rPr>
              <w:t xml:space="preserve">Napomena 1: obje su indukcijske grupe primile 0,6 mg/kg (maksimalno 40 mg) </w:t>
            </w:r>
            <w:r w:rsidR="00F51EE5" w:rsidRPr="003B242C">
              <w:rPr>
                <w:sz w:val="22"/>
                <w:szCs w:val="22"/>
                <w:lang w:val="sr-Latn-ME"/>
              </w:rPr>
              <w:t xml:space="preserve"> u 4. nedjelji</w:t>
            </w:r>
            <w:r w:rsidRPr="003B242C">
              <w:rPr>
                <w:sz w:val="22"/>
                <w:szCs w:val="22"/>
                <w:lang w:val="sr-Latn-ME"/>
              </w:rPr>
              <w:t xml:space="preserve"> i u </w:t>
            </w:r>
            <w:r w:rsidR="00F51EE5" w:rsidRPr="003B242C">
              <w:rPr>
                <w:sz w:val="22"/>
                <w:szCs w:val="22"/>
                <w:lang w:val="sr-Latn-ME"/>
              </w:rPr>
              <w:t>6. nedjelji</w:t>
            </w:r>
          </w:p>
          <w:p w14:paraId="4864D7CF" w14:textId="4430582D" w:rsidR="00596C07" w:rsidRPr="003B242C" w:rsidRDefault="00596C07" w:rsidP="00596C07">
            <w:pPr>
              <w:spacing w:line="259" w:lineRule="auto"/>
              <w:textAlignment w:val="baseline"/>
              <w:rPr>
                <w:sz w:val="22"/>
                <w:szCs w:val="22"/>
                <w:lang w:val="sr-Latn-ME"/>
              </w:rPr>
            </w:pPr>
            <w:r w:rsidRPr="003B242C">
              <w:rPr>
                <w:sz w:val="22"/>
                <w:szCs w:val="22"/>
                <w:lang w:val="sr-Latn-ME"/>
              </w:rPr>
              <w:t xml:space="preserve">Napomena 2: za </w:t>
            </w:r>
            <w:r w:rsidR="00F51EE5" w:rsidRPr="003B242C">
              <w:rPr>
                <w:sz w:val="22"/>
                <w:szCs w:val="22"/>
                <w:lang w:val="sr-Latn-ME"/>
              </w:rPr>
              <w:t>pacijente</w:t>
            </w:r>
            <w:r w:rsidRPr="003B242C">
              <w:rPr>
                <w:sz w:val="22"/>
                <w:szCs w:val="22"/>
                <w:lang w:val="sr-Latn-ME"/>
              </w:rPr>
              <w:t xml:space="preserve"> čije su vrijednosti nedostajale u </w:t>
            </w:r>
            <w:r w:rsidR="00F51EE5" w:rsidRPr="003B242C">
              <w:rPr>
                <w:sz w:val="22"/>
                <w:szCs w:val="22"/>
                <w:lang w:val="sr-Latn-ME"/>
              </w:rPr>
              <w:t>8. nedjelji</w:t>
            </w:r>
            <w:r w:rsidRPr="003B242C">
              <w:rPr>
                <w:sz w:val="22"/>
                <w:szCs w:val="22"/>
                <w:lang w:val="sr-Latn-ME"/>
              </w:rPr>
              <w:t xml:space="preserve"> smatralo se da nisu ispunili mjeru ishoda</w:t>
            </w:r>
          </w:p>
        </w:tc>
      </w:tr>
    </w:tbl>
    <w:p w14:paraId="2EE3901C" w14:textId="77777777" w:rsidR="00596C07" w:rsidRPr="003B242C" w:rsidRDefault="00596C07" w:rsidP="00596C07">
      <w:pPr>
        <w:widowControl w:val="0"/>
        <w:autoSpaceDE w:val="0"/>
        <w:autoSpaceDN w:val="0"/>
        <w:adjustRightInd w:val="0"/>
        <w:jc w:val="both"/>
        <w:rPr>
          <w:sz w:val="22"/>
          <w:szCs w:val="22"/>
          <w:u w:val="single"/>
          <w:lang w:val="sr-Latn-ME"/>
        </w:rPr>
      </w:pPr>
    </w:p>
    <w:p w14:paraId="6B1C4D8C" w14:textId="0E46F0EE" w:rsidR="00596C07" w:rsidRPr="003B242C" w:rsidRDefault="00596C07" w:rsidP="00596C07">
      <w:pPr>
        <w:widowControl w:val="0"/>
        <w:autoSpaceDE w:val="0"/>
        <w:autoSpaceDN w:val="0"/>
        <w:adjustRightInd w:val="0"/>
        <w:jc w:val="both"/>
        <w:rPr>
          <w:color w:val="000000"/>
          <w:sz w:val="22"/>
          <w:szCs w:val="22"/>
          <w:shd w:val="clear" w:color="auto" w:fill="FFFFFF"/>
          <w:lang w:val="sr-Latn-ME"/>
        </w:rPr>
      </w:pPr>
      <w:r w:rsidRPr="003B242C">
        <w:rPr>
          <w:color w:val="000000"/>
          <w:sz w:val="22"/>
          <w:szCs w:val="22"/>
          <w:shd w:val="clear" w:color="auto" w:fill="FFFFFF"/>
          <w:lang w:val="sr-Latn-ME"/>
        </w:rPr>
        <w:t xml:space="preserve">U Sedmici 52 klinička remisija prema FMS-u kod </w:t>
      </w:r>
      <w:r w:rsidR="00F51EE5" w:rsidRPr="003B242C">
        <w:rPr>
          <w:color w:val="000000"/>
          <w:sz w:val="22"/>
          <w:szCs w:val="22"/>
          <w:shd w:val="clear" w:color="auto" w:fill="FFFFFF"/>
          <w:lang w:val="sr-Latn-ME"/>
        </w:rPr>
        <w:t xml:space="preserve">pacijenata </w:t>
      </w:r>
      <w:r w:rsidRPr="003B242C">
        <w:rPr>
          <w:color w:val="000000"/>
          <w:sz w:val="22"/>
          <w:szCs w:val="22"/>
          <w:shd w:val="clear" w:color="auto" w:fill="FFFFFF"/>
          <w:lang w:val="sr-Latn-ME"/>
        </w:rPr>
        <w:t xml:space="preserve">sa odgovorom u </w:t>
      </w:r>
      <w:r w:rsidR="00F51EE5" w:rsidRPr="003B242C">
        <w:rPr>
          <w:color w:val="000000"/>
          <w:sz w:val="22"/>
          <w:szCs w:val="22"/>
          <w:shd w:val="clear" w:color="auto" w:fill="FFFFFF"/>
          <w:lang w:val="sr-Latn-ME"/>
        </w:rPr>
        <w:t>8. nedjelji</w:t>
      </w:r>
      <w:r w:rsidRPr="003B242C">
        <w:rPr>
          <w:color w:val="000000"/>
          <w:sz w:val="22"/>
          <w:szCs w:val="22"/>
          <w:shd w:val="clear" w:color="auto" w:fill="FFFFFF"/>
          <w:lang w:val="sr-Latn-ME"/>
        </w:rPr>
        <w:t xml:space="preserve">, klinički odgovor prema FMS-u (definisan kao smanjenje rezultata Mayo ≥ 3 boda i ≥ 30% u odnosu na početne vrijednosti) kod </w:t>
      </w:r>
      <w:r w:rsidR="00F51EE5" w:rsidRPr="003B242C">
        <w:rPr>
          <w:color w:val="000000"/>
          <w:sz w:val="22"/>
          <w:szCs w:val="22"/>
          <w:shd w:val="clear" w:color="auto" w:fill="FFFFFF"/>
          <w:lang w:val="sr-Latn-ME"/>
        </w:rPr>
        <w:t>pacijenata</w:t>
      </w:r>
      <w:r w:rsidRPr="003B242C">
        <w:rPr>
          <w:color w:val="000000"/>
          <w:sz w:val="22"/>
          <w:szCs w:val="22"/>
          <w:shd w:val="clear" w:color="auto" w:fill="FFFFFF"/>
          <w:lang w:val="sr-Latn-ME"/>
        </w:rPr>
        <w:t xml:space="preserve"> sa odgovorom u </w:t>
      </w:r>
      <w:r w:rsidR="00F51EE5" w:rsidRPr="003B242C">
        <w:rPr>
          <w:color w:val="000000"/>
          <w:sz w:val="22"/>
          <w:szCs w:val="22"/>
          <w:shd w:val="clear" w:color="auto" w:fill="FFFFFF"/>
          <w:lang w:val="sr-Latn-ME"/>
        </w:rPr>
        <w:t>8. nedjelji</w:t>
      </w:r>
      <w:r w:rsidRPr="003B242C">
        <w:rPr>
          <w:color w:val="000000"/>
          <w:sz w:val="22"/>
          <w:szCs w:val="22"/>
          <w:shd w:val="clear" w:color="auto" w:fill="FFFFFF"/>
          <w:lang w:val="sr-Latn-ME"/>
        </w:rPr>
        <w:t xml:space="preserve">, zacjeljenje sluznice prema FMS-u (definisano kao Mayo endoskopski rezultat ≤ 1) kod </w:t>
      </w:r>
      <w:r w:rsidR="00F51EE5" w:rsidRPr="003B242C">
        <w:rPr>
          <w:color w:val="000000"/>
          <w:sz w:val="22"/>
          <w:szCs w:val="22"/>
          <w:shd w:val="clear" w:color="auto" w:fill="FFFFFF"/>
          <w:lang w:val="sr-Latn-ME"/>
        </w:rPr>
        <w:t xml:space="preserve">pacijenata </w:t>
      </w:r>
      <w:r w:rsidRPr="003B242C">
        <w:rPr>
          <w:color w:val="000000"/>
          <w:sz w:val="22"/>
          <w:szCs w:val="22"/>
          <w:shd w:val="clear" w:color="auto" w:fill="FFFFFF"/>
          <w:lang w:val="sr-Latn-ME"/>
        </w:rPr>
        <w:t xml:space="preserve"> sa odgovorom u 8</w:t>
      </w:r>
      <w:r w:rsidR="00F51EE5" w:rsidRPr="003B242C">
        <w:rPr>
          <w:color w:val="000000"/>
          <w:sz w:val="22"/>
          <w:szCs w:val="22"/>
          <w:shd w:val="clear" w:color="auto" w:fill="FFFFFF"/>
          <w:lang w:val="sr-Latn-ME"/>
        </w:rPr>
        <w:t>. nedjelji</w:t>
      </w:r>
      <w:r w:rsidRPr="003B242C">
        <w:rPr>
          <w:color w:val="000000"/>
          <w:sz w:val="22"/>
          <w:szCs w:val="22"/>
          <w:shd w:val="clear" w:color="auto" w:fill="FFFFFF"/>
          <w:lang w:val="sr-Latn-ME"/>
        </w:rPr>
        <w:t xml:space="preserve">, klinička remisija prema FMS-u kod bolesnika u remisiji u </w:t>
      </w:r>
      <w:r w:rsidR="00F51EE5" w:rsidRPr="003B242C">
        <w:rPr>
          <w:color w:val="000000"/>
          <w:sz w:val="22"/>
          <w:szCs w:val="22"/>
          <w:shd w:val="clear" w:color="auto" w:fill="FFFFFF"/>
          <w:lang w:val="sr-Latn-ME"/>
        </w:rPr>
        <w:t>8. nedjelji</w:t>
      </w:r>
      <w:r w:rsidRPr="003B242C">
        <w:rPr>
          <w:color w:val="000000"/>
          <w:sz w:val="22"/>
          <w:szCs w:val="22"/>
          <w:shd w:val="clear" w:color="auto" w:fill="FFFFFF"/>
          <w:lang w:val="sr-Latn-ME"/>
        </w:rPr>
        <w:t xml:space="preserve"> i udio ispitanika sa remisijom bez kortikosteroida prema FMS-u kod bolesnika s odgovorom u </w:t>
      </w:r>
      <w:r w:rsidR="00F51EE5" w:rsidRPr="003B242C">
        <w:rPr>
          <w:color w:val="000000"/>
          <w:sz w:val="22"/>
          <w:szCs w:val="22"/>
          <w:shd w:val="clear" w:color="auto" w:fill="FFFFFF"/>
          <w:lang w:val="sr-Latn-ME"/>
        </w:rPr>
        <w:t>8. nedjelji</w:t>
      </w:r>
      <w:r w:rsidRPr="003B242C">
        <w:rPr>
          <w:color w:val="000000"/>
          <w:sz w:val="22"/>
          <w:szCs w:val="22"/>
          <w:shd w:val="clear" w:color="auto" w:fill="FFFFFF"/>
          <w:lang w:val="sr-Latn-ME"/>
        </w:rPr>
        <w:t xml:space="preserve"> procijenjeni su za </w:t>
      </w:r>
      <w:r w:rsidR="00F51EE5" w:rsidRPr="003B242C">
        <w:rPr>
          <w:color w:val="000000"/>
          <w:sz w:val="22"/>
          <w:szCs w:val="22"/>
          <w:shd w:val="clear" w:color="auto" w:fill="FFFFFF"/>
          <w:lang w:val="sr-Latn-ME"/>
        </w:rPr>
        <w:t>pacijente</w:t>
      </w:r>
      <w:r w:rsidRPr="003B242C">
        <w:rPr>
          <w:color w:val="000000"/>
          <w:sz w:val="22"/>
          <w:szCs w:val="22"/>
          <w:shd w:val="clear" w:color="auto" w:fill="FFFFFF"/>
          <w:lang w:val="sr-Latn-ME"/>
        </w:rPr>
        <w:t xml:space="preserve"> koji su primali lijek Humira u dvostruko slijepim dozama održavanja od maksimalno 40 mg svake druge </w:t>
      </w:r>
      <w:r w:rsidR="00F51EE5" w:rsidRPr="003B242C">
        <w:rPr>
          <w:color w:val="000000"/>
          <w:sz w:val="22"/>
          <w:szCs w:val="22"/>
          <w:shd w:val="clear" w:color="auto" w:fill="FFFFFF"/>
          <w:lang w:val="sr-Latn-ME"/>
        </w:rPr>
        <w:t xml:space="preserve">nedjelje </w:t>
      </w:r>
      <w:r w:rsidRPr="003B242C">
        <w:rPr>
          <w:color w:val="000000"/>
          <w:sz w:val="22"/>
          <w:szCs w:val="22"/>
          <w:shd w:val="clear" w:color="auto" w:fill="FFFFFF"/>
          <w:lang w:val="sr-Latn-ME"/>
        </w:rPr>
        <w:t xml:space="preserve">(0,6 mg/kg) i 40 mg svake </w:t>
      </w:r>
      <w:r w:rsidR="00F51EE5" w:rsidRPr="003B242C">
        <w:rPr>
          <w:color w:val="000000"/>
          <w:sz w:val="22"/>
          <w:szCs w:val="22"/>
          <w:shd w:val="clear" w:color="auto" w:fill="FFFFFF"/>
          <w:lang w:val="sr-Latn-ME"/>
        </w:rPr>
        <w:t>nedjelj</w:t>
      </w:r>
      <w:r w:rsidRPr="003B242C">
        <w:rPr>
          <w:color w:val="000000"/>
          <w:sz w:val="22"/>
          <w:szCs w:val="22"/>
          <w:shd w:val="clear" w:color="auto" w:fill="FFFFFF"/>
          <w:lang w:val="sr-Latn-ME"/>
        </w:rPr>
        <w:t>e (0,6 mg/kg) (Tabela 22).</w:t>
      </w:r>
    </w:p>
    <w:p w14:paraId="37D7E9B9" w14:textId="77777777" w:rsidR="00596C07" w:rsidRPr="003B242C" w:rsidRDefault="00596C07" w:rsidP="00596C07">
      <w:pPr>
        <w:tabs>
          <w:tab w:val="left" w:pos="708"/>
        </w:tabs>
        <w:jc w:val="center"/>
        <w:textAlignment w:val="baseline"/>
        <w:rPr>
          <w:b/>
          <w:sz w:val="22"/>
          <w:szCs w:val="22"/>
          <w:lang w:val="sr-Latn-ME" w:eastAsia="en-GB"/>
        </w:rPr>
      </w:pPr>
    </w:p>
    <w:p w14:paraId="712E2D67" w14:textId="5295956E" w:rsidR="00596C07" w:rsidRPr="003B242C" w:rsidRDefault="00596C07" w:rsidP="00596C07">
      <w:pPr>
        <w:tabs>
          <w:tab w:val="left" w:pos="708"/>
        </w:tabs>
        <w:jc w:val="center"/>
        <w:textAlignment w:val="baseline"/>
        <w:rPr>
          <w:sz w:val="22"/>
          <w:szCs w:val="22"/>
          <w:lang w:val="sr-Latn-ME" w:eastAsia="en-GB"/>
        </w:rPr>
      </w:pPr>
      <w:r w:rsidRPr="003B242C">
        <w:rPr>
          <w:b/>
          <w:sz w:val="22"/>
          <w:szCs w:val="22"/>
          <w:lang w:val="sr-Latn-ME" w:eastAsia="en-GB"/>
        </w:rPr>
        <w:t xml:space="preserve">Tabela 22: Rezultati efikasnosti u </w:t>
      </w:r>
      <w:r w:rsidR="00F51EE5" w:rsidRPr="003B242C">
        <w:rPr>
          <w:b/>
          <w:sz w:val="22"/>
          <w:szCs w:val="22"/>
          <w:lang w:val="sr-Latn-ME" w:eastAsia="en-GB"/>
        </w:rPr>
        <w:t>52. nedjelji</w:t>
      </w:r>
    </w:p>
    <w:p w14:paraId="1390C866" w14:textId="77777777" w:rsidR="00596C07" w:rsidRPr="003B242C" w:rsidRDefault="00596C07" w:rsidP="00596C07">
      <w:pPr>
        <w:tabs>
          <w:tab w:val="left" w:pos="708"/>
        </w:tabs>
        <w:jc w:val="center"/>
        <w:textAlignment w:val="baseline"/>
        <w:rPr>
          <w:sz w:val="22"/>
          <w:szCs w:val="22"/>
          <w:lang w:val="sr-Latn-ME" w:eastAsia="en-GB"/>
        </w:rPr>
      </w:pPr>
    </w:p>
    <w:tbl>
      <w:tblPr>
        <w:tblW w:w="756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6"/>
        <w:gridCol w:w="2409"/>
        <w:gridCol w:w="2633"/>
      </w:tblGrid>
      <w:tr w:rsidR="00596C07" w:rsidRPr="004500D8" w14:paraId="1C8F6708" w14:textId="77777777" w:rsidTr="00596C07">
        <w:trPr>
          <w:trHeight w:val="912"/>
          <w:jc w:val="center"/>
        </w:trPr>
        <w:tc>
          <w:tcPr>
            <w:tcW w:w="2526" w:type="dxa"/>
            <w:tcBorders>
              <w:top w:val="single" w:sz="6" w:space="0" w:color="auto"/>
              <w:left w:val="single" w:sz="6" w:space="0" w:color="auto"/>
              <w:bottom w:val="single" w:sz="6" w:space="0" w:color="auto"/>
              <w:right w:val="single" w:sz="6" w:space="0" w:color="auto"/>
            </w:tcBorders>
            <w:hideMark/>
          </w:tcPr>
          <w:p w14:paraId="3464ADD3" w14:textId="77777777" w:rsidR="00596C07" w:rsidRPr="003B242C" w:rsidRDefault="00596C07" w:rsidP="00596C07">
            <w:pPr>
              <w:tabs>
                <w:tab w:val="left" w:pos="562"/>
              </w:tabs>
              <w:suppressAutoHyphens/>
              <w:rPr>
                <w:sz w:val="22"/>
                <w:szCs w:val="22"/>
                <w:lang w:val="sr-Latn-ME" w:eastAsia="en-GB"/>
              </w:rPr>
            </w:pPr>
          </w:p>
        </w:tc>
        <w:tc>
          <w:tcPr>
            <w:tcW w:w="2409" w:type="dxa"/>
            <w:tcBorders>
              <w:top w:val="single" w:sz="6" w:space="0" w:color="auto"/>
              <w:left w:val="nil"/>
              <w:bottom w:val="single" w:sz="6" w:space="0" w:color="auto"/>
              <w:right w:val="single" w:sz="6" w:space="0" w:color="auto"/>
            </w:tcBorders>
            <w:vAlign w:val="center"/>
            <w:hideMark/>
          </w:tcPr>
          <w:p w14:paraId="156D370B" w14:textId="77777777" w:rsidR="00596C07" w:rsidRPr="003B242C" w:rsidRDefault="00596C07" w:rsidP="00596C07">
            <w:pPr>
              <w:tabs>
                <w:tab w:val="left" w:pos="708"/>
              </w:tabs>
              <w:jc w:val="center"/>
              <w:textAlignment w:val="baseline"/>
              <w:rPr>
                <w:sz w:val="22"/>
                <w:szCs w:val="22"/>
                <w:lang w:val="sr-Latn-ME" w:eastAsia="en-GB"/>
              </w:rPr>
            </w:pPr>
            <w:r w:rsidRPr="003B242C">
              <w:rPr>
                <w:b/>
                <w:bCs/>
                <w:sz w:val="22"/>
                <w:szCs w:val="22"/>
                <w:lang w:val="sr-Latn-ME" w:eastAsia="en-GB"/>
              </w:rPr>
              <w:t>Humira</w:t>
            </w:r>
            <w:r w:rsidRPr="003B242C">
              <w:rPr>
                <w:b/>
                <w:sz w:val="22"/>
                <w:szCs w:val="22"/>
                <w:vertAlign w:val="superscript"/>
                <w:lang w:val="sr-Latn-ME" w:eastAsia="en-GB"/>
              </w:rPr>
              <w:t>a</w:t>
            </w:r>
            <w:r w:rsidRPr="003B242C">
              <w:rPr>
                <w:b/>
                <w:bCs/>
                <w:sz w:val="22"/>
                <w:szCs w:val="22"/>
                <w:lang w:val="sr-Latn-ME" w:eastAsia="en-GB"/>
              </w:rPr>
              <w:t> </w:t>
            </w:r>
            <w:r w:rsidRPr="003B242C">
              <w:rPr>
                <w:sz w:val="22"/>
                <w:szCs w:val="22"/>
                <w:lang w:val="sr-Latn-ME" w:eastAsia="en-GB"/>
              </w:rPr>
              <w:t> </w:t>
            </w:r>
          </w:p>
          <w:p w14:paraId="19E56E1A" w14:textId="409C8B61" w:rsidR="00596C07" w:rsidRPr="003B242C" w:rsidRDefault="00596C07" w:rsidP="00596C07">
            <w:pPr>
              <w:tabs>
                <w:tab w:val="left" w:pos="708"/>
              </w:tabs>
              <w:jc w:val="center"/>
              <w:textAlignment w:val="baseline"/>
              <w:rPr>
                <w:sz w:val="22"/>
                <w:szCs w:val="22"/>
                <w:lang w:val="sr-Latn-ME" w:eastAsia="en-GB"/>
              </w:rPr>
            </w:pPr>
            <w:r w:rsidRPr="003B242C">
              <w:rPr>
                <w:b/>
                <w:bCs/>
                <w:sz w:val="22"/>
                <w:szCs w:val="22"/>
                <w:lang w:val="sr-Latn-ME" w:eastAsia="en-GB"/>
              </w:rPr>
              <w:t>Maksimalno 40 mg svake drug</w:t>
            </w:r>
            <w:r w:rsidR="00F51EE5" w:rsidRPr="003B242C">
              <w:rPr>
                <w:sz w:val="22"/>
                <w:szCs w:val="22"/>
                <w:lang w:val="sr-Latn-ME" w:eastAsia="en-GB"/>
              </w:rPr>
              <w:t>e</w:t>
            </w:r>
            <w:r w:rsidR="00F51EE5" w:rsidRPr="003B242C">
              <w:rPr>
                <w:b/>
                <w:sz w:val="22"/>
                <w:szCs w:val="22"/>
                <w:lang w:val="sr-Latn-ME" w:eastAsia="en-GB"/>
              </w:rPr>
              <w:t xml:space="preserve"> nedjelje</w:t>
            </w:r>
          </w:p>
          <w:p w14:paraId="11BD8B67" w14:textId="77777777" w:rsidR="00596C07" w:rsidRPr="003B242C" w:rsidRDefault="00596C07" w:rsidP="00596C07">
            <w:pPr>
              <w:tabs>
                <w:tab w:val="left" w:pos="708"/>
              </w:tabs>
              <w:jc w:val="center"/>
              <w:textAlignment w:val="baseline"/>
              <w:rPr>
                <w:sz w:val="22"/>
                <w:szCs w:val="22"/>
                <w:lang w:val="sr-Latn-ME" w:eastAsia="en-GB"/>
              </w:rPr>
            </w:pPr>
            <w:r w:rsidRPr="003B242C">
              <w:rPr>
                <w:sz w:val="22"/>
                <w:szCs w:val="22"/>
                <w:lang w:val="sr-Latn-ME" w:eastAsia="en-GB"/>
              </w:rPr>
              <w:t>N=31</w:t>
            </w:r>
          </w:p>
        </w:tc>
        <w:tc>
          <w:tcPr>
            <w:tcW w:w="2633" w:type="dxa"/>
            <w:tcBorders>
              <w:top w:val="single" w:sz="6" w:space="0" w:color="auto"/>
              <w:left w:val="nil"/>
              <w:bottom w:val="single" w:sz="6" w:space="0" w:color="auto"/>
              <w:right w:val="single" w:sz="6" w:space="0" w:color="auto"/>
            </w:tcBorders>
            <w:vAlign w:val="center"/>
            <w:hideMark/>
          </w:tcPr>
          <w:p w14:paraId="2F99AB7C" w14:textId="77777777" w:rsidR="00596C07" w:rsidRPr="003B242C" w:rsidRDefault="00596C07" w:rsidP="00596C07">
            <w:pPr>
              <w:tabs>
                <w:tab w:val="left" w:pos="708"/>
              </w:tabs>
              <w:jc w:val="center"/>
              <w:textAlignment w:val="baseline"/>
              <w:rPr>
                <w:sz w:val="22"/>
                <w:szCs w:val="22"/>
                <w:lang w:val="sr-Latn-ME" w:eastAsia="en-GB"/>
              </w:rPr>
            </w:pPr>
            <w:r w:rsidRPr="003B242C">
              <w:rPr>
                <w:b/>
                <w:bCs/>
                <w:sz w:val="22"/>
                <w:szCs w:val="22"/>
                <w:lang w:val="sr-Latn-ME" w:eastAsia="en-GB"/>
              </w:rPr>
              <w:t>Humira</w:t>
            </w:r>
            <w:r w:rsidRPr="003B242C">
              <w:rPr>
                <w:b/>
                <w:sz w:val="22"/>
                <w:szCs w:val="22"/>
                <w:vertAlign w:val="superscript"/>
                <w:lang w:val="sr-Latn-ME" w:eastAsia="en-GB"/>
              </w:rPr>
              <w:t>b</w:t>
            </w:r>
            <w:r w:rsidRPr="003B242C">
              <w:rPr>
                <w:b/>
                <w:bCs/>
                <w:sz w:val="22"/>
                <w:szCs w:val="22"/>
                <w:lang w:val="sr-Latn-ME" w:eastAsia="en-GB"/>
              </w:rPr>
              <w:t> </w:t>
            </w:r>
            <w:r w:rsidRPr="003B242C">
              <w:rPr>
                <w:sz w:val="22"/>
                <w:szCs w:val="22"/>
                <w:lang w:val="sr-Latn-ME" w:eastAsia="en-GB"/>
              </w:rPr>
              <w:t> </w:t>
            </w:r>
          </w:p>
          <w:p w14:paraId="35548F4F" w14:textId="055CE08A" w:rsidR="00596C07" w:rsidRPr="003B242C" w:rsidRDefault="00596C07" w:rsidP="00596C07">
            <w:pPr>
              <w:tabs>
                <w:tab w:val="left" w:pos="708"/>
              </w:tabs>
              <w:jc w:val="center"/>
              <w:textAlignment w:val="baseline"/>
              <w:rPr>
                <w:sz w:val="22"/>
                <w:szCs w:val="22"/>
                <w:lang w:val="sr-Latn-ME" w:eastAsia="en-GB"/>
              </w:rPr>
            </w:pPr>
            <w:r w:rsidRPr="003B242C">
              <w:rPr>
                <w:b/>
                <w:bCs/>
                <w:sz w:val="22"/>
                <w:szCs w:val="22"/>
                <w:lang w:val="sr-Latn-ME" w:eastAsia="en-GB"/>
              </w:rPr>
              <w:t xml:space="preserve">Maksimalno 40 mg svake </w:t>
            </w:r>
            <w:r w:rsidR="00F51EE5" w:rsidRPr="003B242C">
              <w:rPr>
                <w:b/>
                <w:bCs/>
                <w:sz w:val="22"/>
                <w:szCs w:val="22"/>
                <w:lang w:val="sr-Latn-ME" w:eastAsia="en-GB"/>
              </w:rPr>
              <w:t>nedjelje</w:t>
            </w:r>
          </w:p>
          <w:p w14:paraId="080AACAF" w14:textId="77777777" w:rsidR="00596C07" w:rsidRPr="003B242C" w:rsidRDefault="00596C07" w:rsidP="00596C07">
            <w:pPr>
              <w:tabs>
                <w:tab w:val="left" w:pos="708"/>
              </w:tabs>
              <w:jc w:val="center"/>
              <w:textAlignment w:val="baseline"/>
              <w:rPr>
                <w:sz w:val="22"/>
                <w:szCs w:val="22"/>
                <w:lang w:val="sr-Latn-ME" w:eastAsia="en-GB"/>
              </w:rPr>
            </w:pPr>
            <w:r w:rsidRPr="003B242C">
              <w:rPr>
                <w:sz w:val="22"/>
                <w:szCs w:val="22"/>
                <w:lang w:val="sr-Latn-ME" w:eastAsia="en-GB"/>
              </w:rPr>
              <w:t>N=31</w:t>
            </w:r>
          </w:p>
        </w:tc>
      </w:tr>
      <w:tr w:rsidR="00596C07" w:rsidRPr="004500D8" w14:paraId="51D69659" w14:textId="77777777" w:rsidTr="00596C07">
        <w:trPr>
          <w:trHeight w:val="570"/>
          <w:jc w:val="center"/>
        </w:trPr>
        <w:tc>
          <w:tcPr>
            <w:tcW w:w="2526" w:type="dxa"/>
            <w:tcBorders>
              <w:top w:val="nil"/>
              <w:left w:val="single" w:sz="6" w:space="0" w:color="auto"/>
              <w:bottom w:val="single" w:sz="6" w:space="0" w:color="auto"/>
              <w:right w:val="single" w:sz="6" w:space="0" w:color="auto"/>
            </w:tcBorders>
            <w:vAlign w:val="center"/>
            <w:hideMark/>
          </w:tcPr>
          <w:p w14:paraId="44704CE3" w14:textId="571EBED6" w:rsidR="00596C07" w:rsidRPr="003B242C" w:rsidRDefault="00596C07">
            <w:pPr>
              <w:tabs>
                <w:tab w:val="left" w:pos="708"/>
              </w:tabs>
              <w:textAlignment w:val="baseline"/>
              <w:rPr>
                <w:sz w:val="22"/>
                <w:szCs w:val="22"/>
                <w:lang w:val="sr-Latn-ME" w:eastAsia="en-GB"/>
              </w:rPr>
            </w:pPr>
            <w:r w:rsidRPr="003B242C">
              <w:rPr>
                <w:sz w:val="22"/>
                <w:szCs w:val="22"/>
                <w:lang w:val="sr-Latn-ME" w:eastAsia="en-GB"/>
              </w:rPr>
              <w:t xml:space="preserve">Klinička remisija kod bolesnika sa odgovorom prema PMS-u u </w:t>
            </w:r>
            <w:r w:rsidR="00F51EE5" w:rsidRPr="003B242C">
              <w:rPr>
                <w:sz w:val="22"/>
                <w:szCs w:val="22"/>
                <w:lang w:val="sr-Latn-ME" w:eastAsia="en-GB"/>
              </w:rPr>
              <w:t>8. nedjelji</w:t>
            </w:r>
          </w:p>
        </w:tc>
        <w:tc>
          <w:tcPr>
            <w:tcW w:w="2409" w:type="dxa"/>
            <w:tcBorders>
              <w:top w:val="nil"/>
              <w:left w:val="nil"/>
              <w:bottom w:val="single" w:sz="6" w:space="0" w:color="auto"/>
              <w:right w:val="single" w:sz="6" w:space="0" w:color="auto"/>
            </w:tcBorders>
            <w:vAlign w:val="center"/>
            <w:hideMark/>
          </w:tcPr>
          <w:p w14:paraId="23427609" w14:textId="77777777" w:rsidR="00596C07" w:rsidRPr="003B242C" w:rsidRDefault="00596C07" w:rsidP="00596C07">
            <w:pPr>
              <w:tabs>
                <w:tab w:val="left" w:pos="708"/>
              </w:tabs>
              <w:jc w:val="center"/>
              <w:textAlignment w:val="baseline"/>
              <w:rPr>
                <w:sz w:val="22"/>
                <w:szCs w:val="22"/>
                <w:lang w:val="sr-Latn-ME" w:eastAsia="en-GB"/>
              </w:rPr>
            </w:pPr>
            <w:r w:rsidRPr="003B242C">
              <w:rPr>
                <w:sz w:val="22"/>
                <w:szCs w:val="22"/>
                <w:lang w:val="sr-Latn-ME" w:eastAsia="en-GB"/>
              </w:rPr>
              <w:t>9/31 (29,0%) </w:t>
            </w:r>
          </w:p>
        </w:tc>
        <w:tc>
          <w:tcPr>
            <w:tcW w:w="2633" w:type="dxa"/>
            <w:tcBorders>
              <w:top w:val="nil"/>
              <w:left w:val="nil"/>
              <w:bottom w:val="single" w:sz="6" w:space="0" w:color="auto"/>
              <w:right w:val="single" w:sz="6" w:space="0" w:color="auto"/>
            </w:tcBorders>
            <w:vAlign w:val="center"/>
            <w:hideMark/>
          </w:tcPr>
          <w:p w14:paraId="47B6FB61" w14:textId="77777777" w:rsidR="00596C07" w:rsidRPr="003B242C" w:rsidRDefault="00596C07" w:rsidP="00596C07">
            <w:pPr>
              <w:tabs>
                <w:tab w:val="left" w:pos="708"/>
              </w:tabs>
              <w:jc w:val="center"/>
              <w:textAlignment w:val="baseline"/>
              <w:rPr>
                <w:sz w:val="22"/>
                <w:szCs w:val="22"/>
                <w:lang w:val="sr-Latn-ME" w:eastAsia="en-GB"/>
              </w:rPr>
            </w:pPr>
            <w:r w:rsidRPr="003B242C">
              <w:rPr>
                <w:sz w:val="22"/>
                <w:szCs w:val="22"/>
                <w:lang w:val="sr-Latn-ME" w:eastAsia="en-GB"/>
              </w:rPr>
              <w:t>14/31 (45,2%)</w:t>
            </w:r>
          </w:p>
        </w:tc>
      </w:tr>
      <w:tr w:rsidR="00596C07" w:rsidRPr="004500D8" w14:paraId="6B979122" w14:textId="77777777" w:rsidTr="00596C07">
        <w:trPr>
          <w:trHeight w:val="555"/>
          <w:jc w:val="center"/>
        </w:trPr>
        <w:tc>
          <w:tcPr>
            <w:tcW w:w="2526" w:type="dxa"/>
            <w:tcBorders>
              <w:top w:val="nil"/>
              <w:left w:val="single" w:sz="6" w:space="0" w:color="auto"/>
              <w:bottom w:val="single" w:sz="6" w:space="0" w:color="auto"/>
              <w:right w:val="single" w:sz="6" w:space="0" w:color="auto"/>
            </w:tcBorders>
            <w:vAlign w:val="center"/>
            <w:hideMark/>
          </w:tcPr>
          <w:p w14:paraId="3052B391" w14:textId="518BF421" w:rsidR="00596C07" w:rsidRPr="003B242C" w:rsidRDefault="00596C07">
            <w:pPr>
              <w:tabs>
                <w:tab w:val="left" w:pos="708"/>
              </w:tabs>
              <w:textAlignment w:val="baseline"/>
              <w:rPr>
                <w:sz w:val="22"/>
                <w:szCs w:val="22"/>
                <w:lang w:val="sr-Latn-ME" w:eastAsia="en-GB"/>
              </w:rPr>
            </w:pPr>
            <w:r w:rsidRPr="003B242C">
              <w:rPr>
                <w:sz w:val="22"/>
                <w:szCs w:val="22"/>
                <w:lang w:val="sr-Latn-ME" w:eastAsia="en-GB"/>
              </w:rPr>
              <w:t xml:space="preserve">Klinički odgovor kod bolesnika sa odgovorom prema PMS-u u </w:t>
            </w:r>
            <w:r w:rsidR="00F51EE5" w:rsidRPr="003B242C">
              <w:rPr>
                <w:sz w:val="22"/>
                <w:szCs w:val="22"/>
                <w:lang w:val="sr-Latn-ME" w:eastAsia="en-GB"/>
              </w:rPr>
              <w:t>8. nedjelji</w:t>
            </w:r>
          </w:p>
        </w:tc>
        <w:tc>
          <w:tcPr>
            <w:tcW w:w="2409" w:type="dxa"/>
            <w:tcBorders>
              <w:top w:val="nil"/>
              <w:left w:val="nil"/>
              <w:bottom w:val="single" w:sz="6" w:space="0" w:color="auto"/>
              <w:right w:val="single" w:sz="6" w:space="0" w:color="auto"/>
            </w:tcBorders>
            <w:vAlign w:val="center"/>
            <w:hideMark/>
          </w:tcPr>
          <w:p w14:paraId="6FBF9658" w14:textId="77777777" w:rsidR="00596C07" w:rsidRPr="003B242C" w:rsidRDefault="00596C07" w:rsidP="00596C07">
            <w:pPr>
              <w:tabs>
                <w:tab w:val="left" w:pos="708"/>
              </w:tabs>
              <w:jc w:val="center"/>
              <w:textAlignment w:val="baseline"/>
              <w:rPr>
                <w:sz w:val="22"/>
                <w:szCs w:val="22"/>
                <w:lang w:val="sr-Latn-ME" w:eastAsia="en-GB"/>
              </w:rPr>
            </w:pPr>
            <w:r w:rsidRPr="003B242C">
              <w:rPr>
                <w:sz w:val="22"/>
                <w:szCs w:val="22"/>
                <w:lang w:val="sr-Latn-ME" w:eastAsia="en-GB"/>
              </w:rPr>
              <w:t>19/31 (61,3%) </w:t>
            </w:r>
          </w:p>
        </w:tc>
        <w:tc>
          <w:tcPr>
            <w:tcW w:w="2633" w:type="dxa"/>
            <w:tcBorders>
              <w:top w:val="nil"/>
              <w:left w:val="nil"/>
              <w:bottom w:val="single" w:sz="6" w:space="0" w:color="auto"/>
              <w:right w:val="single" w:sz="6" w:space="0" w:color="auto"/>
            </w:tcBorders>
            <w:vAlign w:val="center"/>
            <w:hideMark/>
          </w:tcPr>
          <w:p w14:paraId="23F7918D" w14:textId="77777777" w:rsidR="00596C07" w:rsidRPr="003B242C" w:rsidRDefault="00596C07" w:rsidP="00596C07">
            <w:pPr>
              <w:tabs>
                <w:tab w:val="left" w:pos="708"/>
              </w:tabs>
              <w:jc w:val="center"/>
              <w:textAlignment w:val="baseline"/>
              <w:rPr>
                <w:sz w:val="22"/>
                <w:szCs w:val="22"/>
                <w:lang w:val="sr-Latn-ME" w:eastAsia="en-GB"/>
              </w:rPr>
            </w:pPr>
            <w:r w:rsidRPr="003B242C">
              <w:rPr>
                <w:sz w:val="22"/>
                <w:szCs w:val="22"/>
                <w:lang w:val="sr-Latn-ME" w:eastAsia="en-GB"/>
              </w:rPr>
              <w:t>21/31 (67,7%) </w:t>
            </w:r>
          </w:p>
        </w:tc>
      </w:tr>
      <w:tr w:rsidR="00596C07" w:rsidRPr="004500D8" w14:paraId="198184DA" w14:textId="77777777" w:rsidTr="00596C07">
        <w:trPr>
          <w:jc w:val="center"/>
        </w:trPr>
        <w:tc>
          <w:tcPr>
            <w:tcW w:w="2526" w:type="dxa"/>
            <w:tcBorders>
              <w:top w:val="nil"/>
              <w:left w:val="single" w:sz="6" w:space="0" w:color="auto"/>
              <w:bottom w:val="single" w:sz="6" w:space="0" w:color="auto"/>
              <w:right w:val="single" w:sz="6" w:space="0" w:color="auto"/>
            </w:tcBorders>
            <w:vAlign w:val="center"/>
            <w:hideMark/>
          </w:tcPr>
          <w:p w14:paraId="30A7A70F" w14:textId="01216E68" w:rsidR="00596C07" w:rsidRPr="003B242C" w:rsidRDefault="00596C07" w:rsidP="00596C07">
            <w:pPr>
              <w:tabs>
                <w:tab w:val="left" w:pos="708"/>
              </w:tabs>
              <w:textAlignment w:val="baseline"/>
              <w:rPr>
                <w:sz w:val="22"/>
                <w:szCs w:val="22"/>
                <w:lang w:val="sr-Latn-ME" w:eastAsia="en-GB"/>
              </w:rPr>
            </w:pPr>
            <w:r w:rsidRPr="003B242C">
              <w:rPr>
                <w:sz w:val="22"/>
                <w:szCs w:val="22"/>
                <w:lang w:val="sr-Latn-ME" w:eastAsia="en-GB"/>
              </w:rPr>
              <w:t xml:space="preserve">Zacjeljenje sluznice kod bolesnika sa odgovorom prema PMS-u u </w:t>
            </w:r>
            <w:r w:rsidR="00F51EE5" w:rsidRPr="003B242C">
              <w:rPr>
                <w:sz w:val="22"/>
                <w:szCs w:val="22"/>
                <w:lang w:val="sr-Latn-ME" w:eastAsia="en-GB"/>
              </w:rPr>
              <w:t>8. nedjelji</w:t>
            </w:r>
          </w:p>
        </w:tc>
        <w:tc>
          <w:tcPr>
            <w:tcW w:w="2409" w:type="dxa"/>
            <w:tcBorders>
              <w:top w:val="nil"/>
              <w:left w:val="nil"/>
              <w:bottom w:val="single" w:sz="6" w:space="0" w:color="auto"/>
              <w:right w:val="single" w:sz="6" w:space="0" w:color="auto"/>
            </w:tcBorders>
            <w:vAlign w:val="center"/>
            <w:hideMark/>
          </w:tcPr>
          <w:p w14:paraId="2AC0BEE5" w14:textId="77777777" w:rsidR="00596C07" w:rsidRPr="003B242C" w:rsidRDefault="00596C07" w:rsidP="00596C07">
            <w:pPr>
              <w:tabs>
                <w:tab w:val="left" w:pos="708"/>
              </w:tabs>
              <w:jc w:val="center"/>
              <w:textAlignment w:val="baseline"/>
              <w:rPr>
                <w:sz w:val="22"/>
                <w:szCs w:val="22"/>
                <w:lang w:val="sr-Latn-ME" w:eastAsia="en-GB"/>
              </w:rPr>
            </w:pPr>
            <w:r w:rsidRPr="003B242C">
              <w:rPr>
                <w:sz w:val="22"/>
                <w:szCs w:val="22"/>
                <w:lang w:val="sr-Latn-ME" w:eastAsia="en-GB"/>
              </w:rPr>
              <w:t>12/31 (38,7%) </w:t>
            </w:r>
          </w:p>
        </w:tc>
        <w:tc>
          <w:tcPr>
            <w:tcW w:w="2633" w:type="dxa"/>
            <w:tcBorders>
              <w:top w:val="nil"/>
              <w:left w:val="nil"/>
              <w:bottom w:val="single" w:sz="6" w:space="0" w:color="auto"/>
              <w:right w:val="single" w:sz="6" w:space="0" w:color="auto"/>
            </w:tcBorders>
            <w:vAlign w:val="center"/>
            <w:hideMark/>
          </w:tcPr>
          <w:p w14:paraId="3F6825DE" w14:textId="77777777" w:rsidR="00596C07" w:rsidRPr="003B242C" w:rsidRDefault="00596C07" w:rsidP="00596C07">
            <w:pPr>
              <w:tabs>
                <w:tab w:val="left" w:pos="708"/>
              </w:tabs>
              <w:jc w:val="center"/>
              <w:textAlignment w:val="baseline"/>
              <w:rPr>
                <w:sz w:val="22"/>
                <w:szCs w:val="22"/>
                <w:lang w:val="sr-Latn-ME" w:eastAsia="en-GB"/>
              </w:rPr>
            </w:pPr>
            <w:r w:rsidRPr="003B242C">
              <w:rPr>
                <w:sz w:val="22"/>
                <w:szCs w:val="22"/>
                <w:lang w:val="sr-Latn-ME" w:eastAsia="en-GB"/>
              </w:rPr>
              <w:t>16/31 (51,6%) </w:t>
            </w:r>
          </w:p>
        </w:tc>
      </w:tr>
      <w:tr w:rsidR="00596C07" w:rsidRPr="004500D8" w14:paraId="4CBE485A" w14:textId="77777777" w:rsidTr="00596C07">
        <w:trPr>
          <w:jc w:val="center"/>
        </w:trPr>
        <w:tc>
          <w:tcPr>
            <w:tcW w:w="2526" w:type="dxa"/>
            <w:tcBorders>
              <w:top w:val="nil"/>
              <w:left w:val="single" w:sz="6" w:space="0" w:color="auto"/>
              <w:bottom w:val="single" w:sz="6" w:space="0" w:color="auto"/>
              <w:right w:val="single" w:sz="6" w:space="0" w:color="auto"/>
            </w:tcBorders>
            <w:vAlign w:val="center"/>
            <w:hideMark/>
          </w:tcPr>
          <w:p w14:paraId="18D25273" w14:textId="7A954C24" w:rsidR="00596C07" w:rsidRPr="003B242C" w:rsidRDefault="00596C07" w:rsidP="00596C07">
            <w:pPr>
              <w:tabs>
                <w:tab w:val="left" w:pos="708"/>
              </w:tabs>
              <w:textAlignment w:val="baseline"/>
              <w:rPr>
                <w:sz w:val="22"/>
                <w:szCs w:val="22"/>
                <w:lang w:val="sr-Latn-ME" w:eastAsia="en-GB"/>
              </w:rPr>
            </w:pPr>
            <w:r w:rsidRPr="003B242C">
              <w:rPr>
                <w:sz w:val="22"/>
                <w:szCs w:val="22"/>
                <w:lang w:val="sr-Latn-ME" w:eastAsia="en-GB"/>
              </w:rPr>
              <w:t xml:space="preserve">Klinička remisija kod bolesnika u remisiji prema PMS-u u </w:t>
            </w:r>
            <w:r w:rsidR="00F51EE5" w:rsidRPr="003B242C">
              <w:rPr>
                <w:sz w:val="22"/>
                <w:szCs w:val="22"/>
                <w:lang w:val="sr-Latn-ME" w:eastAsia="en-GB"/>
              </w:rPr>
              <w:t>8. nedjelji</w:t>
            </w:r>
          </w:p>
        </w:tc>
        <w:tc>
          <w:tcPr>
            <w:tcW w:w="2409" w:type="dxa"/>
            <w:tcBorders>
              <w:top w:val="nil"/>
              <w:left w:val="nil"/>
              <w:bottom w:val="single" w:sz="6" w:space="0" w:color="auto"/>
              <w:right w:val="single" w:sz="6" w:space="0" w:color="auto"/>
            </w:tcBorders>
            <w:vAlign w:val="center"/>
            <w:hideMark/>
          </w:tcPr>
          <w:p w14:paraId="57B1C28B" w14:textId="77777777" w:rsidR="00596C07" w:rsidRPr="003B242C" w:rsidRDefault="00596C07" w:rsidP="00596C07">
            <w:pPr>
              <w:tabs>
                <w:tab w:val="left" w:pos="708"/>
              </w:tabs>
              <w:jc w:val="center"/>
              <w:textAlignment w:val="baseline"/>
              <w:rPr>
                <w:sz w:val="22"/>
                <w:szCs w:val="22"/>
                <w:lang w:val="sr-Latn-ME" w:eastAsia="en-GB"/>
              </w:rPr>
            </w:pPr>
            <w:r w:rsidRPr="003B242C">
              <w:rPr>
                <w:sz w:val="22"/>
                <w:szCs w:val="22"/>
                <w:lang w:val="sr-Latn-ME" w:eastAsia="en-GB"/>
              </w:rPr>
              <w:t>9/21 (42,9%) </w:t>
            </w:r>
          </w:p>
        </w:tc>
        <w:tc>
          <w:tcPr>
            <w:tcW w:w="2633" w:type="dxa"/>
            <w:tcBorders>
              <w:top w:val="nil"/>
              <w:left w:val="nil"/>
              <w:bottom w:val="single" w:sz="6" w:space="0" w:color="auto"/>
              <w:right w:val="single" w:sz="6" w:space="0" w:color="auto"/>
            </w:tcBorders>
            <w:vAlign w:val="center"/>
            <w:hideMark/>
          </w:tcPr>
          <w:p w14:paraId="5981343F" w14:textId="77777777" w:rsidR="00596C07" w:rsidRPr="003B242C" w:rsidRDefault="00596C07" w:rsidP="00596C07">
            <w:pPr>
              <w:tabs>
                <w:tab w:val="left" w:pos="708"/>
              </w:tabs>
              <w:jc w:val="center"/>
              <w:textAlignment w:val="baseline"/>
              <w:rPr>
                <w:sz w:val="22"/>
                <w:szCs w:val="22"/>
                <w:lang w:val="sr-Latn-ME" w:eastAsia="en-GB"/>
              </w:rPr>
            </w:pPr>
            <w:r w:rsidRPr="003B242C">
              <w:rPr>
                <w:sz w:val="22"/>
                <w:szCs w:val="22"/>
                <w:lang w:val="sr-Latn-ME" w:eastAsia="en-GB"/>
              </w:rPr>
              <w:t>10/22 (45,5%) </w:t>
            </w:r>
          </w:p>
        </w:tc>
      </w:tr>
      <w:tr w:rsidR="00596C07" w:rsidRPr="004500D8" w14:paraId="4B8502BF" w14:textId="77777777" w:rsidTr="00596C07">
        <w:trPr>
          <w:jc w:val="center"/>
        </w:trPr>
        <w:tc>
          <w:tcPr>
            <w:tcW w:w="2526" w:type="dxa"/>
            <w:tcBorders>
              <w:top w:val="nil"/>
              <w:left w:val="single" w:sz="6" w:space="0" w:color="auto"/>
              <w:bottom w:val="single" w:sz="6" w:space="0" w:color="auto"/>
              <w:right w:val="single" w:sz="6" w:space="0" w:color="auto"/>
            </w:tcBorders>
            <w:vAlign w:val="center"/>
            <w:hideMark/>
          </w:tcPr>
          <w:p w14:paraId="3AEA7B03" w14:textId="4C970268" w:rsidR="00596C07" w:rsidRPr="003B242C" w:rsidRDefault="00596C07" w:rsidP="00596C07">
            <w:pPr>
              <w:tabs>
                <w:tab w:val="left" w:pos="708"/>
              </w:tabs>
              <w:textAlignment w:val="baseline"/>
              <w:rPr>
                <w:sz w:val="22"/>
                <w:szCs w:val="22"/>
                <w:lang w:val="sr-Latn-ME" w:eastAsia="en-GB"/>
              </w:rPr>
            </w:pPr>
            <w:r w:rsidRPr="003B242C">
              <w:rPr>
                <w:sz w:val="22"/>
                <w:szCs w:val="22"/>
                <w:lang w:val="sr-Latn-ME" w:eastAsia="en-GB"/>
              </w:rPr>
              <w:t xml:space="preserve">Remisija bez kortikosteroida kod bolesnika sa odgovorom prema PMS-u u </w:t>
            </w:r>
            <w:r w:rsidR="00F51EE5" w:rsidRPr="003B242C">
              <w:rPr>
                <w:sz w:val="22"/>
                <w:szCs w:val="22"/>
                <w:lang w:val="sr-Latn-ME" w:eastAsia="en-GB"/>
              </w:rPr>
              <w:t>8. nedjelji</w:t>
            </w:r>
            <w:r w:rsidRPr="003B242C">
              <w:rPr>
                <w:sz w:val="22"/>
                <w:szCs w:val="22"/>
                <w:vertAlign w:val="superscript"/>
                <w:lang w:val="sr-Latn-ME" w:eastAsia="en-GB"/>
              </w:rPr>
              <w:t>c</w:t>
            </w:r>
            <w:r w:rsidRPr="003B242C">
              <w:rPr>
                <w:sz w:val="22"/>
                <w:szCs w:val="22"/>
                <w:lang w:val="sr-Latn-ME" w:eastAsia="en-GB"/>
              </w:rPr>
              <w:t> </w:t>
            </w:r>
          </w:p>
        </w:tc>
        <w:tc>
          <w:tcPr>
            <w:tcW w:w="2409" w:type="dxa"/>
            <w:tcBorders>
              <w:top w:val="nil"/>
              <w:left w:val="nil"/>
              <w:bottom w:val="single" w:sz="6" w:space="0" w:color="auto"/>
              <w:right w:val="single" w:sz="6" w:space="0" w:color="auto"/>
            </w:tcBorders>
            <w:vAlign w:val="center"/>
            <w:hideMark/>
          </w:tcPr>
          <w:p w14:paraId="507E0585" w14:textId="77777777" w:rsidR="00596C07" w:rsidRPr="003B242C" w:rsidRDefault="00596C07" w:rsidP="00596C07">
            <w:pPr>
              <w:tabs>
                <w:tab w:val="left" w:pos="708"/>
              </w:tabs>
              <w:jc w:val="center"/>
              <w:textAlignment w:val="baseline"/>
              <w:rPr>
                <w:sz w:val="22"/>
                <w:szCs w:val="22"/>
                <w:lang w:val="sr-Latn-ME" w:eastAsia="en-GB"/>
              </w:rPr>
            </w:pPr>
            <w:r w:rsidRPr="003B242C">
              <w:rPr>
                <w:sz w:val="22"/>
                <w:szCs w:val="22"/>
                <w:lang w:val="sr-Latn-ME" w:eastAsia="en-GB"/>
              </w:rPr>
              <w:t>4/13 (30,8%) </w:t>
            </w:r>
          </w:p>
        </w:tc>
        <w:tc>
          <w:tcPr>
            <w:tcW w:w="2633" w:type="dxa"/>
            <w:tcBorders>
              <w:top w:val="nil"/>
              <w:left w:val="nil"/>
              <w:bottom w:val="single" w:sz="6" w:space="0" w:color="auto"/>
              <w:right w:val="single" w:sz="6" w:space="0" w:color="auto"/>
            </w:tcBorders>
            <w:vAlign w:val="center"/>
            <w:hideMark/>
          </w:tcPr>
          <w:p w14:paraId="0DA69A95" w14:textId="77777777" w:rsidR="00596C07" w:rsidRPr="003B242C" w:rsidRDefault="00596C07" w:rsidP="00596C07">
            <w:pPr>
              <w:tabs>
                <w:tab w:val="left" w:pos="708"/>
              </w:tabs>
              <w:jc w:val="center"/>
              <w:textAlignment w:val="baseline"/>
              <w:rPr>
                <w:sz w:val="22"/>
                <w:szCs w:val="22"/>
                <w:lang w:val="sr-Latn-ME" w:eastAsia="en-GB"/>
              </w:rPr>
            </w:pPr>
            <w:r w:rsidRPr="003B242C">
              <w:rPr>
                <w:sz w:val="22"/>
                <w:szCs w:val="22"/>
                <w:lang w:val="sr-Latn-ME" w:eastAsia="en-GB"/>
              </w:rPr>
              <w:t>5/16 (31,3%) </w:t>
            </w:r>
          </w:p>
        </w:tc>
      </w:tr>
      <w:tr w:rsidR="00596C07" w:rsidRPr="004500D8" w14:paraId="71DAC015" w14:textId="77777777" w:rsidTr="00596C07">
        <w:trPr>
          <w:jc w:val="center"/>
        </w:trPr>
        <w:tc>
          <w:tcPr>
            <w:tcW w:w="7568" w:type="dxa"/>
            <w:gridSpan w:val="3"/>
            <w:tcBorders>
              <w:top w:val="nil"/>
              <w:left w:val="single" w:sz="6" w:space="0" w:color="auto"/>
              <w:bottom w:val="single" w:sz="6" w:space="0" w:color="auto"/>
              <w:right w:val="single" w:sz="6" w:space="0" w:color="auto"/>
            </w:tcBorders>
            <w:hideMark/>
          </w:tcPr>
          <w:p w14:paraId="48C73134" w14:textId="5844226D" w:rsidR="00596C07" w:rsidRPr="003B242C" w:rsidRDefault="00596C07" w:rsidP="00596C07">
            <w:pPr>
              <w:tabs>
                <w:tab w:val="left" w:pos="708"/>
              </w:tabs>
              <w:textAlignment w:val="baseline"/>
              <w:rPr>
                <w:sz w:val="22"/>
                <w:szCs w:val="22"/>
                <w:lang w:val="sr-Latn-ME" w:eastAsia="en-GB"/>
              </w:rPr>
            </w:pPr>
            <w:r w:rsidRPr="003B242C">
              <w:rPr>
                <w:sz w:val="22"/>
                <w:szCs w:val="22"/>
                <w:vertAlign w:val="superscript"/>
                <w:lang w:val="sr-Latn-ME" w:eastAsia="en-GB"/>
              </w:rPr>
              <w:t>a </w:t>
            </w:r>
            <w:r w:rsidRPr="003B242C">
              <w:rPr>
                <w:sz w:val="22"/>
                <w:szCs w:val="22"/>
                <w:lang w:val="sr-Latn-ME" w:eastAsia="en-GB"/>
              </w:rPr>
              <w:t xml:space="preserve">Humira 0,6 mg/kg (maksimalno 40 mg) svake druge </w:t>
            </w:r>
            <w:r w:rsidR="00F51EE5" w:rsidRPr="003B242C">
              <w:rPr>
                <w:sz w:val="22"/>
                <w:szCs w:val="22"/>
                <w:lang w:val="sr-Latn-ME" w:eastAsia="en-GB"/>
              </w:rPr>
              <w:t>nedjelje</w:t>
            </w:r>
          </w:p>
          <w:p w14:paraId="1CB76D3D" w14:textId="48E996D9" w:rsidR="00596C07" w:rsidRPr="003B242C" w:rsidRDefault="00596C07" w:rsidP="00596C07">
            <w:pPr>
              <w:tabs>
                <w:tab w:val="left" w:pos="708"/>
              </w:tabs>
              <w:textAlignment w:val="baseline"/>
              <w:rPr>
                <w:sz w:val="22"/>
                <w:szCs w:val="22"/>
                <w:lang w:val="sr-Latn-ME" w:eastAsia="en-GB"/>
              </w:rPr>
            </w:pPr>
            <w:r w:rsidRPr="003B242C">
              <w:rPr>
                <w:sz w:val="22"/>
                <w:szCs w:val="22"/>
                <w:vertAlign w:val="superscript"/>
                <w:lang w:val="sr-Latn-ME" w:eastAsia="en-GB"/>
              </w:rPr>
              <w:t>b </w:t>
            </w:r>
            <w:r w:rsidRPr="003B242C">
              <w:rPr>
                <w:sz w:val="22"/>
                <w:szCs w:val="22"/>
                <w:lang w:val="sr-Latn-ME" w:eastAsia="en-GB"/>
              </w:rPr>
              <w:t xml:space="preserve">Humira 0,6 mg/kg (maksimalno 40 mg) svake </w:t>
            </w:r>
            <w:r w:rsidR="00F51EE5" w:rsidRPr="003B242C">
              <w:rPr>
                <w:sz w:val="22"/>
                <w:szCs w:val="22"/>
                <w:lang w:val="sr-Latn-ME" w:eastAsia="en-GB"/>
              </w:rPr>
              <w:t>nedjelj</w:t>
            </w:r>
            <w:r w:rsidRPr="003B242C">
              <w:rPr>
                <w:sz w:val="22"/>
                <w:szCs w:val="22"/>
                <w:lang w:val="sr-Latn-ME" w:eastAsia="en-GB"/>
              </w:rPr>
              <w:t>e</w:t>
            </w:r>
          </w:p>
          <w:p w14:paraId="43E66C5D" w14:textId="77777777" w:rsidR="00596C07" w:rsidRPr="003B242C" w:rsidRDefault="00596C07" w:rsidP="00596C07">
            <w:pPr>
              <w:tabs>
                <w:tab w:val="left" w:pos="708"/>
              </w:tabs>
              <w:textAlignment w:val="baseline"/>
              <w:rPr>
                <w:sz w:val="22"/>
                <w:szCs w:val="22"/>
                <w:lang w:val="sr-Latn-ME" w:eastAsia="en-GB"/>
              </w:rPr>
            </w:pPr>
            <w:r w:rsidRPr="003B242C">
              <w:rPr>
                <w:sz w:val="22"/>
                <w:szCs w:val="22"/>
                <w:vertAlign w:val="superscript"/>
                <w:lang w:val="sr-Latn-ME" w:eastAsia="en-GB"/>
              </w:rPr>
              <w:t>c</w:t>
            </w:r>
            <w:r w:rsidRPr="003B242C">
              <w:rPr>
                <w:sz w:val="22"/>
                <w:szCs w:val="22"/>
                <w:lang w:val="sr-Latn-ME" w:eastAsia="en-GB"/>
              </w:rPr>
              <w:t> Kod bolesnika koji su na početku ispitivanja primali istovremenu terapiju kortikosteroidima</w:t>
            </w:r>
          </w:p>
          <w:p w14:paraId="79D81641" w14:textId="25C02A30" w:rsidR="00596C07" w:rsidRPr="003B242C" w:rsidRDefault="00596C07">
            <w:pPr>
              <w:tabs>
                <w:tab w:val="left" w:pos="708"/>
              </w:tabs>
              <w:textAlignment w:val="baseline"/>
              <w:rPr>
                <w:sz w:val="22"/>
                <w:szCs w:val="22"/>
                <w:lang w:val="sr-Latn-ME" w:eastAsia="en-GB"/>
              </w:rPr>
            </w:pPr>
            <w:r w:rsidRPr="003B242C">
              <w:rPr>
                <w:sz w:val="22"/>
                <w:szCs w:val="22"/>
                <w:lang w:val="sr-Latn-ME" w:eastAsia="en-GB"/>
              </w:rPr>
              <w:lastRenderedPageBreak/>
              <w:t xml:space="preserve">Napomena: za </w:t>
            </w:r>
            <w:r w:rsidR="00F51EE5" w:rsidRPr="003B242C">
              <w:rPr>
                <w:sz w:val="22"/>
                <w:szCs w:val="22"/>
                <w:lang w:val="sr-Latn-ME" w:eastAsia="en-GB"/>
              </w:rPr>
              <w:t xml:space="preserve">pacijente </w:t>
            </w:r>
            <w:r w:rsidRPr="003B242C">
              <w:rPr>
                <w:sz w:val="22"/>
                <w:szCs w:val="22"/>
                <w:lang w:val="sr-Latn-ME" w:eastAsia="en-GB"/>
              </w:rPr>
              <w:t xml:space="preserve">čije su vrijednosti nedostajale u </w:t>
            </w:r>
            <w:r w:rsidR="00F51EE5" w:rsidRPr="003B242C">
              <w:rPr>
                <w:sz w:val="22"/>
                <w:szCs w:val="22"/>
                <w:lang w:val="sr-Latn-ME" w:eastAsia="en-GB"/>
              </w:rPr>
              <w:t>52. nedjelji</w:t>
            </w:r>
            <w:r w:rsidRPr="003B242C">
              <w:rPr>
                <w:sz w:val="22"/>
                <w:szCs w:val="22"/>
                <w:lang w:val="sr-Latn-ME" w:eastAsia="en-GB"/>
              </w:rPr>
              <w:t xml:space="preserve"> ili koji su randomiz</w:t>
            </w:r>
            <w:r w:rsidR="00F51EE5" w:rsidRPr="003B242C">
              <w:rPr>
                <w:sz w:val="22"/>
                <w:szCs w:val="22"/>
                <w:lang w:val="sr-Latn-ME" w:eastAsia="en-GB"/>
              </w:rPr>
              <w:t>ovani</w:t>
            </w:r>
            <w:r w:rsidRPr="003B242C">
              <w:rPr>
                <w:sz w:val="22"/>
                <w:szCs w:val="22"/>
                <w:lang w:val="sr-Latn-ME" w:eastAsia="en-GB"/>
              </w:rPr>
              <w:t xml:space="preserve"> za ponovno indukcijsko liječenje ili liječenje održavanja smatralo se da nemaju odgovora za mjere ishoda u </w:t>
            </w:r>
            <w:r w:rsidR="00F51EE5" w:rsidRPr="003B242C">
              <w:rPr>
                <w:sz w:val="22"/>
                <w:szCs w:val="22"/>
                <w:lang w:val="sr-Latn-ME" w:eastAsia="en-GB"/>
              </w:rPr>
              <w:t>52. nedjelji</w:t>
            </w:r>
          </w:p>
        </w:tc>
      </w:tr>
    </w:tbl>
    <w:p w14:paraId="7007EB39" w14:textId="77777777" w:rsidR="00596C07" w:rsidRPr="003B242C" w:rsidRDefault="00596C07" w:rsidP="003B242C">
      <w:pPr>
        <w:tabs>
          <w:tab w:val="left" w:pos="562"/>
        </w:tabs>
        <w:suppressAutoHyphens/>
        <w:jc w:val="both"/>
        <w:rPr>
          <w:sz w:val="22"/>
          <w:szCs w:val="22"/>
          <w:lang w:val="sr-Latn-ME"/>
        </w:rPr>
      </w:pPr>
    </w:p>
    <w:p w14:paraId="7AD7E4D0" w14:textId="0A77ECD5" w:rsidR="00596C07" w:rsidRPr="003B242C" w:rsidRDefault="00596C07" w:rsidP="003B242C">
      <w:pPr>
        <w:tabs>
          <w:tab w:val="left" w:pos="562"/>
        </w:tabs>
        <w:suppressAutoHyphens/>
        <w:jc w:val="both"/>
        <w:rPr>
          <w:sz w:val="22"/>
          <w:szCs w:val="22"/>
          <w:lang w:val="sr-Latn-ME"/>
        </w:rPr>
      </w:pPr>
      <w:r w:rsidRPr="003B242C">
        <w:rPr>
          <w:sz w:val="22"/>
          <w:szCs w:val="22"/>
          <w:lang w:val="sr-Latn-ME"/>
        </w:rPr>
        <w:t xml:space="preserve">Dodatne istraživačke mjere ishoda efikasnosti uključivale su klinički odgovor prema indeksu aktivnosti ulceroznog kolitisa kod pedijatrijskih bolesnika (engl. </w:t>
      </w:r>
      <w:r w:rsidRPr="003B242C">
        <w:rPr>
          <w:i/>
          <w:iCs/>
          <w:sz w:val="22"/>
          <w:szCs w:val="22"/>
          <w:lang w:val="sr-Latn-ME"/>
        </w:rPr>
        <w:t>Paediatric Ulcerative Colitis Activity Index</w:t>
      </w:r>
      <w:r w:rsidRPr="003B242C">
        <w:rPr>
          <w:sz w:val="22"/>
          <w:szCs w:val="22"/>
          <w:lang w:val="sr-Latn-ME"/>
        </w:rPr>
        <w:t xml:space="preserve">, PUCAI) (definisan kao smanjenje rezultata PUCAI ≥ 20 bodova u odnosu na početne vrijednosti) i kliničku remisiju prema PUCAI-u (definisana kao PUCAI &lt; 10) u </w:t>
      </w:r>
      <w:r w:rsidR="00F51EE5" w:rsidRPr="003B242C">
        <w:rPr>
          <w:sz w:val="22"/>
          <w:szCs w:val="22"/>
          <w:lang w:val="sr-Latn-ME"/>
        </w:rPr>
        <w:t>8. nedjelji</w:t>
      </w:r>
      <w:r w:rsidRPr="003B242C">
        <w:rPr>
          <w:sz w:val="22"/>
          <w:szCs w:val="22"/>
          <w:lang w:val="sr-Latn-ME"/>
        </w:rPr>
        <w:t xml:space="preserve"> i </w:t>
      </w:r>
      <w:r w:rsidR="00F51EE5" w:rsidRPr="003B242C">
        <w:rPr>
          <w:sz w:val="22"/>
          <w:szCs w:val="22"/>
          <w:lang w:val="sr-Latn-ME"/>
        </w:rPr>
        <w:t>52. nedjelji</w:t>
      </w:r>
      <w:r w:rsidRPr="003B242C">
        <w:rPr>
          <w:sz w:val="22"/>
          <w:szCs w:val="22"/>
          <w:lang w:val="sr-Latn-ME"/>
        </w:rPr>
        <w:t xml:space="preserve"> (Tabela 23).</w:t>
      </w:r>
    </w:p>
    <w:p w14:paraId="4771EA2F" w14:textId="77777777" w:rsidR="00596C07" w:rsidRPr="003B242C" w:rsidRDefault="00596C07" w:rsidP="00596C07">
      <w:pPr>
        <w:tabs>
          <w:tab w:val="left" w:pos="562"/>
        </w:tabs>
        <w:suppressAutoHyphens/>
        <w:rPr>
          <w:lang w:val="sr-Latn-ME"/>
        </w:rPr>
      </w:pPr>
    </w:p>
    <w:tbl>
      <w:tblPr>
        <w:tblW w:w="8262" w:type="dxa"/>
        <w:jc w:val="center"/>
        <w:tblCellMar>
          <w:left w:w="0" w:type="dxa"/>
          <w:right w:w="0" w:type="dxa"/>
        </w:tblCellMar>
        <w:tblLook w:val="04A0" w:firstRow="1" w:lastRow="0" w:firstColumn="1" w:lastColumn="0" w:noHBand="0" w:noVBand="1"/>
      </w:tblPr>
      <w:tblGrid>
        <w:gridCol w:w="2934"/>
        <w:gridCol w:w="2898"/>
        <w:gridCol w:w="2430"/>
      </w:tblGrid>
      <w:tr w:rsidR="00596C07" w:rsidRPr="004500D8" w14:paraId="3031D120" w14:textId="77777777" w:rsidTr="003B242C">
        <w:trPr>
          <w:trHeight w:val="60"/>
          <w:jc w:val="center"/>
        </w:trPr>
        <w:tc>
          <w:tcPr>
            <w:tcW w:w="8262" w:type="dxa"/>
            <w:gridSpan w:val="3"/>
            <w:tcMar>
              <w:top w:w="0" w:type="dxa"/>
              <w:left w:w="108" w:type="dxa"/>
              <w:bottom w:w="0" w:type="dxa"/>
              <w:right w:w="108" w:type="dxa"/>
            </w:tcMar>
            <w:hideMark/>
          </w:tcPr>
          <w:p w14:paraId="7831F931" w14:textId="77777777" w:rsidR="00596C07" w:rsidRPr="003B242C" w:rsidRDefault="00596C07" w:rsidP="00596C07">
            <w:pPr>
              <w:tabs>
                <w:tab w:val="left" w:pos="562"/>
              </w:tabs>
              <w:suppressAutoHyphens/>
              <w:spacing w:line="259" w:lineRule="auto"/>
              <w:jc w:val="center"/>
              <w:rPr>
                <w:b/>
                <w:bCs/>
                <w:sz w:val="22"/>
                <w:szCs w:val="22"/>
                <w:lang w:val="sr-Latn-ME"/>
              </w:rPr>
            </w:pPr>
            <w:bookmarkStart w:id="0" w:name="_Hlk55811301"/>
            <w:r w:rsidRPr="003B242C">
              <w:rPr>
                <w:b/>
                <w:bCs/>
                <w:sz w:val="22"/>
                <w:szCs w:val="22"/>
                <w:lang w:val="sr-Latn-ME"/>
              </w:rPr>
              <w:t>Tabela 23: Rezultati istraživačkih mjera ishoda prema PUCAI-u</w:t>
            </w:r>
          </w:p>
        </w:tc>
      </w:tr>
      <w:tr w:rsidR="00596C07" w:rsidRPr="004500D8" w14:paraId="4514138E" w14:textId="77777777" w:rsidTr="003B242C">
        <w:trPr>
          <w:trHeight w:val="265"/>
          <w:jc w:val="center"/>
        </w:trPr>
        <w:tc>
          <w:tcPr>
            <w:tcW w:w="2934" w:type="dxa"/>
            <w:vMerge w:val="restart"/>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14:paraId="02308A13" w14:textId="77777777" w:rsidR="00596C07" w:rsidRPr="003B242C" w:rsidRDefault="00596C07" w:rsidP="00596C07">
            <w:pPr>
              <w:tabs>
                <w:tab w:val="left" w:pos="562"/>
              </w:tabs>
              <w:suppressAutoHyphens/>
              <w:spacing w:line="259" w:lineRule="auto"/>
              <w:rPr>
                <w:sz w:val="22"/>
                <w:szCs w:val="22"/>
                <w:lang w:val="sr-Latn-ME"/>
              </w:rPr>
            </w:pPr>
          </w:p>
        </w:tc>
        <w:tc>
          <w:tcPr>
            <w:tcW w:w="53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2DBF64" w14:textId="35C561AD" w:rsidR="00596C07" w:rsidRPr="003B242C" w:rsidRDefault="0010716E" w:rsidP="00596C07">
            <w:pPr>
              <w:tabs>
                <w:tab w:val="left" w:pos="562"/>
              </w:tabs>
              <w:suppressAutoHyphens/>
              <w:spacing w:line="259" w:lineRule="auto"/>
              <w:jc w:val="center"/>
              <w:rPr>
                <w:b/>
                <w:bCs/>
                <w:sz w:val="22"/>
                <w:szCs w:val="22"/>
                <w:lang w:val="sr-Latn-ME"/>
              </w:rPr>
            </w:pPr>
            <w:r w:rsidRPr="003B242C">
              <w:rPr>
                <w:b/>
                <w:bCs/>
                <w:sz w:val="22"/>
                <w:szCs w:val="22"/>
                <w:lang w:val="sr-Latn-ME"/>
              </w:rPr>
              <w:t xml:space="preserve">8. nedjelja </w:t>
            </w:r>
          </w:p>
        </w:tc>
      </w:tr>
      <w:tr w:rsidR="00596C07" w:rsidRPr="004500D8" w14:paraId="42998117" w14:textId="77777777" w:rsidTr="003B242C">
        <w:trPr>
          <w:trHeight w:val="1042"/>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14:paraId="2E3F1038" w14:textId="77777777" w:rsidR="00596C07" w:rsidRPr="003B242C" w:rsidRDefault="00596C07" w:rsidP="00596C07">
            <w:pPr>
              <w:rPr>
                <w:sz w:val="22"/>
                <w:szCs w:val="22"/>
                <w:lang w:val="sr-Latn-ME"/>
              </w:rPr>
            </w:pPr>
          </w:p>
        </w:tc>
        <w:tc>
          <w:tcPr>
            <w:tcW w:w="28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5E01D2" w14:textId="77777777" w:rsidR="00596C07" w:rsidRPr="003B242C" w:rsidRDefault="00596C07" w:rsidP="00596C07">
            <w:pPr>
              <w:tabs>
                <w:tab w:val="left" w:pos="562"/>
              </w:tabs>
              <w:suppressAutoHyphens/>
              <w:spacing w:line="259" w:lineRule="auto"/>
              <w:jc w:val="center"/>
              <w:rPr>
                <w:b/>
                <w:bCs/>
                <w:sz w:val="22"/>
                <w:szCs w:val="22"/>
                <w:vertAlign w:val="superscript"/>
                <w:lang w:val="sr-Latn-ME"/>
              </w:rPr>
            </w:pPr>
            <w:r w:rsidRPr="003B242C">
              <w:rPr>
                <w:b/>
                <w:bCs/>
                <w:sz w:val="22"/>
                <w:szCs w:val="22"/>
                <w:lang w:val="sr-Latn-ME"/>
              </w:rPr>
              <w:t>Humira</w:t>
            </w:r>
            <w:r w:rsidRPr="003B242C">
              <w:rPr>
                <w:b/>
                <w:bCs/>
                <w:sz w:val="22"/>
                <w:szCs w:val="22"/>
                <w:vertAlign w:val="superscript"/>
                <w:lang w:val="sr-Latn-ME"/>
              </w:rPr>
              <w:t>a</w:t>
            </w:r>
          </w:p>
          <w:p w14:paraId="6578A815" w14:textId="054935E1" w:rsidR="00596C07" w:rsidRPr="003B242C" w:rsidRDefault="00596C07" w:rsidP="00596C07">
            <w:pPr>
              <w:tabs>
                <w:tab w:val="left" w:pos="562"/>
              </w:tabs>
              <w:suppressAutoHyphens/>
              <w:spacing w:line="259" w:lineRule="auto"/>
              <w:jc w:val="center"/>
              <w:rPr>
                <w:b/>
                <w:bCs/>
                <w:sz w:val="22"/>
                <w:szCs w:val="22"/>
                <w:lang w:val="sr-Latn-ME"/>
              </w:rPr>
            </w:pPr>
            <w:r w:rsidRPr="003B242C">
              <w:rPr>
                <w:b/>
                <w:bCs/>
                <w:sz w:val="22"/>
                <w:szCs w:val="22"/>
                <w:lang w:val="sr-Latn-ME"/>
              </w:rPr>
              <w:t xml:space="preserve">Maksimalno 160 mg u </w:t>
            </w:r>
            <w:r w:rsidR="0010716E" w:rsidRPr="003B242C">
              <w:rPr>
                <w:b/>
                <w:bCs/>
                <w:sz w:val="22"/>
                <w:szCs w:val="22"/>
                <w:lang w:val="sr-Latn-ME"/>
              </w:rPr>
              <w:t>nultoj nedjelji</w:t>
            </w:r>
            <w:r w:rsidRPr="003B242C">
              <w:rPr>
                <w:b/>
                <w:bCs/>
                <w:sz w:val="22"/>
                <w:szCs w:val="22"/>
                <w:lang w:val="sr-Latn-ME"/>
              </w:rPr>
              <w:t xml:space="preserve"> / placebo u </w:t>
            </w:r>
            <w:r w:rsidR="0010716E" w:rsidRPr="003B242C">
              <w:rPr>
                <w:b/>
                <w:bCs/>
                <w:sz w:val="22"/>
                <w:szCs w:val="22"/>
                <w:lang w:val="sr-Latn-ME"/>
              </w:rPr>
              <w:t>prvoj nedjelji</w:t>
            </w:r>
            <w:r w:rsidRPr="003B242C">
              <w:rPr>
                <w:b/>
                <w:bCs/>
                <w:sz w:val="22"/>
                <w:szCs w:val="22"/>
                <w:lang w:val="sr-Latn-ME"/>
              </w:rPr>
              <w:t xml:space="preserve"> </w:t>
            </w:r>
          </w:p>
          <w:p w14:paraId="60D522D1" w14:textId="77777777" w:rsidR="00596C07" w:rsidRPr="003B242C" w:rsidRDefault="00596C07" w:rsidP="00596C07">
            <w:pPr>
              <w:tabs>
                <w:tab w:val="left" w:pos="562"/>
              </w:tabs>
              <w:suppressAutoHyphens/>
              <w:spacing w:line="259" w:lineRule="auto"/>
              <w:jc w:val="center"/>
              <w:rPr>
                <w:sz w:val="22"/>
                <w:szCs w:val="22"/>
                <w:lang w:val="sr-Latn-ME"/>
              </w:rPr>
            </w:pPr>
            <w:r w:rsidRPr="003B242C">
              <w:rPr>
                <w:sz w:val="22"/>
                <w:szCs w:val="22"/>
                <w:lang w:val="sr-Latn-ME"/>
              </w:rPr>
              <w:t>N = 30</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A5890F" w14:textId="77777777" w:rsidR="00596C07" w:rsidRPr="003B242C" w:rsidRDefault="00596C07" w:rsidP="00596C07">
            <w:pPr>
              <w:tabs>
                <w:tab w:val="left" w:pos="562"/>
              </w:tabs>
              <w:suppressAutoHyphens/>
              <w:spacing w:line="259" w:lineRule="auto"/>
              <w:jc w:val="center"/>
              <w:rPr>
                <w:b/>
                <w:bCs/>
                <w:sz w:val="22"/>
                <w:szCs w:val="22"/>
                <w:vertAlign w:val="superscript"/>
                <w:lang w:val="sr-Latn-ME"/>
              </w:rPr>
            </w:pPr>
            <w:r w:rsidRPr="003B242C">
              <w:rPr>
                <w:b/>
                <w:bCs/>
                <w:sz w:val="22"/>
                <w:szCs w:val="22"/>
                <w:lang w:val="sr-Latn-ME"/>
              </w:rPr>
              <w:t>Humira</w:t>
            </w:r>
            <w:r w:rsidRPr="003B242C">
              <w:rPr>
                <w:b/>
                <w:bCs/>
                <w:sz w:val="22"/>
                <w:szCs w:val="22"/>
                <w:vertAlign w:val="superscript"/>
                <w:lang w:val="sr-Latn-ME"/>
              </w:rPr>
              <w:t>b,c</w:t>
            </w:r>
          </w:p>
          <w:p w14:paraId="4887FC2F" w14:textId="1A0E2712" w:rsidR="00596C07" w:rsidRPr="003B242C" w:rsidRDefault="00596C07" w:rsidP="00596C07">
            <w:pPr>
              <w:tabs>
                <w:tab w:val="left" w:pos="562"/>
              </w:tabs>
              <w:suppressAutoHyphens/>
              <w:spacing w:line="259" w:lineRule="auto"/>
              <w:jc w:val="center"/>
              <w:rPr>
                <w:b/>
                <w:bCs/>
                <w:sz w:val="22"/>
                <w:szCs w:val="22"/>
                <w:lang w:val="sr-Latn-ME"/>
              </w:rPr>
            </w:pPr>
            <w:r w:rsidRPr="003B242C">
              <w:rPr>
                <w:b/>
                <w:bCs/>
                <w:sz w:val="22"/>
                <w:szCs w:val="22"/>
                <w:lang w:val="sr-Latn-ME"/>
              </w:rPr>
              <w:t xml:space="preserve">Maksimalno 160 mg u </w:t>
            </w:r>
            <w:r w:rsidR="0010716E" w:rsidRPr="003B242C">
              <w:rPr>
                <w:b/>
                <w:bCs/>
                <w:sz w:val="22"/>
                <w:szCs w:val="22"/>
                <w:lang w:val="sr-Latn-ME"/>
              </w:rPr>
              <w:t>nultoj nedjelji</w:t>
            </w:r>
            <w:r w:rsidRPr="003B242C">
              <w:rPr>
                <w:b/>
                <w:bCs/>
                <w:sz w:val="22"/>
                <w:szCs w:val="22"/>
                <w:lang w:val="sr-Latn-ME"/>
              </w:rPr>
              <w:t xml:space="preserve"> i </w:t>
            </w:r>
            <w:r w:rsidR="0010716E" w:rsidRPr="003B242C">
              <w:rPr>
                <w:b/>
                <w:bCs/>
                <w:sz w:val="22"/>
                <w:szCs w:val="22"/>
                <w:lang w:val="sr-Latn-ME"/>
              </w:rPr>
              <w:t>prvoj nedjelji</w:t>
            </w:r>
          </w:p>
          <w:p w14:paraId="23E27B1B" w14:textId="77777777" w:rsidR="00596C07" w:rsidRPr="003B242C" w:rsidRDefault="00596C07" w:rsidP="00596C07">
            <w:pPr>
              <w:tabs>
                <w:tab w:val="left" w:pos="562"/>
              </w:tabs>
              <w:suppressAutoHyphens/>
              <w:spacing w:line="259" w:lineRule="auto"/>
              <w:jc w:val="center"/>
              <w:rPr>
                <w:sz w:val="22"/>
                <w:szCs w:val="22"/>
                <w:lang w:val="sr-Latn-ME"/>
              </w:rPr>
            </w:pPr>
            <w:r w:rsidRPr="003B242C">
              <w:rPr>
                <w:sz w:val="22"/>
                <w:szCs w:val="22"/>
                <w:lang w:val="sr-Latn-ME"/>
              </w:rPr>
              <w:t>N = 47</w:t>
            </w:r>
          </w:p>
        </w:tc>
      </w:tr>
      <w:tr w:rsidR="00596C07" w:rsidRPr="004500D8" w14:paraId="0049E0EB" w14:textId="77777777" w:rsidTr="003B242C">
        <w:trPr>
          <w:trHeight w:val="202"/>
          <w:jc w:val="center"/>
        </w:trPr>
        <w:tc>
          <w:tcPr>
            <w:tcW w:w="2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FA37BC" w14:textId="77777777" w:rsidR="00596C07" w:rsidRPr="003B242C" w:rsidRDefault="00596C07" w:rsidP="00596C07">
            <w:pPr>
              <w:tabs>
                <w:tab w:val="left" w:pos="562"/>
              </w:tabs>
              <w:suppressAutoHyphens/>
              <w:spacing w:line="259" w:lineRule="auto"/>
              <w:rPr>
                <w:sz w:val="22"/>
                <w:szCs w:val="22"/>
                <w:lang w:val="sr-Latn-ME"/>
              </w:rPr>
            </w:pPr>
            <w:r w:rsidRPr="003B242C">
              <w:rPr>
                <w:sz w:val="22"/>
                <w:szCs w:val="22"/>
                <w:lang w:val="sr-Latn-ME"/>
              </w:rPr>
              <w:t>Klinička remisija prema PUCAI-u</w:t>
            </w:r>
          </w:p>
        </w:tc>
        <w:tc>
          <w:tcPr>
            <w:tcW w:w="2898" w:type="dxa"/>
            <w:tcBorders>
              <w:top w:val="nil"/>
              <w:left w:val="nil"/>
              <w:bottom w:val="single" w:sz="8" w:space="0" w:color="auto"/>
              <w:right w:val="single" w:sz="8" w:space="0" w:color="auto"/>
            </w:tcBorders>
            <w:tcMar>
              <w:top w:w="0" w:type="dxa"/>
              <w:left w:w="108" w:type="dxa"/>
              <w:bottom w:w="0" w:type="dxa"/>
              <w:right w:w="108" w:type="dxa"/>
            </w:tcMar>
            <w:hideMark/>
          </w:tcPr>
          <w:p w14:paraId="3B38DBBF" w14:textId="77777777" w:rsidR="00596C07" w:rsidRPr="003B242C" w:rsidRDefault="00596C07" w:rsidP="00596C07">
            <w:pPr>
              <w:tabs>
                <w:tab w:val="left" w:pos="562"/>
              </w:tabs>
              <w:suppressAutoHyphens/>
              <w:spacing w:line="259" w:lineRule="auto"/>
              <w:jc w:val="center"/>
              <w:rPr>
                <w:sz w:val="22"/>
                <w:szCs w:val="22"/>
                <w:lang w:val="sr-Latn-ME"/>
              </w:rPr>
            </w:pPr>
            <w:r w:rsidRPr="003B242C">
              <w:rPr>
                <w:sz w:val="22"/>
                <w:szCs w:val="22"/>
                <w:lang w:val="sr-Latn-ME"/>
              </w:rPr>
              <w:t>10/30 (33,3%)</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0F530DEC" w14:textId="77777777" w:rsidR="00596C07" w:rsidRPr="003B242C" w:rsidRDefault="00596C07" w:rsidP="00596C07">
            <w:pPr>
              <w:tabs>
                <w:tab w:val="left" w:pos="562"/>
              </w:tabs>
              <w:suppressAutoHyphens/>
              <w:spacing w:line="259" w:lineRule="auto"/>
              <w:jc w:val="center"/>
              <w:rPr>
                <w:sz w:val="22"/>
                <w:szCs w:val="22"/>
                <w:lang w:val="sr-Latn-ME"/>
              </w:rPr>
            </w:pPr>
            <w:r w:rsidRPr="003B242C">
              <w:rPr>
                <w:sz w:val="22"/>
                <w:szCs w:val="22"/>
                <w:lang w:val="sr-Latn-ME"/>
              </w:rPr>
              <w:t>22/47 (46,8%)</w:t>
            </w:r>
          </w:p>
        </w:tc>
      </w:tr>
      <w:tr w:rsidR="00596C07" w:rsidRPr="004500D8" w14:paraId="5934EED5" w14:textId="77777777" w:rsidTr="003B242C">
        <w:trPr>
          <w:trHeight w:val="238"/>
          <w:jc w:val="center"/>
        </w:trPr>
        <w:tc>
          <w:tcPr>
            <w:tcW w:w="2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D46441B" w14:textId="77777777" w:rsidR="00596C07" w:rsidRPr="003B242C" w:rsidRDefault="00596C07" w:rsidP="00596C07">
            <w:pPr>
              <w:tabs>
                <w:tab w:val="left" w:pos="562"/>
              </w:tabs>
              <w:suppressAutoHyphens/>
              <w:spacing w:line="259" w:lineRule="auto"/>
              <w:rPr>
                <w:sz w:val="22"/>
                <w:szCs w:val="22"/>
                <w:lang w:val="sr-Latn-ME"/>
              </w:rPr>
            </w:pPr>
            <w:r w:rsidRPr="003B242C">
              <w:rPr>
                <w:sz w:val="22"/>
                <w:szCs w:val="22"/>
                <w:lang w:val="sr-Latn-ME"/>
              </w:rPr>
              <w:t>Klinički odgovor prema PUCAI-u</w:t>
            </w:r>
          </w:p>
        </w:tc>
        <w:tc>
          <w:tcPr>
            <w:tcW w:w="2898" w:type="dxa"/>
            <w:tcBorders>
              <w:top w:val="nil"/>
              <w:left w:val="nil"/>
              <w:bottom w:val="single" w:sz="4" w:space="0" w:color="auto"/>
              <w:right w:val="single" w:sz="8" w:space="0" w:color="auto"/>
            </w:tcBorders>
            <w:tcMar>
              <w:top w:w="0" w:type="dxa"/>
              <w:left w:w="108" w:type="dxa"/>
              <w:bottom w:w="0" w:type="dxa"/>
              <w:right w:w="108" w:type="dxa"/>
            </w:tcMar>
            <w:hideMark/>
          </w:tcPr>
          <w:p w14:paraId="7BAF8424" w14:textId="77777777" w:rsidR="00596C07" w:rsidRPr="003B242C" w:rsidRDefault="00596C07" w:rsidP="00596C07">
            <w:pPr>
              <w:tabs>
                <w:tab w:val="left" w:pos="562"/>
              </w:tabs>
              <w:suppressAutoHyphens/>
              <w:spacing w:line="259" w:lineRule="auto"/>
              <w:jc w:val="center"/>
              <w:rPr>
                <w:sz w:val="22"/>
                <w:szCs w:val="22"/>
                <w:lang w:val="sr-Latn-ME"/>
              </w:rPr>
            </w:pPr>
            <w:r w:rsidRPr="003B242C">
              <w:rPr>
                <w:sz w:val="22"/>
                <w:szCs w:val="22"/>
                <w:lang w:val="sr-Latn-ME"/>
              </w:rPr>
              <w:t>15/30 (50,0%)</w:t>
            </w:r>
          </w:p>
        </w:tc>
        <w:tc>
          <w:tcPr>
            <w:tcW w:w="2430" w:type="dxa"/>
            <w:tcBorders>
              <w:top w:val="nil"/>
              <w:left w:val="nil"/>
              <w:bottom w:val="single" w:sz="4" w:space="0" w:color="auto"/>
              <w:right w:val="single" w:sz="8" w:space="0" w:color="auto"/>
            </w:tcBorders>
            <w:tcMar>
              <w:top w:w="0" w:type="dxa"/>
              <w:left w:w="108" w:type="dxa"/>
              <w:bottom w:w="0" w:type="dxa"/>
              <w:right w:w="108" w:type="dxa"/>
            </w:tcMar>
            <w:hideMark/>
          </w:tcPr>
          <w:p w14:paraId="176D5A7B" w14:textId="77777777" w:rsidR="00596C07" w:rsidRPr="003B242C" w:rsidRDefault="00596C07" w:rsidP="00596C07">
            <w:pPr>
              <w:tabs>
                <w:tab w:val="left" w:pos="562"/>
              </w:tabs>
              <w:suppressAutoHyphens/>
              <w:spacing w:line="259" w:lineRule="auto"/>
              <w:jc w:val="center"/>
              <w:rPr>
                <w:sz w:val="22"/>
                <w:szCs w:val="22"/>
                <w:lang w:val="sr-Latn-ME"/>
              </w:rPr>
            </w:pPr>
            <w:r w:rsidRPr="003B242C">
              <w:rPr>
                <w:sz w:val="22"/>
                <w:szCs w:val="22"/>
                <w:lang w:val="sr-Latn-ME"/>
              </w:rPr>
              <w:t>32/47 (68,1%)</w:t>
            </w:r>
          </w:p>
        </w:tc>
      </w:tr>
      <w:tr w:rsidR="00596C07" w:rsidRPr="004500D8" w14:paraId="39DFF096" w14:textId="77777777" w:rsidTr="003B242C">
        <w:trPr>
          <w:trHeight w:val="238"/>
          <w:jc w:val="center"/>
        </w:trPr>
        <w:tc>
          <w:tcPr>
            <w:tcW w:w="2934" w:type="dxa"/>
            <w:vMerge w:val="restart"/>
            <w:tcBorders>
              <w:top w:val="nil"/>
              <w:left w:val="single" w:sz="8" w:space="0" w:color="auto"/>
              <w:bottom w:val="single" w:sz="4" w:space="0" w:color="auto"/>
              <w:right w:val="single" w:sz="8" w:space="0" w:color="auto"/>
            </w:tcBorders>
            <w:tcMar>
              <w:top w:w="0" w:type="dxa"/>
              <w:left w:w="108" w:type="dxa"/>
              <w:bottom w:w="0" w:type="dxa"/>
              <w:right w:w="108" w:type="dxa"/>
            </w:tcMar>
          </w:tcPr>
          <w:p w14:paraId="5EBB4C86" w14:textId="77777777" w:rsidR="00596C07" w:rsidRPr="003B242C" w:rsidRDefault="00596C07" w:rsidP="00596C07">
            <w:pPr>
              <w:tabs>
                <w:tab w:val="left" w:pos="562"/>
              </w:tabs>
              <w:suppressAutoHyphens/>
              <w:spacing w:line="259" w:lineRule="auto"/>
              <w:rPr>
                <w:sz w:val="22"/>
                <w:szCs w:val="22"/>
                <w:lang w:val="sr-Latn-ME"/>
              </w:rPr>
            </w:pPr>
          </w:p>
        </w:tc>
        <w:tc>
          <w:tcPr>
            <w:tcW w:w="5328"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5273A724" w14:textId="2BFDAE3D" w:rsidR="00596C07" w:rsidRPr="003B242C" w:rsidRDefault="0010716E" w:rsidP="00596C07">
            <w:pPr>
              <w:tabs>
                <w:tab w:val="left" w:pos="562"/>
              </w:tabs>
              <w:suppressAutoHyphens/>
              <w:spacing w:line="259" w:lineRule="auto"/>
              <w:jc w:val="center"/>
              <w:rPr>
                <w:b/>
                <w:bCs/>
                <w:sz w:val="22"/>
                <w:szCs w:val="22"/>
                <w:lang w:val="sr-Latn-ME"/>
              </w:rPr>
            </w:pPr>
            <w:r w:rsidRPr="003B242C">
              <w:rPr>
                <w:b/>
                <w:bCs/>
                <w:sz w:val="22"/>
                <w:szCs w:val="22"/>
                <w:lang w:val="sr-Latn-ME"/>
              </w:rPr>
              <w:t>52. nedjelja</w:t>
            </w:r>
          </w:p>
        </w:tc>
      </w:tr>
      <w:tr w:rsidR="00596C07" w:rsidRPr="004500D8" w14:paraId="034535B1" w14:textId="77777777" w:rsidTr="003B242C">
        <w:trPr>
          <w:trHeight w:val="238"/>
          <w:jc w:val="center"/>
        </w:trPr>
        <w:tc>
          <w:tcPr>
            <w:tcW w:w="0" w:type="auto"/>
            <w:vMerge/>
            <w:tcBorders>
              <w:top w:val="nil"/>
              <w:left w:val="single" w:sz="8" w:space="0" w:color="auto"/>
              <w:bottom w:val="single" w:sz="4" w:space="0" w:color="auto"/>
              <w:right w:val="single" w:sz="8" w:space="0" w:color="auto"/>
            </w:tcBorders>
            <w:vAlign w:val="center"/>
            <w:hideMark/>
          </w:tcPr>
          <w:p w14:paraId="5F1D8288" w14:textId="77777777" w:rsidR="00596C07" w:rsidRPr="003B242C" w:rsidRDefault="00596C07" w:rsidP="00596C07">
            <w:pPr>
              <w:rPr>
                <w:sz w:val="22"/>
                <w:szCs w:val="22"/>
                <w:lang w:val="sr-Latn-ME"/>
              </w:rPr>
            </w:pPr>
          </w:p>
        </w:tc>
        <w:tc>
          <w:tcPr>
            <w:tcW w:w="2898" w:type="dxa"/>
            <w:tcBorders>
              <w:top w:val="nil"/>
              <w:left w:val="nil"/>
              <w:bottom w:val="single" w:sz="4" w:space="0" w:color="auto"/>
              <w:right w:val="single" w:sz="8" w:space="0" w:color="auto"/>
            </w:tcBorders>
            <w:tcMar>
              <w:top w:w="0" w:type="dxa"/>
              <w:left w:w="108" w:type="dxa"/>
              <w:bottom w:w="0" w:type="dxa"/>
              <w:right w:w="108" w:type="dxa"/>
            </w:tcMar>
            <w:hideMark/>
          </w:tcPr>
          <w:p w14:paraId="0A2585A8" w14:textId="77777777" w:rsidR="00596C07" w:rsidRPr="003B242C" w:rsidRDefault="00596C07" w:rsidP="00596C07">
            <w:pPr>
              <w:tabs>
                <w:tab w:val="left" w:pos="562"/>
              </w:tabs>
              <w:suppressAutoHyphens/>
              <w:spacing w:line="259" w:lineRule="auto"/>
              <w:jc w:val="center"/>
              <w:rPr>
                <w:b/>
                <w:bCs/>
                <w:sz w:val="22"/>
                <w:szCs w:val="22"/>
                <w:vertAlign w:val="superscript"/>
                <w:lang w:val="sr-Latn-ME"/>
              </w:rPr>
            </w:pPr>
            <w:r w:rsidRPr="003B242C">
              <w:rPr>
                <w:b/>
                <w:bCs/>
                <w:sz w:val="22"/>
                <w:szCs w:val="22"/>
                <w:lang w:val="sr-Latn-ME"/>
              </w:rPr>
              <w:t>Humira</w:t>
            </w:r>
            <w:r w:rsidRPr="003B242C">
              <w:rPr>
                <w:b/>
                <w:bCs/>
                <w:sz w:val="22"/>
                <w:szCs w:val="22"/>
                <w:vertAlign w:val="superscript"/>
                <w:lang w:val="sr-Latn-ME"/>
              </w:rPr>
              <w:t>d</w:t>
            </w:r>
          </w:p>
          <w:p w14:paraId="5C85473C" w14:textId="3E1225B0" w:rsidR="00596C07" w:rsidRPr="003B242C" w:rsidRDefault="00596C07" w:rsidP="00596C07">
            <w:pPr>
              <w:tabs>
                <w:tab w:val="left" w:pos="562"/>
              </w:tabs>
              <w:suppressAutoHyphens/>
              <w:spacing w:line="259" w:lineRule="auto"/>
              <w:jc w:val="center"/>
              <w:rPr>
                <w:b/>
                <w:bCs/>
                <w:sz w:val="22"/>
                <w:szCs w:val="22"/>
                <w:lang w:val="sr-Latn-ME"/>
              </w:rPr>
            </w:pPr>
            <w:r w:rsidRPr="003B242C">
              <w:rPr>
                <w:b/>
                <w:bCs/>
                <w:sz w:val="22"/>
                <w:szCs w:val="22"/>
                <w:lang w:val="sr-Latn-ME"/>
              </w:rPr>
              <w:t xml:space="preserve">Maksimalno 40 mg svake druge </w:t>
            </w:r>
            <w:r w:rsidR="0010716E" w:rsidRPr="003B242C">
              <w:rPr>
                <w:b/>
                <w:bCs/>
                <w:sz w:val="22"/>
                <w:szCs w:val="22"/>
                <w:lang w:val="sr-Latn-ME"/>
              </w:rPr>
              <w:t>nedjelje</w:t>
            </w:r>
          </w:p>
          <w:p w14:paraId="000AB466" w14:textId="77777777" w:rsidR="00596C07" w:rsidRPr="003B242C" w:rsidRDefault="00596C07" w:rsidP="00596C07">
            <w:pPr>
              <w:tabs>
                <w:tab w:val="left" w:pos="562"/>
              </w:tabs>
              <w:suppressAutoHyphens/>
              <w:spacing w:line="259" w:lineRule="auto"/>
              <w:jc w:val="center"/>
              <w:rPr>
                <w:sz w:val="22"/>
                <w:szCs w:val="22"/>
                <w:lang w:val="sr-Latn-ME"/>
              </w:rPr>
            </w:pPr>
            <w:r w:rsidRPr="003B242C">
              <w:rPr>
                <w:sz w:val="22"/>
                <w:szCs w:val="22"/>
                <w:lang w:val="sr-Latn-ME"/>
              </w:rPr>
              <w:t>N = 31</w:t>
            </w:r>
          </w:p>
        </w:tc>
        <w:tc>
          <w:tcPr>
            <w:tcW w:w="2430" w:type="dxa"/>
            <w:tcBorders>
              <w:top w:val="nil"/>
              <w:left w:val="nil"/>
              <w:bottom w:val="single" w:sz="4" w:space="0" w:color="auto"/>
              <w:right w:val="single" w:sz="8" w:space="0" w:color="auto"/>
            </w:tcBorders>
            <w:tcMar>
              <w:top w:w="0" w:type="dxa"/>
              <w:left w:w="108" w:type="dxa"/>
              <w:bottom w:w="0" w:type="dxa"/>
              <w:right w:w="108" w:type="dxa"/>
            </w:tcMar>
            <w:hideMark/>
          </w:tcPr>
          <w:p w14:paraId="35B75A3D" w14:textId="77777777" w:rsidR="00596C07" w:rsidRPr="003B242C" w:rsidRDefault="00596C07" w:rsidP="00596C07">
            <w:pPr>
              <w:tabs>
                <w:tab w:val="left" w:pos="562"/>
              </w:tabs>
              <w:suppressAutoHyphens/>
              <w:spacing w:line="259" w:lineRule="auto"/>
              <w:jc w:val="center"/>
              <w:rPr>
                <w:b/>
                <w:bCs/>
                <w:sz w:val="22"/>
                <w:szCs w:val="22"/>
                <w:vertAlign w:val="superscript"/>
                <w:lang w:val="sr-Latn-ME"/>
              </w:rPr>
            </w:pPr>
            <w:r w:rsidRPr="003B242C">
              <w:rPr>
                <w:b/>
                <w:bCs/>
                <w:sz w:val="22"/>
                <w:szCs w:val="22"/>
                <w:lang w:val="sr-Latn-ME"/>
              </w:rPr>
              <w:t>Humira</w:t>
            </w:r>
            <w:r w:rsidRPr="003B242C">
              <w:rPr>
                <w:b/>
                <w:bCs/>
                <w:sz w:val="22"/>
                <w:szCs w:val="22"/>
                <w:vertAlign w:val="superscript"/>
                <w:lang w:val="sr-Latn-ME"/>
              </w:rPr>
              <w:t>e</w:t>
            </w:r>
          </w:p>
          <w:p w14:paraId="560D9DF1" w14:textId="593CAE5F" w:rsidR="00596C07" w:rsidRPr="003B242C" w:rsidRDefault="00596C07" w:rsidP="00596C07">
            <w:pPr>
              <w:tabs>
                <w:tab w:val="left" w:pos="562"/>
              </w:tabs>
              <w:suppressAutoHyphens/>
              <w:spacing w:line="259" w:lineRule="auto"/>
              <w:jc w:val="center"/>
              <w:rPr>
                <w:b/>
                <w:bCs/>
                <w:sz w:val="22"/>
                <w:szCs w:val="22"/>
                <w:lang w:val="sr-Latn-ME"/>
              </w:rPr>
            </w:pPr>
            <w:r w:rsidRPr="003B242C">
              <w:rPr>
                <w:b/>
                <w:bCs/>
                <w:sz w:val="22"/>
                <w:szCs w:val="22"/>
                <w:lang w:val="sr-Latn-ME"/>
              </w:rPr>
              <w:t xml:space="preserve">Maksimalno 40 mg svake </w:t>
            </w:r>
            <w:r w:rsidR="0010716E" w:rsidRPr="003B242C">
              <w:rPr>
                <w:b/>
                <w:bCs/>
                <w:sz w:val="22"/>
                <w:szCs w:val="22"/>
                <w:lang w:val="sr-Latn-ME"/>
              </w:rPr>
              <w:t>nedjelje</w:t>
            </w:r>
          </w:p>
          <w:p w14:paraId="63710E79" w14:textId="77777777" w:rsidR="00596C07" w:rsidRPr="003B242C" w:rsidRDefault="00596C07" w:rsidP="00596C07">
            <w:pPr>
              <w:tabs>
                <w:tab w:val="left" w:pos="562"/>
              </w:tabs>
              <w:suppressAutoHyphens/>
              <w:spacing w:line="259" w:lineRule="auto"/>
              <w:jc w:val="center"/>
              <w:rPr>
                <w:sz w:val="22"/>
                <w:szCs w:val="22"/>
                <w:lang w:val="sr-Latn-ME"/>
              </w:rPr>
            </w:pPr>
            <w:r w:rsidRPr="003B242C">
              <w:rPr>
                <w:sz w:val="22"/>
                <w:szCs w:val="22"/>
                <w:lang w:val="sr-Latn-ME"/>
              </w:rPr>
              <w:t>N = 31</w:t>
            </w:r>
          </w:p>
        </w:tc>
      </w:tr>
      <w:tr w:rsidR="00596C07" w:rsidRPr="004500D8" w14:paraId="3FC65C71" w14:textId="77777777" w:rsidTr="003B242C">
        <w:trPr>
          <w:trHeight w:val="238"/>
          <w:jc w:val="center"/>
        </w:trPr>
        <w:tc>
          <w:tcPr>
            <w:tcW w:w="2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12972D6" w14:textId="2B3868E0" w:rsidR="00596C07" w:rsidRPr="003B242C" w:rsidRDefault="00596C07">
            <w:pPr>
              <w:tabs>
                <w:tab w:val="left" w:pos="562"/>
              </w:tabs>
              <w:suppressAutoHyphens/>
              <w:spacing w:line="259" w:lineRule="auto"/>
              <w:rPr>
                <w:sz w:val="22"/>
                <w:szCs w:val="22"/>
                <w:lang w:val="sr-Latn-ME"/>
              </w:rPr>
            </w:pPr>
            <w:r w:rsidRPr="003B242C">
              <w:rPr>
                <w:sz w:val="22"/>
                <w:szCs w:val="22"/>
                <w:lang w:val="sr-Latn-ME"/>
              </w:rPr>
              <w:t xml:space="preserve">Klinička remisija prema PUCAI-u kod </w:t>
            </w:r>
            <w:r w:rsidR="0010716E" w:rsidRPr="003B242C">
              <w:rPr>
                <w:sz w:val="22"/>
                <w:szCs w:val="22"/>
                <w:lang w:val="sr-Latn-ME"/>
              </w:rPr>
              <w:t xml:space="preserve">pacijenata </w:t>
            </w:r>
            <w:r w:rsidRPr="003B242C">
              <w:rPr>
                <w:sz w:val="22"/>
                <w:szCs w:val="22"/>
                <w:lang w:val="sr-Latn-ME"/>
              </w:rPr>
              <w:t xml:space="preserve">sa odgovorom prema PMS-u u </w:t>
            </w:r>
            <w:r w:rsidR="0010716E" w:rsidRPr="003B242C">
              <w:rPr>
                <w:sz w:val="22"/>
                <w:szCs w:val="22"/>
                <w:lang w:val="sr-Latn-ME"/>
              </w:rPr>
              <w:t>8. nedjelji</w:t>
            </w:r>
          </w:p>
        </w:tc>
        <w:tc>
          <w:tcPr>
            <w:tcW w:w="2898" w:type="dxa"/>
            <w:tcBorders>
              <w:top w:val="nil"/>
              <w:left w:val="nil"/>
              <w:bottom w:val="single" w:sz="4" w:space="0" w:color="auto"/>
              <w:right w:val="single" w:sz="8" w:space="0" w:color="auto"/>
            </w:tcBorders>
            <w:tcMar>
              <w:top w:w="0" w:type="dxa"/>
              <w:left w:w="108" w:type="dxa"/>
              <w:bottom w:w="0" w:type="dxa"/>
              <w:right w:w="108" w:type="dxa"/>
            </w:tcMar>
            <w:hideMark/>
          </w:tcPr>
          <w:p w14:paraId="7E2743AC" w14:textId="77777777" w:rsidR="00596C07" w:rsidRPr="003B242C" w:rsidRDefault="00596C07" w:rsidP="00596C07">
            <w:pPr>
              <w:tabs>
                <w:tab w:val="left" w:pos="562"/>
              </w:tabs>
              <w:suppressAutoHyphens/>
              <w:spacing w:line="259" w:lineRule="auto"/>
              <w:jc w:val="center"/>
              <w:rPr>
                <w:sz w:val="22"/>
                <w:szCs w:val="22"/>
                <w:lang w:val="sr-Latn-ME"/>
              </w:rPr>
            </w:pPr>
            <w:r w:rsidRPr="003B242C">
              <w:rPr>
                <w:sz w:val="22"/>
                <w:szCs w:val="22"/>
                <w:lang w:val="sr-Latn-ME"/>
              </w:rPr>
              <w:t>14/31 (45,2%)</w:t>
            </w:r>
          </w:p>
        </w:tc>
        <w:tc>
          <w:tcPr>
            <w:tcW w:w="2430" w:type="dxa"/>
            <w:tcBorders>
              <w:top w:val="nil"/>
              <w:left w:val="nil"/>
              <w:bottom w:val="single" w:sz="4" w:space="0" w:color="auto"/>
              <w:right w:val="single" w:sz="8" w:space="0" w:color="auto"/>
            </w:tcBorders>
            <w:tcMar>
              <w:top w:w="0" w:type="dxa"/>
              <w:left w:w="108" w:type="dxa"/>
              <w:bottom w:w="0" w:type="dxa"/>
              <w:right w:w="108" w:type="dxa"/>
            </w:tcMar>
            <w:hideMark/>
          </w:tcPr>
          <w:p w14:paraId="435C1CB6" w14:textId="77777777" w:rsidR="00596C07" w:rsidRPr="003B242C" w:rsidRDefault="00596C07" w:rsidP="00596C07">
            <w:pPr>
              <w:tabs>
                <w:tab w:val="left" w:pos="562"/>
              </w:tabs>
              <w:suppressAutoHyphens/>
              <w:spacing w:line="259" w:lineRule="auto"/>
              <w:jc w:val="center"/>
              <w:rPr>
                <w:sz w:val="22"/>
                <w:szCs w:val="22"/>
                <w:lang w:val="sr-Latn-ME"/>
              </w:rPr>
            </w:pPr>
            <w:r w:rsidRPr="003B242C">
              <w:rPr>
                <w:sz w:val="22"/>
                <w:szCs w:val="22"/>
                <w:lang w:val="sr-Latn-ME"/>
              </w:rPr>
              <w:t>18/31 (58,1%)</w:t>
            </w:r>
          </w:p>
        </w:tc>
      </w:tr>
      <w:tr w:rsidR="00596C07" w:rsidRPr="004500D8" w14:paraId="1D20F9E6" w14:textId="77777777" w:rsidTr="003B242C">
        <w:trPr>
          <w:trHeight w:val="238"/>
          <w:jc w:val="center"/>
        </w:trPr>
        <w:tc>
          <w:tcPr>
            <w:tcW w:w="2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7D52B3A" w14:textId="2E1C1339" w:rsidR="00596C07" w:rsidRPr="003B242C" w:rsidRDefault="00596C07" w:rsidP="00596C07">
            <w:pPr>
              <w:tabs>
                <w:tab w:val="left" w:pos="562"/>
              </w:tabs>
              <w:suppressAutoHyphens/>
              <w:spacing w:line="259" w:lineRule="auto"/>
              <w:rPr>
                <w:sz w:val="22"/>
                <w:szCs w:val="22"/>
                <w:lang w:val="sr-Latn-ME"/>
              </w:rPr>
            </w:pPr>
            <w:r w:rsidRPr="003B242C">
              <w:rPr>
                <w:sz w:val="22"/>
                <w:szCs w:val="22"/>
                <w:lang w:val="sr-Latn-ME"/>
              </w:rPr>
              <w:t xml:space="preserve">Klinički odgovor prema PUCAI-u kod bolesnika sa odgovorom prema PMS-u u </w:t>
            </w:r>
            <w:r w:rsidR="0010716E" w:rsidRPr="003B242C">
              <w:rPr>
                <w:sz w:val="22"/>
                <w:szCs w:val="22"/>
                <w:lang w:val="sr-Latn-ME"/>
              </w:rPr>
              <w:t>8. nedjelji</w:t>
            </w:r>
          </w:p>
        </w:tc>
        <w:tc>
          <w:tcPr>
            <w:tcW w:w="2898" w:type="dxa"/>
            <w:tcBorders>
              <w:top w:val="nil"/>
              <w:left w:val="nil"/>
              <w:bottom w:val="single" w:sz="4" w:space="0" w:color="auto"/>
              <w:right w:val="single" w:sz="8" w:space="0" w:color="auto"/>
            </w:tcBorders>
            <w:tcMar>
              <w:top w:w="0" w:type="dxa"/>
              <w:left w:w="108" w:type="dxa"/>
              <w:bottom w:w="0" w:type="dxa"/>
              <w:right w:w="108" w:type="dxa"/>
            </w:tcMar>
            <w:hideMark/>
          </w:tcPr>
          <w:p w14:paraId="07E81130" w14:textId="77777777" w:rsidR="00596C07" w:rsidRPr="003B242C" w:rsidRDefault="00596C07" w:rsidP="00596C07">
            <w:pPr>
              <w:tabs>
                <w:tab w:val="left" w:pos="562"/>
              </w:tabs>
              <w:suppressAutoHyphens/>
              <w:spacing w:line="259" w:lineRule="auto"/>
              <w:jc w:val="center"/>
              <w:rPr>
                <w:sz w:val="22"/>
                <w:szCs w:val="22"/>
                <w:lang w:val="sr-Latn-ME"/>
              </w:rPr>
            </w:pPr>
            <w:r w:rsidRPr="003B242C">
              <w:rPr>
                <w:sz w:val="22"/>
                <w:szCs w:val="22"/>
                <w:lang w:val="sr-Latn-ME"/>
              </w:rPr>
              <w:t>18/31 (58,1%)</w:t>
            </w:r>
          </w:p>
        </w:tc>
        <w:tc>
          <w:tcPr>
            <w:tcW w:w="2430" w:type="dxa"/>
            <w:tcBorders>
              <w:top w:val="nil"/>
              <w:left w:val="nil"/>
              <w:bottom w:val="single" w:sz="4" w:space="0" w:color="auto"/>
              <w:right w:val="single" w:sz="8" w:space="0" w:color="auto"/>
            </w:tcBorders>
            <w:tcMar>
              <w:top w:w="0" w:type="dxa"/>
              <w:left w:w="108" w:type="dxa"/>
              <w:bottom w:w="0" w:type="dxa"/>
              <w:right w:w="108" w:type="dxa"/>
            </w:tcMar>
            <w:hideMark/>
          </w:tcPr>
          <w:p w14:paraId="6CE80BFE" w14:textId="77777777" w:rsidR="00596C07" w:rsidRPr="003B242C" w:rsidRDefault="00596C07" w:rsidP="00596C07">
            <w:pPr>
              <w:tabs>
                <w:tab w:val="left" w:pos="562"/>
              </w:tabs>
              <w:suppressAutoHyphens/>
              <w:spacing w:line="259" w:lineRule="auto"/>
              <w:jc w:val="center"/>
              <w:rPr>
                <w:sz w:val="22"/>
                <w:szCs w:val="22"/>
                <w:lang w:val="sr-Latn-ME"/>
              </w:rPr>
            </w:pPr>
            <w:r w:rsidRPr="003B242C">
              <w:rPr>
                <w:sz w:val="22"/>
                <w:szCs w:val="22"/>
                <w:lang w:val="sr-Latn-ME"/>
              </w:rPr>
              <w:t>16/31 (51,6%)</w:t>
            </w:r>
          </w:p>
        </w:tc>
      </w:tr>
      <w:tr w:rsidR="00596C07" w:rsidRPr="004500D8" w14:paraId="084F4A68" w14:textId="77777777" w:rsidTr="003B242C">
        <w:trPr>
          <w:trHeight w:val="533"/>
          <w:jc w:val="center"/>
        </w:trPr>
        <w:tc>
          <w:tcPr>
            <w:tcW w:w="8262"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51FB251" w14:textId="46E429DF" w:rsidR="00596C07" w:rsidRPr="003B242C" w:rsidRDefault="00596C07" w:rsidP="00596C07">
            <w:pPr>
              <w:tabs>
                <w:tab w:val="left" w:pos="562"/>
              </w:tabs>
              <w:suppressAutoHyphens/>
              <w:spacing w:line="259" w:lineRule="auto"/>
              <w:rPr>
                <w:sz w:val="22"/>
                <w:szCs w:val="22"/>
                <w:lang w:val="sr-Latn-ME"/>
              </w:rPr>
            </w:pPr>
            <w:r w:rsidRPr="003B242C">
              <w:rPr>
                <w:sz w:val="22"/>
                <w:szCs w:val="22"/>
                <w:vertAlign w:val="superscript"/>
                <w:lang w:val="sr-Latn-ME"/>
              </w:rPr>
              <w:t>a</w:t>
            </w:r>
            <w:r w:rsidRPr="003B242C">
              <w:rPr>
                <w:sz w:val="22"/>
                <w:szCs w:val="22"/>
                <w:lang w:val="sr-Latn-ME"/>
              </w:rPr>
              <w:t xml:space="preserve"> Humira 2,4 mg/kg (maksimalno 160 mg) u</w:t>
            </w:r>
            <w:r w:rsidR="0010716E" w:rsidRPr="003B242C">
              <w:rPr>
                <w:sz w:val="22"/>
                <w:szCs w:val="22"/>
                <w:lang w:val="sr-Latn-ME"/>
              </w:rPr>
              <w:t>nultoj nedjelji</w:t>
            </w:r>
            <w:r w:rsidRPr="003B242C">
              <w:rPr>
                <w:sz w:val="22"/>
                <w:szCs w:val="22"/>
                <w:lang w:val="sr-Latn-ME"/>
              </w:rPr>
              <w:t xml:space="preserve">, placebo u </w:t>
            </w:r>
            <w:r w:rsidR="0010716E" w:rsidRPr="003B242C">
              <w:rPr>
                <w:sz w:val="22"/>
                <w:szCs w:val="22"/>
                <w:lang w:val="sr-Latn-ME"/>
              </w:rPr>
              <w:t xml:space="preserve">1. nedjelji </w:t>
            </w:r>
            <w:r w:rsidRPr="003B242C">
              <w:rPr>
                <w:sz w:val="22"/>
                <w:szCs w:val="22"/>
                <w:lang w:val="sr-Latn-ME"/>
              </w:rPr>
              <w:t>te 1,2 mg/kg (maksimalno 80 mg) u  2</w:t>
            </w:r>
            <w:r w:rsidR="0010716E" w:rsidRPr="003B242C">
              <w:rPr>
                <w:sz w:val="22"/>
                <w:szCs w:val="22"/>
                <w:lang w:val="sr-Latn-ME"/>
              </w:rPr>
              <w:t>. nedjelji</w:t>
            </w:r>
          </w:p>
          <w:p w14:paraId="7C088505" w14:textId="0D291658" w:rsidR="00596C07" w:rsidRPr="003B242C" w:rsidRDefault="00596C07" w:rsidP="00596C07">
            <w:pPr>
              <w:spacing w:line="259" w:lineRule="auto"/>
              <w:textAlignment w:val="baseline"/>
              <w:rPr>
                <w:sz w:val="22"/>
                <w:szCs w:val="22"/>
                <w:lang w:val="sr-Latn-ME"/>
              </w:rPr>
            </w:pPr>
            <w:r w:rsidRPr="003B242C">
              <w:rPr>
                <w:sz w:val="22"/>
                <w:szCs w:val="22"/>
                <w:vertAlign w:val="superscript"/>
                <w:lang w:val="sr-Latn-ME"/>
              </w:rPr>
              <w:t xml:space="preserve">b </w:t>
            </w:r>
            <w:r w:rsidRPr="003B242C">
              <w:rPr>
                <w:sz w:val="22"/>
                <w:szCs w:val="22"/>
                <w:lang w:val="sr-Latn-ME"/>
              </w:rPr>
              <w:t xml:space="preserve">Humira 2,4 mg/kg (maksimalno 160 mg) u </w:t>
            </w:r>
            <w:r w:rsidR="0010716E" w:rsidRPr="003B242C">
              <w:rPr>
                <w:sz w:val="22"/>
                <w:szCs w:val="22"/>
                <w:lang w:val="sr-Latn-ME"/>
              </w:rPr>
              <w:t>nultoj nedjelji</w:t>
            </w:r>
            <w:r w:rsidRPr="003B242C">
              <w:rPr>
                <w:sz w:val="22"/>
                <w:szCs w:val="22"/>
                <w:lang w:val="sr-Latn-ME"/>
              </w:rPr>
              <w:t xml:space="preserve"> i 1</w:t>
            </w:r>
            <w:r w:rsidR="0010716E" w:rsidRPr="003B242C">
              <w:rPr>
                <w:sz w:val="22"/>
                <w:szCs w:val="22"/>
                <w:lang w:val="sr-Latn-ME"/>
              </w:rPr>
              <w:t>. nedjelji</w:t>
            </w:r>
            <w:r w:rsidRPr="003B242C">
              <w:rPr>
                <w:sz w:val="22"/>
                <w:szCs w:val="22"/>
                <w:lang w:val="sr-Latn-ME"/>
              </w:rPr>
              <w:t xml:space="preserve"> te 1,2 mg/kg (maksimalno 80 mg) u 2</w:t>
            </w:r>
            <w:r w:rsidR="0010716E" w:rsidRPr="003B242C">
              <w:rPr>
                <w:sz w:val="22"/>
                <w:szCs w:val="22"/>
                <w:lang w:val="sr-Latn-ME"/>
              </w:rPr>
              <w:t>. nedjelji</w:t>
            </w:r>
          </w:p>
          <w:p w14:paraId="6DE40879" w14:textId="58CB58B0" w:rsidR="00596C07" w:rsidRPr="003B242C" w:rsidRDefault="00596C07" w:rsidP="00596C07">
            <w:pPr>
              <w:spacing w:line="259" w:lineRule="auto"/>
              <w:textAlignment w:val="baseline"/>
              <w:rPr>
                <w:sz w:val="22"/>
                <w:szCs w:val="22"/>
                <w:lang w:val="sr-Latn-ME"/>
              </w:rPr>
            </w:pPr>
            <w:r w:rsidRPr="003B242C">
              <w:rPr>
                <w:sz w:val="22"/>
                <w:szCs w:val="22"/>
                <w:vertAlign w:val="superscript"/>
                <w:lang w:val="sr-Latn-ME"/>
              </w:rPr>
              <w:t>c</w:t>
            </w:r>
            <w:r w:rsidRPr="003B242C">
              <w:rPr>
                <w:sz w:val="22"/>
                <w:szCs w:val="22"/>
                <w:lang w:val="sr-Latn-ME"/>
              </w:rPr>
              <w:t xml:space="preserve"> Ne uključujući otvorenu indukcijsku dozu lijeka Humira od 2,4 mg/kg (maksimalno 160 mg) u </w:t>
            </w:r>
            <w:r w:rsidR="0010716E" w:rsidRPr="003B242C">
              <w:rPr>
                <w:sz w:val="22"/>
                <w:szCs w:val="22"/>
                <w:lang w:val="sr-Latn-ME"/>
              </w:rPr>
              <w:t>nultoj nedjelji</w:t>
            </w:r>
            <w:r w:rsidRPr="003B242C">
              <w:rPr>
                <w:sz w:val="22"/>
                <w:szCs w:val="22"/>
                <w:lang w:val="sr-Latn-ME"/>
              </w:rPr>
              <w:t xml:space="preserve"> i </w:t>
            </w:r>
            <w:r w:rsidR="0010716E" w:rsidRPr="003B242C">
              <w:rPr>
                <w:sz w:val="22"/>
                <w:szCs w:val="22"/>
                <w:lang w:val="sr-Latn-ME"/>
              </w:rPr>
              <w:t xml:space="preserve">1. nedjelji </w:t>
            </w:r>
            <w:r w:rsidRPr="003B242C">
              <w:rPr>
                <w:sz w:val="22"/>
                <w:szCs w:val="22"/>
                <w:lang w:val="sr-Latn-ME"/>
              </w:rPr>
              <w:t xml:space="preserve">te 1,2 mg/kg (maksimalno 80 mg) u </w:t>
            </w:r>
            <w:r w:rsidR="0010716E" w:rsidRPr="003B242C">
              <w:rPr>
                <w:sz w:val="22"/>
                <w:szCs w:val="22"/>
                <w:lang w:val="sr-Latn-ME"/>
              </w:rPr>
              <w:t>2. nedjelji</w:t>
            </w:r>
          </w:p>
          <w:p w14:paraId="60260D4E" w14:textId="0C1637ED" w:rsidR="00596C07" w:rsidRPr="003B242C" w:rsidRDefault="00596C07" w:rsidP="00596C07">
            <w:pPr>
              <w:spacing w:line="259" w:lineRule="auto"/>
              <w:textAlignment w:val="baseline"/>
              <w:rPr>
                <w:sz w:val="22"/>
                <w:szCs w:val="22"/>
                <w:lang w:val="sr-Latn-ME" w:eastAsia="en-GB"/>
              </w:rPr>
            </w:pPr>
            <w:r w:rsidRPr="003B242C">
              <w:rPr>
                <w:sz w:val="22"/>
                <w:szCs w:val="22"/>
                <w:vertAlign w:val="superscript"/>
                <w:lang w:val="sr-Latn-ME"/>
              </w:rPr>
              <w:t>d</w:t>
            </w:r>
            <w:r w:rsidRPr="003B242C">
              <w:rPr>
                <w:sz w:val="22"/>
                <w:szCs w:val="22"/>
                <w:lang w:val="sr-Latn-ME" w:eastAsia="en-GB"/>
              </w:rPr>
              <w:t xml:space="preserve"> Humira 0,6 mg/kg (maksimalno 40 mg) svake druge </w:t>
            </w:r>
            <w:r w:rsidR="0010716E" w:rsidRPr="003B242C">
              <w:rPr>
                <w:sz w:val="22"/>
                <w:szCs w:val="22"/>
                <w:lang w:val="sr-Latn-ME" w:eastAsia="en-GB"/>
              </w:rPr>
              <w:t>nedjelje</w:t>
            </w:r>
          </w:p>
          <w:p w14:paraId="2ED95336" w14:textId="4B6C265C" w:rsidR="00596C07" w:rsidRPr="003B242C" w:rsidRDefault="00596C07" w:rsidP="00596C07">
            <w:pPr>
              <w:tabs>
                <w:tab w:val="left" w:pos="562"/>
              </w:tabs>
              <w:suppressAutoHyphens/>
              <w:spacing w:line="259" w:lineRule="auto"/>
              <w:rPr>
                <w:sz w:val="22"/>
                <w:szCs w:val="22"/>
                <w:lang w:val="sr-Latn-ME" w:eastAsia="en-GB"/>
              </w:rPr>
            </w:pPr>
            <w:r w:rsidRPr="003B242C">
              <w:rPr>
                <w:sz w:val="22"/>
                <w:szCs w:val="22"/>
                <w:vertAlign w:val="superscript"/>
                <w:lang w:val="sr-Latn-ME" w:eastAsia="en-GB"/>
              </w:rPr>
              <w:t>e</w:t>
            </w:r>
            <w:r w:rsidRPr="003B242C">
              <w:rPr>
                <w:sz w:val="22"/>
                <w:szCs w:val="22"/>
                <w:lang w:val="sr-Latn-ME" w:eastAsia="en-GB"/>
              </w:rPr>
              <w:t xml:space="preserve"> Humira 0,6 mg/kg (maksimalno 40 mg) svake </w:t>
            </w:r>
            <w:r w:rsidR="0010716E" w:rsidRPr="003B242C">
              <w:rPr>
                <w:sz w:val="22"/>
                <w:szCs w:val="22"/>
                <w:lang w:val="sr-Latn-ME" w:eastAsia="en-GB"/>
              </w:rPr>
              <w:t>nedjelje</w:t>
            </w:r>
          </w:p>
          <w:p w14:paraId="625A0B58" w14:textId="0F087828" w:rsidR="00596C07" w:rsidRPr="003B242C" w:rsidRDefault="00596C07" w:rsidP="00596C07">
            <w:pPr>
              <w:tabs>
                <w:tab w:val="left" w:pos="562"/>
              </w:tabs>
              <w:suppressAutoHyphens/>
              <w:spacing w:line="259" w:lineRule="auto"/>
              <w:rPr>
                <w:sz w:val="22"/>
                <w:szCs w:val="22"/>
                <w:lang w:val="sr-Latn-ME"/>
              </w:rPr>
            </w:pPr>
            <w:r w:rsidRPr="003B242C">
              <w:rPr>
                <w:sz w:val="22"/>
                <w:szCs w:val="22"/>
                <w:lang w:val="sr-Latn-ME"/>
              </w:rPr>
              <w:t xml:space="preserve">Napomena 1: obje su indukcijske grupe primile 0,6 mg/kg (maksimalno 40 mg) u </w:t>
            </w:r>
            <w:r w:rsidR="0010716E" w:rsidRPr="003B242C">
              <w:rPr>
                <w:sz w:val="22"/>
                <w:szCs w:val="22"/>
                <w:lang w:val="sr-Latn-ME"/>
              </w:rPr>
              <w:t>4. nedjelji i 6. nedjelji</w:t>
            </w:r>
          </w:p>
          <w:p w14:paraId="337208CF" w14:textId="505EFF6B" w:rsidR="00596C07" w:rsidRPr="003B242C" w:rsidRDefault="00596C07" w:rsidP="00596C07">
            <w:pPr>
              <w:spacing w:line="259" w:lineRule="auto"/>
              <w:textAlignment w:val="baseline"/>
              <w:rPr>
                <w:sz w:val="22"/>
                <w:szCs w:val="22"/>
                <w:lang w:val="sr-Latn-ME"/>
              </w:rPr>
            </w:pPr>
            <w:r w:rsidRPr="003B242C">
              <w:rPr>
                <w:sz w:val="22"/>
                <w:szCs w:val="22"/>
                <w:lang w:val="sr-Latn-ME"/>
              </w:rPr>
              <w:t xml:space="preserve">Napomena 2: za </w:t>
            </w:r>
            <w:r w:rsidR="0010716E" w:rsidRPr="003B242C">
              <w:rPr>
                <w:sz w:val="22"/>
                <w:szCs w:val="22"/>
                <w:lang w:val="sr-Latn-ME"/>
              </w:rPr>
              <w:t xml:space="preserve">pacijente </w:t>
            </w:r>
            <w:r w:rsidRPr="003B242C">
              <w:rPr>
                <w:sz w:val="22"/>
                <w:szCs w:val="22"/>
                <w:lang w:val="sr-Latn-ME"/>
              </w:rPr>
              <w:t xml:space="preserve">čije su vrijednosti nedostajale u </w:t>
            </w:r>
            <w:r w:rsidR="0010716E" w:rsidRPr="003B242C">
              <w:rPr>
                <w:sz w:val="22"/>
                <w:szCs w:val="22"/>
                <w:lang w:val="sr-Latn-ME"/>
              </w:rPr>
              <w:t xml:space="preserve">8. nedjelji </w:t>
            </w:r>
            <w:r w:rsidRPr="003B242C">
              <w:rPr>
                <w:sz w:val="22"/>
                <w:szCs w:val="22"/>
                <w:lang w:val="sr-Latn-ME"/>
              </w:rPr>
              <w:t>smatralo se da nisu ispunili mjere ishoda</w:t>
            </w:r>
          </w:p>
          <w:p w14:paraId="38C8BEDF" w14:textId="76F095FF" w:rsidR="00596C07" w:rsidRPr="003B242C" w:rsidRDefault="00596C07">
            <w:pPr>
              <w:spacing w:line="259" w:lineRule="auto"/>
              <w:textAlignment w:val="baseline"/>
              <w:rPr>
                <w:sz w:val="22"/>
                <w:szCs w:val="22"/>
                <w:lang w:val="sr-Latn-ME"/>
              </w:rPr>
            </w:pPr>
            <w:r w:rsidRPr="003B242C">
              <w:rPr>
                <w:sz w:val="22"/>
                <w:szCs w:val="22"/>
                <w:lang w:val="sr-Latn-ME"/>
              </w:rPr>
              <w:t xml:space="preserve">Napomena 3: </w:t>
            </w:r>
            <w:r w:rsidRPr="003B242C">
              <w:rPr>
                <w:sz w:val="22"/>
                <w:szCs w:val="22"/>
                <w:lang w:val="sr-Latn-ME" w:eastAsia="en-GB"/>
              </w:rPr>
              <w:t xml:space="preserve">za </w:t>
            </w:r>
            <w:r w:rsidR="0010716E" w:rsidRPr="003B242C">
              <w:rPr>
                <w:sz w:val="22"/>
                <w:szCs w:val="22"/>
                <w:lang w:val="sr-Latn-ME" w:eastAsia="en-GB"/>
              </w:rPr>
              <w:t xml:space="preserve">pacijente </w:t>
            </w:r>
            <w:r w:rsidRPr="003B242C">
              <w:rPr>
                <w:sz w:val="22"/>
                <w:szCs w:val="22"/>
                <w:lang w:val="sr-Latn-ME" w:eastAsia="en-GB"/>
              </w:rPr>
              <w:t xml:space="preserve">čije su vrijednosti nedostajale u </w:t>
            </w:r>
            <w:r w:rsidR="0010716E" w:rsidRPr="003B242C">
              <w:rPr>
                <w:sz w:val="22"/>
                <w:szCs w:val="22"/>
                <w:lang w:val="sr-Latn-ME" w:eastAsia="en-GB"/>
              </w:rPr>
              <w:t>52. nedjelji</w:t>
            </w:r>
            <w:r w:rsidRPr="003B242C">
              <w:rPr>
                <w:sz w:val="22"/>
                <w:szCs w:val="22"/>
                <w:lang w:val="sr-Latn-ME" w:eastAsia="en-GB"/>
              </w:rPr>
              <w:t xml:space="preserve"> ili koji su randomiz</w:t>
            </w:r>
            <w:r w:rsidR="0010716E" w:rsidRPr="003B242C">
              <w:rPr>
                <w:sz w:val="22"/>
                <w:szCs w:val="22"/>
                <w:lang w:val="sr-Latn-ME" w:eastAsia="en-GB"/>
              </w:rPr>
              <w:t>ovani</w:t>
            </w:r>
            <w:r w:rsidRPr="003B242C">
              <w:rPr>
                <w:sz w:val="22"/>
                <w:szCs w:val="22"/>
                <w:lang w:val="sr-Latn-ME" w:eastAsia="en-GB"/>
              </w:rPr>
              <w:t xml:space="preserve"> za ponovno indukcijsko liječenje ili liječenje održavanja smatralo se da nemaju odgovora za mjere ishoda u </w:t>
            </w:r>
            <w:r w:rsidR="0010716E" w:rsidRPr="003B242C">
              <w:rPr>
                <w:sz w:val="22"/>
                <w:szCs w:val="22"/>
                <w:lang w:val="sr-Latn-ME" w:eastAsia="en-GB"/>
              </w:rPr>
              <w:t>52. nedjelji</w:t>
            </w:r>
          </w:p>
        </w:tc>
      </w:tr>
      <w:bookmarkEnd w:id="0"/>
    </w:tbl>
    <w:p w14:paraId="64E61FA4" w14:textId="77777777" w:rsidR="00596C07" w:rsidRPr="003B242C" w:rsidRDefault="00596C07" w:rsidP="00596C07">
      <w:pPr>
        <w:tabs>
          <w:tab w:val="left" w:pos="562"/>
        </w:tabs>
        <w:suppressAutoHyphens/>
        <w:rPr>
          <w:lang w:val="sr-Latn-ME"/>
        </w:rPr>
      </w:pPr>
    </w:p>
    <w:p w14:paraId="6B58C8B1" w14:textId="376B0EFA" w:rsidR="00596C07" w:rsidRPr="003B242C" w:rsidRDefault="00596C07" w:rsidP="00596C07">
      <w:pPr>
        <w:tabs>
          <w:tab w:val="left" w:pos="562"/>
        </w:tabs>
        <w:suppressAutoHyphens/>
        <w:jc w:val="both"/>
        <w:rPr>
          <w:sz w:val="22"/>
          <w:szCs w:val="22"/>
          <w:lang w:val="sr-Latn-ME"/>
        </w:rPr>
      </w:pPr>
      <w:r w:rsidRPr="003B242C">
        <w:rPr>
          <w:sz w:val="22"/>
          <w:szCs w:val="22"/>
          <w:lang w:val="sr-Latn-ME"/>
        </w:rPr>
        <w:t xml:space="preserve">Među </w:t>
      </w:r>
      <w:r w:rsidR="0010716E" w:rsidRPr="003B242C">
        <w:rPr>
          <w:sz w:val="22"/>
          <w:szCs w:val="22"/>
          <w:lang w:val="sr-Latn-ME"/>
        </w:rPr>
        <w:t xml:space="preserve">pacijentima </w:t>
      </w:r>
      <w:r w:rsidRPr="003B242C">
        <w:rPr>
          <w:sz w:val="22"/>
          <w:szCs w:val="22"/>
          <w:lang w:val="sr-Latn-ME"/>
        </w:rPr>
        <w:t xml:space="preserve">koji su liječeni lijekom Humira i koji su primili ponovno indukcijsko liječenje tokom razdoblja održavanja, 2/6 (33%) postiglo je klinički odgovor prema FMS-u u </w:t>
      </w:r>
      <w:r w:rsidR="0010716E" w:rsidRPr="003B242C">
        <w:rPr>
          <w:sz w:val="22"/>
          <w:szCs w:val="22"/>
          <w:lang w:val="sr-Latn-ME"/>
        </w:rPr>
        <w:t>52. nedjelji.</w:t>
      </w:r>
    </w:p>
    <w:p w14:paraId="481820A4" w14:textId="77777777" w:rsidR="00596C07" w:rsidRPr="003B242C" w:rsidRDefault="00596C07" w:rsidP="00596C07">
      <w:pPr>
        <w:tabs>
          <w:tab w:val="left" w:pos="562"/>
        </w:tabs>
        <w:suppressAutoHyphens/>
        <w:jc w:val="both"/>
        <w:rPr>
          <w:sz w:val="22"/>
          <w:szCs w:val="22"/>
          <w:lang w:val="sr-Latn-ME"/>
        </w:rPr>
      </w:pPr>
    </w:p>
    <w:p w14:paraId="60A9149C" w14:textId="77777777" w:rsidR="00596C07" w:rsidRPr="003B242C" w:rsidRDefault="00596C07">
      <w:pPr>
        <w:keepNext/>
        <w:tabs>
          <w:tab w:val="left" w:pos="562"/>
        </w:tabs>
        <w:suppressAutoHyphens/>
        <w:jc w:val="both"/>
        <w:rPr>
          <w:bCs/>
          <w:i/>
          <w:sz w:val="22"/>
          <w:szCs w:val="22"/>
          <w:u w:val="single"/>
          <w:lang w:val="sr-Latn-ME"/>
        </w:rPr>
      </w:pPr>
      <w:r w:rsidRPr="003B242C">
        <w:rPr>
          <w:bCs/>
          <w:i/>
          <w:sz w:val="22"/>
          <w:szCs w:val="22"/>
          <w:u w:val="single"/>
          <w:lang w:val="sr-Latn-ME"/>
        </w:rPr>
        <w:lastRenderedPageBreak/>
        <w:t>Kvalitet života</w:t>
      </w:r>
    </w:p>
    <w:p w14:paraId="51888720" w14:textId="77777777" w:rsidR="00596C07" w:rsidRPr="003B242C" w:rsidRDefault="00596C07">
      <w:pPr>
        <w:keepNext/>
        <w:tabs>
          <w:tab w:val="left" w:pos="562"/>
        </w:tabs>
        <w:suppressAutoHyphens/>
        <w:jc w:val="both"/>
        <w:rPr>
          <w:bCs/>
          <w:i/>
          <w:sz w:val="22"/>
          <w:szCs w:val="22"/>
          <w:u w:val="single"/>
          <w:lang w:val="sr-Latn-ME"/>
        </w:rPr>
      </w:pPr>
    </w:p>
    <w:p w14:paraId="7DB4CA63" w14:textId="212A5BCC" w:rsidR="00596C07" w:rsidRPr="003B242C" w:rsidRDefault="00596C07">
      <w:pPr>
        <w:keepNext/>
        <w:tabs>
          <w:tab w:val="left" w:pos="562"/>
        </w:tabs>
        <w:suppressAutoHyphens/>
        <w:jc w:val="both"/>
        <w:rPr>
          <w:sz w:val="22"/>
          <w:szCs w:val="22"/>
          <w:lang w:val="sr-Latn-ME"/>
        </w:rPr>
      </w:pPr>
      <w:r w:rsidRPr="003B242C">
        <w:rPr>
          <w:sz w:val="22"/>
          <w:szCs w:val="22"/>
          <w:lang w:val="sr-Latn-ME"/>
        </w:rPr>
        <w:t xml:space="preserve">U grupama liječenim sa lijekom Humira zabilježena su klinički značajna poboljšanja u odnosu na početne vrijednosti u rezultatima IMPACT III upitnika i u rezultatima upitnika o radnoj efikasnosti i smetnjama u radu (engl. </w:t>
      </w:r>
      <w:r w:rsidRPr="003B242C">
        <w:rPr>
          <w:i/>
          <w:iCs/>
          <w:sz w:val="22"/>
          <w:szCs w:val="22"/>
          <w:lang w:val="sr-Latn-ME"/>
        </w:rPr>
        <w:t>Work Productivity and Activity Impairment</w:t>
      </w:r>
      <w:r w:rsidRPr="003B242C">
        <w:rPr>
          <w:sz w:val="22"/>
          <w:szCs w:val="22"/>
          <w:lang w:val="sr-Latn-ME"/>
        </w:rPr>
        <w:t>, WPAI) ko</w:t>
      </w:r>
      <w:r w:rsidR="00F110C8" w:rsidRPr="003B242C">
        <w:rPr>
          <w:sz w:val="22"/>
          <w:szCs w:val="22"/>
          <w:lang w:val="sr-Latn-ME"/>
        </w:rPr>
        <w:t xml:space="preserve">ji </w:t>
      </w:r>
      <w:r w:rsidRPr="003B242C">
        <w:rPr>
          <w:sz w:val="22"/>
          <w:szCs w:val="22"/>
          <w:lang w:val="sr-Latn-ME"/>
        </w:rPr>
        <w:t>su popunjavali njegovatelji.</w:t>
      </w:r>
    </w:p>
    <w:p w14:paraId="1BC52A28" w14:textId="77777777" w:rsidR="00596C07" w:rsidRPr="003B242C" w:rsidRDefault="00596C07">
      <w:pPr>
        <w:keepNext/>
        <w:tabs>
          <w:tab w:val="left" w:pos="562"/>
        </w:tabs>
        <w:suppressAutoHyphens/>
        <w:jc w:val="both"/>
        <w:rPr>
          <w:sz w:val="22"/>
          <w:szCs w:val="22"/>
          <w:lang w:val="sr-Latn-ME"/>
        </w:rPr>
      </w:pPr>
    </w:p>
    <w:p w14:paraId="75EF1379" w14:textId="711065D1" w:rsidR="00596C07" w:rsidRPr="003B242C" w:rsidRDefault="00596C07">
      <w:pPr>
        <w:tabs>
          <w:tab w:val="left" w:pos="562"/>
        </w:tabs>
        <w:suppressAutoHyphens/>
        <w:jc w:val="both"/>
        <w:rPr>
          <w:sz w:val="22"/>
          <w:szCs w:val="22"/>
          <w:lang w:val="sr-Latn-ME"/>
        </w:rPr>
      </w:pPr>
      <w:r w:rsidRPr="003B242C">
        <w:rPr>
          <w:sz w:val="22"/>
          <w:szCs w:val="22"/>
          <w:lang w:val="sr-Latn-ME"/>
        </w:rPr>
        <w:t xml:space="preserve">Klinički značajno povećanje (poboljšanje) brzine rasta u odnosu na početne vrijednosti primjećeno je za grupe liječene sa adalimumabom, a klinički značajno povećanje (poboljšanje) indeksa tjelesne mase u odnosu na početne vrijednosti zabilježeno je kod ispitanika koji su primali visoku dozu održavanja od maksimalno 40 mg (0,6 mg/kg) svake </w:t>
      </w:r>
      <w:r w:rsidR="00F110C8" w:rsidRPr="003B242C">
        <w:rPr>
          <w:sz w:val="22"/>
          <w:szCs w:val="22"/>
          <w:lang w:val="sr-Latn-ME"/>
        </w:rPr>
        <w:t xml:space="preserve">nedjelje. </w:t>
      </w:r>
    </w:p>
    <w:p w14:paraId="6FCB0C14" w14:textId="77777777" w:rsidR="00596C07" w:rsidRPr="003B242C" w:rsidRDefault="00596C07" w:rsidP="003B242C">
      <w:pPr>
        <w:autoSpaceDE w:val="0"/>
        <w:jc w:val="both"/>
        <w:rPr>
          <w:sz w:val="22"/>
          <w:szCs w:val="22"/>
          <w:u w:val="single"/>
          <w:lang w:val="sr-Latn-ME" w:eastAsia="bs-Latn-BA"/>
        </w:rPr>
      </w:pPr>
    </w:p>
    <w:p w14:paraId="5B9B56AC" w14:textId="77777777" w:rsidR="00596C07" w:rsidRPr="003B242C" w:rsidRDefault="00596C07">
      <w:pPr>
        <w:tabs>
          <w:tab w:val="left" w:pos="562"/>
        </w:tabs>
        <w:suppressAutoHyphens/>
        <w:jc w:val="both"/>
        <w:rPr>
          <w:i/>
          <w:sz w:val="22"/>
          <w:szCs w:val="22"/>
          <w:lang w:val="sr-Latn-ME"/>
        </w:rPr>
      </w:pPr>
      <w:r w:rsidRPr="003B242C">
        <w:rPr>
          <w:i/>
          <w:sz w:val="22"/>
          <w:szCs w:val="22"/>
          <w:lang w:val="sr-Latn-ME"/>
        </w:rPr>
        <w:t>Uveitis kod djece</w:t>
      </w:r>
    </w:p>
    <w:p w14:paraId="7158E49D" w14:textId="77777777" w:rsidR="00596C07" w:rsidRPr="003B242C" w:rsidRDefault="00596C07">
      <w:pPr>
        <w:tabs>
          <w:tab w:val="left" w:pos="562"/>
        </w:tabs>
        <w:suppressAutoHyphens/>
        <w:jc w:val="both"/>
        <w:rPr>
          <w:sz w:val="22"/>
          <w:szCs w:val="22"/>
          <w:lang w:val="sr-Latn-ME"/>
        </w:rPr>
      </w:pPr>
    </w:p>
    <w:p w14:paraId="7A475CF5" w14:textId="6B76C406" w:rsidR="00596C07" w:rsidRPr="003B242C" w:rsidRDefault="00596C07" w:rsidP="003B242C">
      <w:pPr>
        <w:jc w:val="both"/>
        <w:rPr>
          <w:bCs/>
          <w:sz w:val="22"/>
          <w:szCs w:val="22"/>
          <w:lang w:val="sr-Latn-ME" w:eastAsia="bs-Latn-BA"/>
        </w:rPr>
      </w:pPr>
      <w:r w:rsidRPr="003B242C">
        <w:rPr>
          <w:bCs/>
          <w:sz w:val="22"/>
          <w:szCs w:val="22"/>
          <w:lang w:val="sr-Latn-ME" w:eastAsia="bs-Latn-BA"/>
        </w:rPr>
        <w:t>Sigurnost i efikasnost lijeka Humira ocjenjivale su se u randomiz</w:t>
      </w:r>
      <w:r w:rsidR="00F110C8" w:rsidRPr="003B242C">
        <w:rPr>
          <w:bCs/>
          <w:sz w:val="22"/>
          <w:szCs w:val="22"/>
          <w:lang w:val="sr-Latn-ME" w:eastAsia="bs-Latn-BA"/>
        </w:rPr>
        <w:t>ovano</w:t>
      </w:r>
      <w:r w:rsidRPr="003B242C">
        <w:rPr>
          <w:bCs/>
          <w:sz w:val="22"/>
          <w:szCs w:val="22"/>
          <w:lang w:val="sr-Latn-ME" w:eastAsia="bs-Latn-BA"/>
        </w:rPr>
        <w:t xml:space="preserve">, dvostruko maskiranom, kontrolisanom ispitivanju sprovedenom kod 90 pedijatrijskih </w:t>
      </w:r>
      <w:r w:rsidR="00F110C8" w:rsidRPr="003B242C">
        <w:rPr>
          <w:bCs/>
          <w:sz w:val="22"/>
          <w:szCs w:val="22"/>
          <w:lang w:val="sr-Latn-ME" w:eastAsia="bs-Latn-BA"/>
        </w:rPr>
        <w:t>pacijenata uzrasta</w:t>
      </w:r>
      <w:r w:rsidRPr="003B242C">
        <w:rPr>
          <w:bCs/>
          <w:sz w:val="22"/>
          <w:szCs w:val="22"/>
          <w:lang w:val="sr-Latn-ME" w:eastAsia="bs-Latn-BA"/>
        </w:rPr>
        <w:t xml:space="preserve"> od 2 do &lt; 18 godina koji su imali aktivan neinfektivni anteriorni uveitis povezan sa JIA i koji su bili refraktorni na najmanje 12 </w:t>
      </w:r>
      <w:r w:rsidR="00F110C8" w:rsidRPr="003B242C">
        <w:rPr>
          <w:bCs/>
          <w:sz w:val="22"/>
          <w:szCs w:val="22"/>
          <w:lang w:val="sr-Latn-ME" w:eastAsia="bs-Latn-BA"/>
        </w:rPr>
        <w:t xml:space="preserve">nedjelja </w:t>
      </w:r>
      <w:r w:rsidRPr="003B242C">
        <w:rPr>
          <w:bCs/>
          <w:sz w:val="22"/>
          <w:szCs w:val="22"/>
          <w:lang w:val="sr-Latn-ME" w:eastAsia="bs-Latn-BA"/>
        </w:rPr>
        <w:t xml:space="preserve">liječenja metotreksatom. </w:t>
      </w:r>
      <w:r w:rsidR="00F110C8" w:rsidRPr="003B242C">
        <w:rPr>
          <w:bCs/>
          <w:sz w:val="22"/>
          <w:szCs w:val="22"/>
          <w:lang w:val="sr-Latn-ME" w:eastAsia="bs-Latn-BA"/>
        </w:rPr>
        <w:t xml:space="preserve">Pacijenti </w:t>
      </w:r>
      <w:r w:rsidRPr="003B242C">
        <w:rPr>
          <w:bCs/>
          <w:sz w:val="22"/>
          <w:szCs w:val="22"/>
          <w:lang w:val="sr-Latn-ME" w:eastAsia="bs-Latn-BA"/>
        </w:rPr>
        <w:t xml:space="preserve">su primali ili placebo ili 20 mg adalimumaba (ako su bili tjelesne težine &lt; 30 kg) odnosno 40 mg adalimumaba (ako su bili tjelesne težine ≥ 30 kg) svake druge </w:t>
      </w:r>
      <w:r w:rsidR="00F110C8" w:rsidRPr="003B242C">
        <w:rPr>
          <w:bCs/>
          <w:sz w:val="22"/>
          <w:szCs w:val="22"/>
          <w:lang w:val="sr-Latn-ME" w:eastAsia="bs-Latn-BA"/>
        </w:rPr>
        <w:t xml:space="preserve">nedjelje </w:t>
      </w:r>
      <w:r w:rsidRPr="003B242C">
        <w:rPr>
          <w:bCs/>
          <w:sz w:val="22"/>
          <w:szCs w:val="22"/>
          <w:lang w:val="sr-Latn-ME" w:eastAsia="bs-Latn-BA"/>
        </w:rPr>
        <w:t>u kombinaciji sa metotreksatom u dozi koju su primali na početku ispitivanja.</w:t>
      </w:r>
    </w:p>
    <w:p w14:paraId="1EC62202" w14:textId="464AFC43" w:rsidR="00596C07" w:rsidRPr="003B242C" w:rsidRDefault="00596C07" w:rsidP="003B242C">
      <w:pPr>
        <w:jc w:val="both"/>
        <w:rPr>
          <w:bCs/>
          <w:sz w:val="22"/>
          <w:szCs w:val="22"/>
          <w:lang w:val="sr-Latn-ME" w:eastAsia="bs-Latn-BA"/>
        </w:rPr>
      </w:pPr>
      <w:r w:rsidRPr="003B242C">
        <w:rPr>
          <w:bCs/>
          <w:sz w:val="22"/>
          <w:szCs w:val="22"/>
          <w:lang w:val="sr-Latn-ME" w:eastAsia="bs-Latn-BA"/>
        </w:rPr>
        <w:t>Primarna mjera ishoda bilo je 'vrijeme do neuspjeha liječenja'. Kriterij</w:t>
      </w:r>
      <w:r w:rsidR="00F110C8" w:rsidRPr="003B242C">
        <w:rPr>
          <w:bCs/>
          <w:sz w:val="22"/>
          <w:szCs w:val="22"/>
          <w:lang w:val="sr-Latn-ME" w:eastAsia="bs-Latn-BA"/>
        </w:rPr>
        <w:t>umi</w:t>
      </w:r>
      <w:r w:rsidRPr="003B242C">
        <w:rPr>
          <w:bCs/>
          <w:sz w:val="22"/>
          <w:szCs w:val="22"/>
          <w:lang w:val="sr-Latn-ME" w:eastAsia="bs-Latn-BA"/>
        </w:rPr>
        <w:t xml:space="preserve"> koji su određivali neuspjeh liječenja bili su pogoršanje ili dugotrajan izostanak poboljšanja upale oka, djelimično poboljšanje uz razvoj dugotrajnih popratnih očnih bolesti ili pogoršanje popratnih očnih bolesti, nedopuštena istovremena primjena drugih lijekova te prekid liječenja na duži period.</w:t>
      </w:r>
    </w:p>
    <w:p w14:paraId="32137C12" w14:textId="77777777" w:rsidR="00596C07" w:rsidRPr="003B242C" w:rsidRDefault="00596C07" w:rsidP="003B242C">
      <w:pPr>
        <w:tabs>
          <w:tab w:val="left" w:pos="562"/>
        </w:tabs>
        <w:rPr>
          <w:i/>
          <w:sz w:val="22"/>
          <w:szCs w:val="22"/>
          <w:u w:val="single"/>
          <w:lang w:val="sr-Latn-ME" w:eastAsia="bs-Latn-BA"/>
        </w:rPr>
      </w:pPr>
    </w:p>
    <w:p w14:paraId="308B941C" w14:textId="3D121FD9" w:rsidR="00596C07" w:rsidRDefault="00596C07" w:rsidP="003B242C">
      <w:pPr>
        <w:tabs>
          <w:tab w:val="left" w:pos="562"/>
        </w:tabs>
        <w:rPr>
          <w:i/>
          <w:sz w:val="22"/>
          <w:szCs w:val="22"/>
          <w:u w:val="single"/>
          <w:lang w:val="sr-Latn-ME" w:eastAsia="bs-Latn-BA"/>
        </w:rPr>
      </w:pPr>
      <w:r w:rsidRPr="003B242C">
        <w:rPr>
          <w:i/>
          <w:sz w:val="22"/>
          <w:szCs w:val="22"/>
          <w:u w:val="single"/>
          <w:lang w:val="sr-Latn-ME" w:eastAsia="bs-Latn-BA"/>
        </w:rPr>
        <w:t>Klinički odgovor</w:t>
      </w:r>
    </w:p>
    <w:p w14:paraId="7B5C8AAA" w14:textId="77777777" w:rsidR="004500D8" w:rsidRPr="003B242C" w:rsidRDefault="004500D8" w:rsidP="003B242C">
      <w:pPr>
        <w:tabs>
          <w:tab w:val="left" w:pos="562"/>
        </w:tabs>
        <w:rPr>
          <w:i/>
          <w:sz w:val="22"/>
          <w:szCs w:val="22"/>
          <w:u w:val="single"/>
          <w:lang w:val="sr-Latn-ME" w:eastAsia="bs-Latn-BA"/>
        </w:rPr>
      </w:pPr>
    </w:p>
    <w:p w14:paraId="75BDBA47" w14:textId="67D535A4" w:rsidR="00596C07" w:rsidRPr="003B242C" w:rsidRDefault="00596C07" w:rsidP="003B242C">
      <w:pPr>
        <w:jc w:val="both"/>
        <w:rPr>
          <w:bCs/>
          <w:sz w:val="22"/>
          <w:szCs w:val="22"/>
          <w:lang w:val="sr-Latn-ME" w:eastAsia="bs-Latn-BA"/>
        </w:rPr>
      </w:pPr>
      <w:r w:rsidRPr="003B242C">
        <w:rPr>
          <w:bCs/>
          <w:sz w:val="22"/>
          <w:szCs w:val="22"/>
          <w:lang w:val="sr-Latn-ME" w:eastAsia="bs-Latn-BA"/>
        </w:rPr>
        <w:t>Adalimumab je značajno od</w:t>
      </w:r>
      <w:r w:rsidR="00453761" w:rsidRPr="003B242C">
        <w:rPr>
          <w:bCs/>
          <w:sz w:val="22"/>
          <w:szCs w:val="22"/>
          <w:lang w:val="sr-Latn-ME" w:eastAsia="bs-Latn-BA"/>
        </w:rPr>
        <w:t xml:space="preserve">ložio </w:t>
      </w:r>
      <w:r w:rsidRPr="003B242C">
        <w:rPr>
          <w:bCs/>
          <w:sz w:val="22"/>
          <w:szCs w:val="22"/>
          <w:lang w:val="sr-Latn-ME" w:eastAsia="bs-Latn-BA"/>
        </w:rPr>
        <w:t>vrijeme do neuspjeha liječenja u odnosu na placebo (vidjeti Sliku 2, P &lt; 0,0001 iz log</w:t>
      </w:r>
      <w:r w:rsidRPr="003B242C">
        <w:rPr>
          <w:bCs/>
          <w:sz w:val="22"/>
          <w:szCs w:val="22"/>
          <w:lang w:val="sr-Latn-ME" w:eastAsia="bs-Latn-BA"/>
        </w:rPr>
        <w:noBreakHyphen/>
        <w:t xml:space="preserve">rang testa). Medijan vremena do neuspjeha liječenja iznosio je 24,1 </w:t>
      </w:r>
      <w:r w:rsidR="00453761" w:rsidRPr="003B242C">
        <w:rPr>
          <w:bCs/>
          <w:sz w:val="22"/>
          <w:szCs w:val="22"/>
          <w:lang w:val="sr-Latn-ME" w:eastAsia="bs-Latn-BA"/>
        </w:rPr>
        <w:t>nedjelju</w:t>
      </w:r>
      <w:r w:rsidRPr="003B242C">
        <w:rPr>
          <w:bCs/>
          <w:sz w:val="22"/>
          <w:szCs w:val="22"/>
          <w:lang w:val="sr-Latn-ME" w:eastAsia="bs-Latn-BA"/>
        </w:rPr>
        <w:t xml:space="preserve"> kod ispitanika koji su primali placebo, dok se kod ispitanika liječenih adalimumabom medijan vremena do neuspjeha liječenja nije mogao procijeniti jer je do neuspjeha liječenja došlo kod manje od polovine tih ispitanika. Adalimumab je značajno smanjio rizik od neuspjeha liječenja za 75% u odnosu na placebo, što pokazuje omjer hazarda (HR =0,25  [95% CI: 0,12; 0,49]).</w:t>
      </w:r>
    </w:p>
    <w:p w14:paraId="6531CBB3" w14:textId="77777777" w:rsidR="00C803F1" w:rsidRPr="003B242C" w:rsidRDefault="00C803F1" w:rsidP="003B242C">
      <w:pPr>
        <w:jc w:val="both"/>
        <w:rPr>
          <w:bCs/>
          <w:sz w:val="22"/>
          <w:szCs w:val="22"/>
          <w:lang w:val="sr-Latn-ME" w:eastAsia="bs-Latn-BA"/>
        </w:rPr>
      </w:pPr>
    </w:p>
    <w:p w14:paraId="3FE821F0" w14:textId="3EEB20DC" w:rsidR="00596C07" w:rsidRPr="003B242C" w:rsidRDefault="00596C07">
      <w:pPr>
        <w:keepNext/>
        <w:spacing w:after="160" w:line="259" w:lineRule="auto"/>
        <w:jc w:val="center"/>
        <w:rPr>
          <w:b/>
          <w:sz w:val="22"/>
          <w:szCs w:val="22"/>
          <w:lang w:val="sr-Latn-ME" w:eastAsia="bs-Latn-BA"/>
        </w:rPr>
      </w:pPr>
      <w:r w:rsidRPr="003B242C">
        <w:rPr>
          <w:b/>
          <w:sz w:val="22"/>
          <w:szCs w:val="22"/>
          <w:lang w:val="sr-Latn-ME" w:eastAsia="bs-Latn-BA"/>
        </w:rPr>
        <w:lastRenderedPageBreak/>
        <w:t>Slika 2: Kaplan</w:t>
      </w:r>
      <w:r w:rsidRPr="003B242C">
        <w:rPr>
          <w:b/>
          <w:sz w:val="22"/>
          <w:szCs w:val="22"/>
          <w:lang w:val="sr-Latn-ME" w:eastAsia="bs-Latn-BA"/>
        </w:rPr>
        <w:noBreakHyphen/>
        <w:t xml:space="preserve">Meierove krive koje ukratko prikazuju vrijeme do neuspjeha liječenja </w:t>
      </w:r>
      <w:r w:rsidR="00D26764" w:rsidRPr="003B242C">
        <w:rPr>
          <w:b/>
          <w:sz w:val="22"/>
          <w:szCs w:val="22"/>
          <w:lang w:val="sr-Latn-ME" w:eastAsia="bs-Latn-BA"/>
        </w:rPr>
        <w:t>kod</w:t>
      </w:r>
      <w:r w:rsidRPr="003B242C">
        <w:rPr>
          <w:b/>
          <w:sz w:val="22"/>
          <w:szCs w:val="22"/>
          <w:lang w:val="sr-Latn-ME" w:eastAsia="bs-Latn-BA"/>
        </w:rPr>
        <w:t xml:space="preserve"> ispitivanj</w:t>
      </w:r>
      <w:r w:rsidR="00D26764" w:rsidRPr="003B242C">
        <w:rPr>
          <w:b/>
          <w:sz w:val="22"/>
          <w:szCs w:val="22"/>
          <w:lang w:val="sr-Latn-ME" w:eastAsia="bs-Latn-BA"/>
        </w:rPr>
        <w:t>a</w:t>
      </w:r>
      <w:r w:rsidRPr="003B242C">
        <w:rPr>
          <w:b/>
          <w:sz w:val="22"/>
          <w:szCs w:val="22"/>
          <w:lang w:val="sr-Latn-ME" w:eastAsia="bs-Latn-BA"/>
        </w:rPr>
        <w:t xml:space="preserve"> liječenja uveitisa kod djece</w:t>
      </w:r>
    </w:p>
    <w:tbl>
      <w:tblPr>
        <w:tblW w:w="9288" w:type="dxa"/>
        <w:tblLayout w:type="fixed"/>
        <w:tblLook w:val="04A0" w:firstRow="1" w:lastRow="0" w:firstColumn="1" w:lastColumn="0" w:noHBand="0" w:noVBand="1"/>
      </w:tblPr>
      <w:tblGrid>
        <w:gridCol w:w="468"/>
        <w:gridCol w:w="3510"/>
        <w:gridCol w:w="1170"/>
        <w:gridCol w:w="1350"/>
        <w:gridCol w:w="900"/>
        <w:gridCol w:w="1890"/>
      </w:tblGrid>
      <w:tr w:rsidR="00596C07" w:rsidRPr="004500D8" w14:paraId="6409F0EA" w14:textId="77777777" w:rsidTr="00596C07">
        <w:trPr>
          <w:cantSplit/>
          <w:trHeight w:val="3806"/>
        </w:trPr>
        <w:tc>
          <w:tcPr>
            <w:tcW w:w="468" w:type="dxa"/>
            <w:shd w:val="clear" w:color="auto" w:fill="auto"/>
            <w:textDirection w:val="btLr"/>
            <w:vAlign w:val="bottom"/>
          </w:tcPr>
          <w:p w14:paraId="476AC8DB" w14:textId="5D58805F" w:rsidR="00596C07" w:rsidRPr="003B242C" w:rsidRDefault="00D26764" w:rsidP="00596C07">
            <w:pPr>
              <w:keepNext/>
              <w:tabs>
                <w:tab w:val="left" w:pos="562"/>
              </w:tabs>
              <w:spacing w:after="160" w:line="259" w:lineRule="auto"/>
              <w:ind w:left="113" w:right="113"/>
              <w:jc w:val="center"/>
              <w:rPr>
                <w:b/>
                <w:lang w:val="sr-Latn-ME" w:eastAsia="bs-Latn-BA"/>
              </w:rPr>
            </w:pPr>
            <w:r w:rsidRPr="003B242C">
              <w:rPr>
                <w:b/>
                <w:lang w:val="sr-Latn-ME" w:eastAsia="bs-Latn-BA"/>
              </w:rPr>
              <w:t xml:space="preserve">VJEROVATNOĆA </w:t>
            </w:r>
            <w:r w:rsidR="00596C07" w:rsidRPr="003B242C">
              <w:rPr>
                <w:b/>
                <w:lang w:val="sr-Latn-ME" w:eastAsia="bs-Latn-BA"/>
              </w:rPr>
              <w:t>NEUSPJEHA LIJEČENJA</w:t>
            </w:r>
          </w:p>
        </w:tc>
        <w:tc>
          <w:tcPr>
            <w:tcW w:w="8820" w:type="dxa"/>
            <w:gridSpan w:val="5"/>
            <w:shd w:val="clear" w:color="auto" w:fill="auto"/>
            <w:vAlign w:val="bottom"/>
          </w:tcPr>
          <w:p w14:paraId="66A85D23" w14:textId="77777777" w:rsidR="00596C07" w:rsidRPr="003B242C" w:rsidRDefault="00596C07" w:rsidP="00596C07">
            <w:pPr>
              <w:keepNext/>
              <w:tabs>
                <w:tab w:val="left" w:pos="562"/>
              </w:tabs>
              <w:spacing w:after="160" w:line="259" w:lineRule="auto"/>
              <w:rPr>
                <w:lang w:val="sr-Latn-ME" w:eastAsia="bs-Latn-BA"/>
              </w:rPr>
            </w:pPr>
            <w:r w:rsidRPr="003B242C">
              <w:rPr>
                <w:noProof/>
                <w:lang w:val="sr-Latn-ME"/>
              </w:rPr>
              <w:drawing>
                <wp:inline distT="0" distB="0" distL="0" distR="0" wp14:anchorId="44F387C2" wp14:editId="4DABF43E">
                  <wp:extent cx="5486400" cy="4533900"/>
                  <wp:effectExtent l="19050" t="0" r="0" b="0"/>
                  <wp:docPr id="10"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4"/>
                          <a:srcRect/>
                          <a:stretch>
                            <a:fillRect/>
                          </a:stretch>
                        </pic:blipFill>
                        <pic:spPr bwMode="auto">
                          <a:xfrm>
                            <a:off x="0" y="0"/>
                            <a:ext cx="5486400" cy="4533900"/>
                          </a:xfrm>
                          <a:prstGeom prst="rect">
                            <a:avLst/>
                          </a:prstGeom>
                          <a:noFill/>
                          <a:ln w="9525">
                            <a:noFill/>
                            <a:miter lim="800000"/>
                            <a:headEnd/>
                            <a:tailEnd/>
                          </a:ln>
                        </pic:spPr>
                      </pic:pic>
                    </a:graphicData>
                  </a:graphic>
                </wp:inline>
              </w:drawing>
            </w:r>
          </w:p>
        </w:tc>
      </w:tr>
      <w:tr w:rsidR="00596C07" w:rsidRPr="004500D8" w14:paraId="36BBCD17" w14:textId="77777777" w:rsidTr="00596C07">
        <w:tc>
          <w:tcPr>
            <w:tcW w:w="468" w:type="dxa"/>
            <w:shd w:val="clear" w:color="auto" w:fill="auto"/>
          </w:tcPr>
          <w:p w14:paraId="6C6C1BBE" w14:textId="77777777" w:rsidR="00596C07" w:rsidRPr="003B242C" w:rsidRDefault="00596C07" w:rsidP="00596C07">
            <w:pPr>
              <w:keepNext/>
              <w:tabs>
                <w:tab w:val="left" w:pos="562"/>
              </w:tabs>
              <w:spacing w:after="160" w:line="259" w:lineRule="auto"/>
              <w:rPr>
                <w:lang w:val="sr-Latn-ME" w:eastAsia="bs-Latn-BA"/>
              </w:rPr>
            </w:pPr>
          </w:p>
        </w:tc>
        <w:tc>
          <w:tcPr>
            <w:tcW w:w="8820" w:type="dxa"/>
            <w:gridSpan w:val="5"/>
            <w:shd w:val="clear" w:color="auto" w:fill="auto"/>
          </w:tcPr>
          <w:p w14:paraId="0A7146F5" w14:textId="77777777" w:rsidR="00596C07" w:rsidRPr="003B242C" w:rsidRDefault="00596C07" w:rsidP="00596C07">
            <w:pPr>
              <w:keepNext/>
              <w:tabs>
                <w:tab w:val="left" w:pos="562"/>
              </w:tabs>
              <w:spacing w:after="160" w:line="259" w:lineRule="auto"/>
              <w:jc w:val="center"/>
              <w:rPr>
                <w:b/>
                <w:lang w:val="sr-Latn-ME" w:eastAsia="bs-Latn-BA"/>
              </w:rPr>
            </w:pPr>
            <w:r w:rsidRPr="003B242C">
              <w:rPr>
                <w:b/>
                <w:lang w:val="sr-Latn-ME" w:eastAsia="bs-Latn-BA"/>
              </w:rPr>
              <w:t>VRIJEME (SEDMICE)</w:t>
            </w:r>
          </w:p>
        </w:tc>
      </w:tr>
      <w:tr w:rsidR="00596C07" w:rsidRPr="004500D8" w14:paraId="2E58382F" w14:textId="77777777" w:rsidTr="00596C07">
        <w:tc>
          <w:tcPr>
            <w:tcW w:w="468" w:type="dxa"/>
            <w:shd w:val="clear" w:color="auto" w:fill="auto"/>
          </w:tcPr>
          <w:p w14:paraId="5DB7CC03" w14:textId="77777777" w:rsidR="00596C07" w:rsidRPr="003B242C" w:rsidRDefault="00596C07" w:rsidP="00596C07">
            <w:pPr>
              <w:keepNext/>
              <w:tabs>
                <w:tab w:val="left" w:pos="562"/>
              </w:tabs>
              <w:spacing w:after="160" w:line="259" w:lineRule="auto"/>
              <w:rPr>
                <w:sz w:val="22"/>
                <w:szCs w:val="22"/>
                <w:lang w:val="sr-Latn-ME" w:eastAsia="bs-Latn-BA"/>
              </w:rPr>
            </w:pPr>
          </w:p>
        </w:tc>
        <w:tc>
          <w:tcPr>
            <w:tcW w:w="3510" w:type="dxa"/>
            <w:shd w:val="clear" w:color="auto" w:fill="auto"/>
          </w:tcPr>
          <w:p w14:paraId="6F1A7511" w14:textId="77777777" w:rsidR="00596C07" w:rsidRPr="003B242C" w:rsidRDefault="00596C07" w:rsidP="00596C07">
            <w:pPr>
              <w:keepNext/>
              <w:tabs>
                <w:tab w:val="left" w:pos="562"/>
              </w:tabs>
              <w:spacing w:after="160" w:line="259" w:lineRule="auto"/>
              <w:rPr>
                <w:sz w:val="22"/>
                <w:szCs w:val="22"/>
                <w:lang w:val="sr-Latn-ME" w:eastAsia="bs-Latn-BA"/>
              </w:rPr>
            </w:pPr>
            <w:r w:rsidRPr="003B242C">
              <w:rPr>
                <w:sz w:val="22"/>
                <w:szCs w:val="22"/>
                <w:lang w:val="sr-Latn-ME" w:eastAsia="bs-Latn-BA"/>
              </w:rPr>
              <w:t>Liječenje</w:t>
            </w:r>
          </w:p>
        </w:tc>
        <w:tc>
          <w:tcPr>
            <w:tcW w:w="1170" w:type="dxa"/>
            <w:shd w:val="clear" w:color="auto" w:fill="auto"/>
            <w:vAlign w:val="bottom"/>
          </w:tcPr>
          <w:p w14:paraId="6509EF2E" w14:textId="77777777" w:rsidR="00596C07" w:rsidRPr="003B242C" w:rsidRDefault="00596C07" w:rsidP="00596C07">
            <w:pPr>
              <w:keepNext/>
              <w:tabs>
                <w:tab w:val="left" w:pos="562"/>
              </w:tabs>
              <w:spacing w:after="160" w:line="259" w:lineRule="auto"/>
              <w:jc w:val="center"/>
              <w:rPr>
                <w:sz w:val="22"/>
                <w:szCs w:val="22"/>
                <w:lang w:val="sr-Latn-ME" w:eastAsia="bs-Latn-BA"/>
              </w:rPr>
            </w:pPr>
            <w:r w:rsidRPr="003B242C">
              <w:rPr>
                <w:noProof/>
                <w:sz w:val="22"/>
                <w:szCs w:val="22"/>
                <w:lang w:val="sr-Latn-ME"/>
              </w:rPr>
              <w:drawing>
                <wp:inline distT="0" distB="0" distL="0" distR="0" wp14:anchorId="58C5D566" wp14:editId="389892F4">
                  <wp:extent cx="457200" cy="123825"/>
                  <wp:effectExtent l="19050" t="0" r="0" b="0"/>
                  <wp:docPr id="11" name="Picture 2" descr="Humira PED UV KM Curv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mira PED UV KM Curve 11"/>
                          <pic:cNvPicPr>
                            <a:picLocks noChangeAspect="1" noChangeArrowheads="1"/>
                          </pic:cNvPicPr>
                        </pic:nvPicPr>
                        <pic:blipFill>
                          <a:blip r:embed="rId15"/>
                          <a:srcRect/>
                          <a:stretch>
                            <a:fillRect/>
                          </a:stretch>
                        </pic:blipFill>
                        <pic:spPr bwMode="auto">
                          <a:xfrm>
                            <a:off x="0" y="0"/>
                            <a:ext cx="457200" cy="123825"/>
                          </a:xfrm>
                          <a:prstGeom prst="rect">
                            <a:avLst/>
                          </a:prstGeom>
                          <a:noFill/>
                          <a:ln w="9525">
                            <a:noFill/>
                            <a:miter lim="800000"/>
                            <a:headEnd/>
                            <a:tailEnd/>
                          </a:ln>
                        </pic:spPr>
                      </pic:pic>
                    </a:graphicData>
                  </a:graphic>
                </wp:inline>
              </w:drawing>
            </w:r>
          </w:p>
        </w:tc>
        <w:tc>
          <w:tcPr>
            <w:tcW w:w="1350" w:type="dxa"/>
            <w:shd w:val="clear" w:color="auto" w:fill="auto"/>
          </w:tcPr>
          <w:p w14:paraId="4929A807" w14:textId="77777777" w:rsidR="00596C07" w:rsidRPr="003B242C" w:rsidRDefault="00596C07" w:rsidP="00596C07">
            <w:pPr>
              <w:keepNext/>
              <w:tabs>
                <w:tab w:val="left" w:pos="562"/>
              </w:tabs>
              <w:spacing w:after="160" w:line="259" w:lineRule="auto"/>
              <w:rPr>
                <w:sz w:val="22"/>
                <w:szCs w:val="22"/>
                <w:lang w:val="sr-Latn-ME" w:eastAsia="bs-Latn-BA"/>
              </w:rPr>
            </w:pPr>
            <w:r w:rsidRPr="003B242C">
              <w:rPr>
                <w:sz w:val="22"/>
                <w:szCs w:val="22"/>
                <w:lang w:val="sr-Latn-ME" w:eastAsia="bs-Latn-BA"/>
              </w:rPr>
              <w:t>Placebo</w:t>
            </w:r>
          </w:p>
        </w:tc>
        <w:tc>
          <w:tcPr>
            <w:tcW w:w="900" w:type="dxa"/>
            <w:shd w:val="clear" w:color="auto" w:fill="auto"/>
            <w:vAlign w:val="center"/>
          </w:tcPr>
          <w:p w14:paraId="5E1FF918" w14:textId="77777777" w:rsidR="00596C07" w:rsidRPr="003B242C" w:rsidRDefault="00596C07" w:rsidP="00596C07">
            <w:pPr>
              <w:keepNext/>
              <w:tabs>
                <w:tab w:val="left" w:pos="562"/>
              </w:tabs>
              <w:spacing w:after="160" w:line="259" w:lineRule="auto"/>
              <w:rPr>
                <w:sz w:val="22"/>
                <w:szCs w:val="22"/>
                <w:lang w:val="sr-Latn-ME" w:eastAsia="bs-Latn-BA"/>
              </w:rPr>
            </w:pPr>
            <w:r w:rsidRPr="003B242C">
              <w:rPr>
                <w:noProof/>
                <w:sz w:val="22"/>
                <w:szCs w:val="22"/>
                <w:lang w:val="sr-Latn-ME"/>
              </w:rPr>
              <w:drawing>
                <wp:inline distT="0" distB="0" distL="0" distR="0" wp14:anchorId="504A7FDE" wp14:editId="551850B2">
                  <wp:extent cx="457200" cy="85725"/>
                  <wp:effectExtent l="19050" t="0" r="0" b="0"/>
                  <wp:docPr id="12" name="Picture 3" descr="Humira PED UV KM Curv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mira PED UV KM Curve 11"/>
                          <pic:cNvPicPr>
                            <a:picLocks noChangeAspect="1" noChangeArrowheads="1"/>
                          </pic:cNvPicPr>
                        </pic:nvPicPr>
                        <pic:blipFill>
                          <a:blip r:embed="rId16"/>
                          <a:srcRect/>
                          <a:stretch>
                            <a:fillRect/>
                          </a:stretch>
                        </pic:blipFill>
                        <pic:spPr bwMode="auto">
                          <a:xfrm>
                            <a:off x="0" y="0"/>
                            <a:ext cx="457200" cy="85725"/>
                          </a:xfrm>
                          <a:prstGeom prst="rect">
                            <a:avLst/>
                          </a:prstGeom>
                          <a:noFill/>
                          <a:ln w="9525">
                            <a:noFill/>
                            <a:miter lim="800000"/>
                            <a:headEnd/>
                            <a:tailEnd/>
                          </a:ln>
                        </pic:spPr>
                      </pic:pic>
                    </a:graphicData>
                  </a:graphic>
                </wp:inline>
              </w:drawing>
            </w:r>
          </w:p>
        </w:tc>
        <w:tc>
          <w:tcPr>
            <w:tcW w:w="1890" w:type="dxa"/>
            <w:shd w:val="clear" w:color="auto" w:fill="auto"/>
          </w:tcPr>
          <w:p w14:paraId="0BA404C9" w14:textId="77777777" w:rsidR="00596C07" w:rsidRPr="003B242C" w:rsidRDefault="00596C07" w:rsidP="00596C07">
            <w:pPr>
              <w:keepNext/>
              <w:tabs>
                <w:tab w:val="left" w:pos="562"/>
              </w:tabs>
              <w:spacing w:after="160" w:line="259" w:lineRule="auto"/>
              <w:rPr>
                <w:sz w:val="22"/>
                <w:szCs w:val="22"/>
                <w:lang w:val="sr-Latn-ME" w:eastAsia="bs-Latn-BA"/>
              </w:rPr>
            </w:pPr>
            <w:r w:rsidRPr="003B242C">
              <w:rPr>
                <w:sz w:val="22"/>
                <w:szCs w:val="22"/>
                <w:lang w:val="sr-Latn-ME" w:eastAsia="bs-Latn-BA"/>
              </w:rPr>
              <w:t>Adalimumab</w:t>
            </w:r>
          </w:p>
        </w:tc>
      </w:tr>
      <w:tr w:rsidR="00596C07" w:rsidRPr="004500D8" w14:paraId="4DB6FD5A" w14:textId="77777777" w:rsidTr="00596C07">
        <w:tc>
          <w:tcPr>
            <w:tcW w:w="468" w:type="dxa"/>
            <w:shd w:val="clear" w:color="auto" w:fill="auto"/>
          </w:tcPr>
          <w:p w14:paraId="09704083" w14:textId="77777777" w:rsidR="00596C07" w:rsidRPr="003B242C" w:rsidRDefault="00596C07" w:rsidP="00596C07">
            <w:pPr>
              <w:tabs>
                <w:tab w:val="left" w:pos="562"/>
              </w:tabs>
              <w:spacing w:after="160" w:line="259" w:lineRule="auto"/>
              <w:rPr>
                <w:sz w:val="22"/>
                <w:szCs w:val="22"/>
                <w:lang w:val="sr-Latn-ME" w:eastAsia="bs-Latn-BA"/>
              </w:rPr>
            </w:pPr>
          </w:p>
        </w:tc>
        <w:tc>
          <w:tcPr>
            <w:tcW w:w="8820" w:type="dxa"/>
            <w:gridSpan w:val="5"/>
            <w:shd w:val="clear" w:color="auto" w:fill="auto"/>
          </w:tcPr>
          <w:p w14:paraId="3267A879" w14:textId="77777777" w:rsidR="00596C07" w:rsidRPr="003B242C" w:rsidRDefault="00596C07" w:rsidP="00596C07">
            <w:pPr>
              <w:tabs>
                <w:tab w:val="left" w:pos="562"/>
              </w:tabs>
              <w:spacing w:after="160" w:line="259" w:lineRule="auto"/>
              <w:rPr>
                <w:sz w:val="22"/>
                <w:szCs w:val="22"/>
                <w:lang w:val="sr-Latn-ME" w:eastAsia="bs-Latn-BA"/>
              </w:rPr>
            </w:pPr>
            <w:r w:rsidRPr="003B242C">
              <w:rPr>
                <w:sz w:val="22"/>
                <w:szCs w:val="22"/>
                <w:lang w:val="sr-Latn-ME" w:eastAsia="bs-Latn-BA"/>
              </w:rPr>
              <w:t>Napomena: P = Placebo (broj bolesnika pod rizikom); H = HUMIRA (broj bolesnika pod rizikom).</w:t>
            </w:r>
          </w:p>
        </w:tc>
      </w:tr>
    </w:tbl>
    <w:p w14:paraId="6B38BD25" w14:textId="77777777" w:rsidR="00596C07" w:rsidRPr="004500D8" w:rsidRDefault="00596C07" w:rsidP="003B242C">
      <w:pPr>
        <w:tabs>
          <w:tab w:val="left" w:pos="540"/>
          <w:tab w:val="left" w:pos="569"/>
        </w:tabs>
        <w:jc w:val="both"/>
        <w:rPr>
          <w:b/>
          <w:bCs/>
          <w:sz w:val="22"/>
          <w:szCs w:val="22"/>
          <w:lang w:val="sr-Latn-ME"/>
        </w:rPr>
      </w:pPr>
    </w:p>
    <w:p w14:paraId="7ABD30E5" w14:textId="77777777" w:rsidR="00596C07" w:rsidRPr="004500D8" w:rsidRDefault="00596C07" w:rsidP="003B242C">
      <w:pPr>
        <w:tabs>
          <w:tab w:val="left" w:pos="540"/>
          <w:tab w:val="left" w:pos="569"/>
        </w:tabs>
        <w:jc w:val="both"/>
        <w:rPr>
          <w:b/>
          <w:bCs/>
          <w:sz w:val="22"/>
          <w:szCs w:val="22"/>
          <w:lang w:val="sr-Latn-ME"/>
        </w:rPr>
      </w:pPr>
      <w:r w:rsidRPr="004500D8">
        <w:rPr>
          <w:b/>
          <w:bCs/>
          <w:sz w:val="22"/>
          <w:szCs w:val="22"/>
          <w:lang w:val="sr-Latn-ME"/>
        </w:rPr>
        <w:t xml:space="preserve">5.2. </w:t>
      </w:r>
      <w:r w:rsidRPr="004500D8">
        <w:rPr>
          <w:b/>
          <w:bCs/>
          <w:sz w:val="22"/>
          <w:szCs w:val="22"/>
          <w:lang w:val="sr-Latn-ME"/>
        </w:rPr>
        <w:tab/>
        <w:t>Farmakokinetički podaci</w:t>
      </w:r>
    </w:p>
    <w:p w14:paraId="4709B628" w14:textId="77777777" w:rsidR="00596C07" w:rsidRPr="004500D8" w:rsidRDefault="00596C07">
      <w:pPr>
        <w:widowControl w:val="0"/>
        <w:autoSpaceDE w:val="0"/>
        <w:autoSpaceDN w:val="0"/>
        <w:adjustRightInd w:val="0"/>
        <w:jc w:val="both"/>
        <w:rPr>
          <w:color w:val="000000"/>
          <w:sz w:val="22"/>
          <w:szCs w:val="22"/>
          <w:u w:val="single"/>
          <w:lang w:val="sr-Latn-ME"/>
        </w:rPr>
      </w:pPr>
    </w:p>
    <w:p w14:paraId="5A9DE4D6" w14:textId="77777777" w:rsidR="00596C07" w:rsidRPr="004500D8" w:rsidRDefault="00596C07">
      <w:pPr>
        <w:widowControl w:val="0"/>
        <w:autoSpaceDE w:val="0"/>
        <w:autoSpaceDN w:val="0"/>
        <w:adjustRightInd w:val="0"/>
        <w:jc w:val="both"/>
        <w:rPr>
          <w:sz w:val="22"/>
          <w:szCs w:val="22"/>
          <w:u w:val="single"/>
          <w:lang w:val="sr-Latn-ME"/>
        </w:rPr>
      </w:pPr>
      <w:r w:rsidRPr="004500D8">
        <w:rPr>
          <w:sz w:val="22"/>
          <w:szCs w:val="22"/>
          <w:u w:val="single"/>
          <w:lang w:val="sr-Latn-ME"/>
        </w:rPr>
        <w:t>Resorpcija i distribucija</w:t>
      </w:r>
    </w:p>
    <w:p w14:paraId="7660CA71" w14:textId="77777777" w:rsidR="00596C07" w:rsidRPr="004500D8" w:rsidRDefault="00596C07">
      <w:pPr>
        <w:widowControl w:val="0"/>
        <w:autoSpaceDE w:val="0"/>
        <w:autoSpaceDN w:val="0"/>
        <w:adjustRightInd w:val="0"/>
        <w:jc w:val="both"/>
        <w:rPr>
          <w:sz w:val="22"/>
          <w:szCs w:val="22"/>
          <w:lang w:val="sr-Latn-ME"/>
        </w:rPr>
      </w:pPr>
    </w:p>
    <w:p w14:paraId="7A43560C" w14:textId="6CD59D56" w:rsidR="00596C07" w:rsidRPr="004500D8" w:rsidRDefault="00596C07">
      <w:pPr>
        <w:widowControl w:val="0"/>
        <w:autoSpaceDE w:val="0"/>
        <w:autoSpaceDN w:val="0"/>
        <w:adjustRightInd w:val="0"/>
        <w:jc w:val="both"/>
        <w:rPr>
          <w:color w:val="000000"/>
          <w:sz w:val="22"/>
          <w:szCs w:val="22"/>
          <w:lang w:val="sr-Latn-ME"/>
        </w:rPr>
      </w:pPr>
      <w:r w:rsidRPr="004500D8">
        <w:rPr>
          <w:sz w:val="22"/>
          <w:szCs w:val="22"/>
          <w:lang w:val="sr-Latn-ME"/>
        </w:rPr>
        <w:t>Nakon su</w:t>
      </w:r>
      <w:r w:rsidR="00B832B7" w:rsidRPr="004500D8">
        <w:rPr>
          <w:sz w:val="22"/>
          <w:szCs w:val="22"/>
          <w:lang w:val="sr-Latn-ME"/>
        </w:rPr>
        <w:t>p</w:t>
      </w:r>
      <w:r w:rsidRPr="004500D8">
        <w:rPr>
          <w:sz w:val="22"/>
          <w:szCs w:val="22"/>
          <w:lang w:val="sr-Latn-ME"/>
        </w:rPr>
        <w:t>kutane primjene jednokratne doze od 40 mg, adalimumab se sporo resorbuje i raspoređuje po tkivima, a maksimalne koncentracije u serumu postižu se približno 5 dana nakon primjene. Prosječna apsolutna bioraspoloživost adalimumaba nakon primjene jednokratne su</w:t>
      </w:r>
      <w:r w:rsidR="00B832B7" w:rsidRPr="004500D8">
        <w:rPr>
          <w:sz w:val="22"/>
          <w:szCs w:val="22"/>
          <w:lang w:val="sr-Latn-ME"/>
        </w:rPr>
        <w:t>p</w:t>
      </w:r>
      <w:r w:rsidRPr="004500D8">
        <w:rPr>
          <w:sz w:val="22"/>
          <w:szCs w:val="22"/>
          <w:lang w:val="sr-Latn-ME"/>
        </w:rPr>
        <w:t>kutane doze od 40 mg u tri ispitivanja bila je 64 %. Nakon pojedinačnih intravenskih doza koje su se kretale od 0,25 do 10 mg/kg, koncentracije su bile proporcionalne dozi. Nakon primjene doza od 0,5 mg/kg ( ~40 mg), klirens adalimumaba je bio u rasponu od 11 do 15 ml/sat, a volumen raspodjele (V</w:t>
      </w:r>
      <w:r w:rsidRPr="004500D8">
        <w:rPr>
          <w:position w:val="-8"/>
          <w:sz w:val="22"/>
          <w:szCs w:val="22"/>
          <w:vertAlign w:val="subscript"/>
          <w:lang w:val="sr-Latn-ME"/>
        </w:rPr>
        <w:t>ss</w:t>
      </w:r>
      <w:r w:rsidRPr="004500D8">
        <w:rPr>
          <w:sz w:val="22"/>
          <w:szCs w:val="22"/>
          <w:lang w:val="sr-Latn-ME"/>
        </w:rPr>
        <w:t>) je iznosio od 5 do 6 litara. Srednje poluvrijeme eliminacije u terminalnoj fazi iznosilo je približno dvije nedjelje. Koncentracije adalimumaba u sinovijalnoj</w:t>
      </w:r>
      <w:r w:rsidRPr="004500D8">
        <w:rPr>
          <w:color w:val="FF0000"/>
          <w:sz w:val="22"/>
          <w:szCs w:val="22"/>
          <w:lang w:val="sr-Latn-ME"/>
        </w:rPr>
        <w:t xml:space="preserve"> </w:t>
      </w:r>
      <w:r w:rsidRPr="004500D8">
        <w:rPr>
          <w:color w:val="000000"/>
          <w:sz w:val="22"/>
          <w:szCs w:val="22"/>
          <w:lang w:val="sr-Latn-ME"/>
        </w:rPr>
        <w:t>tečnosti nekoliko pacijenata sa teškim reumatoidnim artritisom iznosile su 31 % – 96 % koncentracija u serumu.</w:t>
      </w:r>
    </w:p>
    <w:p w14:paraId="0448F416" w14:textId="77777777" w:rsidR="00596C07" w:rsidRPr="004500D8" w:rsidRDefault="00596C07">
      <w:pPr>
        <w:widowControl w:val="0"/>
        <w:autoSpaceDE w:val="0"/>
        <w:autoSpaceDN w:val="0"/>
        <w:adjustRightInd w:val="0"/>
        <w:jc w:val="both"/>
        <w:rPr>
          <w:color w:val="000000"/>
          <w:sz w:val="22"/>
          <w:szCs w:val="22"/>
          <w:lang w:val="sr-Latn-ME"/>
        </w:rPr>
      </w:pPr>
    </w:p>
    <w:p w14:paraId="7DC8AEDB" w14:textId="5A01E46D" w:rsidR="00596C07" w:rsidRPr="004500D8" w:rsidRDefault="00596C07">
      <w:pPr>
        <w:widowControl w:val="0"/>
        <w:autoSpaceDE w:val="0"/>
        <w:autoSpaceDN w:val="0"/>
        <w:adjustRightInd w:val="0"/>
        <w:jc w:val="both"/>
        <w:rPr>
          <w:color w:val="000000"/>
          <w:sz w:val="22"/>
          <w:szCs w:val="22"/>
          <w:lang w:val="sr-Latn-ME"/>
        </w:rPr>
      </w:pPr>
      <w:r w:rsidRPr="004500D8">
        <w:rPr>
          <w:color w:val="000000"/>
          <w:sz w:val="22"/>
          <w:szCs w:val="22"/>
          <w:lang w:val="sr-Latn-ME"/>
        </w:rPr>
        <w:t>Nakon s</w:t>
      </w:r>
      <w:r w:rsidR="00B832B7" w:rsidRPr="004500D8">
        <w:rPr>
          <w:color w:val="000000"/>
          <w:sz w:val="22"/>
          <w:szCs w:val="22"/>
          <w:lang w:val="sr-Latn-ME"/>
        </w:rPr>
        <w:t>up</w:t>
      </w:r>
      <w:r w:rsidRPr="004500D8">
        <w:rPr>
          <w:color w:val="000000"/>
          <w:sz w:val="22"/>
          <w:szCs w:val="22"/>
          <w:lang w:val="sr-Latn-ME"/>
        </w:rPr>
        <w:t xml:space="preserve">kutane primjene adalimumaba u dozi od 40 mg svake dvije nedjelje kod odraslih pacijenata sa reumatoidnim artritisom, srednje vrijednosti najniže koncentracije lijeka u stanju dinamičke ravnoteže bile su približno 5 μg /ml (bez istovremen primjene metotreksata), odnosno 8 do 9 μg/ml (uz metotreksat). Najniže koncentracije adalimumaba u serumu u stanju dinamičke ravnoteže povećavale </w:t>
      </w:r>
      <w:r w:rsidRPr="004500D8">
        <w:rPr>
          <w:color w:val="000000"/>
          <w:sz w:val="22"/>
          <w:szCs w:val="22"/>
          <w:lang w:val="sr-Latn-ME"/>
        </w:rPr>
        <w:lastRenderedPageBreak/>
        <w:t>su se uglavnom srazmjerno dozi nakon subkutane primjene 20, 40 i 80 mg svake dvije nedjelje, odnosno svake nedjelje.</w:t>
      </w:r>
    </w:p>
    <w:p w14:paraId="16E8F09C" w14:textId="77777777" w:rsidR="00596C07" w:rsidRPr="004500D8" w:rsidRDefault="00596C07">
      <w:pPr>
        <w:autoSpaceDE w:val="0"/>
        <w:autoSpaceDN w:val="0"/>
        <w:adjustRightInd w:val="0"/>
        <w:jc w:val="both"/>
        <w:rPr>
          <w:sz w:val="22"/>
          <w:szCs w:val="22"/>
          <w:lang w:val="sr-Latn-ME"/>
        </w:rPr>
      </w:pPr>
      <w:r w:rsidRPr="004500D8">
        <w:rPr>
          <w:sz w:val="22"/>
          <w:szCs w:val="22"/>
          <w:lang w:val="sr-Latn-ME"/>
        </w:rPr>
        <w:t>Kod odraslih pacijenata sa psorijazom, srednja vrijednost minimalne koncentracije u stanju dinamičke ravnoteže bila je 5 μg/ml tokom primjene monoterapije dozom adalimumaba 40 mg svake druge nedjelje.</w:t>
      </w:r>
    </w:p>
    <w:p w14:paraId="01635DA1" w14:textId="77777777" w:rsidR="00596C07" w:rsidRPr="004500D8" w:rsidRDefault="00596C07">
      <w:pPr>
        <w:autoSpaceDE w:val="0"/>
        <w:autoSpaceDN w:val="0"/>
        <w:adjustRightInd w:val="0"/>
        <w:jc w:val="both"/>
        <w:rPr>
          <w:sz w:val="22"/>
          <w:szCs w:val="22"/>
          <w:lang w:val="sr-Latn-ME"/>
        </w:rPr>
      </w:pPr>
    </w:p>
    <w:p w14:paraId="5C0B8B81" w14:textId="78871A14" w:rsidR="00596C07" w:rsidRPr="004500D8" w:rsidRDefault="00596C07">
      <w:pPr>
        <w:autoSpaceDE w:val="0"/>
        <w:autoSpaceDN w:val="0"/>
        <w:adjustRightInd w:val="0"/>
        <w:jc w:val="both"/>
        <w:rPr>
          <w:sz w:val="22"/>
          <w:szCs w:val="22"/>
          <w:lang w:val="sr-Latn-ME"/>
        </w:rPr>
      </w:pPr>
      <w:r w:rsidRPr="004500D8">
        <w:rPr>
          <w:sz w:val="22"/>
          <w:szCs w:val="22"/>
          <w:lang w:val="sr-Latn-ME"/>
        </w:rPr>
        <w:t xml:space="preserve">Nakon primjene lijeka Humira u dozi od 160 mg u </w:t>
      </w:r>
      <w:r w:rsidR="00B832B7" w:rsidRPr="004500D8">
        <w:rPr>
          <w:sz w:val="22"/>
          <w:szCs w:val="22"/>
          <w:lang w:val="sr-Latn-ME"/>
        </w:rPr>
        <w:t>nultoj</w:t>
      </w:r>
      <w:r w:rsidRPr="004500D8">
        <w:rPr>
          <w:sz w:val="22"/>
          <w:szCs w:val="22"/>
          <w:lang w:val="sr-Latn-ME"/>
        </w:rPr>
        <w:t xml:space="preserve"> nedjelji i 80 mg u </w:t>
      </w:r>
      <w:r w:rsidR="00B832B7" w:rsidRPr="004500D8">
        <w:rPr>
          <w:sz w:val="22"/>
          <w:szCs w:val="22"/>
          <w:lang w:val="sr-Latn-ME"/>
        </w:rPr>
        <w:t>drugoj</w:t>
      </w:r>
      <w:r w:rsidRPr="004500D8">
        <w:rPr>
          <w:sz w:val="22"/>
          <w:szCs w:val="22"/>
          <w:lang w:val="sr-Latn-ME"/>
        </w:rPr>
        <w:t xml:space="preserve"> nedjelji kod odraslih pacijenata sa gnojnim hidradenitisom, najniže koncentracije adalimumaba u serumu u 2. i 4. nedjelji iznosile su približno 7 do 8 µg/ml. Kada se adalimumab primjenjivao u dozi od 40 mg svake nedjelje, srednja vrijednost najniže koncentracije u stanju dinamičke ravnoteže od 12. do 36. nedjelje iznosila je približno 8 do 10 µg/ml.</w:t>
      </w:r>
    </w:p>
    <w:p w14:paraId="41F3BF89" w14:textId="77777777" w:rsidR="00596C07" w:rsidRPr="004500D8" w:rsidRDefault="00596C07">
      <w:pPr>
        <w:autoSpaceDE w:val="0"/>
        <w:autoSpaceDN w:val="0"/>
        <w:adjustRightInd w:val="0"/>
        <w:jc w:val="both"/>
        <w:rPr>
          <w:sz w:val="22"/>
          <w:szCs w:val="22"/>
          <w:lang w:val="sr-Latn-ME"/>
        </w:rPr>
      </w:pPr>
    </w:p>
    <w:p w14:paraId="3F07D0BF" w14:textId="77777777" w:rsidR="00596C07" w:rsidRPr="004500D8" w:rsidRDefault="00596C07">
      <w:pPr>
        <w:autoSpaceDE w:val="0"/>
        <w:autoSpaceDN w:val="0"/>
        <w:adjustRightInd w:val="0"/>
        <w:jc w:val="both"/>
        <w:rPr>
          <w:sz w:val="22"/>
          <w:szCs w:val="22"/>
          <w:lang w:val="sr-Latn-ME"/>
        </w:rPr>
      </w:pPr>
      <w:r w:rsidRPr="004500D8">
        <w:rPr>
          <w:sz w:val="22"/>
          <w:szCs w:val="22"/>
          <w:lang w:val="sr-Latn-ME"/>
        </w:rPr>
        <w:t>Izloženost adalimumabu kod adolescentnih pacijenata sa gnojnim hidradenitisom predviđena je uz pomoć farmakokinetičkog modeliranja i simulacije na osnovu farmakokinetike u ostalim indikacijama kod drugih pedijatrijskih pacijenata (psorijaza kod djece, juvenilni idiopatski artritis, Crohn-ova bolest kod djece i artritis povezan sa entezitisom). Preporučeni režim doziranja za adolescente sa gnojnim hidradenitisom je 40 mg svake druge nedjelje. Budući da veličina tijela može uticati na izloženost adalimumabu, adolescenti sa većom tjelesnom težinom kod kojih nije postignut zadovoljavajući odgovor mogli bi imati koristi od primjene preporučene doze za odrasle od 40 mg svake nedjelje.</w:t>
      </w:r>
    </w:p>
    <w:p w14:paraId="29E01165" w14:textId="77777777" w:rsidR="00596C07" w:rsidRPr="004500D8" w:rsidRDefault="00596C07">
      <w:pPr>
        <w:autoSpaceDE w:val="0"/>
        <w:autoSpaceDN w:val="0"/>
        <w:adjustRightInd w:val="0"/>
        <w:jc w:val="both"/>
        <w:rPr>
          <w:sz w:val="22"/>
          <w:szCs w:val="22"/>
          <w:lang w:val="sr-Latn-ME"/>
        </w:rPr>
      </w:pPr>
    </w:p>
    <w:p w14:paraId="140819A6" w14:textId="77777777" w:rsidR="00596C07" w:rsidRPr="004500D8" w:rsidRDefault="00596C07">
      <w:pPr>
        <w:autoSpaceDE w:val="0"/>
        <w:autoSpaceDN w:val="0"/>
        <w:adjustRightInd w:val="0"/>
        <w:jc w:val="both"/>
        <w:rPr>
          <w:sz w:val="22"/>
          <w:szCs w:val="22"/>
          <w:lang w:val="sr-Latn-ME"/>
        </w:rPr>
      </w:pPr>
      <w:r w:rsidRPr="004500D8">
        <w:rPr>
          <w:sz w:val="22"/>
          <w:szCs w:val="22"/>
          <w:lang w:val="sr-Latn-ME"/>
        </w:rPr>
        <w:t>Tokom perioda indukcije kod pacijenata sa Crohn-ovom bolešću nakon početne doze od 80 mg nulte nedjelje i druge doze od 40 mg nakon dvije nedjelje postignute su najniže serumske koncentracije adalimumaba oko 5,5 μg/ml. Tokom perioda indukcije, ukoliko je doza u nultoj nedjelji bila 160 mg, iza čega je u drugoj nedjelji uslijedila doza od 80 mg lijeka Humira, postižu se serumske koncentracije adalimumaba oko 12 μg/ml. Kod pacijenata sa Crohn-ovom bolešću koji su primali dozu održavanja od 40 mg lijeka Humira svake druge nedjelje, srednja vrijednost najnižih koncentracija u stanju dinamičke ravnoteže iznosila je približno oko 7 μg/ml.</w:t>
      </w:r>
    </w:p>
    <w:p w14:paraId="15CCB380" w14:textId="77777777" w:rsidR="00596C07" w:rsidRPr="004500D8" w:rsidRDefault="00596C07">
      <w:pPr>
        <w:autoSpaceDE w:val="0"/>
        <w:autoSpaceDN w:val="0"/>
        <w:adjustRightInd w:val="0"/>
        <w:jc w:val="both"/>
        <w:rPr>
          <w:sz w:val="22"/>
          <w:szCs w:val="22"/>
          <w:lang w:val="sr-Latn-ME"/>
        </w:rPr>
      </w:pPr>
    </w:p>
    <w:p w14:paraId="690EDFD5" w14:textId="77777777" w:rsidR="00596C07" w:rsidRPr="004500D8" w:rsidRDefault="00596C07">
      <w:pPr>
        <w:autoSpaceDE w:val="0"/>
        <w:autoSpaceDN w:val="0"/>
        <w:adjustRightInd w:val="0"/>
        <w:jc w:val="both"/>
        <w:rPr>
          <w:sz w:val="22"/>
          <w:szCs w:val="22"/>
          <w:lang w:val="sr-Latn-ME"/>
        </w:rPr>
      </w:pPr>
      <w:r w:rsidRPr="004500D8">
        <w:rPr>
          <w:sz w:val="22"/>
          <w:szCs w:val="22"/>
          <w:lang w:val="sr-Latn-ME"/>
        </w:rPr>
        <w:t>Kod pedijatrijskih pacijenata sa umjerenim do teškim oblikom Crohn-ove bolesti, indukciona doza u otvorenoj studiji bila je 160/80 mg ili 80/40 mg u nultoj nedjelji i drugoj nedjelji, u zavisnosti od tjelesne težine (granična vrijednost od 40 kg). Nakon 4 nedjelje, pacijenti su randomizovani 1:1, da bi primali ili standardnu dozu održavanja (40/20 mg svake druge nedjelje) ili nisku dozu (20/10 mg svake druge nedjelje), na osnovu tjelesne mase, kao terapiju održavanja. Srednja vrijednost najnižih (±SD) koncentracija adalimumaba u serumu nakon 4 nedjelje bila je 15,7 ± 6,6 µg/ml kod ispitanika sa tjelesnom težinom ≥40 kg (160/80 mg), i 10,6±6,1 µg/ml kod ispitanika sa tjelesnom masom &lt;40 kg (80/40 mg).</w:t>
      </w:r>
    </w:p>
    <w:p w14:paraId="7AADE044" w14:textId="77777777" w:rsidR="00596C07" w:rsidRPr="004500D8" w:rsidRDefault="00596C07">
      <w:pPr>
        <w:autoSpaceDE w:val="0"/>
        <w:autoSpaceDN w:val="0"/>
        <w:adjustRightInd w:val="0"/>
        <w:jc w:val="both"/>
        <w:rPr>
          <w:sz w:val="22"/>
          <w:szCs w:val="22"/>
          <w:lang w:val="sr-Latn-ME"/>
        </w:rPr>
      </w:pPr>
    </w:p>
    <w:p w14:paraId="7B819480" w14:textId="77777777" w:rsidR="00596C07" w:rsidRPr="004500D8" w:rsidRDefault="00596C07">
      <w:pPr>
        <w:autoSpaceDE w:val="0"/>
        <w:autoSpaceDN w:val="0"/>
        <w:adjustRightInd w:val="0"/>
        <w:jc w:val="both"/>
        <w:rPr>
          <w:sz w:val="22"/>
          <w:szCs w:val="22"/>
          <w:lang w:val="sr-Latn-ME"/>
        </w:rPr>
      </w:pPr>
      <w:r w:rsidRPr="004500D8">
        <w:rPr>
          <w:sz w:val="22"/>
          <w:szCs w:val="22"/>
          <w:lang w:val="sr-Latn-ME"/>
        </w:rPr>
        <w:t>Kod ispitanika koji su ostali na svojoj randomizovanoj terapiji, prosječne koncentracije adalimumaba u serumu nakon 52 nedjelje bile su 9,5 ± 5,6 µg/ml u grupi koja je primala standardnu dozu, i 3,5 ± 2,2 µg/ml u grupi koja je primala nisku dozu. Prosječne koncentracije su održane kod pacijenata koji su nastavili da primaju adalimumab terapiju svake druge nedjelje tokom 52 nedjelje. Kod ispitanika kod kojih je doza povećana sa svake dvije nedjelje na svaku nedjelju, prosječna koncentracija adalimumaba u serumu nakon 52 nedjelje bila je 15,3 ± 11,4 µg/ml (40/20 mg nedjeljno) i 6,7 ± 3,5 µg/ml (20/10 mg nedjeljno).</w:t>
      </w:r>
    </w:p>
    <w:p w14:paraId="352ADFD2" w14:textId="77777777" w:rsidR="00596C07" w:rsidRPr="004500D8" w:rsidRDefault="00596C07">
      <w:pPr>
        <w:autoSpaceDE w:val="0"/>
        <w:autoSpaceDN w:val="0"/>
        <w:adjustRightInd w:val="0"/>
        <w:jc w:val="both"/>
        <w:rPr>
          <w:sz w:val="22"/>
          <w:szCs w:val="22"/>
          <w:lang w:val="sr-Latn-ME"/>
        </w:rPr>
      </w:pPr>
    </w:p>
    <w:p w14:paraId="48D955BA" w14:textId="77777777" w:rsidR="00596C07" w:rsidRPr="004500D8" w:rsidRDefault="00596C07">
      <w:pPr>
        <w:autoSpaceDE w:val="0"/>
        <w:autoSpaceDN w:val="0"/>
        <w:adjustRightInd w:val="0"/>
        <w:jc w:val="both"/>
        <w:rPr>
          <w:sz w:val="22"/>
          <w:szCs w:val="22"/>
          <w:lang w:val="sr-Latn-ME"/>
        </w:rPr>
      </w:pPr>
      <w:r w:rsidRPr="004500D8">
        <w:rPr>
          <w:sz w:val="22"/>
          <w:szCs w:val="22"/>
          <w:lang w:val="sr-Latn-ME"/>
        </w:rPr>
        <w:t xml:space="preserve">Tokom perioda indukcije kod pacijenata sa ulceroznim kolitisom, nakon početne doze od 160 mg lijeka Humira u nultoj nedjelji i druge doze od 80 mg lijeka Humira u 2. nedjelji, postignute su najniže serumske koncentracije adalimumaba od oko 12 μg/ml. Kod pacijenata sa ulcerativnim kolitisom koji su primali terapiju održavanja dozom lijeka Humira od 40 mg svake druge nedjelje, srednja vrijednost najniže koncentracije adalimumaba u serumu u stanju dinamičke ravnoteže je oko 8 μg/ml. </w:t>
      </w:r>
    </w:p>
    <w:p w14:paraId="54BAA3A0" w14:textId="77777777" w:rsidR="00596C07" w:rsidRPr="004500D8" w:rsidRDefault="00596C07">
      <w:pPr>
        <w:autoSpaceDE w:val="0"/>
        <w:autoSpaceDN w:val="0"/>
        <w:adjustRightInd w:val="0"/>
        <w:jc w:val="both"/>
        <w:rPr>
          <w:sz w:val="22"/>
          <w:szCs w:val="22"/>
          <w:lang w:val="sr-Latn-ME"/>
        </w:rPr>
      </w:pPr>
    </w:p>
    <w:p w14:paraId="17240FE9" w14:textId="77777777" w:rsidR="00596C07" w:rsidRPr="003B242C" w:rsidRDefault="00596C07">
      <w:pPr>
        <w:tabs>
          <w:tab w:val="left" w:pos="0"/>
        </w:tabs>
        <w:autoSpaceDE w:val="0"/>
        <w:spacing w:after="160"/>
        <w:jc w:val="both"/>
        <w:rPr>
          <w:sz w:val="22"/>
          <w:szCs w:val="22"/>
          <w:lang w:val="sr-Latn-ME" w:eastAsia="bs-Latn-BA"/>
        </w:rPr>
      </w:pPr>
      <w:r w:rsidRPr="003B242C">
        <w:rPr>
          <w:sz w:val="22"/>
          <w:szCs w:val="22"/>
          <w:lang w:val="sr-Latn-ME" w:eastAsia="bs-Latn-BA"/>
        </w:rPr>
        <w:t>Nakon supkutane primjene doze određene na osnovu tjelesne težine od 0,6 mg/kg (maksimalno 40 mg) svake druge sedmicekod pedijatrijskih bolesnika s ulceroznim kolitisom, srednja vrijednost najniže koncentracije adalimumaba u serumu u stanju dinamičke ravnoteže bila je 5,01 ± 3,28 µg/ml u Sedmici 52. Za bolesnike koji su primali 0,6 mg/kg (maksimalno 40 mg) svake sedmice, srednja vrijednost (± SD) najniže koncentracije adalimumaba u serumu u stanju dinamičke ravnoteže bila je 15,7 ± 5,60 μg/ml u Sedmici 52.</w:t>
      </w:r>
    </w:p>
    <w:p w14:paraId="5D832EDE" w14:textId="77777777" w:rsidR="00596C07" w:rsidRPr="004500D8" w:rsidRDefault="00596C07">
      <w:pPr>
        <w:autoSpaceDE w:val="0"/>
        <w:autoSpaceDN w:val="0"/>
        <w:adjustRightInd w:val="0"/>
        <w:jc w:val="both"/>
        <w:rPr>
          <w:sz w:val="22"/>
          <w:szCs w:val="22"/>
          <w:lang w:val="sr-Latn-ME"/>
        </w:rPr>
      </w:pPr>
    </w:p>
    <w:p w14:paraId="0CA9D098" w14:textId="77777777" w:rsidR="00596C07" w:rsidRPr="004500D8" w:rsidRDefault="00596C07">
      <w:pPr>
        <w:autoSpaceDE w:val="0"/>
        <w:autoSpaceDN w:val="0"/>
        <w:adjustRightInd w:val="0"/>
        <w:jc w:val="both"/>
        <w:rPr>
          <w:sz w:val="22"/>
          <w:szCs w:val="22"/>
          <w:lang w:val="sr-Latn-ME"/>
        </w:rPr>
      </w:pPr>
      <w:r w:rsidRPr="004500D8">
        <w:rPr>
          <w:sz w:val="22"/>
          <w:szCs w:val="22"/>
          <w:lang w:val="sr-Latn-ME"/>
        </w:rPr>
        <w:t>Kod odraslih pacijenata sa uveitisom, udarna doza adalimumaba od 80 mg u nultoj nedjelji nakon čega sljedi 40 mg svake druge nedjelje, počevši od 1. nedjelje, dovela je do srednje vrijednosti koncentracija u stanju dinamičke ravnoteže od približno 8 – 10 µg/ml.</w:t>
      </w:r>
      <w:r w:rsidRPr="004500D8">
        <w:rPr>
          <w:sz w:val="22"/>
          <w:szCs w:val="22"/>
          <w:lang w:val="sr-Latn-ME"/>
        </w:rPr>
        <w:cr/>
      </w:r>
    </w:p>
    <w:p w14:paraId="69B417CE" w14:textId="77777777" w:rsidR="00596C07" w:rsidRPr="004500D8" w:rsidRDefault="00596C07">
      <w:pPr>
        <w:autoSpaceDE w:val="0"/>
        <w:autoSpaceDN w:val="0"/>
        <w:adjustRightInd w:val="0"/>
        <w:jc w:val="both"/>
        <w:rPr>
          <w:sz w:val="22"/>
          <w:szCs w:val="22"/>
          <w:lang w:val="sr-Latn-ME"/>
        </w:rPr>
      </w:pPr>
      <w:r w:rsidRPr="004500D8">
        <w:rPr>
          <w:sz w:val="22"/>
          <w:szCs w:val="22"/>
          <w:lang w:val="sr-Latn-ME"/>
        </w:rPr>
        <w:t>Izloženost adalimumabu kod pedijatrijskih pacijenata sa uveitisom predviđena je uz pomoć farmakokinetičkog modeliranja i simulacije na osnovu farmakokinetike kod ostalih pedijatrijskih pacijenata (psorijaza kod djece, juvenilni idiopatski artritis, Crohn-ova bolest kod djece i artritis povezan s entezitisom). Nisu dostupni klinički podaci kod primjene početne doze lijeka Humira kod djece u uzrastu &lt; 6 godina. Predviđena izloženost ukazuje na to da, u odsustvu metotreksata, početna doza može da dovede do inicijalnog povećanja sistematske izloženosti.</w:t>
      </w:r>
    </w:p>
    <w:p w14:paraId="3D0229B4" w14:textId="77777777" w:rsidR="00596C07" w:rsidRPr="004500D8" w:rsidRDefault="00596C07">
      <w:pPr>
        <w:autoSpaceDE w:val="0"/>
        <w:autoSpaceDN w:val="0"/>
        <w:adjustRightInd w:val="0"/>
        <w:jc w:val="both"/>
        <w:rPr>
          <w:sz w:val="22"/>
          <w:szCs w:val="22"/>
          <w:lang w:val="sr-Latn-ME"/>
        </w:rPr>
      </w:pPr>
    </w:p>
    <w:p w14:paraId="1706BF80" w14:textId="77777777" w:rsidR="00596C07" w:rsidRPr="004500D8" w:rsidRDefault="00596C07">
      <w:pPr>
        <w:autoSpaceDE w:val="0"/>
        <w:autoSpaceDN w:val="0"/>
        <w:adjustRightInd w:val="0"/>
        <w:jc w:val="both"/>
        <w:rPr>
          <w:sz w:val="22"/>
          <w:szCs w:val="22"/>
          <w:lang w:val="sr-Latn-ME"/>
        </w:rPr>
      </w:pPr>
      <w:r w:rsidRPr="004500D8">
        <w:rPr>
          <w:sz w:val="22"/>
          <w:szCs w:val="22"/>
          <w:lang w:val="sr-Latn-ME"/>
        </w:rPr>
        <w:t>Populacijskim farmakokinetičkim i farmakokinetičkim/farmakodinamičkim modeliranjem i simulacijom predviđeno je poređenje izloženosti adalimumabu i efikasnost adalimumaba kod pacijenata liječenih dozom od  80 mg svake druge nedjelje, i kod onih liječenih dozom od  40 mg svake nedjelje (uključujući odrasle pacijente sa reumatoidnim artritisom, gnojnim hidradenitisom, ulceroznim kolitisom, Crohn-ovom bolešću ili psorijazom, pacijente sa adolescentnim gnojnim hidradenitisom, i pedijatrijske pacijente tjelesne težine ≥ 40 kg sa Crohn-ovom bolešću).</w:t>
      </w:r>
    </w:p>
    <w:p w14:paraId="78ED548F" w14:textId="77777777" w:rsidR="00596C07" w:rsidRPr="004500D8" w:rsidRDefault="00596C07">
      <w:pPr>
        <w:autoSpaceDE w:val="0"/>
        <w:autoSpaceDN w:val="0"/>
        <w:adjustRightInd w:val="0"/>
        <w:jc w:val="both"/>
        <w:rPr>
          <w:sz w:val="22"/>
          <w:szCs w:val="22"/>
          <w:lang w:val="sr-Latn-ME"/>
        </w:rPr>
      </w:pPr>
    </w:p>
    <w:p w14:paraId="43D1E198" w14:textId="77777777" w:rsidR="00596C07" w:rsidRPr="004500D8" w:rsidRDefault="00596C07">
      <w:pPr>
        <w:widowControl w:val="0"/>
        <w:autoSpaceDE w:val="0"/>
        <w:autoSpaceDN w:val="0"/>
        <w:adjustRightInd w:val="0"/>
        <w:jc w:val="both"/>
        <w:rPr>
          <w:color w:val="000000"/>
          <w:sz w:val="22"/>
          <w:szCs w:val="22"/>
          <w:u w:val="single"/>
          <w:lang w:val="sr-Latn-ME"/>
        </w:rPr>
      </w:pPr>
      <w:r w:rsidRPr="004500D8">
        <w:rPr>
          <w:color w:val="000000"/>
          <w:sz w:val="22"/>
          <w:szCs w:val="22"/>
          <w:u w:val="single"/>
          <w:lang w:val="sr-Latn-ME"/>
        </w:rPr>
        <w:t>Veza između izloženosti i odgovora na liječenje kod pedijatrijske populacije</w:t>
      </w:r>
    </w:p>
    <w:p w14:paraId="65C85092" w14:textId="77777777" w:rsidR="00596C07" w:rsidRPr="004500D8" w:rsidRDefault="00596C07">
      <w:pPr>
        <w:widowControl w:val="0"/>
        <w:autoSpaceDE w:val="0"/>
        <w:autoSpaceDN w:val="0"/>
        <w:adjustRightInd w:val="0"/>
        <w:jc w:val="both"/>
        <w:rPr>
          <w:color w:val="000000"/>
          <w:sz w:val="22"/>
          <w:szCs w:val="22"/>
          <w:lang w:val="sr-Latn-ME"/>
        </w:rPr>
      </w:pPr>
    </w:p>
    <w:p w14:paraId="50C7CE66" w14:textId="77777777" w:rsidR="00596C07" w:rsidRPr="004500D8" w:rsidRDefault="00596C07">
      <w:pPr>
        <w:widowControl w:val="0"/>
        <w:autoSpaceDE w:val="0"/>
        <w:autoSpaceDN w:val="0"/>
        <w:adjustRightInd w:val="0"/>
        <w:jc w:val="both"/>
        <w:rPr>
          <w:color w:val="000000"/>
          <w:sz w:val="22"/>
          <w:szCs w:val="22"/>
          <w:lang w:val="sr-Latn-ME"/>
        </w:rPr>
      </w:pPr>
      <w:r w:rsidRPr="004500D8">
        <w:rPr>
          <w:color w:val="000000"/>
          <w:sz w:val="22"/>
          <w:szCs w:val="22"/>
          <w:lang w:val="sr-Latn-ME"/>
        </w:rPr>
        <w:t>Na osnovu podataka iz kliničkih ispitivanja kod pacijenata sa juvenilnim idiopatskim artritisom (poliartikularnim juvenilnim idiopatskim artritisom i artritisom povezanim s entezitisom), utvrđena je veza između plazmatskih koncentracija i odgovora PedACR 50. Prividna plazmatska koncentracija adalimumaba uz koju se postiže pola od maksimalne vjerovatnoće za odgovor PedACR 50 (EC50) bila je 3 μg/ml (95% CI: 1-6 μg/ml).</w:t>
      </w:r>
    </w:p>
    <w:p w14:paraId="1C460556" w14:textId="77777777" w:rsidR="00596C07" w:rsidRPr="004500D8" w:rsidRDefault="00596C07">
      <w:pPr>
        <w:widowControl w:val="0"/>
        <w:autoSpaceDE w:val="0"/>
        <w:autoSpaceDN w:val="0"/>
        <w:adjustRightInd w:val="0"/>
        <w:jc w:val="both"/>
        <w:rPr>
          <w:color w:val="000000"/>
          <w:sz w:val="22"/>
          <w:szCs w:val="22"/>
          <w:lang w:val="sr-Latn-ME"/>
        </w:rPr>
      </w:pPr>
    </w:p>
    <w:p w14:paraId="45476565" w14:textId="77777777" w:rsidR="00596C07" w:rsidRPr="004500D8" w:rsidRDefault="00596C07">
      <w:pPr>
        <w:autoSpaceDE w:val="0"/>
        <w:autoSpaceDN w:val="0"/>
        <w:adjustRightInd w:val="0"/>
        <w:jc w:val="both"/>
        <w:rPr>
          <w:sz w:val="22"/>
          <w:szCs w:val="22"/>
          <w:lang w:val="sr-Latn-ME"/>
        </w:rPr>
      </w:pPr>
      <w:r w:rsidRPr="004500D8">
        <w:rPr>
          <w:sz w:val="22"/>
          <w:szCs w:val="22"/>
          <w:lang w:val="sr-Latn-ME"/>
        </w:rPr>
        <w:t>Veza između izloženosti i odgovora na liječenje, odnosno između koncentracije adalimumaba i njegove efikasnosti kod pedijatrijskih pacijenata sa teškom hroničnom plak psorijazom utvrđena je za odgovor PASI 75 i PGA rezultat 'bez bolesti' ili 'minimalno'. Sa povećanjem koncentracija adalimumaba povećavale su se i stope odgovora PASI 75 i PGA rezultata 'bez bolesti' ili 'minimalno', u oba slučaja uz sličan prividan EC50 od približno 4,5 μg/ml (95% CI: 0,4-47,6 odnosno 1,9-10,5).</w:t>
      </w:r>
    </w:p>
    <w:p w14:paraId="5F09B386" w14:textId="77777777" w:rsidR="00596C07" w:rsidRPr="004500D8" w:rsidRDefault="00596C07">
      <w:pPr>
        <w:autoSpaceDE w:val="0"/>
        <w:autoSpaceDN w:val="0"/>
        <w:adjustRightInd w:val="0"/>
        <w:jc w:val="both"/>
        <w:rPr>
          <w:sz w:val="22"/>
          <w:szCs w:val="22"/>
          <w:lang w:val="sr-Latn-ME"/>
        </w:rPr>
      </w:pPr>
    </w:p>
    <w:p w14:paraId="123901BC" w14:textId="77777777" w:rsidR="00596C07" w:rsidRPr="004500D8" w:rsidRDefault="00596C07">
      <w:pPr>
        <w:widowControl w:val="0"/>
        <w:autoSpaceDE w:val="0"/>
        <w:autoSpaceDN w:val="0"/>
        <w:adjustRightInd w:val="0"/>
        <w:jc w:val="both"/>
        <w:rPr>
          <w:color w:val="000000"/>
          <w:sz w:val="22"/>
          <w:szCs w:val="22"/>
          <w:u w:val="single"/>
          <w:lang w:val="sr-Latn-ME"/>
        </w:rPr>
      </w:pPr>
      <w:r w:rsidRPr="004500D8">
        <w:rPr>
          <w:color w:val="000000"/>
          <w:sz w:val="22"/>
          <w:szCs w:val="22"/>
          <w:u w:val="single"/>
          <w:lang w:val="sr-Latn-ME"/>
        </w:rPr>
        <w:t>Eliminacija</w:t>
      </w:r>
    </w:p>
    <w:p w14:paraId="30044BE9" w14:textId="77777777" w:rsidR="00596C07" w:rsidRPr="004500D8" w:rsidRDefault="00596C07">
      <w:pPr>
        <w:widowControl w:val="0"/>
        <w:autoSpaceDE w:val="0"/>
        <w:autoSpaceDN w:val="0"/>
        <w:adjustRightInd w:val="0"/>
        <w:jc w:val="both"/>
        <w:rPr>
          <w:color w:val="000000"/>
          <w:sz w:val="22"/>
          <w:szCs w:val="22"/>
          <w:lang w:val="sr-Latn-ME"/>
        </w:rPr>
      </w:pPr>
    </w:p>
    <w:p w14:paraId="2FE0EF7B" w14:textId="77777777" w:rsidR="00596C07" w:rsidRPr="004500D8" w:rsidRDefault="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Populacijske farmakokinetičke analize na osnovu podataka dobijenih kod više od 1300 pacijenata s reumatoidnim artritisom pokazale su tendenciju da se prividni klirens adalimumaba povećava s pacijentovom tjelesnom težinom. Nakon što se uzmu u obzir razlike u tjelesnoj težini, činilo se da pol i starost nemaju znatnijeg uticaja na klirens adalimumaba. Primijećeno je da su vrijednosti slobodnog adalimumaba u serumu (onoga koji nije vezan za antitijela na adalimumab) niže kod pacijenata s mjerljivim nivoima antitijela na adalimumab. </w:t>
      </w:r>
    </w:p>
    <w:p w14:paraId="6350003F" w14:textId="77777777" w:rsidR="00596C07" w:rsidRPr="004500D8" w:rsidRDefault="00596C07" w:rsidP="003B242C">
      <w:pPr>
        <w:tabs>
          <w:tab w:val="left" w:pos="540"/>
          <w:tab w:val="left" w:pos="569"/>
        </w:tabs>
        <w:jc w:val="both"/>
        <w:rPr>
          <w:bCs/>
          <w:sz w:val="22"/>
          <w:szCs w:val="22"/>
          <w:lang w:val="sr-Latn-ME"/>
        </w:rPr>
      </w:pPr>
    </w:p>
    <w:p w14:paraId="0F26646E" w14:textId="77777777" w:rsidR="00596C07" w:rsidRPr="004500D8" w:rsidRDefault="00596C07" w:rsidP="003B242C">
      <w:pPr>
        <w:tabs>
          <w:tab w:val="left" w:pos="540"/>
          <w:tab w:val="left" w:pos="569"/>
        </w:tabs>
        <w:jc w:val="both"/>
        <w:rPr>
          <w:bCs/>
          <w:sz w:val="22"/>
          <w:szCs w:val="22"/>
          <w:u w:val="single"/>
          <w:lang w:val="sr-Latn-ME"/>
        </w:rPr>
      </w:pPr>
      <w:r w:rsidRPr="004500D8">
        <w:rPr>
          <w:bCs/>
          <w:sz w:val="22"/>
          <w:szCs w:val="22"/>
          <w:u w:val="single"/>
          <w:lang w:val="sr-Latn-ME"/>
        </w:rPr>
        <w:t>Oštećenje jetre ili bubrega</w:t>
      </w:r>
    </w:p>
    <w:p w14:paraId="4EE786E2" w14:textId="77777777" w:rsidR="00596C07" w:rsidRPr="004500D8" w:rsidRDefault="00596C07" w:rsidP="003B242C">
      <w:pPr>
        <w:tabs>
          <w:tab w:val="left" w:pos="540"/>
          <w:tab w:val="left" w:pos="569"/>
        </w:tabs>
        <w:jc w:val="both"/>
        <w:rPr>
          <w:bCs/>
          <w:sz w:val="22"/>
          <w:szCs w:val="22"/>
          <w:u w:val="single"/>
          <w:lang w:val="sr-Latn-ME"/>
        </w:rPr>
      </w:pPr>
    </w:p>
    <w:p w14:paraId="232E6B6A" w14:textId="77777777" w:rsidR="00596C07" w:rsidRPr="004500D8" w:rsidRDefault="00596C07" w:rsidP="003B242C">
      <w:pPr>
        <w:tabs>
          <w:tab w:val="left" w:pos="540"/>
          <w:tab w:val="left" w:pos="569"/>
        </w:tabs>
        <w:jc w:val="both"/>
        <w:rPr>
          <w:b/>
          <w:bCs/>
          <w:sz w:val="22"/>
          <w:szCs w:val="22"/>
          <w:lang w:val="sr-Latn-ME"/>
        </w:rPr>
      </w:pPr>
      <w:r w:rsidRPr="004500D8">
        <w:rPr>
          <w:bCs/>
          <w:sz w:val="22"/>
          <w:szCs w:val="22"/>
          <w:lang w:val="sr-Latn-ME"/>
        </w:rPr>
        <w:t>Lijek Humira nije ispitivan kod pacijenata sa oštećenom funkcijom bubrega ili jetre.</w:t>
      </w:r>
    </w:p>
    <w:p w14:paraId="46DB76C8" w14:textId="77777777" w:rsidR="00596C07" w:rsidRPr="004500D8" w:rsidRDefault="00596C07" w:rsidP="00596C07">
      <w:pPr>
        <w:tabs>
          <w:tab w:val="left" w:pos="540"/>
          <w:tab w:val="left" w:pos="569"/>
        </w:tabs>
        <w:rPr>
          <w:b/>
          <w:bCs/>
          <w:sz w:val="22"/>
          <w:szCs w:val="22"/>
          <w:lang w:val="sr-Latn-ME"/>
        </w:rPr>
      </w:pPr>
    </w:p>
    <w:p w14:paraId="6C68B61D"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 xml:space="preserve">5.3. </w:t>
      </w:r>
      <w:r w:rsidRPr="004500D8">
        <w:rPr>
          <w:b/>
          <w:bCs/>
          <w:sz w:val="22"/>
          <w:szCs w:val="22"/>
          <w:lang w:val="sr-Latn-ME"/>
        </w:rPr>
        <w:tab/>
        <w:t xml:space="preserve">Pretklinički podaci o bezbjednosti </w:t>
      </w:r>
    </w:p>
    <w:p w14:paraId="081F601D" w14:textId="77777777" w:rsidR="00596C07" w:rsidRPr="004500D8" w:rsidRDefault="00596C07" w:rsidP="00596C07">
      <w:pPr>
        <w:tabs>
          <w:tab w:val="left" w:pos="540"/>
          <w:tab w:val="left" w:pos="569"/>
        </w:tabs>
        <w:rPr>
          <w:bCs/>
          <w:sz w:val="22"/>
          <w:szCs w:val="22"/>
          <w:lang w:val="sr-Latn-ME"/>
        </w:rPr>
      </w:pPr>
    </w:p>
    <w:p w14:paraId="36B6E977"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Pretklinički podaci ne ukazuju na poseban rizik za ljude na osnovu ispitivanja toksičnosti pojedinačne doze, toksičnosti ponovljenih doza i genotoksičnosti.</w:t>
      </w:r>
    </w:p>
    <w:p w14:paraId="22274529" w14:textId="77777777" w:rsidR="00596C07" w:rsidRPr="004500D8" w:rsidRDefault="00596C07" w:rsidP="00596C07">
      <w:pPr>
        <w:widowControl w:val="0"/>
        <w:autoSpaceDE w:val="0"/>
        <w:autoSpaceDN w:val="0"/>
        <w:adjustRightInd w:val="0"/>
        <w:jc w:val="both"/>
        <w:rPr>
          <w:color w:val="000000"/>
          <w:sz w:val="22"/>
          <w:szCs w:val="22"/>
          <w:lang w:val="sr-Latn-ME"/>
        </w:rPr>
      </w:pPr>
    </w:p>
    <w:p w14:paraId="4D23979A" w14:textId="140E315D" w:rsidR="00596C07" w:rsidRPr="004500D8" w:rsidRDefault="00596C07" w:rsidP="003B242C">
      <w:pPr>
        <w:widowControl w:val="0"/>
        <w:autoSpaceDE w:val="0"/>
        <w:autoSpaceDN w:val="0"/>
        <w:adjustRightInd w:val="0"/>
        <w:jc w:val="both"/>
        <w:rPr>
          <w:b/>
          <w:bCs/>
          <w:sz w:val="22"/>
          <w:szCs w:val="22"/>
          <w:lang w:val="sr-Latn-ME"/>
        </w:rPr>
      </w:pPr>
      <w:r w:rsidRPr="004500D8">
        <w:rPr>
          <w:color w:val="000000"/>
          <w:sz w:val="22"/>
          <w:szCs w:val="22"/>
          <w:lang w:val="sr-Latn-ME"/>
        </w:rPr>
        <w:t>Ispitivanje embriofetalne i perinatalne razvojne toksičnosti sprovedeno na makaki majmunima pri dozama od 0,30 i 100 mg/kg (9 – 17 majmuna po grupi) nije pokazalo znakove oštećenja fetusa usljed primjene adalimumaba. Ispitivanja kancerogenosti te standardna procjena toksičnosti za plodnost i postnatalne toksičnosti nisu sprovedena s adalimumabom zbog nepostojanja odgovarajućih modela za antitijela s ograničenom unakrsnom reaktivnošću s TNF-om glodara, i stvaranja neutrališućih antitijela kod glodara.</w:t>
      </w:r>
    </w:p>
    <w:p w14:paraId="697BC4F6"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lastRenderedPageBreak/>
        <w:t xml:space="preserve">6. </w:t>
      </w:r>
      <w:r w:rsidRPr="004500D8">
        <w:rPr>
          <w:b/>
          <w:bCs/>
          <w:sz w:val="22"/>
          <w:szCs w:val="22"/>
          <w:lang w:val="sr-Latn-ME"/>
        </w:rPr>
        <w:tab/>
        <w:t>FARMACEUTSKI PODACI</w:t>
      </w:r>
    </w:p>
    <w:p w14:paraId="4C3FFF49" w14:textId="77777777" w:rsidR="00596C07" w:rsidRPr="004500D8" w:rsidRDefault="00596C07" w:rsidP="00596C07">
      <w:pPr>
        <w:tabs>
          <w:tab w:val="left" w:pos="540"/>
          <w:tab w:val="left" w:pos="569"/>
        </w:tabs>
        <w:rPr>
          <w:bCs/>
          <w:sz w:val="22"/>
          <w:szCs w:val="22"/>
          <w:lang w:val="sr-Latn-ME"/>
        </w:rPr>
      </w:pPr>
    </w:p>
    <w:p w14:paraId="4E317F44"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 xml:space="preserve">6.1. </w:t>
      </w:r>
      <w:r w:rsidRPr="004500D8">
        <w:rPr>
          <w:b/>
          <w:bCs/>
          <w:sz w:val="22"/>
          <w:szCs w:val="22"/>
          <w:lang w:val="sr-Latn-ME"/>
        </w:rPr>
        <w:tab/>
        <w:t>Lista pomoćnih supstanci</w:t>
      </w:r>
    </w:p>
    <w:p w14:paraId="5BEC352F" w14:textId="77777777" w:rsidR="00596C07" w:rsidRPr="004500D8" w:rsidRDefault="00596C07" w:rsidP="00596C07">
      <w:pPr>
        <w:tabs>
          <w:tab w:val="left" w:pos="540"/>
          <w:tab w:val="left" w:pos="569"/>
        </w:tabs>
        <w:rPr>
          <w:bCs/>
          <w:sz w:val="22"/>
          <w:szCs w:val="22"/>
          <w:lang w:val="sr-Latn-ME"/>
        </w:rPr>
      </w:pPr>
    </w:p>
    <w:p w14:paraId="0FC131FB" w14:textId="77777777" w:rsidR="00596C07" w:rsidRPr="004500D8" w:rsidRDefault="00596C07" w:rsidP="00596C07">
      <w:pPr>
        <w:tabs>
          <w:tab w:val="left" w:pos="540"/>
          <w:tab w:val="left" w:pos="569"/>
        </w:tabs>
        <w:rPr>
          <w:sz w:val="22"/>
          <w:szCs w:val="22"/>
          <w:lang w:val="sr-Latn-ME"/>
        </w:rPr>
      </w:pPr>
      <w:r w:rsidRPr="004500D8">
        <w:rPr>
          <w:sz w:val="22"/>
          <w:szCs w:val="22"/>
          <w:lang w:val="sr-Latn-ME"/>
        </w:rPr>
        <w:t>manitol</w:t>
      </w:r>
    </w:p>
    <w:p w14:paraId="01A71EDD" w14:textId="77777777" w:rsidR="00596C07" w:rsidRPr="004500D8" w:rsidRDefault="00596C07" w:rsidP="00596C07">
      <w:pPr>
        <w:tabs>
          <w:tab w:val="left" w:pos="540"/>
          <w:tab w:val="left" w:pos="569"/>
        </w:tabs>
        <w:rPr>
          <w:sz w:val="22"/>
          <w:szCs w:val="22"/>
          <w:lang w:val="sr-Latn-ME"/>
        </w:rPr>
      </w:pPr>
      <w:r w:rsidRPr="004500D8">
        <w:rPr>
          <w:sz w:val="22"/>
          <w:szCs w:val="22"/>
          <w:lang w:val="sr-Latn-ME"/>
        </w:rPr>
        <w:t>polisorbat 80</w:t>
      </w:r>
    </w:p>
    <w:p w14:paraId="0357AC00" w14:textId="77777777" w:rsidR="00596C07" w:rsidRPr="004500D8" w:rsidRDefault="00596C07" w:rsidP="00596C07">
      <w:pPr>
        <w:tabs>
          <w:tab w:val="left" w:pos="540"/>
          <w:tab w:val="left" w:pos="569"/>
        </w:tabs>
        <w:rPr>
          <w:bCs/>
          <w:sz w:val="22"/>
          <w:szCs w:val="22"/>
          <w:lang w:val="sr-Latn-ME"/>
        </w:rPr>
      </w:pPr>
      <w:r w:rsidRPr="004500D8">
        <w:rPr>
          <w:sz w:val="22"/>
          <w:szCs w:val="22"/>
          <w:lang w:val="sr-Latn-ME"/>
        </w:rPr>
        <w:t>voda za injekcije</w:t>
      </w:r>
    </w:p>
    <w:p w14:paraId="556E39D1" w14:textId="77777777" w:rsidR="00596C07" w:rsidRPr="004500D8" w:rsidRDefault="00596C07" w:rsidP="00596C07">
      <w:pPr>
        <w:tabs>
          <w:tab w:val="left" w:pos="540"/>
          <w:tab w:val="left" w:pos="569"/>
        </w:tabs>
        <w:rPr>
          <w:bCs/>
          <w:sz w:val="22"/>
          <w:szCs w:val="22"/>
          <w:lang w:val="sr-Latn-ME"/>
        </w:rPr>
      </w:pPr>
    </w:p>
    <w:p w14:paraId="00ACE6A5"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 xml:space="preserve">6.2. </w:t>
      </w:r>
      <w:r w:rsidRPr="004500D8">
        <w:rPr>
          <w:b/>
          <w:bCs/>
          <w:sz w:val="22"/>
          <w:szCs w:val="22"/>
          <w:lang w:val="sr-Latn-ME"/>
        </w:rPr>
        <w:tab/>
        <w:t>Inkompatibilnosti</w:t>
      </w:r>
    </w:p>
    <w:p w14:paraId="041908C2" w14:textId="77777777" w:rsidR="00596C07" w:rsidRPr="004500D8" w:rsidRDefault="00596C07" w:rsidP="00596C07">
      <w:pPr>
        <w:tabs>
          <w:tab w:val="left" w:pos="540"/>
        </w:tabs>
        <w:rPr>
          <w:bCs/>
          <w:sz w:val="22"/>
          <w:szCs w:val="22"/>
          <w:lang w:val="sr-Latn-ME"/>
        </w:rPr>
      </w:pPr>
      <w:r w:rsidRPr="004500D8">
        <w:rPr>
          <w:bCs/>
          <w:sz w:val="22"/>
          <w:szCs w:val="22"/>
          <w:lang w:val="sr-Latn-ME"/>
        </w:rPr>
        <w:tab/>
      </w:r>
    </w:p>
    <w:p w14:paraId="4F71B286" w14:textId="77777777" w:rsidR="00596C07" w:rsidRPr="004500D8" w:rsidRDefault="00596C07" w:rsidP="00596C07">
      <w:pPr>
        <w:tabs>
          <w:tab w:val="left" w:pos="540"/>
        </w:tabs>
        <w:rPr>
          <w:bCs/>
          <w:sz w:val="22"/>
          <w:szCs w:val="22"/>
          <w:lang w:val="sr-Latn-ME"/>
        </w:rPr>
      </w:pPr>
      <w:r w:rsidRPr="004500D8">
        <w:rPr>
          <w:bCs/>
          <w:sz w:val="22"/>
          <w:szCs w:val="22"/>
          <w:lang w:val="sr-Latn-ME"/>
        </w:rPr>
        <w:t>Zbog nedostatka ispitivanja kompatibilnosti, ovaj lijek se ne smije miješati sa drugim ljekovima.</w:t>
      </w:r>
    </w:p>
    <w:p w14:paraId="57DA9EEB" w14:textId="77777777" w:rsidR="00596C07" w:rsidRPr="004500D8" w:rsidRDefault="00596C07" w:rsidP="00596C07">
      <w:pPr>
        <w:tabs>
          <w:tab w:val="left" w:pos="540"/>
        </w:tabs>
        <w:rPr>
          <w:bCs/>
          <w:sz w:val="22"/>
          <w:szCs w:val="22"/>
          <w:lang w:val="sr-Latn-ME"/>
        </w:rPr>
      </w:pPr>
    </w:p>
    <w:p w14:paraId="790F8EF6"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6.3.</w:t>
      </w:r>
      <w:r w:rsidRPr="004500D8">
        <w:rPr>
          <w:b/>
          <w:bCs/>
          <w:sz w:val="22"/>
          <w:szCs w:val="22"/>
          <w:lang w:val="sr-Latn-ME"/>
        </w:rPr>
        <w:tab/>
        <w:t>Rok upotrebe</w:t>
      </w:r>
    </w:p>
    <w:p w14:paraId="64EC5B4A" w14:textId="77777777" w:rsidR="00596C07" w:rsidRPr="004500D8" w:rsidRDefault="00596C07" w:rsidP="00596C07">
      <w:pPr>
        <w:tabs>
          <w:tab w:val="left" w:pos="540"/>
          <w:tab w:val="left" w:pos="569"/>
        </w:tabs>
        <w:rPr>
          <w:bCs/>
          <w:sz w:val="22"/>
          <w:szCs w:val="22"/>
          <w:lang w:val="sr-Latn-ME"/>
        </w:rPr>
      </w:pPr>
    </w:p>
    <w:p w14:paraId="5A7723B0" w14:textId="77777777" w:rsidR="00596C07" w:rsidRPr="004500D8" w:rsidRDefault="00596C07" w:rsidP="00596C07">
      <w:pPr>
        <w:tabs>
          <w:tab w:val="left" w:pos="540"/>
          <w:tab w:val="left" w:pos="569"/>
        </w:tabs>
        <w:rPr>
          <w:bCs/>
          <w:sz w:val="22"/>
          <w:szCs w:val="22"/>
          <w:lang w:val="sr-Latn-ME"/>
        </w:rPr>
      </w:pPr>
      <w:r w:rsidRPr="004500D8">
        <w:rPr>
          <w:bCs/>
          <w:sz w:val="22"/>
          <w:szCs w:val="22"/>
          <w:lang w:val="sr-Latn-ME"/>
        </w:rPr>
        <w:t>2 godine</w:t>
      </w:r>
      <w:r w:rsidRPr="004500D8" w:rsidDel="00B46841">
        <w:rPr>
          <w:bCs/>
          <w:sz w:val="22"/>
          <w:szCs w:val="22"/>
          <w:lang w:val="sr-Latn-ME"/>
        </w:rPr>
        <w:t xml:space="preserve"> </w:t>
      </w:r>
    </w:p>
    <w:p w14:paraId="27A0EFCE" w14:textId="77777777" w:rsidR="00596C07" w:rsidRPr="004500D8" w:rsidRDefault="00596C07" w:rsidP="00596C07">
      <w:pPr>
        <w:tabs>
          <w:tab w:val="left" w:pos="540"/>
          <w:tab w:val="left" w:pos="569"/>
        </w:tabs>
        <w:rPr>
          <w:bCs/>
          <w:sz w:val="22"/>
          <w:szCs w:val="22"/>
          <w:lang w:val="sr-Latn-ME"/>
        </w:rPr>
      </w:pPr>
    </w:p>
    <w:p w14:paraId="641C75A5"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 xml:space="preserve">6.4. </w:t>
      </w:r>
      <w:r w:rsidRPr="004500D8">
        <w:rPr>
          <w:b/>
          <w:bCs/>
          <w:sz w:val="22"/>
          <w:szCs w:val="22"/>
          <w:lang w:val="sr-Latn-ME"/>
        </w:rPr>
        <w:tab/>
        <w:t>Posebne mjere upozorenja pri čuvanju lijeka</w:t>
      </w:r>
    </w:p>
    <w:p w14:paraId="32DA238B" w14:textId="77777777" w:rsidR="00596C07" w:rsidRPr="004500D8" w:rsidRDefault="00596C07" w:rsidP="00596C07">
      <w:pPr>
        <w:tabs>
          <w:tab w:val="left" w:pos="540"/>
          <w:tab w:val="left" w:pos="569"/>
        </w:tabs>
        <w:rPr>
          <w:bCs/>
          <w:sz w:val="22"/>
          <w:szCs w:val="22"/>
          <w:lang w:val="sr-Latn-ME"/>
        </w:rPr>
      </w:pPr>
    </w:p>
    <w:p w14:paraId="759254D9" w14:textId="77777777" w:rsidR="00596C07" w:rsidRPr="004500D8" w:rsidRDefault="00596C07" w:rsidP="00596C07">
      <w:pPr>
        <w:widowControl w:val="0"/>
        <w:autoSpaceDE w:val="0"/>
        <w:autoSpaceDN w:val="0"/>
        <w:adjustRightInd w:val="0"/>
        <w:jc w:val="both"/>
        <w:rPr>
          <w:color w:val="000000"/>
          <w:sz w:val="22"/>
          <w:szCs w:val="22"/>
          <w:lang w:val="sr-Latn-ME"/>
        </w:rPr>
      </w:pPr>
      <w:r w:rsidRPr="004500D8">
        <w:rPr>
          <w:color w:val="000000"/>
          <w:sz w:val="22"/>
          <w:szCs w:val="22"/>
          <w:lang w:val="sr-Latn-ME"/>
        </w:rPr>
        <w:t xml:space="preserve">Lijek se čuva u originalnom pakovanju radi zaštite od svjetlosti, na temperaturi između 2-8°C (u frižideru). Ne smije se zamrzavati. </w:t>
      </w:r>
    </w:p>
    <w:p w14:paraId="09CE025F" w14:textId="77777777" w:rsidR="00596C07" w:rsidRPr="004500D8" w:rsidRDefault="00596C07" w:rsidP="00596C07">
      <w:pPr>
        <w:widowControl w:val="0"/>
        <w:autoSpaceDE w:val="0"/>
        <w:autoSpaceDN w:val="0"/>
        <w:adjustRightInd w:val="0"/>
        <w:jc w:val="both"/>
        <w:rPr>
          <w:color w:val="000000"/>
          <w:sz w:val="22"/>
          <w:szCs w:val="22"/>
          <w:lang w:val="sr-Latn-ME"/>
        </w:rPr>
      </w:pPr>
    </w:p>
    <w:p w14:paraId="3F3D9B9A" w14:textId="77777777" w:rsidR="00596C07" w:rsidRPr="004500D8" w:rsidRDefault="00596C07" w:rsidP="00596C07">
      <w:pPr>
        <w:jc w:val="both"/>
        <w:rPr>
          <w:color w:val="000000"/>
          <w:sz w:val="22"/>
          <w:szCs w:val="22"/>
          <w:lang w:val="sr-Latn-ME"/>
        </w:rPr>
      </w:pPr>
      <w:r w:rsidRPr="004500D8">
        <w:rPr>
          <w:color w:val="000000"/>
          <w:sz w:val="22"/>
          <w:szCs w:val="22"/>
          <w:lang w:val="sr-Latn-ME"/>
        </w:rPr>
        <w:t>Lijek Humira, rastvor za injekciju u napunjenom injekcionom špricu se može čuvati izvan frižidera, na temperaturi do maksimum 25°C tokom 14 dana. Napunjeni injekcioni špric mora biti zaštićen od svjetlosti. Ukoliko se napunjeni injekcioni špric ne upotrijebi u toku 14 dana, mora se uništiti.</w:t>
      </w:r>
    </w:p>
    <w:p w14:paraId="3987396A" w14:textId="77777777" w:rsidR="00596C07" w:rsidRPr="004500D8" w:rsidRDefault="00596C07" w:rsidP="00596C07">
      <w:pPr>
        <w:tabs>
          <w:tab w:val="left" w:pos="540"/>
          <w:tab w:val="left" w:pos="569"/>
        </w:tabs>
        <w:rPr>
          <w:bCs/>
          <w:sz w:val="22"/>
          <w:szCs w:val="22"/>
          <w:lang w:val="sr-Latn-ME"/>
        </w:rPr>
      </w:pPr>
    </w:p>
    <w:p w14:paraId="13B26284"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 xml:space="preserve">6.5. </w:t>
      </w:r>
      <w:r w:rsidRPr="004500D8">
        <w:rPr>
          <w:b/>
          <w:bCs/>
          <w:sz w:val="22"/>
          <w:szCs w:val="22"/>
          <w:lang w:val="sr-Latn-ME"/>
        </w:rPr>
        <w:tab/>
        <w:t>Vrsta i sadržaj pakovanja</w:t>
      </w:r>
    </w:p>
    <w:p w14:paraId="3D7A0E9C" w14:textId="77777777" w:rsidR="00596C07" w:rsidRPr="004500D8" w:rsidRDefault="00596C07" w:rsidP="00596C07">
      <w:pPr>
        <w:tabs>
          <w:tab w:val="left" w:pos="540"/>
          <w:tab w:val="left" w:pos="569"/>
        </w:tabs>
        <w:rPr>
          <w:bCs/>
          <w:sz w:val="22"/>
          <w:szCs w:val="22"/>
          <w:lang w:val="sr-Latn-ME"/>
        </w:rPr>
      </w:pPr>
    </w:p>
    <w:p w14:paraId="0E8F5A68"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Humira 80 mg/0.8 ml rastvor za injekciju u napunjenom injekcionom špricu za jednokratnu primjenu (staklo tipa I), sa gumenim čepom klipa (brombutil guma) i iglom sa zaštitnom kapicom (termoplastični elestomer).</w:t>
      </w:r>
    </w:p>
    <w:p w14:paraId="2C8BF231" w14:textId="77777777" w:rsidR="00596C07" w:rsidRPr="004500D8" w:rsidRDefault="00596C07" w:rsidP="00596C07">
      <w:pPr>
        <w:widowControl w:val="0"/>
        <w:autoSpaceDE w:val="0"/>
        <w:autoSpaceDN w:val="0"/>
        <w:adjustRightInd w:val="0"/>
        <w:rPr>
          <w:sz w:val="22"/>
          <w:szCs w:val="22"/>
          <w:lang w:val="sr-Latn-ME"/>
        </w:rPr>
      </w:pPr>
    </w:p>
    <w:p w14:paraId="0FD7144D" w14:textId="77777777" w:rsidR="00596C07" w:rsidRPr="004500D8" w:rsidRDefault="00596C07" w:rsidP="00596C07">
      <w:pPr>
        <w:widowControl w:val="0"/>
        <w:autoSpaceDE w:val="0"/>
        <w:autoSpaceDN w:val="0"/>
        <w:adjustRightInd w:val="0"/>
        <w:jc w:val="both"/>
        <w:rPr>
          <w:sz w:val="22"/>
          <w:szCs w:val="22"/>
          <w:lang w:val="sr-Latn-ME"/>
        </w:rPr>
      </w:pPr>
      <w:r w:rsidRPr="004500D8">
        <w:rPr>
          <w:sz w:val="22"/>
          <w:szCs w:val="22"/>
          <w:lang w:val="sr-Latn-ME"/>
        </w:rPr>
        <w:t>Pakovanje: 1 napunjeni injekcioni špric (0.8 ml sterilnog rastvora) sa 1 alkoholnim tupferom u blisteru.</w:t>
      </w:r>
    </w:p>
    <w:p w14:paraId="493280EC" w14:textId="77777777" w:rsidR="00596C07" w:rsidRPr="004500D8" w:rsidRDefault="00596C07" w:rsidP="00596C07">
      <w:pPr>
        <w:tabs>
          <w:tab w:val="left" w:pos="540"/>
          <w:tab w:val="left" w:pos="569"/>
        </w:tabs>
        <w:rPr>
          <w:bCs/>
          <w:sz w:val="22"/>
          <w:szCs w:val="22"/>
          <w:lang w:val="sr-Latn-ME"/>
        </w:rPr>
      </w:pPr>
    </w:p>
    <w:p w14:paraId="3188CB5B"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 xml:space="preserve">6.6. </w:t>
      </w:r>
      <w:r w:rsidRPr="004500D8">
        <w:rPr>
          <w:b/>
          <w:bCs/>
          <w:sz w:val="22"/>
          <w:szCs w:val="22"/>
          <w:lang w:val="sr-Latn-ME"/>
        </w:rPr>
        <w:tab/>
        <w:t xml:space="preserve">Posebne mjere opreza pri odlaganju materijala koji treba odbaciti nakon primjene lijeka </w:t>
      </w:r>
    </w:p>
    <w:p w14:paraId="67EE31EE" w14:textId="77777777" w:rsidR="00596C07" w:rsidRPr="004500D8" w:rsidRDefault="00596C07" w:rsidP="00596C07">
      <w:pPr>
        <w:tabs>
          <w:tab w:val="left" w:pos="540"/>
          <w:tab w:val="left" w:pos="569"/>
        </w:tabs>
        <w:rPr>
          <w:bCs/>
          <w:sz w:val="22"/>
          <w:szCs w:val="22"/>
          <w:lang w:val="sr-Latn-ME"/>
        </w:rPr>
      </w:pPr>
    </w:p>
    <w:p w14:paraId="37FE696D" w14:textId="77777777" w:rsidR="00596C07" w:rsidRPr="004500D8" w:rsidRDefault="00596C07" w:rsidP="00596C07">
      <w:pPr>
        <w:jc w:val="both"/>
        <w:rPr>
          <w:sz w:val="22"/>
          <w:szCs w:val="22"/>
          <w:lang w:val="sr-Latn-ME"/>
        </w:rPr>
      </w:pPr>
      <w:r w:rsidRPr="004500D8">
        <w:rPr>
          <w:sz w:val="22"/>
          <w:szCs w:val="22"/>
          <w:lang w:val="sr-Latn-ME"/>
        </w:rPr>
        <w:t>Neiskorišteni lijek ili otpadni materijal se odlaže u skladu sa lokalnim propisima za zbrinjavanje medicinskog otpada.</w:t>
      </w:r>
    </w:p>
    <w:p w14:paraId="58B3BD5E" w14:textId="77777777" w:rsidR="00596C07" w:rsidRPr="004500D8" w:rsidRDefault="00596C07" w:rsidP="00596C07">
      <w:pPr>
        <w:tabs>
          <w:tab w:val="left" w:pos="540"/>
          <w:tab w:val="left" w:pos="569"/>
        </w:tabs>
        <w:rPr>
          <w:bCs/>
          <w:sz w:val="22"/>
          <w:szCs w:val="22"/>
          <w:lang w:val="sr-Latn-ME"/>
        </w:rPr>
      </w:pPr>
    </w:p>
    <w:p w14:paraId="0274977E" w14:textId="77777777" w:rsidR="00596C07" w:rsidRPr="004500D8" w:rsidRDefault="00596C07" w:rsidP="00596C07">
      <w:pPr>
        <w:tabs>
          <w:tab w:val="left" w:pos="540"/>
          <w:tab w:val="left" w:pos="569"/>
        </w:tabs>
        <w:rPr>
          <w:bCs/>
          <w:sz w:val="22"/>
          <w:szCs w:val="22"/>
          <w:lang w:val="sr-Latn-ME"/>
        </w:rPr>
      </w:pPr>
    </w:p>
    <w:p w14:paraId="4DE4762B"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 xml:space="preserve">7. </w:t>
      </w:r>
      <w:r w:rsidRPr="004500D8">
        <w:rPr>
          <w:b/>
          <w:bCs/>
          <w:sz w:val="22"/>
          <w:szCs w:val="22"/>
          <w:lang w:val="sr-Latn-ME"/>
        </w:rPr>
        <w:tab/>
        <w:t xml:space="preserve">NOSILAC DOZVOLE </w:t>
      </w:r>
    </w:p>
    <w:p w14:paraId="50962EB5"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ab/>
      </w:r>
    </w:p>
    <w:p w14:paraId="2C8AB37E" w14:textId="77777777" w:rsidR="00596C07" w:rsidRPr="004500D8" w:rsidRDefault="00596C07" w:rsidP="00596C07">
      <w:pPr>
        <w:rPr>
          <w:color w:val="000000"/>
          <w:sz w:val="22"/>
          <w:szCs w:val="22"/>
          <w:lang w:val="sr-Latn-ME"/>
        </w:rPr>
      </w:pPr>
      <w:r w:rsidRPr="004500D8">
        <w:rPr>
          <w:color w:val="000000"/>
          <w:sz w:val="22"/>
          <w:szCs w:val="22"/>
          <w:lang w:val="sr-Latn-ME"/>
        </w:rPr>
        <w:t xml:space="preserve">Društvo za trgovinu na veliko farmaceutskim proizvodima „Glosarij“ d.o.o. - Podgorica </w:t>
      </w:r>
    </w:p>
    <w:p w14:paraId="6014A52A" w14:textId="77777777" w:rsidR="00596C07" w:rsidRPr="004500D8" w:rsidRDefault="00596C07" w:rsidP="00596C07">
      <w:pPr>
        <w:rPr>
          <w:color w:val="000000"/>
          <w:sz w:val="22"/>
          <w:szCs w:val="22"/>
          <w:lang w:val="sr-Latn-ME"/>
        </w:rPr>
      </w:pPr>
      <w:r w:rsidRPr="004500D8">
        <w:rPr>
          <w:color w:val="000000"/>
          <w:sz w:val="22"/>
          <w:szCs w:val="22"/>
          <w:lang w:val="sr-Latn-ME"/>
        </w:rPr>
        <w:t>Vojislavljevića 76,</w:t>
      </w:r>
    </w:p>
    <w:p w14:paraId="13112589" w14:textId="77777777" w:rsidR="00596C07" w:rsidRPr="004500D8" w:rsidRDefault="00596C07" w:rsidP="00596C07">
      <w:pPr>
        <w:rPr>
          <w:color w:val="000000"/>
          <w:sz w:val="22"/>
          <w:szCs w:val="22"/>
          <w:lang w:val="sr-Latn-ME"/>
        </w:rPr>
      </w:pPr>
      <w:r w:rsidRPr="004500D8">
        <w:rPr>
          <w:color w:val="000000"/>
          <w:sz w:val="22"/>
          <w:szCs w:val="22"/>
          <w:lang w:val="sr-Latn-ME"/>
        </w:rPr>
        <w:t>81 000 Podgorica, Crna Gora</w:t>
      </w:r>
    </w:p>
    <w:p w14:paraId="13D9B41E" w14:textId="77777777" w:rsidR="00596C07" w:rsidRPr="004500D8" w:rsidRDefault="00596C07" w:rsidP="00596C07">
      <w:pPr>
        <w:tabs>
          <w:tab w:val="left" w:pos="540"/>
          <w:tab w:val="left" w:pos="569"/>
        </w:tabs>
        <w:rPr>
          <w:bCs/>
          <w:sz w:val="22"/>
          <w:szCs w:val="22"/>
          <w:lang w:val="sr-Latn-ME"/>
        </w:rPr>
      </w:pPr>
    </w:p>
    <w:p w14:paraId="21DF90FB" w14:textId="77777777" w:rsidR="00596C07" w:rsidRPr="004500D8" w:rsidRDefault="00596C07" w:rsidP="00596C07">
      <w:pPr>
        <w:tabs>
          <w:tab w:val="left" w:pos="540"/>
          <w:tab w:val="left" w:pos="569"/>
        </w:tabs>
        <w:rPr>
          <w:bCs/>
          <w:sz w:val="22"/>
          <w:szCs w:val="22"/>
          <w:lang w:val="sr-Latn-ME"/>
        </w:rPr>
      </w:pPr>
      <w:r w:rsidRPr="004500D8">
        <w:rPr>
          <w:bCs/>
          <w:sz w:val="22"/>
          <w:szCs w:val="22"/>
          <w:lang w:val="sr-Latn-ME"/>
        </w:rPr>
        <w:t xml:space="preserve">Proizvođač </w:t>
      </w:r>
    </w:p>
    <w:p w14:paraId="18C9BBDC" w14:textId="77777777" w:rsidR="00596C07" w:rsidRPr="004500D8" w:rsidRDefault="00596C07" w:rsidP="00596C07">
      <w:pPr>
        <w:tabs>
          <w:tab w:val="left" w:pos="540"/>
          <w:tab w:val="left" w:pos="569"/>
        </w:tabs>
        <w:rPr>
          <w:bCs/>
          <w:sz w:val="22"/>
          <w:szCs w:val="22"/>
          <w:lang w:val="sr-Latn-ME"/>
        </w:rPr>
      </w:pPr>
    </w:p>
    <w:p w14:paraId="0E38B620" w14:textId="77777777" w:rsidR="00596C07" w:rsidRPr="004500D8" w:rsidRDefault="00596C07" w:rsidP="00596C07">
      <w:pPr>
        <w:tabs>
          <w:tab w:val="left" w:pos="540"/>
          <w:tab w:val="left" w:pos="569"/>
        </w:tabs>
        <w:rPr>
          <w:bCs/>
          <w:sz w:val="22"/>
          <w:szCs w:val="22"/>
          <w:lang w:val="sr-Latn-ME"/>
        </w:rPr>
      </w:pPr>
      <w:r w:rsidRPr="004500D8">
        <w:rPr>
          <w:bCs/>
          <w:sz w:val="22"/>
          <w:szCs w:val="22"/>
          <w:lang w:val="sr-Latn-ME"/>
        </w:rPr>
        <w:t>AbbVie Biotechnology GmbH</w:t>
      </w:r>
    </w:p>
    <w:p w14:paraId="30AF9CE1" w14:textId="77777777" w:rsidR="00596C07" w:rsidRPr="004500D8" w:rsidRDefault="00596C07" w:rsidP="00596C07">
      <w:pPr>
        <w:tabs>
          <w:tab w:val="left" w:pos="540"/>
          <w:tab w:val="left" w:pos="569"/>
        </w:tabs>
        <w:rPr>
          <w:bCs/>
          <w:sz w:val="22"/>
          <w:szCs w:val="22"/>
          <w:lang w:val="sr-Latn-ME"/>
        </w:rPr>
      </w:pPr>
      <w:r w:rsidRPr="004500D8">
        <w:rPr>
          <w:bCs/>
          <w:sz w:val="22"/>
          <w:szCs w:val="22"/>
          <w:lang w:val="sr-Latn-ME"/>
        </w:rPr>
        <w:t>Knollstrasse,</w:t>
      </w:r>
    </w:p>
    <w:p w14:paraId="5C222081" w14:textId="77777777" w:rsidR="00596C07" w:rsidRPr="004500D8" w:rsidRDefault="00596C07" w:rsidP="00596C07">
      <w:pPr>
        <w:tabs>
          <w:tab w:val="left" w:pos="540"/>
          <w:tab w:val="left" w:pos="569"/>
        </w:tabs>
        <w:rPr>
          <w:bCs/>
          <w:sz w:val="22"/>
          <w:szCs w:val="22"/>
          <w:lang w:val="sr-Latn-ME"/>
        </w:rPr>
      </w:pPr>
      <w:r w:rsidRPr="004500D8">
        <w:rPr>
          <w:bCs/>
          <w:sz w:val="22"/>
          <w:szCs w:val="22"/>
          <w:lang w:val="sr-Latn-ME"/>
        </w:rPr>
        <w:t>67061 Ludwigshafen</w:t>
      </w:r>
    </w:p>
    <w:p w14:paraId="2445DA9E" w14:textId="77777777" w:rsidR="00596C07" w:rsidRPr="004500D8" w:rsidRDefault="00596C07" w:rsidP="00596C07">
      <w:pPr>
        <w:tabs>
          <w:tab w:val="left" w:pos="540"/>
          <w:tab w:val="left" w:pos="569"/>
        </w:tabs>
        <w:rPr>
          <w:bCs/>
          <w:sz w:val="22"/>
          <w:szCs w:val="22"/>
          <w:lang w:val="sr-Latn-ME"/>
        </w:rPr>
      </w:pPr>
      <w:r w:rsidRPr="004500D8">
        <w:rPr>
          <w:bCs/>
          <w:sz w:val="22"/>
          <w:szCs w:val="22"/>
          <w:lang w:val="sr-Latn-ME"/>
        </w:rPr>
        <w:t xml:space="preserve">Njemačka  </w:t>
      </w:r>
    </w:p>
    <w:p w14:paraId="26E0AC80" w14:textId="77777777" w:rsidR="00596C07" w:rsidRPr="004500D8" w:rsidRDefault="00596C07" w:rsidP="00596C07">
      <w:pPr>
        <w:tabs>
          <w:tab w:val="left" w:pos="540"/>
          <w:tab w:val="left" w:pos="569"/>
        </w:tabs>
        <w:rPr>
          <w:bCs/>
          <w:sz w:val="22"/>
          <w:szCs w:val="22"/>
          <w:lang w:val="sr-Latn-ME"/>
        </w:rPr>
      </w:pPr>
    </w:p>
    <w:p w14:paraId="144680D2" w14:textId="77777777" w:rsidR="00596C07" w:rsidRPr="004500D8" w:rsidRDefault="00596C07" w:rsidP="00596C07">
      <w:pPr>
        <w:tabs>
          <w:tab w:val="left" w:pos="540"/>
          <w:tab w:val="left" w:pos="569"/>
        </w:tabs>
        <w:rPr>
          <w:bCs/>
          <w:sz w:val="22"/>
          <w:szCs w:val="22"/>
          <w:lang w:val="sr-Latn-ME"/>
        </w:rPr>
      </w:pPr>
    </w:p>
    <w:p w14:paraId="6FC8B55A"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 xml:space="preserve">8. </w:t>
      </w:r>
      <w:r w:rsidRPr="004500D8">
        <w:rPr>
          <w:b/>
          <w:bCs/>
          <w:sz w:val="22"/>
          <w:szCs w:val="22"/>
          <w:lang w:val="sr-Latn-ME"/>
        </w:rPr>
        <w:tab/>
        <w:t>BROJ PRVE DOZVOLE/ OBNOVE DOZVOLE</w:t>
      </w:r>
    </w:p>
    <w:p w14:paraId="01E23F53" w14:textId="77777777" w:rsidR="00596C07" w:rsidRPr="004500D8" w:rsidRDefault="00596C07" w:rsidP="00596C07">
      <w:pPr>
        <w:tabs>
          <w:tab w:val="left" w:pos="540"/>
          <w:tab w:val="left" w:pos="569"/>
        </w:tabs>
        <w:rPr>
          <w:bCs/>
          <w:sz w:val="22"/>
          <w:szCs w:val="22"/>
          <w:lang w:val="sr-Latn-ME"/>
        </w:rPr>
      </w:pPr>
    </w:p>
    <w:p w14:paraId="34039021" w14:textId="5D924AFF" w:rsidR="00596C07" w:rsidRPr="004500D8" w:rsidRDefault="00596C07" w:rsidP="00596C07">
      <w:pPr>
        <w:tabs>
          <w:tab w:val="left" w:pos="540"/>
          <w:tab w:val="left" w:pos="569"/>
        </w:tabs>
        <w:rPr>
          <w:bCs/>
          <w:sz w:val="22"/>
          <w:szCs w:val="22"/>
          <w:lang w:val="sr-Latn-ME"/>
        </w:rPr>
      </w:pPr>
      <w:r w:rsidRPr="004500D8">
        <w:rPr>
          <w:bCs/>
          <w:sz w:val="22"/>
          <w:szCs w:val="22"/>
          <w:lang w:val="sr-Latn-ME"/>
        </w:rPr>
        <w:t>Humira®, rastvor za injekciju u napunjenom injekcionom špricu, 80 mg/0.8 ml, napunjeni injekcioni špric, 1x0.8 ml: 2030/18/378 - 5840</w:t>
      </w:r>
    </w:p>
    <w:p w14:paraId="07BCFFBC" w14:textId="77777777" w:rsidR="00596C07" w:rsidRPr="004500D8" w:rsidRDefault="00596C07" w:rsidP="00596C07">
      <w:pPr>
        <w:tabs>
          <w:tab w:val="left" w:pos="540"/>
          <w:tab w:val="left" w:pos="569"/>
        </w:tabs>
        <w:rPr>
          <w:bCs/>
          <w:sz w:val="22"/>
          <w:szCs w:val="22"/>
          <w:lang w:val="sr-Latn-ME"/>
        </w:rPr>
      </w:pPr>
    </w:p>
    <w:p w14:paraId="78AB762E" w14:textId="77777777" w:rsidR="00596C07" w:rsidRPr="004500D8" w:rsidRDefault="00596C07" w:rsidP="00596C07">
      <w:pPr>
        <w:tabs>
          <w:tab w:val="left" w:pos="540"/>
          <w:tab w:val="left" w:pos="569"/>
        </w:tabs>
        <w:rPr>
          <w:bCs/>
          <w:sz w:val="22"/>
          <w:szCs w:val="22"/>
          <w:lang w:val="sr-Latn-ME"/>
        </w:rPr>
      </w:pPr>
    </w:p>
    <w:p w14:paraId="64E1CD54" w14:textId="77777777" w:rsidR="00596C07" w:rsidRPr="004500D8" w:rsidRDefault="00596C07" w:rsidP="00596C07">
      <w:pPr>
        <w:tabs>
          <w:tab w:val="left" w:pos="540"/>
          <w:tab w:val="left" w:pos="569"/>
        </w:tabs>
        <w:rPr>
          <w:b/>
          <w:bCs/>
          <w:sz w:val="22"/>
          <w:szCs w:val="22"/>
          <w:lang w:val="sr-Latn-ME"/>
        </w:rPr>
      </w:pPr>
      <w:r w:rsidRPr="004500D8">
        <w:rPr>
          <w:b/>
          <w:bCs/>
          <w:sz w:val="22"/>
          <w:szCs w:val="22"/>
          <w:lang w:val="sr-Latn-ME"/>
        </w:rPr>
        <w:t xml:space="preserve">9. </w:t>
      </w:r>
      <w:r w:rsidRPr="004500D8">
        <w:rPr>
          <w:b/>
          <w:bCs/>
          <w:sz w:val="22"/>
          <w:szCs w:val="22"/>
          <w:lang w:val="sr-Latn-ME"/>
        </w:rPr>
        <w:tab/>
        <w:t>DATUM PRVE DOZVOLE/ DATUM OBNOVE DOZVOLE</w:t>
      </w:r>
    </w:p>
    <w:p w14:paraId="458EEADA" w14:textId="77777777" w:rsidR="00596C07" w:rsidRPr="004500D8" w:rsidRDefault="00596C07" w:rsidP="00596C07">
      <w:pPr>
        <w:tabs>
          <w:tab w:val="left" w:pos="540"/>
          <w:tab w:val="left" w:pos="569"/>
        </w:tabs>
        <w:rPr>
          <w:bCs/>
          <w:sz w:val="22"/>
          <w:szCs w:val="22"/>
          <w:lang w:val="sr-Latn-ME"/>
        </w:rPr>
      </w:pPr>
    </w:p>
    <w:p w14:paraId="74B73A22" w14:textId="2C4B8C3D" w:rsidR="00596C07" w:rsidRPr="004500D8" w:rsidRDefault="00596C07" w:rsidP="00596C07">
      <w:pPr>
        <w:tabs>
          <w:tab w:val="left" w:pos="540"/>
          <w:tab w:val="left" w:pos="569"/>
        </w:tabs>
        <w:rPr>
          <w:bCs/>
          <w:sz w:val="22"/>
          <w:szCs w:val="22"/>
          <w:lang w:val="sr-Latn-ME"/>
        </w:rPr>
      </w:pPr>
      <w:r w:rsidRPr="004500D8">
        <w:rPr>
          <w:bCs/>
          <w:sz w:val="22"/>
          <w:szCs w:val="22"/>
          <w:lang w:val="sr-Latn-ME"/>
        </w:rPr>
        <w:t>Humira®, rastvor za injekciju u napunjenom injekcionom špricu, 80 mg/0.8 ml, napunjeni injekcioni špric, 1x0.8 ml: 10.09.2018. godine</w:t>
      </w:r>
    </w:p>
    <w:p w14:paraId="343E266F" w14:textId="77777777" w:rsidR="00596C07" w:rsidRPr="004500D8" w:rsidRDefault="00596C07" w:rsidP="00596C07">
      <w:pPr>
        <w:tabs>
          <w:tab w:val="left" w:pos="540"/>
          <w:tab w:val="left" w:pos="569"/>
        </w:tabs>
        <w:rPr>
          <w:bCs/>
          <w:sz w:val="22"/>
          <w:szCs w:val="22"/>
          <w:lang w:val="sr-Latn-ME"/>
        </w:rPr>
      </w:pPr>
    </w:p>
    <w:p w14:paraId="4F55425F" w14:textId="77777777" w:rsidR="00596C07" w:rsidRPr="004500D8" w:rsidRDefault="00596C07" w:rsidP="00596C07">
      <w:pPr>
        <w:tabs>
          <w:tab w:val="left" w:pos="540"/>
          <w:tab w:val="left" w:pos="569"/>
        </w:tabs>
        <w:rPr>
          <w:bCs/>
          <w:sz w:val="22"/>
          <w:szCs w:val="22"/>
          <w:lang w:val="sr-Latn-ME"/>
        </w:rPr>
      </w:pPr>
    </w:p>
    <w:p w14:paraId="14E00C62" w14:textId="77777777" w:rsidR="00596C07" w:rsidRPr="004500D8" w:rsidRDefault="00596C07" w:rsidP="00596C07">
      <w:pPr>
        <w:tabs>
          <w:tab w:val="left" w:pos="540"/>
          <w:tab w:val="left" w:pos="569"/>
        </w:tabs>
        <w:ind w:left="540" w:hanging="540"/>
        <w:jc w:val="both"/>
        <w:rPr>
          <w:b/>
          <w:bCs/>
          <w:sz w:val="22"/>
          <w:szCs w:val="22"/>
          <w:lang w:val="sr-Latn-ME"/>
        </w:rPr>
      </w:pPr>
      <w:r w:rsidRPr="004500D8">
        <w:rPr>
          <w:b/>
          <w:bCs/>
          <w:sz w:val="22"/>
          <w:szCs w:val="22"/>
          <w:lang w:val="sr-Latn-ME"/>
        </w:rPr>
        <w:t xml:space="preserve">10. </w:t>
      </w:r>
      <w:r w:rsidRPr="004500D8">
        <w:rPr>
          <w:b/>
          <w:bCs/>
          <w:sz w:val="22"/>
          <w:szCs w:val="22"/>
          <w:lang w:val="sr-Latn-ME"/>
        </w:rPr>
        <w:tab/>
        <w:t>DATUM POSLEDNJE REVIZIJE TEKSTA SAŽETKA OSNOVNIH KARAKTERISTIKA LIJEKA</w:t>
      </w:r>
    </w:p>
    <w:p w14:paraId="7247C538" w14:textId="77777777" w:rsidR="00596C07" w:rsidRPr="004500D8" w:rsidRDefault="00596C07" w:rsidP="00596C07">
      <w:pPr>
        <w:tabs>
          <w:tab w:val="left" w:pos="540"/>
          <w:tab w:val="left" w:pos="569"/>
        </w:tabs>
        <w:rPr>
          <w:bCs/>
          <w:sz w:val="22"/>
          <w:szCs w:val="22"/>
          <w:lang w:val="sr-Latn-ME"/>
        </w:rPr>
      </w:pPr>
    </w:p>
    <w:p w14:paraId="4665E955" w14:textId="5B92576B" w:rsidR="00596C07" w:rsidRPr="004500D8" w:rsidRDefault="004500D8" w:rsidP="00596C07">
      <w:pPr>
        <w:spacing w:after="160"/>
        <w:rPr>
          <w:rFonts w:eastAsiaTheme="minorHAnsi"/>
          <w:sz w:val="22"/>
          <w:szCs w:val="22"/>
          <w:lang w:val="sr-Latn-ME"/>
        </w:rPr>
      </w:pPr>
      <w:r>
        <w:rPr>
          <w:noProof/>
          <w:sz w:val="22"/>
          <w:szCs w:val="22"/>
          <w:lang w:val="sr-Latn-ME"/>
        </w:rPr>
        <w:t>Februar</w:t>
      </w:r>
      <w:r w:rsidR="00596C07" w:rsidRPr="004500D8">
        <w:rPr>
          <w:noProof/>
          <w:sz w:val="22"/>
          <w:szCs w:val="22"/>
          <w:lang w:val="sr-Latn-ME"/>
        </w:rPr>
        <w:t>, 202</w:t>
      </w:r>
      <w:r w:rsidR="00B832B7" w:rsidRPr="004500D8">
        <w:rPr>
          <w:noProof/>
          <w:sz w:val="22"/>
          <w:szCs w:val="22"/>
          <w:lang w:val="sr-Latn-ME"/>
        </w:rPr>
        <w:t>3</w:t>
      </w:r>
      <w:r w:rsidR="00596C07" w:rsidRPr="004500D8">
        <w:rPr>
          <w:noProof/>
          <w:sz w:val="22"/>
          <w:szCs w:val="22"/>
          <w:lang w:val="sr-Latn-ME"/>
        </w:rPr>
        <w:t>.</w:t>
      </w:r>
      <w:r w:rsidR="00CC4573" w:rsidRPr="004500D8">
        <w:rPr>
          <w:noProof/>
          <w:sz w:val="22"/>
          <w:szCs w:val="22"/>
          <w:lang w:val="sr-Latn-ME"/>
        </w:rPr>
        <w:t xml:space="preserve"> </w:t>
      </w:r>
      <w:r w:rsidR="00596C07" w:rsidRPr="004500D8">
        <w:rPr>
          <w:noProof/>
          <w:sz w:val="22"/>
          <w:szCs w:val="22"/>
          <w:lang w:val="sr-Latn-ME"/>
        </w:rPr>
        <w:t>godine</w:t>
      </w:r>
    </w:p>
    <w:p w14:paraId="6D27B633" w14:textId="77777777" w:rsidR="00596C07" w:rsidRPr="003B242C" w:rsidRDefault="00596C07" w:rsidP="002510A5">
      <w:pPr>
        <w:jc w:val="center"/>
        <w:rPr>
          <w:b/>
          <w:bCs/>
          <w:iCs/>
          <w:sz w:val="22"/>
          <w:szCs w:val="22"/>
          <w:u w:val="single"/>
          <w:lang w:val="sr-Latn-ME"/>
        </w:rPr>
      </w:pPr>
    </w:p>
    <w:p w14:paraId="4A3C49C1" w14:textId="525D5D53" w:rsidR="003F6A59" w:rsidRPr="003B242C" w:rsidRDefault="003F6A59" w:rsidP="00DE3F5C">
      <w:pPr>
        <w:rPr>
          <w:sz w:val="22"/>
          <w:szCs w:val="22"/>
          <w:lang w:val="sr-Latn-ME"/>
        </w:rPr>
      </w:pPr>
    </w:p>
    <w:sectPr w:rsidR="003F6A59" w:rsidRPr="003B242C" w:rsidSect="006B5404">
      <w:footerReference w:type="default" r:id="rId17"/>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7764B" w14:textId="77777777" w:rsidR="00F6310A" w:rsidRDefault="00F6310A">
      <w:r>
        <w:separator/>
      </w:r>
    </w:p>
  </w:endnote>
  <w:endnote w:type="continuationSeparator" w:id="0">
    <w:p w14:paraId="5EDEF202" w14:textId="77777777" w:rsidR="00F6310A" w:rsidRDefault="00F6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7F7C" w14:textId="3E2D58C5" w:rsidR="002F7637" w:rsidRPr="00B23F69" w:rsidRDefault="002F7637"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500D8">
      <w:rPr>
        <w:noProof/>
        <w:sz w:val="22"/>
        <w:szCs w:val="22"/>
      </w:rPr>
      <w:t>47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500D8">
      <w:rPr>
        <w:noProof/>
        <w:sz w:val="22"/>
        <w:szCs w:val="22"/>
      </w:rPr>
      <w:t>49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F65EB" w14:textId="77777777" w:rsidR="00F6310A" w:rsidRDefault="00F6310A">
      <w:r>
        <w:separator/>
      </w:r>
    </w:p>
  </w:footnote>
  <w:footnote w:type="continuationSeparator" w:id="0">
    <w:p w14:paraId="6FCD5BEF" w14:textId="77777777" w:rsidR="00F6310A" w:rsidRDefault="00F63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6744"/>
    <w:multiLevelType w:val="hybridMultilevel"/>
    <w:tmpl w:val="9F864982"/>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C10687C"/>
    <w:multiLevelType w:val="multilevel"/>
    <w:tmpl w:val="0409001F"/>
    <w:styleLink w:val="1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E312C9F"/>
    <w:multiLevelType w:val="multilevel"/>
    <w:tmpl w:val="985ED0C2"/>
    <w:lvl w:ilvl="0">
      <w:start w:val="1"/>
      <w:numFmt w:val="bullet"/>
      <w:lvlText w:val=""/>
      <w:lvlJc w:val="left"/>
      <w:pPr>
        <w:ind w:left="720" w:hanging="360"/>
      </w:pPr>
      <w:rPr>
        <w:rFonts w:ascii="Symbol" w:hAnsi="Symbol" w:hint="default"/>
        <w:b w:val="0"/>
        <w:i w:val="0"/>
        <w:color w:val="auto"/>
        <w:sz w:val="22"/>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3" w15:restartNumberingAfterBreak="0">
    <w:nsid w:val="1FBE7717"/>
    <w:multiLevelType w:val="hybridMultilevel"/>
    <w:tmpl w:val="176CD96C"/>
    <w:lvl w:ilvl="0" w:tplc="141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03F1B"/>
    <w:multiLevelType w:val="hybridMultilevel"/>
    <w:tmpl w:val="5388004C"/>
    <w:lvl w:ilvl="0" w:tplc="DED4F3B0">
      <w:start w:val="1"/>
      <w:numFmt w:val="lowerLetter"/>
      <w:lvlText w:val="%1"/>
      <w:lvlJc w:val="left"/>
      <w:pPr>
        <w:ind w:left="720" w:hanging="360"/>
      </w:pPr>
      <w:rPr>
        <w:rFonts w:hint="default"/>
        <w:sz w:val="16"/>
        <w:szCs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C77894"/>
    <w:multiLevelType w:val="hybridMultilevel"/>
    <w:tmpl w:val="7AAE01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430D0E95"/>
    <w:multiLevelType w:val="multilevel"/>
    <w:tmpl w:val="A3383FCE"/>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7" w15:restartNumberingAfterBreak="0">
    <w:nsid w:val="52C8174D"/>
    <w:multiLevelType w:val="multilevel"/>
    <w:tmpl w:val="5AA28542"/>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8" w15:restartNumberingAfterBreak="0">
    <w:nsid w:val="71F513BB"/>
    <w:multiLevelType w:val="multilevel"/>
    <w:tmpl w:val="4FDAD7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3357CAB"/>
    <w:multiLevelType w:val="hybridMultilevel"/>
    <w:tmpl w:val="1682E7C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15:restartNumberingAfterBreak="0">
    <w:nsid w:val="737B0BE8"/>
    <w:multiLevelType w:val="singleLevel"/>
    <w:tmpl w:val="C7C8CA14"/>
    <w:lvl w:ilvl="0">
      <w:start w:val="1"/>
      <w:numFmt w:val="lowerLetter"/>
      <w:pStyle w:val="TableFootnoteLetter"/>
      <w:lvlText w:val="%1."/>
      <w:lvlJc w:val="left"/>
      <w:pPr>
        <w:ind w:left="360" w:hanging="360"/>
      </w:pPr>
      <w:rPr>
        <w:rFonts w:ascii="Times New Roman" w:hAnsi="Times New Roman" w:cs="Times New Roman" w:hint="default"/>
        <w:b w:val="0"/>
        <w:i w:val="0"/>
        <w:caps w:val="0"/>
        <w:sz w:val="16"/>
        <w:u w:val="none"/>
        <w:vertAlign w:val="baseline"/>
      </w:rPr>
    </w:lvl>
  </w:abstractNum>
  <w:abstractNum w:abstractNumId="11" w15:restartNumberingAfterBreak="0">
    <w:nsid w:val="79CD7F37"/>
    <w:multiLevelType w:val="multilevel"/>
    <w:tmpl w:val="905201FA"/>
    <w:lvl w:ilvl="0">
      <w:start w:val="1"/>
      <w:numFmt w:val="bullet"/>
      <w:lvlText w:val="•"/>
      <w:lvlJc w:val="left"/>
      <w:pPr>
        <w:ind w:left="643"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num w:numId="1" w16cid:durableId="808666831">
    <w:abstractNumId w:val="1"/>
  </w:num>
  <w:num w:numId="2" w16cid:durableId="1743672559">
    <w:abstractNumId w:val="0"/>
  </w:num>
  <w:num w:numId="3" w16cid:durableId="821241311">
    <w:abstractNumId w:val="3"/>
  </w:num>
  <w:num w:numId="4" w16cid:durableId="756942029">
    <w:abstractNumId w:val="10"/>
  </w:num>
  <w:num w:numId="5" w16cid:durableId="895042874">
    <w:abstractNumId w:val="4"/>
  </w:num>
  <w:num w:numId="6" w16cid:durableId="898172360">
    <w:abstractNumId w:val="6"/>
  </w:num>
  <w:num w:numId="7" w16cid:durableId="542642380">
    <w:abstractNumId w:val="5"/>
  </w:num>
  <w:num w:numId="8" w16cid:durableId="1435202554">
    <w:abstractNumId w:val="9"/>
  </w:num>
  <w:num w:numId="9" w16cid:durableId="1591236107">
    <w:abstractNumId w:val="2"/>
  </w:num>
  <w:num w:numId="10" w16cid:durableId="315964127">
    <w:abstractNumId w:val="7"/>
  </w:num>
  <w:num w:numId="11" w16cid:durableId="194083203">
    <w:abstractNumId w:val="11"/>
  </w:num>
  <w:num w:numId="12" w16cid:durableId="644625988">
    <w:abstractNumId w:val="8"/>
  </w:num>
  <w:num w:numId="13" w16cid:durableId="4024861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49663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9051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11223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89588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85273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7038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71432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13955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D6"/>
    <w:rsid w:val="00000528"/>
    <w:rsid w:val="000005B7"/>
    <w:rsid w:val="00001F38"/>
    <w:rsid w:val="000176CA"/>
    <w:rsid w:val="00036FA0"/>
    <w:rsid w:val="0003793F"/>
    <w:rsid w:val="00041CA0"/>
    <w:rsid w:val="00051877"/>
    <w:rsid w:val="00057E35"/>
    <w:rsid w:val="00076726"/>
    <w:rsid w:val="00080303"/>
    <w:rsid w:val="00084F1D"/>
    <w:rsid w:val="000879C3"/>
    <w:rsid w:val="00093365"/>
    <w:rsid w:val="00095A59"/>
    <w:rsid w:val="000A3F58"/>
    <w:rsid w:val="000C439D"/>
    <w:rsid w:val="000D2343"/>
    <w:rsid w:val="000D3449"/>
    <w:rsid w:val="000D425A"/>
    <w:rsid w:val="000D60CC"/>
    <w:rsid w:val="000E2084"/>
    <w:rsid w:val="000E6F55"/>
    <w:rsid w:val="000F77FA"/>
    <w:rsid w:val="001043E8"/>
    <w:rsid w:val="00106896"/>
    <w:rsid w:val="0010716E"/>
    <w:rsid w:val="00107BF7"/>
    <w:rsid w:val="00126D7E"/>
    <w:rsid w:val="00126F53"/>
    <w:rsid w:val="0013000A"/>
    <w:rsid w:val="0014766D"/>
    <w:rsid w:val="001536CC"/>
    <w:rsid w:val="00166F39"/>
    <w:rsid w:val="001A3FBA"/>
    <w:rsid w:val="001A5518"/>
    <w:rsid w:val="001B1C6A"/>
    <w:rsid w:val="001C1263"/>
    <w:rsid w:val="001C1417"/>
    <w:rsid w:val="001C52BD"/>
    <w:rsid w:val="001E390B"/>
    <w:rsid w:val="001E7B2E"/>
    <w:rsid w:val="001F42FB"/>
    <w:rsid w:val="001F719A"/>
    <w:rsid w:val="002031B3"/>
    <w:rsid w:val="0021349E"/>
    <w:rsid w:val="00215931"/>
    <w:rsid w:val="00224C91"/>
    <w:rsid w:val="00227BDB"/>
    <w:rsid w:val="00234CB1"/>
    <w:rsid w:val="002352F8"/>
    <w:rsid w:val="002419B5"/>
    <w:rsid w:val="002510A5"/>
    <w:rsid w:val="00254A0A"/>
    <w:rsid w:val="00266046"/>
    <w:rsid w:val="002846DB"/>
    <w:rsid w:val="00284CCD"/>
    <w:rsid w:val="002C6637"/>
    <w:rsid w:val="002D19E9"/>
    <w:rsid w:val="002E0135"/>
    <w:rsid w:val="002E37A5"/>
    <w:rsid w:val="002F7637"/>
    <w:rsid w:val="00310F03"/>
    <w:rsid w:val="003247D2"/>
    <w:rsid w:val="0032582C"/>
    <w:rsid w:val="003445C1"/>
    <w:rsid w:val="00355B61"/>
    <w:rsid w:val="00362686"/>
    <w:rsid w:val="00371510"/>
    <w:rsid w:val="00371FC3"/>
    <w:rsid w:val="00396DFD"/>
    <w:rsid w:val="003A7059"/>
    <w:rsid w:val="003A7E25"/>
    <w:rsid w:val="003B242C"/>
    <w:rsid w:val="003B7A36"/>
    <w:rsid w:val="003C17AB"/>
    <w:rsid w:val="003C7823"/>
    <w:rsid w:val="003E1DCC"/>
    <w:rsid w:val="003E64CE"/>
    <w:rsid w:val="003F11A1"/>
    <w:rsid w:val="003F6A59"/>
    <w:rsid w:val="004065C8"/>
    <w:rsid w:val="004109FA"/>
    <w:rsid w:val="00411B4B"/>
    <w:rsid w:val="00415BEE"/>
    <w:rsid w:val="00426F9F"/>
    <w:rsid w:val="00427F85"/>
    <w:rsid w:val="00436F42"/>
    <w:rsid w:val="004378B4"/>
    <w:rsid w:val="004500D8"/>
    <w:rsid w:val="00451314"/>
    <w:rsid w:val="00452E9D"/>
    <w:rsid w:val="004534C7"/>
    <w:rsid w:val="00453761"/>
    <w:rsid w:val="00456F65"/>
    <w:rsid w:val="004671AA"/>
    <w:rsid w:val="00480B89"/>
    <w:rsid w:val="00480FB1"/>
    <w:rsid w:val="00483928"/>
    <w:rsid w:val="004957EE"/>
    <w:rsid w:val="004C331F"/>
    <w:rsid w:val="004D4355"/>
    <w:rsid w:val="004D6103"/>
    <w:rsid w:val="004E3BCE"/>
    <w:rsid w:val="004E70AD"/>
    <w:rsid w:val="004F0E97"/>
    <w:rsid w:val="004F16BC"/>
    <w:rsid w:val="00501DD1"/>
    <w:rsid w:val="00515C21"/>
    <w:rsid w:val="00530BD7"/>
    <w:rsid w:val="00545CD2"/>
    <w:rsid w:val="005476F3"/>
    <w:rsid w:val="00560668"/>
    <w:rsid w:val="00572527"/>
    <w:rsid w:val="00573E40"/>
    <w:rsid w:val="00576348"/>
    <w:rsid w:val="005844E9"/>
    <w:rsid w:val="00596C07"/>
    <w:rsid w:val="00597521"/>
    <w:rsid w:val="005A0B2E"/>
    <w:rsid w:val="005A23D2"/>
    <w:rsid w:val="005A3463"/>
    <w:rsid w:val="005A36CB"/>
    <w:rsid w:val="005B49B8"/>
    <w:rsid w:val="005C0741"/>
    <w:rsid w:val="005C5EF4"/>
    <w:rsid w:val="005D35A4"/>
    <w:rsid w:val="005E2E0B"/>
    <w:rsid w:val="005E4AA0"/>
    <w:rsid w:val="005E7A7D"/>
    <w:rsid w:val="00602457"/>
    <w:rsid w:val="00644FC3"/>
    <w:rsid w:val="00646BD1"/>
    <w:rsid w:val="006561C2"/>
    <w:rsid w:val="00671CB3"/>
    <w:rsid w:val="00674BAF"/>
    <w:rsid w:val="00677FFB"/>
    <w:rsid w:val="00682200"/>
    <w:rsid w:val="00682368"/>
    <w:rsid w:val="00692BF6"/>
    <w:rsid w:val="006A1497"/>
    <w:rsid w:val="006B0BD1"/>
    <w:rsid w:val="006B5404"/>
    <w:rsid w:val="006D20A5"/>
    <w:rsid w:val="006D37BF"/>
    <w:rsid w:val="006D7043"/>
    <w:rsid w:val="006F2A9A"/>
    <w:rsid w:val="00702E22"/>
    <w:rsid w:val="00712A80"/>
    <w:rsid w:val="007133B8"/>
    <w:rsid w:val="0072020E"/>
    <w:rsid w:val="007519E5"/>
    <w:rsid w:val="00786071"/>
    <w:rsid w:val="007A3ECB"/>
    <w:rsid w:val="007C645D"/>
    <w:rsid w:val="007D1DC0"/>
    <w:rsid w:val="007D7BB3"/>
    <w:rsid w:val="007E0653"/>
    <w:rsid w:val="00824AB9"/>
    <w:rsid w:val="00832E5C"/>
    <w:rsid w:val="00836B35"/>
    <w:rsid w:val="00843BDE"/>
    <w:rsid w:val="00870159"/>
    <w:rsid w:val="0087588C"/>
    <w:rsid w:val="0089705C"/>
    <w:rsid w:val="00897FA1"/>
    <w:rsid w:val="008A0AAA"/>
    <w:rsid w:val="008A6D43"/>
    <w:rsid w:val="008B491E"/>
    <w:rsid w:val="008C1A28"/>
    <w:rsid w:val="008C2E98"/>
    <w:rsid w:val="008E49BD"/>
    <w:rsid w:val="008E53E9"/>
    <w:rsid w:val="008E5771"/>
    <w:rsid w:val="008F4ACF"/>
    <w:rsid w:val="00924166"/>
    <w:rsid w:val="00940B9B"/>
    <w:rsid w:val="009435F5"/>
    <w:rsid w:val="00944BB0"/>
    <w:rsid w:val="0095676E"/>
    <w:rsid w:val="00956983"/>
    <w:rsid w:val="00963CF0"/>
    <w:rsid w:val="00964BB1"/>
    <w:rsid w:val="009775D9"/>
    <w:rsid w:val="0097765B"/>
    <w:rsid w:val="00997175"/>
    <w:rsid w:val="009A1847"/>
    <w:rsid w:val="009B062A"/>
    <w:rsid w:val="009E7C6F"/>
    <w:rsid w:val="009F1793"/>
    <w:rsid w:val="009F2D23"/>
    <w:rsid w:val="00A01D69"/>
    <w:rsid w:val="00A02335"/>
    <w:rsid w:val="00A03B94"/>
    <w:rsid w:val="00A230A7"/>
    <w:rsid w:val="00A2734E"/>
    <w:rsid w:val="00A44341"/>
    <w:rsid w:val="00A46C9A"/>
    <w:rsid w:val="00A619F3"/>
    <w:rsid w:val="00A62A73"/>
    <w:rsid w:val="00A7113D"/>
    <w:rsid w:val="00A80996"/>
    <w:rsid w:val="00A87FF6"/>
    <w:rsid w:val="00A97382"/>
    <w:rsid w:val="00AA0A3B"/>
    <w:rsid w:val="00AA2763"/>
    <w:rsid w:val="00AA33B6"/>
    <w:rsid w:val="00AA731E"/>
    <w:rsid w:val="00AA79CA"/>
    <w:rsid w:val="00AB50CA"/>
    <w:rsid w:val="00AB6D64"/>
    <w:rsid w:val="00AC53CE"/>
    <w:rsid w:val="00AD2193"/>
    <w:rsid w:val="00AF2AC7"/>
    <w:rsid w:val="00AF56BD"/>
    <w:rsid w:val="00AF74CE"/>
    <w:rsid w:val="00B155E8"/>
    <w:rsid w:val="00B208DB"/>
    <w:rsid w:val="00B23F69"/>
    <w:rsid w:val="00B60619"/>
    <w:rsid w:val="00B66A70"/>
    <w:rsid w:val="00B67366"/>
    <w:rsid w:val="00B679B8"/>
    <w:rsid w:val="00B700AB"/>
    <w:rsid w:val="00B80EE1"/>
    <w:rsid w:val="00B832B7"/>
    <w:rsid w:val="00B84135"/>
    <w:rsid w:val="00C04D34"/>
    <w:rsid w:val="00C05DF8"/>
    <w:rsid w:val="00C06864"/>
    <w:rsid w:val="00C10F54"/>
    <w:rsid w:val="00C23D8D"/>
    <w:rsid w:val="00C31A67"/>
    <w:rsid w:val="00C37AA3"/>
    <w:rsid w:val="00C37FD7"/>
    <w:rsid w:val="00C43419"/>
    <w:rsid w:val="00C44CF3"/>
    <w:rsid w:val="00C61BE0"/>
    <w:rsid w:val="00C6707E"/>
    <w:rsid w:val="00C70B0E"/>
    <w:rsid w:val="00C773CA"/>
    <w:rsid w:val="00C803F1"/>
    <w:rsid w:val="00C83785"/>
    <w:rsid w:val="00C94C0D"/>
    <w:rsid w:val="00CA1FEB"/>
    <w:rsid w:val="00CA3FA1"/>
    <w:rsid w:val="00CC4573"/>
    <w:rsid w:val="00CD4F09"/>
    <w:rsid w:val="00CD4F85"/>
    <w:rsid w:val="00CD4FB5"/>
    <w:rsid w:val="00CD6F02"/>
    <w:rsid w:val="00CE246D"/>
    <w:rsid w:val="00CF07A0"/>
    <w:rsid w:val="00CF3E03"/>
    <w:rsid w:val="00D0082A"/>
    <w:rsid w:val="00D21455"/>
    <w:rsid w:val="00D26764"/>
    <w:rsid w:val="00D47634"/>
    <w:rsid w:val="00D6521F"/>
    <w:rsid w:val="00D709B3"/>
    <w:rsid w:val="00D72AFA"/>
    <w:rsid w:val="00D864D4"/>
    <w:rsid w:val="00D945D5"/>
    <w:rsid w:val="00DA2ED6"/>
    <w:rsid w:val="00DA4142"/>
    <w:rsid w:val="00DB76B8"/>
    <w:rsid w:val="00DC2EA1"/>
    <w:rsid w:val="00DD6AAF"/>
    <w:rsid w:val="00DE3F5C"/>
    <w:rsid w:val="00DF1D20"/>
    <w:rsid w:val="00E21324"/>
    <w:rsid w:val="00E246B9"/>
    <w:rsid w:val="00E250D2"/>
    <w:rsid w:val="00E31FEA"/>
    <w:rsid w:val="00E45169"/>
    <w:rsid w:val="00E47787"/>
    <w:rsid w:val="00E51C30"/>
    <w:rsid w:val="00E64180"/>
    <w:rsid w:val="00E74AEE"/>
    <w:rsid w:val="00E75926"/>
    <w:rsid w:val="00E868E5"/>
    <w:rsid w:val="00E86E17"/>
    <w:rsid w:val="00E9237A"/>
    <w:rsid w:val="00E927BF"/>
    <w:rsid w:val="00E939FA"/>
    <w:rsid w:val="00EA1699"/>
    <w:rsid w:val="00EA5765"/>
    <w:rsid w:val="00EC2532"/>
    <w:rsid w:val="00EC4B96"/>
    <w:rsid w:val="00ED7812"/>
    <w:rsid w:val="00EE530B"/>
    <w:rsid w:val="00EF17AB"/>
    <w:rsid w:val="00EF3B86"/>
    <w:rsid w:val="00F110C8"/>
    <w:rsid w:val="00F317E9"/>
    <w:rsid w:val="00F34554"/>
    <w:rsid w:val="00F45F77"/>
    <w:rsid w:val="00F5167F"/>
    <w:rsid w:val="00F51EE5"/>
    <w:rsid w:val="00F52258"/>
    <w:rsid w:val="00F6310A"/>
    <w:rsid w:val="00F67150"/>
    <w:rsid w:val="00F67C9F"/>
    <w:rsid w:val="00F71515"/>
    <w:rsid w:val="00F8570A"/>
    <w:rsid w:val="00F91C7B"/>
    <w:rsid w:val="00FD5415"/>
    <w:rsid w:val="00FE46CA"/>
    <w:rsid w:val="00FF4BD0"/>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07B9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596C07"/>
    <w:pPr>
      <w:keepNext/>
      <w:outlineLvl w:val="2"/>
    </w:pPr>
    <w:rPr>
      <w:rFonts w:ascii="Arial" w:hAnsi="Arial" w:cs="Arial"/>
      <w:b/>
      <w:bCs/>
      <w:i/>
      <w:iCs/>
      <w:color w:val="FF000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semiHidden/>
    <w:rsid w:val="005A0B2E"/>
    <w:rPr>
      <w:b/>
      <w:bCs/>
    </w:rPr>
  </w:style>
  <w:style w:type="paragraph" w:styleId="BalloonText">
    <w:name w:val="Balloon Text"/>
    <w:basedOn w:val="Normal"/>
    <w:link w:val="BalloonTextChar"/>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3Char">
    <w:name w:val="Heading 3 Char"/>
    <w:basedOn w:val="DefaultParagraphFont"/>
    <w:link w:val="Heading3"/>
    <w:rsid w:val="00596C07"/>
    <w:rPr>
      <w:rFonts w:ascii="Arial" w:hAnsi="Arial" w:cs="Arial"/>
      <w:b/>
      <w:bCs/>
      <w:i/>
      <w:iCs/>
      <w:color w:val="FF0000"/>
      <w:sz w:val="24"/>
      <w:szCs w:val="24"/>
      <w:lang w:val="hr-HR" w:eastAsia="en-US"/>
    </w:rPr>
  </w:style>
  <w:style w:type="numbering" w:customStyle="1" w:styleId="NoList1">
    <w:name w:val="No List1"/>
    <w:next w:val="NoList"/>
    <w:uiPriority w:val="99"/>
    <w:semiHidden/>
    <w:unhideWhenUsed/>
    <w:rsid w:val="00596C07"/>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596C07"/>
    <w:rPr>
      <w:sz w:val="24"/>
      <w:szCs w:val="24"/>
      <w:lang w:val="en-US" w:eastAsia="en-US"/>
    </w:rPr>
  </w:style>
  <w:style w:type="character" w:customStyle="1" w:styleId="FooterChar">
    <w:name w:val="Footer Char"/>
    <w:basedOn w:val="DefaultParagraphFont"/>
    <w:link w:val="Footer"/>
    <w:rsid w:val="00596C07"/>
    <w:rPr>
      <w:sz w:val="24"/>
      <w:szCs w:val="24"/>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596C07"/>
    <w:rPr>
      <w:lang w:val="en-US" w:eastAsia="en-US" w:bidi="ar-SA"/>
    </w:rPr>
  </w:style>
  <w:style w:type="character" w:customStyle="1" w:styleId="Heading2Char">
    <w:name w:val="Heading 2 Char"/>
    <w:basedOn w:val="DefaultParagraphFont"/>
    <w:link w:val="Heading2"/>
    <w:rsid w:val="00596C07"/>
    <w:rPr>
      <w:rFonts w:ascii="Arial" w:hAnsi="Arial" w:cs="Arial"/>
      <w:i/>
      <w:iCs/>
      <w:color w:val="999999"/>
      <w:sz w:val="18"/>
      <w:szCs w:val="24"/>
      <w:lang w:val="en-US" w:eastAsia="en-US"/>
    </w:rPr>
  </w:style>
  <w:style w:type="numbering" w:customStyle="1" w:styleId="NoList11">
    <w:name w:val="No List11"/>
    <w:next w:val="NoList"/>
    <w:uiPriority w:val="99"/>
    <w:semiHidden/>
    <w:unhideWhenUsed/>
    <w:rsid w:val="00596C07"/>
  </w:style>
  <w:style w:type="numbering" w:customStyle="1" w:styleId="1111111">
    <w:name w:val="1 / 1.1 / 1.1.11"/>
    <w:basedOn w:val="NoList"/>
    <w:next w:val="111111"/>
    <w:rsid w:val="00596C07"/>
    <w:pPr>
      <w:numPr>
        <w:numId w:val="1"/>
      </w:numPr>
    </w:pPr>
  </w:style>
  <w:style w:type="character" w:customStyle="1" w:styleId="CommentSubjectChar">
    <w:name w:val="Comment Subject Char"/>
    <w:basedOn w:val="CommentTextChar"/>
    <w:link w:val="CommentSubject"/>
    <w:semiHidden/>
    <w:rsid w:val="00596C07"/>
    <w:rPr>
      <w:b/>
      <w:bCs/>
      <w:lang w:val="en-US" w:eastAsia="en-US"/>
    </w:rPr>
  </w:style>
  <w:style w:type="character" w:customStyle="1" w:styleId="BalloonTextChar">
    <w:name w:val="Balloon Text Char"/>
    <w:basedOn w:val="DefaultParagraphFont"/>
    <w:link w:val="BalloonText"/>
    <w:semiHidden/>
    <w:rsid w:val="00596C07"/>
    <w:rPr>
      <w:rFonts w:ascii="Tahoma" w:hAnsi="Tahoma" w:cs="Tahoma"/>
      <w:sz w:val="16"/>
      <w:szCs w:val="16"/>
      <w:lang w:val="en-US" w:eastAsia="en-US"/>
    </w:rPr>
  </w:style>
  <w:style w:type="paragraph" w:customStyle="1" w:styleId="Default">
    <w:name w:val="Default"/>
    <w:uiPriority w:val="99"/>
    <w:rsid w:val="00596C07"/>
    <w:pPr>
      <w:widowControl w:val="0"/>
      <w:autoSpaceDE w:val="0"/>
      <w:autoSpaceDN w:val="0"/>
      <w:adjustRightInd w:val="0"/>
    </w:pPr>
    <w:rPr>
      <w:rFonts w:ascii="Arial" w:hAnsi="Arial" w:cs="Arial"/>
      <w:color w:val="000000"/>
      <w:sz w:val="24"/>
      <w:szCs w:val="24"/>
      <w:lang w:val="en-US" w:eastAsia="en-US"/>
    </w:rPr>
  </w:style>
  <w:style w:type="paragraph" w:customStyle="1" w:styleId="DefaultText">
    <w:name w:val="Default Text"/>
    <w:basedOn w:val="Normal"/>
    <w:rsid w:val="00596C07"/>
    <w:pPr>
      <w:overflowPunct w:val="0"/>
      <w:autoSpaceDE w:val="0"/>
      <w:autoSpaceDN w:val="0"/>
      <w:adjustRightInd w:val="0"/>
      <w:textAlignment w:val="baseline"/>
    </w:pPr>
    <w:rPr>
      <w:rFonts w:ascii="Arial" w:hAnsi="Arial" w:cs="Arial"/>
      <w:sz w:val="22"/>
      <w:szCs w:val="22"/>
    </w:rPr>
  </w:style>
  <w:style w:type="paragraph" w:customStyle="1" w:styleId="EMEANormal">
    <w:name w:val="EMEA Normal"/>
    <w:rsid w:val="00596C07"/>
    <w:pPr>
      <w:tabs>
        <w:tab w:val="left" w:pos="562"/>
      </w:tabs>
      <w:suppressAutoHyphens/>
    </w:pPr>
    <w:rPr>
      <w:sz w:val="22"/>
      <w:szCs w:val="22"/>
      <w:lang w:val="en-US" w:eastAsia="en-US"/>
    </w:rPr>
  </w:style>
  <w:style w:type="paragraph" w:styleId="EndnoteText">
    <w:name w:val="endnote text"/>
    <w:basedOn w:val="Normal"/>
    <w:next w:val="Normal"/>
    <w:link w:val="EndnoteTextChar"/>
    <w:rsid w:val="00596C07"/>
    <w:pPr>
      <w:tabs>
        <w:tab w:val="left" w:pos="562"/>
      </w:tabs>
      <w:suppressAutoHyphens/>
    </w:pPr>
    <w:rPr>
      <w:sz w:val="22"/>
      <w:szCs w:val="22"/>
    </w:rPr>
  </w:style>
  <w:style w:type="character" w:customStyle="1" w:styleId="EndnoteTextChar">
    <w:name w:val="Endnote Text Char"/>
    <w:basedOn w:val="DefaultParagraphFont"/>
    <w:link w:val="EndnoteText"/>
    <w:rsid w:val="00596C07"/>
    <w:rPr>
      <w:sz w:val="22"/>
      <w:szCs w:val="22"/>
      <w:lang w:val="en-US" w:eastAsia="en-US"/>
    </w:rPr>
  </w:style>
  <w:style w:type="paragraph" w:styleId="BodyText3">
    <w:name w:val="Body Text 3"/>
    <w:basedOn w:val="Normal"/>
    <w:link w:val="BodyText3Char"/>
    <w:rsid w:val="00596C07"/>
    <w:pPr>
      <w:tabs>
        <w:tab w:val="left" w:pos="562"/>
      </w:tabs>
      <w:suppressAutoHyphens/>
      <w:jc w:val="both"/>
    </w:pPr>
    <w:rPr>
      <w:b/>
      <w:bCs/>
      <w:i/>
      <w:iCs/>
      <w:sz w:val="22"/>
      <w:szCs w:val="22"/>
    </w:rPr>
  </w:style>
  <w:style w:type="character" w:customStyle="1" w:styleId="BodyText3Char">
    <w:name w:val="Body Text 3 Char"/>
    <w:basedOn w:val="DefaultParagraphFont"/>
    <w:link w:val="BodyText3"/>
    <w:rsid w:val="00596C07"/>
    <w:rPr>
      <w:b/>
      <w:bCs/>
      <w:i/>
      <w:iCs/>
      <w:sz w:val="22"/>
      <w:szCs w:val="22"/>
      <w:lang w:val="en-US" w:eastAsia="en-US"/>
    </w:rPr>
  </w:style>
  <w:style w:type="paragraph" w:styleId="BodyTextIndent2">
    <w:name w:val="Body Text Indent 2"/>
    <w:basedOn w:val="Normal"/>
    <w:link w:val="BodyTextIndent2Char"/>
    <w:rsid w:val="00596C07"/>
    <w:pPr>
      <w:tabs>
        <w:tab w:val="left" w:pos="567"/>
      </w:tabs>
      <w:ind w:left="567" w:hanging="567"/>
    </w:pPr>
    <w:rPr>
      <w:rFonts w:ascii="Arial" w:hAnsi="Arial" w:cs="Arial"/>
      <w:lang w:val="hr-HR"/>
    </w:rPr>
  </w:style>
  <w:style w:type="character" w:customStyle="1" w:styleId="BodyTextIndent2Char">
    <w:name w:val="Body Text Indent 2 Char"/>
    <w:basedOn w:val="DefaultParagraphFont"/>
    <w:link w:val="BodyTextIndent2"/>
    <w:rsid w:val="00596C07"/>
    <w:rPr>
      <w:rFonts w:ascii="Arial" w:hAnsi="Arial" w:cs="Arial"/>
      <w:sz w:val="24"/>
      <w:szCs w:val="24"/>
      <w:lang w:val="hr-HR" w:eastAsia="en-US"/>
    </w:rPr>
  </w:style>
  <w:style w:type="paragraph" w:styleId="BodyText">
    <w:name w:val="Body Text"/>
    <w:basedOn w:val="Normal"/>
    <w:link w:val="BodyTextChar"/>
    <w:rsid w:val="00596C07"/>
    <w:pPr>
      <w:jc w:val="both"/>
    </w:pPr>
    <w:rPr>
      <w:rFonts w:ascii="Arial" w:hAnsi="Arial" w:cs="Arial"/>
    </w:rPr>
  </w:style>
  <w:style w:type="character" w:customStyle="1" w:styleId="BodyTextChar">
    <w:name w:val="Body Text Char"/>
    <w:basedOn w:val="DefaultParagraphFont"/>
    <w:link w:val="BodyText"/>
    <w:rsid w:val="00596C07"/>
    <w:rPr>
      <w:rFonts w:ascii="Arial" w:hAnsi="Arial" w:cs="Arial"/>
      <w:sz w:val="24"/>
      <w:szCs w:val="24"/>
      <w:lang w:val="en-US" w:eastAsia="en-US"/>
    </w:rPr>
  </w:style>
  <w:style w:type="paragraph" w:customStyle="1" w:styleId="Tekstbalonia1">
    <w:name w:val="Tekst balončića1"/>
    <w:basedOn w:val="Normal"/>
    <w:semiHidden/>
    <w:rsid w:val="00596C07"/>
    <w:rPr>
      <w:rFonts w:ascii="Tahoma" w:hAnsi="Tahoma" w:cs="Tahoma"/>
      <w:sz w:val="16"/>
      <w:szCs w:val="16"/>
    </w:rPr>
  </w:style>
  <w:style w:type="table" w:styleId="TableGrid">
    <w:name w:val="Table Grid"/>
    <w:basedOn w:val="TableNormal"/>
    <w:rsid w:val="00596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6C07"/>
    <w:rPr>
      <w:sz w:val="24"/>
      <w:szCs w:val="24"/>
      <w:lang w:val="en-US" w:eastAsia="en-US"/>
    </w:rPr>
  </w:style>
  <w:style w:type="paragraph" w:customStyle="1" w:styleId="TableFootnoteLetter">
    <w:name w:val="Table Footnote Letter"/>
    <w:rsid w:val="00596C07"/>
    <w:pPr>
      <w:keepLines/>
      <w:numPr>
        <w:numId w:val="4"/>
      </w:numPr>
      <w:spacing w:before="40" w:line="240" w:lineRule="exact"/>
    </w:pPr>
    <w:rPr>
      <w:rFonts w:ascii="Verdana" w:eastAsia="MS Mincho" w:hAnsi="Verdana"/>
      <w:sz w:val="16"/>
      <w:szCs w:val="18"/>
      <w:lang w:val="en-US" w:eastAsia="ja-JP"/>
    </w:rPr>
  </w:style>
  <w:style w:type="table" w:customStyle="1" w:styleId="TableGrid1">
    <w:name w:val="Table Grid1"/>
    <w:basedOn w:val="TableNormal"/>
    <w:next w:val="TableGrid"/>
    <w:rsid w:val="00596C07"/>
    <w:pPr>
      <w:tabs>
        <w:tab w:val="left" w:pos="562"/>
      </w:tabs>
      <w:suppressAutoHyphens/>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A4F93-472D-4FEC-BB2E-5B0D49F9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21476</Words>
  <Characters>122417</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143606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Paunovic, Jovana</cp:lastModifiedBy>
  <cp:revision>5</cp:revision>
  <dcterms:created xsi:type="dcterms:W3CDTF">2023-02-02T08:20:00Z</dcterms:created>
  <dcterms:modified xsi:type="dcterms:W3CDTF">2023-02-02T11:07:00Z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