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1CD" w:rsidRPr="00CA7204" w:rsidRDefault="00F171CD" w:rsidP="00114D0D">
      <w:pPr>
        <w:tabs>
          <w:tab w:val="left" w:pos="284"/>
        </w:tabs>
        <w:jc w:val="center"/>
        <w:rPr>
          <w:b/>
          <w:bCs/>
          <w:iCs/>
          <w:sz w:val="22"/>
          <w:szCs w:val="22"/>
          <w:u w:val="single"/>
          <w:lang w:val="sr-Latn-ME"/>
        </w:rPr>
      </w:pPr>
      <w:r w:rsidRPr="00CA7204">
        <w:rPr>
          <w:b/>
          <w:bCs/>
          <w:iCs/>
          <w:sz w:val="22"/>
          <w:szCs w:val="22"/>
          <w:u w:val="single"/>
          <w:lang w:val="sr-Latn-ME"/>
        </w:rPr>
        <w:t>SAŽETAK KARAKTERISTIKA LIJEKA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114D0D" w:rsidRPr="00CA7204" w:rsidRDefault="00114D0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1.     NAZIV LIJEKA</w:t>
      </w:r>
    </w:p>
    <w:p w:rsidR="00F171CD" w:rsidRPr="00CA7204" w:rsidRDefault="00F171CD">
      <w:pPr>
        <w:tabs>
          <w:tab w:val="left" w:pos="284"/>
        </w:tabs>
        <w:jc w:val="both"/>
        <w:rPr>
          <w:bCs/>
          <w:i/>
          <w:iCs/>
          <w:sz w:val="22"/>
          <w:szCs w:val="22"/>
          <w:lang w:val="sr-Latn-ME"/>
        </w:rPr>
      </w:pPr>
    </w:p>
    <w:p w:rsidR="00F171CD" w:rsidRPr="00CA7204" w:rsidRDefault="00F171CD">
      <w:pPr>
        <w:jc w:val="both"/>
        <w:rPr>
          <w:sz w:val="22"/>
          <w:szCs w:val="22"/>
          <w:lang w:val="sr-Latn-ME"/>
        </w:rPr>
      </w:pPr>
      <w:r w:rsidRPr="00CA7204">
        <w:rPr>
          <w:sz w:val="22"/>
          <w:szCs w:val="22"/>
          <w:lang w:val="sr-Latn-ME"/>
        </w:rPr>
        <w:t>Zyllt, 75 mg, film tableta</w:t>
      </w:r>
    </w:p>
    <w:p w:rsidR="00F171CD" w:rsidRPr="00CA7204" w:rsidRDefault="00F171CD">
      <w:pPr>
        <w:jc w:val="both"/>
        <w:rPr>
          <w:sz w:val="22"/>
          <w:szCs w:val="22"/>
          <w:lang w:val="sr-Latn-ME"/>
        </w:rPr>
      </w:pPr>
    </w:p>
    <w:p w:rsidR="00F171CD" w:rsidRPr="00CA7204" w:rsidRDefault="00F171CD">
      <w:pPr>
        <w:jc w:val="both"/>
        <w:rPr>
          <w:sz w:val="22"/>
          <w:szCs w:val="22"/>
          <w:vertAlign w:val="superscript"/>
          <w:lang w:val="sr-Latn-ME"/>
        </w:rPr>
      </w:pPr>
      <w:r w:rsidRPr="00CA7204">
        <w:rPr>
          <w:sz w:val="22"/>
          <w:szCs w:val="22"/>
          <w:lang w:val="sr-Latn-ME"/>
        </w:rPr>
        <w:t>INN: klopidogrel</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2.     KVALITATIVNI I KVANTITATIVNI SASTAV</w:t>
      </w:r>
    </w:p>
    <w:p w:rsidR="00F171CD" w:rsidRPr="00CA7204" w:rsidRDefault="00F171CD">
      <w:pPr>
        <w:jc w:val="both"/>
        <w:rPr>
          <w:sz w:val="22"/>
          <w:szCs w:val="22"/>
          <w:lang w:val="sr-Latn-ME"/>
        </w:rPr>
      </w:pPr>
    </w:p>
    <w:p w:rsidR="00F171CD" w:rsidRPr="00CA7204" w:rsidRDefault="00F171CD">
      <w:pPr>
        <w:ind w:right="-483"/>
        <w:jc w:val="both"/>
        <w:rPr>
          <w:sz w:val="22"/>
          <w:szCs w:val="22"/>
          <w:lang w:val="sr-Latn-ME" w:eastAsia="hr-HR"/>
        </w:rPr>
      </w:pPr>
      <w:r w:rsidRPr="00CA7204">
        <w:rPr>
          <w:sz w:val="22"/>
          <w:szCs w:val="22"/>
          <w:lang w:val="sr-Latn-ME" w:eastAsia="hr-HR"/>
        </w:rPr>
        <w:t>Svaka film tableta sadrži 75 mg klopidogrela</w:t>
      </w:r>
      <w:r w:rsidRPr="00CA7204">
        <w:rPr>
          <w:sz w:val="22"/>
          <w:szCs w:val="22"/>
          <w:lang w:val="sr-Latn-ME" w:eastAsia="sl-SI"/>
        </w:rPr>
        <w:t xml:space="preserve"> u obliku klopidogrel hidrogensulfata</w:t>
      </w:r>
      <w:r w:rsidRPr="00CA7204">
        <w:rPr>
          <w:sz w:val="22"/>
          <w:szCs w:val="22"/>
          <w:lang w:val="sr-Latn-ME" w:eastAsia="hr-HR"/>
        </w:rPr>
        <w:t>.</w:t>
      </w:r>
    </w:p>
    <w:p w:rsidR="00F171CD" w:rsidRPr="00CA7204" w:rsidRDefault="00F171CD">
      <w:pPr>
        <w:ind w:right="-483"/>
        <w:jc w:val="both"/>
        <w:rPr>
          <w:sz w:val="22"/>
          <w:szCs w:val="22"/>
          <w:lang w:val="sr-Latn-ME" w:eastAsia="hr-HR"/>
        </w:rPr>
      </w:pPr>
    </w:p>
    <w:p w:rsidR="00F171CD" w:rsidRPr="00CA7204" w:rsidRDefault="00114D0D">
      <w:pPr>
        <w:ind w:right="-483"/>
        <w:jc w:val="both"/>
        <w:rPr>
          <w:sz w:val="22"/>
          <w:szCs w:val="22"/>
          <w:u w:val="single"/>
          <w:lang w:val="sr-Latn-ME" w:eastAsia="hr-HR"/>
        </w:rPr>
      </w:pPr>
      <w:r w:rsidRPr="00CA7204">
        <w:rPr>
          <w:sz w:val="22"/>
          <w:szCs w:val="22"/>
          <w:u w:val="single"/>
          <w:lang w:val="sr-Latn-ME" w:eastAsia="hr-HR"/>
        </w:rPr>
        <w:t>Pomoćne supstance sa potvrđenim dejstvom</w:t>
      </w:r>
      <w:r w:rsidR="00F171CD" w:rsidRPr="00CA7204">
        <w:rPr>
          <w:sz w:val="22"/>
          <w:szCs w:val="22"/>
          <w:u w:val="single"/>
          <w:lang w:val="sr-Latn-ME" w:eastAsia="hr-HR"/>
        </w:rPr>
        <w:t>:</w:t>
      </w:r>
    </w:p>
    <w:p w:rsidR="00F171CD" w:rsidRPr="00CA7204" w:rsidRDefault="00F171CD">
      <w:pPr>
        <w:ind w:right="-483"/>
        <w:jc w:val="both"/>
        <w:rPr>
          <w:sz w:val="22"/>
          <w:szCs w:val="22"/>
          <w:lang w:val="sr-Latn-ME" w:eastAsia="hr-HR"/>
        </w:rPr>
      </w:pPr>
      <w:r w:rsidRPr="00CA7204">
        <w:rPr>
          <w:sz w:val="22"/>
          <w:szCs w:val="22"/>
          <w:lang w:val="sr-Latn-ME" w:eastAsia="hr-HR"/>
        </w:rPr>
        <w:t>1 film tableta sadrži 108,125 mg laktoze.</w:t>
      </w:r>
    </w:p>
    <w:p w:rsidR="00114D0D" w:rsidRPr="00CA7204" w:rsidRDefault="00114D0D">
      <w:pPr>
        <w:ind w:right="-483"/>
        <w:jc w:val="both"/>
        <w:rPr>
          <w:sz w:val="22"/>
          <w:szCs w:val="22"/>
          <w:lang w:val="sr-Latn-ME" w:eastAsia="hr-HR"/>
        </w:rPr>
      </w:pPr>
    </w:p>
    <w:p w:rsidR="00F171CD" w:rsidRPr="00CA7204" w:rsidRDefault="00F171CD">
      <w:pPr>
        <w:ind w:right="-483"/>
        <w:jc w:val="both"/>
        <w:rPr>
          <w:sz w:val="22"/>
          <w:szCs w:val="22"/>
          <w:lang w:val="sr-Latn-ME" w:eastAsia="hr-HR"/>
        </w:rPr>
      </w:pPr>
      <w:r w:rsidRPr="00CA7204">
        <w:rPr>
          <w:sz w:val="22"/>
          <w:szCs w:val="22"/>
          <w:lang w:val="sr-Latn-ME" w:eastAsia="hr-HR"/>
        </w:rPr>
        <w:t>Za spisak svih ekscipijenasa, pogledati dio 6.1.</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3.     FARMACEUTSKI OBLIK</w:t>
      </w:r>
    </w:p>
    <w:p w:rsidR="00F171CD" w:rsidRPr="00CA7204" w:rsidRDefault="00F171CD">
      <w:pPr>
        <w:jc w:val="both"/>
        <w:rPr>
          <w:i/>
          <w:sz w:val="22"/>
          <w:szCs w:val="22"/>
          <w:lang w:val="sr-Latn-ME"/>
        </w:rPr>
      </w:pPr>
    </w:p>
    <w:p w:rsidR="00F171CD" w:rsidRPr="00CA7204" w:rsidRDefault="00F171CD">
      <w:pPr>
        <w:jc w:val="both"/>
        <w:rPr>
          <w:sz w:val="22"/>
          <w:szCs w:val="22"/>
          <w:lang w:val="sr-Latn-ME"/>
        </w:rPr>
      </w:pPr>
      <w:r w:rsidRPr="00CA7204">
        <w:rPr>
          <w:sz w:val="22"/>
          <w:szCs w:val="22"/>
          <w:lang w:val="sr-Latn-ME"/>
        </w:rPr>
        <w:t>Film tableta</w:t>
      </w:r>
    </w:p>
    <w:p w:rsidR="00F171CD" w:rsidRPr="00CA7204" w:rsidRDefault="00F171CD">
      <w:pPr>
        <w:tabs>
          <w:tab w:val="left" w:pos="0"/>
        </w:tabs>
        <w:jc w:val="both"/>
        <w:rPr>
          <w:sz w:val="22"/>
          <w:szCs w:val="22"/>
          <w:lang w:val="sr-Latn-ME" w:eastAsia="sl-SI"/>
        </w:rPr>
      </w:pPr>
      <w:r w:rsidRPr="00CA7204">
        <w:rPr>
          <w:sz w:val="22"/>
          <w:szCs w:val="22"/>
          <w:lang w:val="sr-Latn-ME" w:eastAsia="sl-SI"/>
        </w:rPr>
        <w:t>Okrugle, bikonveksne, ružičaste film tablete.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4.     KLINIČKI PODACI</w:t>
      </w:r>
    </w:p>
    <w:p w:rsidR="00F171CD" w:rsidRPr="00CA7204" w:rsidRDefault="00F171CD">
      <w:pPr>
        <w:tabs>
          <w:tab w:val="left" w:pos="284"/>
        </w:tabs>
        <w:jc w:val="both"/>
        <w:rPr>
          <w:b/>
          <w:bCs/>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4.1.  Terapijske indikacije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Sekundarna prevencija aterotrombotičkih događaja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Klopidogrel je indikovan kod:</w:t>
      </w:r>
    </w:p>
    <w:p w:rsidR="00F171CD" w:rsidRPr="00CA7204" w:rsidRDefault="00F171CD">
      <w:pPr>
        <w:tabs>
          <w:tab w:val="left" w:pos="284"/>
        </w:tabs>
        <w:jc w:val="both"/>
        <w:rPr>
          <w:sz w:val="22"/>
          <w:szCs w:val="22"/>
          <w:lang w:val="sr-Latn-ME"/>
        </w:rPr>
      </w:pPr>
    </w:p>
    <w:p w:rsidR="00F171CD" w:rsidRPr="00CA7204" w:rsidRDefault="00F171CD">
      <w:pPr>
        <w:numPr>
          <w:ilvl w:val="0"/>
          <w:numId w:val="28"/>
        </w:numPr>
        <w:tabs>
          <w:tab w:val="left" w:pos="284"/>
        </w:tabs>
        <w:ind w:left="567" w:hanging="567"/>
        <w:jc w:val="both"/>
        <w:rPr>
          <w:sz w:val="22"/>
          <w:szCs w:val="22"/>
          <w:lang w:val="sr-Latn-ME"/>
        </w:rPr>
      </w:pPr>
      <w:r w:rsidRPr="00CA7204">
        <w:rPr>
          <w:sz w:val="22"/>
          <w:szCs w:val="22"/>
          <w:lang w:val="sr-Latn-ME"/>
        </w:rPr>
        <w:t>odraslih pacijenata koji su pretrpjeli infarkt miokarda (u rasponu od nekoliko do najviše 35 dana), ishemijski moždani udar (u rasponu od 7 dana do najviše 6 mjeseci) ili kod pacijenata koji imaju potvrđenu bolest perifernih arterija.</w:t>
      </w:r>
    </w:p>
    <w:p w:rsidR="00F171CD" w:rsidRPr="00CA7204" w:rsidRDefault="00F171CD">
      <w:pPr>
        <w:tabs>
          <w:tab w:val="left" w:pos="284"/>
        </w:tabs>
        <w:jc w:val="both"/>
        <w:rPr>
          <w:sz w:val="22"/>
          <w:szCs w:val="22"/>
          <w:lang w:val="sr-Latn-ME"/>
        </w:rPr>
      </w:pPr>
    </w:p>
    <w:p w:rsidR="00F171CD" w:rsidRPr="00CA7204" w:rsidRDefault="00F171CD">
      <w:pPr>
        <w:numPr>
          <w:ilvl w:val="0"/>
          <w:numId w:val="29"/>
        </w:numPr>
        <w:tabs>
          <w:tab w:val="left" w:pos="284"/>
        </w:tabs>
        <w:ind w:left="567" w:hanging="567"/>
        <w:jc w:val="both"/>
        <w:rPr>
          <w:sz w:val="22"/>
          <w:szCs w:val="22"/>
          <w:lang w:val="sr-Latn-ME"/>
        </w:rPr>
      </w:pPr>
      <w:r w:rsidRPr="00CA7204">
        <w:rPr>
          <w:sz w:val="22"/>
          <w:szCs w:val="22"/>
          <w:lang w:val="sr-Latn-ME"/>
        </w:rPr>
        <w:t>odraslih pacijenata koji boluju od akutnog koronarnog sindroma:</w:t>
      </w:r>
    </w:p>
    <w:p w:rsidR="00F171CD" w:rsidRPr="00CA7204" w:rsidRDefault="00F171CD">
      <w:pPr>
        <w:numPr>
          <w:ilvl w:val="1"/>
          <w:numId w:val="27"/>
        </w:numPr>
        <w:tabs>
          <w:tab w:val="left" w:pos="284"/>
        </w:tabs>
        <w:jc w:val="both"/>
        <w:rPr>
          <w:sz w:val="22"/>
          <w:szCs w:val="22"/>
          <w:lang w:val="sr-Latn-ME"/>
        </w:rPr>
      </w:pPr>
      <w:r w:rsidRPr="00CA7204">
        <w:rPr>
          <w:sz w:val="22"/>
          <w:szCs w:val="22"/>
          <w:lang w:val="sr-Latn-ME"/>
        </w:rPr>
        <w:t>akutni koronarni sindrom bez elevacije ST segmenta (nestabilna angina ili infarkt miokarda bez Q zupca), uključujući i pacijente koji se podvrgavaju ugradnji stenta nakon perkutane koronarne intervencije, u kombinaciji sa acetilsalicilnom kiselinom (ASK).</w:t>
      </w:r>
    </w:p>
    <w:p w:rsidR="00F171CD" w:rsidRPr="00CA7204" w:rsidRDefault="00F171CD">
      <w:pPr>
        <w:numPr>
          <w:ilvl w:val="1"/>
          <w:numId w:val="27"/>
        </w:numPr>
        <w:tabs>
          <w:tab w:val="left" w:pos="284"/>
        </w:tabs>
        <w:jc w:val="both"/>
        <w:rPr>
          <w:sz w:val="22"/>
          <w:szCs w:val="22"/>
          <w:lang w:val="sr-Latn-ME"/>
        </w:rPr>
      </w:pPr>
      <w:r w:rsidRPr="00CA7204">
        <w:rPr>
          <w:sz w:val="22"/>
          <w:szCs w:val="22"/>
          <w:lang w:val="sr-Latn-ME"/>
        </w:rPr>
        <w:t>akutni infarkt miokarda sa elevacijom ST segmenta, u kombinaciji sa ASK, kod medikamentozno liječenih pacijenata pogodnih za liječenje trombolitičkom terapijom.</w:t>
      </w:r>
    </w:p>
    <w:p w:rsidR="00A7111D" w:rsidRPr="00CA7204" w:rsidRDefault="00A7111D">
      <w:pPr>
        <w:tabs>
          <w:tab w:val="left" w:pos="284"/>
        </w:tabs>
        <w:ind w:left="1058"/>
        <w:jc w:val="both"/>
        <w:rPr>
          <w:sz w:val="22"/>
          <w:szCs w:val="22"/>
          <w:lang w:val="sr-Latn-ME"/>
        </w:rPr>
      </w:pPr>
    </w:p>
    <w:p w:rsidR="000831AD" w:rsidRPr="00CA7204" w:rsidRDefault="00A7111D" w:rsidP="00F2401E">
      <w:pPr>
        <w:tabs>
          <w:tab w:val="left" w:pos="567"/>
        </w:tabs>
        <w:jc w:val="both"/>
        <w:rPr>
          <w:i/>
          <w:sz w:val="22"/>
          <w:szCs w:val="22"/>
        </w:rPr>
      </w:pPr>
      <w:r w:rsidRPr="00CA7204">
        <w:rPr>
          <w:i/>
          <w:sz w:val="22"/>
          <w:szCs w:val="22"/>
        </w:rPr>
        <w:t xml:space="preserve">Kod pacijenata </w:t>
      </w:r>
      <w:proofErr w:type="gramStart"/>
      <w:r w:rsidRPr="00CA7204">
        <w:rPr>
          <w:i/>
          <w:sz w:val="22"/>
          <w:szCs w:val="22"/>
        </w:rPr>
        <w:t>sa</w:t>
      </w:r>
      <w:proofErr w:type="gramEnd"/>
      <w:r w:rsidRPr="00CA7204">
        <w:rPr>
          <w:i/>
          <w:sz w:val="22"/>
          <w:szCs w:val="22"/>
        </w:rPr>
        <w:t xml:space="preserve"> umjerenim do visokorizičnim prolaznim ishemijskim napadom (engl. Transient Ishemic Attack, TIA) </w:t>
      </w:r>
      <w:proofErr w:type="gramStart"/>
      <w:r w:rsidRPr="00CA7204">
        <w:rPr>
          <w:i/>
          <w:sz w:val="22"/>
          <w:szCs w:val="22"/>
        </w:rPr>
        <w:t>ili</w:t>
      </w:r>
      <w:proofErr w:type="gramEnd"/>
      <w:r w:rsidRPr="00CA7204">
        <w:rPr>
          <w:i/>
          <w:sz w:val="22"/>
          <w:szCs w:val="22"/>
        </w:rPr>
        <w:t xml:space="preserve"> manjim ishemijskim moždanim udarom (engl. Ischemic </w:t>
      </w:r>
      <w:proofErr w:type="gramStart"/>
      <w:r w:rsidRPr="00CA7204">
        <w:rPr>
          <w:i/>
          <w:sz w:val="22"/>
          <w:szCs w:val="22"/>
        </w:rPr>
        <w:t>Stroke,</w:t>
      </w:r>
      <w:proofErr w:type="gramEnd"/>
      <w:r w:rsidRPr="00CA7204">
        <w:rPr>
          <w:i/>
          <w:sz w:val="22"/>
          <w:szCs w:val="22"/>
        </w:rPr>
        <w:t xml:space="preserve"> IS) Klopidogrel je indikovan u kombinaciji s</w:t>
      </w:r>
      <w:r w:rsidR="00C02689" w:rsidRPr="00CA7204">
        <w:rPr>
          <w:i/>
          <w:sz w:val="22"/>
          <w:szCs w:val="22"/>
        </w:rPr>
        <w:t>a</w:t>
      </w:r>
      <w:r w:rsidRPr="00CA7204">
        <w:rPr>
          <w:i/>
          <w:sz w:val="22"/>
          <w:szCs w:val="22"/>
        </w:rPr>
        <w:t xml:space="preserve"> ASK kod:</w:t>
      </w:r>
    </w:p>
    <w:p w:rsidR="00A7111D" w:rsidRPr="00CA7204" w:rsidRDefault="00A7111D" w:rsidP="00F2401E">
      <w:pPr>
        <w:tabs>
          <w:tab w:val="left" w:pos="567"/>
        </w:tabs>
        <w:jc w:val="both"/>
        <w:rPr>
          <w:i/>
          <w:sz w:val="22"/>
          <w:szCs w:val="22"/>
        </w:rPr>
      </w:pPr>
    </w:p>
    <w:p w:rsidR="00F171CD" w:rsidRPr="00CA7204" w:rsidRDefault="00A7111D" w:rsidP="00F2401E">
      <w:pPr>
        <w:numPr>
          <w:ilvl w:val="0"/>
          <w:numId w:val="28"/>
        </w:numPr>
        <w:tabs>
          <w:tab w:val="left" w:pos="284"/>
        </w:tabs>
        <w:jc w:val="both"/>
        <w:rPr>
          <w:i/>
          <w:sz w:val="22"/>
          <w:szCs w:val="22"/>
        </w:rPr>
      </w:pPr>
      <w:proofErr w:type="gramStart"/>
      <w:r w:rsidRPr="00CA7204">
        <w:rPr>
          <w:sz w:val="22"/>
          <w:szCs w:val="22"/>
        </w:rPr>
        <w:t>odraslih</w:t>
      </w:r>
      <w:proofErr w:type="gramEnd"/>
      <w:r w:rsidRPr="00CA7204">
        <w:rPr>
          <w:sz w:val="22"/>
          <w:szCs w:val="22"/>
        </w:rPr>
        <w:t xml:space="preserve"> pacijenata sa umjerenim do visokorizičnim prolaznim ishemijskim napadom (vrijednost ABCD2</w:t>
      </w:r>
      <w:r w:rsidRPr="00CA7204">
        <w:rPr>
          <w:sz w:val="22"/>
          <w:szCs w:val="22"/>
          <w:vertAlign w:val="superscript"/>
        </w:rPr>
        <w:t>1</w:t>
      </w:r>
      <w:r w:rsidRPr="00CA7204">
        <w:rPr>
          <w:sz w:val="22"/>
          <w:szCs w:val="22"/>
        </w:rPr>
        <w:t xml:space="preserve"> ≥4) ili manjim ishemijskim moždanim udarom (NIHSS</w:t>
      </w:r>
      <w:r w:rsidRPr="00CA7204">
        <w:rPr>
          <w:sz w:val="22"/>
          <w:szCs w:val="22"/>
          <w:vertAlign w:val="superscript"/>
        </w:rPr>
        <w:t>2</w:t>
      </w:r>
      <w:r w:rsidRPr="00CA7204">
        <w:rPr>
          <w:sz w:val="22"/>
          <w:szCs w:val="22"/>
        </w:rPr>
        <w:t xml:space="preserve"> ≤3) u roku od 24 sata od pojave ili prolaznog ishemijskog napada ili ishemijskog moždanog udara.</w:t>
      </w:r>
      <w:r w:rsidRPr="00CA7204">
        <w:rPr>
          <w:sz w:val="22"/>
          <w:szCs w:val="22"/>
        </w:rPr>
        <w:cr/>
      </w:r>
    </w:p>
    <w:p w:rsidR="00F171CD" w:rsidRPr="00CA7204" w:rsidRDefault="00F171CD">
      <w:pPr>
        <w:tabs>
          <w:tab w:val="left" w:pos="284"/>
        </w:tabs>
        <w:jc w:val="both"/>
        <w:rPr>
          <w:i/>
          <w:sz w:val="22"/>
          <w:szCs w:val="22"/>
          <w:lang w:val="sr-Latn-ME"/>
        </w:rPr>
      </w:pPr>
      <w:r w:rsidRPr="00CA7204">
        <w:rPr>
          <w:i/>
          <w:sz w:val="22"/>
          <w:szCs w:val="22"/>
          <w:lang w:val="sr-Latn-ME"/>
        </w:rPr>
        <w:t>Prevencija aterotrombotičkih i tromboembolijskih događaja u atrijalnoj fibrilaciji</w:t>
      </w:r>
    </w:p>
    <w:p w:rsidR="00F171CD" w:rsidRPr="00CA7204" w:rsidRDefault="00F171CD">
      <w:pPr>
        <w:tabs>
          <w:tab w:val="left" w:pos="284"/>
        </w:tabs>
        <w:jc w:val="both"/>
        <w:rPr>
          <w:i/>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lastRenderedPageBreak/>
        <w:t>Kod odraslih pacijenata sa atrijalnom fibrilacijom (AF) koji imaju najmanje jedan faktor rizika od razvoja vaskularnih događaja, koji ni</w:t>
      </w:r>
      <w:r w:rsidR="005A2033" w:rsidRPr="00CA7204">
        <w:rPr>
          <w:sz w:val="22"/>
          <w:szCs w:val="22"/>
          <w:lang w:val="sr-Latn-ME"/>
        </w:rPr>
        <w:t>je</w:t>
      </w:r>
      <w:r w:rsidRPr="00CA7204">
        <w:rPr>
          <w:sz w:val="22"/>
          <w:szCs w:val="22"/>
          <w:lang w:val="sr-Latn-ME"/>
        </w:rPr>
        <w:t>su podobni za terapiju antagonistima vitamina K (AVK) i koji imaju mali rizik od nastanka krvarenja, klopidogrel je indikovan u kombinaciji sa ASK za prevenciju aterotrombotičkih i tromboembolijskih događaja, uključujući moždani udar.</w:t>
      </w:r>
    </w:p>
    <w:p w:rsidR="00F171CD" w:rsidRPr="00CA7204" w:rsidRDefault="00F171CD">
      <w:pPr>
        <w:tabs>
          <w:tab w:val="left" w:pos="284"/>
        </w:tabs>
        <w:jc w:val="both"/>
        <w:rPr>
          <w:sz w:val="22"/>
          <w:szCs w:val="22"/>
          <w:lang w:val="sr-Latn-ME"/>
        </w:rPr>
      </w:pPr>
      <w:r w:rsidRPr="00CA7204">
        <w:rPr>
          <w:sz w:val="22"/>
          <w:szCs w:val="22"/>
          <w:lang w:val="sr-Latn-ME"/>
        </w:rPr>
        <w:t xml:space="preserve">Za dodatne informacije pogledajte </w:t>
      </w:r>
      <w:r w:rsidR="00C02689" w:rsidRPr="00CA7204">
        <w:rPr>
          <w:sz w:val="22"/>
          <w:szCs w:val="22"/>
          <w:lang w:val="sr-Latn-ME"/>
        </w:rPr>
        <w:t xml:space="preserve">dio </w:t>
      </w:r>
      <w:r w:rsidRPr="00CA7204">
        <w:rPr>
          <w:sz w:val="22"/>
          <w:szCs w:val="22"/>
          <w:lang w:val="sr-Latn-ME"/>
        </w:rPr>
        <w:t>5.1.</w:t>
      </w:r>
    </w:p>
    <w:p w:rsidR="000831AD" w:rsidRPr="00CA7204" w:rsidRDefault="000831AD" w:rsidP="00F2401E">
      <w:pPr>
        <w:pBdr>
          <w:top w:val="single" w:sz="4" w:space="1" w:color="auto"/>
        </w:pBdr>
        <w:tabs>
          <w:tab w:val="left" w:pos="567"/>
        </w:tabs>
        <w:rPr>
          <w:sz w:val="22"/>
          <w:szCs w:val="22"/>
        </w:rPr>
      </w:pPr>
      <w:r w:rsidRPr="00CA7204">
        <w:rPr>
          <w:sz w:val="22"/>
          <w:szCs w:val="22"/>
          <w:vertAlign w:val="superscript"/>
        </w:rPr>
        <w:t>1</w:t>
      </w:r>
      <w:r w:rsidRPr="00CA7204">
        <w:rPr>
          <w:sz w:val="22"/>
          <w:szCs w:val="22"/>
        </w:rPr>
        <w:t xml:space="preserve"> </w:t>
      </w:r>
      <w:r w:rsidR="001D03BF" w:rsidRPr="00CA7204">
        <w:rPr>
          <w:sz w:val="22"/>
          <w:szCs w:val="22"/>
        </w:rPr>
        <w:t>Starost, krvni pritisak, kliničke karakteristike, trajanje i dijagnoza Diabetes mellitusa</w:t>
      </w:r>
    </w:p>
    <w:p w:rsidR="000831AD" w:rsidRPr="00CA7204" w:rsidRDefault="000831AD" w:rsidP="00F2401E">
      <w:pPr>
        <w:tabs>
          <w:tab w:val="left" w:pos="567"/>
        </w:tabs>
        <w:rPr>
          <w:sz w:val="22"/>
          <w:szCs w:val="22"/>
        </w:rPr>
      </w:pPr>
      <w:bookmarkStart w:id="0" w:name="_bookmark1"/>
      <w:bookmarkEnd w:id="0"/>
      <w:proofErr w:type="gramStart"/>
      <w:r w:rsidRPr="00CA7204">
        <w:rPr>
          <w:sz w:val="22"/>
          <w:szCs w:val="22"/>
          <w:vertAlign w:val="superscript"/>
        </w:rPr>
        <w:t>2</w:t>
      </w:r>
      <w:proofErr w:type="gramEnd"/>
      <w:r w:rsidRPr="00CA7204">
        <w:rPr>
          <w:sz w:val="22"/>
          <w:szCs w:val="22"/>
        </w:rPr>
        <w:t xml:space="preserve"> </w:t>
      </w:r>
      <w:r w:rsidR="001D03BF" w:rsidRPr="00CA7204">
        <w:rPr>
          <w:sz w:val="22"/>
          <w:szCs w:val="22"/>
        </w:rPr>
        <w:t>Skala za moždani udar Nacionalnog Instituta za zdravlje</w:t>
      </w:r>
    </w:p>
    <w:p w:rsidR="00F171CD" w:rsidRPr="00CA7204" w:rsidRDefault="00F171CD">
      <w:pPr>
        <w:tabs>
          <w:tab w:val="left" w:pos="284"/>
        </w:tabs>
        <w:jc w:val="both"/>
        <w:rPr>
          <w:sz w:val="22"/>
          <w:szCs w:val="22"/>
        </w:rPr>
      </w:pPr>
    </w:p>
    <w:p w:rsidR="00F171CD" w:rsidRPr="00CA7204" w:rsidRDefault="00F171CD">
      <w:pPr>
        <w:tabs>
          <w:tab w:val="left" w:pos="284"/>
        </w:tabs>
        <w:jc w:val="both"/>
        <w:rPr>
          <w:b/>
          <w:bCs/>
          <w:sz w:val="22"/>
          <w:szCs w:val="22"/>
          <w:lang w:val="sr-Latn-ME"/>
        </w:rPr>
      </w:pPr>
      <w:r w:rsidRPr="00CA7204">
        <w:rPr>
          <w:b/>
          <w:bCs/>
          <w:sz w:val="22"/>
          <w:szCs w:val="22"/>
          <w:lang w:val="sr-Latn-ME"/>
        </w:rPr>
        <w:t>4.2.  Doziranje i način primjene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u w:val="single"/>
          <w:lang w:val="sr-Latn-ME"/>
        </w:rPr>
      </w:pPr>
      <w:r w:rsidRPr="00CA7204">
        <w:rPr>
          <w:sz w:val="22"/>
          <w:szCs w:val="22"/>
          <w:u w:val="single"/>
          <w:lang w:val="sr-Latn-ME"/>
        </w:rPr>
        <w:t>Doziranje</w:t>
      </w:r>
    </w:p>
    <w:p w:rsidR="00F171CD" w:rsidRPr="00CA7204" w:rsidRDefault="00F171CD">
      <w:pPr>
        <w:tabs>
          <w:tab w:val="left" w:pos="284"/>
        </w:tabs>
        <w:jc w:val="both"/>
        <w:rPr>
          <w:sz w:val="22"/>
          <w:szCs w:val="22"/>
          <w:u w:val="single"/>
          <w:lang w:val="sr-Latn-ME"/>
        </w:rPr>
      </w:pPr>
    </w:p>
    <w:p w:rsidR="00F171CD" w:rsidRPr="00CA7204" w:rsidRDefault="00F171CD">
      <w:pPr>
        <w:numPr>
          <w:ilvl w:val="0"/>
          <w:numId w:val="32"/>
        </w:numPr>
        <w:tabs>
          <w:tab w:val="left" w:pos="284"/>
        </w:tabs>
        <w:ind w:left="567" w:hanging="567"/>
        <w:jc w:val="both"/>
        <w:rPr>
          <w:sz w:val="22"/>
          <w:szCs w:val="22"/>
          <w:lang w:val="sr-Latn-ME"/>
        </w:rPr>
      </w:pPr>
      <w:r w:rsidRPr="00CA7204">
        <w:rPr>
          <w:sz w:val="22"/>
          <w:szCs w:val="22"/>
          <w:lang w:val="sr-Latn-ME"/>
        </w:rPr>
        <w:t>Odrasli i stariji pacijenti:</w:t>
      </w:r>
    </w:p>
    <w:p w:rsidR="00F171CD" w:rsidRPr="00CA7204" w:rsidRDefault="00F171CD">
      <w:pPr>
        <w:tabs>
          <w:tab w:val="left" w:pos="284"/>
        </w:tabs>
        <w:jc w:val="both"/>
        <w:rPr>
          <w:sz w:val="22"/>
          <w:szCs w:val="22"/>
          <w:lang w:val="sr-Latn-ME"/>
        </w:rPr>
      </w:pPr>
      <w:r w:rsidRPr="00CA7204">
        <w:rPr>
          <w:sz w:val="22"/>
          <w:szCs w:val="22"/>
          <w:lang w:val="sr-Latn-ME"/>
        </w:rPr>
        <w:t>Klopidogrel bi trebalo da se primjenjuje u pojedinačnoj dnevnoj dozi od 75 mg</w:t>
      </w:r>
    </w:p>
    <w:p w:rsidR="00F171CD" w:rsidRPr="00CA7204" w:rsidRDefault="00F171CD">
      <w:pPr>
        <w:numPr>
          <w:ilvl w:val="0"/>
          <w:numId w:val="33"/>
        </w:numPr>
        <w:tabs>
          <w:tab w:val="left" w:pos="284"/>
        </w:tabs>
        <w:jc w:val="both"/>
        <w:rPr>
          <w:sz w:val="22"/>
          <w:szCs w:val="22"/>
          <w:lang w:val="sr-Latn-ME"/>
        </w:rPr>
      </w:pPr>
      <w:r w:rsidRPr="00CA7204">
        <w:rPr>
          <w:sz w:val="22"/>
          <w:szCs w:val="22"/>
          <w:lang w:val="sr-Latn-ME"/>
        </w:rPr>
        <w:t>Kod pacijenata sa akutnim koronarnim sindromom:</w:t>
      </w:r>
    </w:p>
    <w:p w:rsidR="00F171CD" w:rsidRPr="00CA7204" w:rsidRDefault="00F171CD">
      <w:pPr>
        <w:numPr>
          <w:ilvl w:val="0"/>
          <w:numId w:val="31"/>
        </w:numPr>
        <w:tabs>
          <w:tab w:val="left" w:pos="284"/>
        </w:tabs>
        <w:ind w:left="1134"/>
        <w:jc w:val="both"/>
        <w:rPr>
          <w:sz w:val="22"/>
          <w:szCs w:val="22"/>
          <w:lang w:val="sr-Latn-ME"/>
        </w:rPr>
      </w:pPr>
      <w:r w:rsidRPr="00CA7204">
        <w:rPr>
          <w:sz w:val="22"/>
          <w:szCs w:val="22"/>
          <w:lang w:val="sr-Latn-ME"/>
        </w:rPr>
        <w:t xml:space="preserve">akutni koronarni sindrom bez elevacije ST segmenta (nestabilna angina ili infarkt miokarda bez Q zupca): terapiju klopidogrelom treba inicijalno započeti jednokratnom udarnom dozom od 300 mg </w:t>
      </w:r>
      <w:r w:rsidR="00533D65" w:rsidRPr="00CA7204">
        <w:rPr>
          <w:sz w:val="22"/>
          <w:szCs w:val="22"/>
        </w:rPr>
        <w:t xml:space="preserve">ili 600 mg. Udarna doza </w:t>
      </w:r>
      <w:proofErr w:type="gramStart"/>
      <w:r w:rsidR="00533D65" w:rsidRPr="00CA7204">
        <w:rPr>
          <w:sz w:val="22"/>
          <w:szCs w:val="22"/>
        </w:rPr>
        <w:t>od</w:t>
      </w:r>
      <w:proofErr w:type="gramEnd"/>
      <w:r w:rsidR="00533D65" w:rsidRPr="00CA7204">
        <w:rPr>
          <w:sz w:val="22"/>
          <w:szCs w:val="22"/>
        </w:rPr>
        <w:t xml:space="preserve"> 600 mg može se razmotriti kod pacijenata starosti </w:t>
      </w:r>
      <w:r w:rsidR="002E7D32" w:rsidRPr="00CA7204">
        <w:rPr>
          <w:sz w:val="22"/>
          <w:szCs w:val="22"/>
        </w:rPr>
        <w:t xml:space="preserve">&lt;75 </w:t>
      </w:r>
      <w:r w:rsidR="00533D65" w:rsidRPr="00CA7204">
        <w:rPr>
          <w:sz w:val="22"/>
          <w:szCs w:val="22"/>
        </w:rPr>
        <w:t>godina</w:t>
      </w:r>
      <w:r w:rsidR="002E7D32" w:rsidRPr="00CA7204">
        <w:rPr>
          <w:sz w:val="22"/>
          <w:szCs w:val="22"/>
        </w:rPr>
        <w:t xml:space="preserve"> </w:t>
      </w:r>
      <w:r w:rsidR="00533D65" w:rsidRPr="00CA7204">
        <w:rPr>
          <w:sz w:val="22"/>
          <w:szCs w:val="22"/>
        </w:rPr>
        <w:t>kada je planirana perkutana koronarna intervencija (vidjeti dio 4.4).</w:t>
      </w:r>
      <w:r w:rsidR="002E7D32" w:rsidRPr="00CA7204">
        <w:rPr>
          <w:sz w:val="22"/>
          <w:szCs w:val="22"/>
        </w:rPr>
        <w:t xml:space="preserve"> </w:t>
      </w:r>
      <w:r w:rsidR="00533D65" w:rsidRPr="00CA7204">
        <w:rPr>
          <w:sz w:val="22"/>
          <w:szCs w:val="22"/>
        </w:rPr>
        <w:t xml:space="preserve">Liječenje klopidogrelom treba </w:t>
      </w:r>
      <w:proofErr w:type="gramStart"/>
      <w:r w:rsidR="00533D65" w:rsidRPr="00CA7204">
        <w:rPr>
          <w:sz w:val="22"/>
          <w:szCs w:val="22"/>
        </w:rPr>
        <w:t>nastaviti</w:t>
      </w:r>
      <w:r w:rsidR="002E7D32" w:rsidRPr="00CA7204" w:rsidDel="002E7D32">
        <w:rPr>
          <w:sz w:val="22"/>
          <w:szCs w:val="22"/>
          <w:lang w:val="sr-Latn-ME"/>
        </w:rPr>
        <w:t xml:space="preserve"> </w:t>
      </w:r>
      <w:r w:rsidRPr="00CA7204">
        <w:rPr>
          <w:sz w:val="22"/>
          <w:szCs w:val="22"/>
          <w:lang w:val="sr-Latn-ME"/>
        </w:rPr>
        <w:t xml:space="preserve"> sa</w:t>
      </w:r>
      <w:proofErr w:type="gramEnd"/>
      <w:r w:rsidRPr="00CA7204">
        <w:rPr>
          <w:sz w:val="22"/>
          <w:szCs w:val="22"/>
          <w:lang w:val="sr-Latn-ME"/>
        </w:rPr>
        <w:t xml:space="preserve"> dozom od 75 mg jednom dnevno (sa acetilsalicilnom kiselinom – ASK, u dnevnoj dozi od 75 mg do 325 mg). S obzirom na to da su veće doze ASK bile povezane sa povećanim rizikom od krvarenja, preporučuje se da doza ASK ne bude veća od 100 mg. Optimalno trajanje liječenja još uvijek nije formalno utvrđeno. Rezultati kliničkih ispitivanja podržavaju trajanje terapije do 12 mjeseci, a najveći učinak zabilježen je u trećem mjesecu liječenja (vidjeti </w:t>
      </w:r>
      <w:r w:rsidR="00517B37" w:rsidRPr="00CA7204">
        <w:rPr>
          <w:sz w:val="22"/>
          <w:szCs w:val="22"/>
          <w:lang w:val="sr-Latn-ME"/>
        </w:rPr>
        <w:t>dio</w:t>
      </w:r>
      <w:r w:rsidRPr="00CA7204">
        <w:rPr>
          <w:sz w:val="22"/>
          <w:szCs w:val="22"/>
          <w:lang w:val="sr-Latn-ME"/>
        </w:rPr>
        <w:t xml:space="preserve"> 5.1).</w:t>
      </w:r>
    </w:p>
    <w:p w:rsidR="00F171CD" w:rsidRPr="00CA7204" w:rsidRDefault="00F171CD">
      <w:pPr>
        <w:numPr>
          <w:ilvl w:val="0"/>
          <w:numId w:val="31"/>
        </w:numPr>
        <w:tabs>
          <w:tab w:val="left" w:pos="284"/>
        </w:tabs>
        <w:ind w:left="1134"/>
        <w:jc w:val="both"/>
        <w:rPr>
          <w:sz w:val="22"/>
          <w:szCs w:val="22"/>
          <w:lang w:val="sr-Latn-ME"/>
        </w:rPr>
      </w:pPr>
      <w:r w:rsidRPr="00CA7204">
        <w:rPr>
          <w:sz w:val="22"/>
          <w:szCs w:val="22"/>
          <w:lang w:val="sr-Latn-ME"/>
        </w:rPr>
        <w:t xml:space="preserve">akutni infarkt miokarda sa elevacijom ST segmenta: terapiju klopidogrelom treba započeti udarnom dozom od 300 mg u kombinaciji sa ASK, sa ili bez trombolitičke terapije i nastaviti sa jednom dnevnom dozom od 75 mg. Kod </w:t>
      </w:r>
      <w:r w:rsidR="00222569" w:rsidRPr="00CA7204">
        <w:rPr>
          <w:sz w:val="22"/>
          <w:szCs w:val="22"/>
        </w:rPr>
        <w:t xml:space="preserve">liječenih </w:t>
      </w:r>
      <w:r w:rsidRPr="00CA7204">
        <w:rPr>
          <w:sz w:val="22"/>
          <w:szCs w:val="22"/>
          <w:lang w:val="sr-Latn-ME"/>
        </w:rPr>
        <w:t>pacijenata starijih od 75 godina terapiju klopidogrelom treba započeti bez udarne doze. Kombinovanu terapiju treba započeti što je prije moguće nakon pojave simptoma i nastaviti je u periodu od najmanje četiri nedjelje. Korisni efekti terapije kombinacijom klopidogrela i ASK, u trajanju dužem od četiri nedjelje, ni</w:t>
      </w:r>
      <w:r w:rsidR="00517B37" w:rsidRPr="00CA7204">
        <w:rPr>
          <w:sz w:val="22"/>
          <w:szCs w:val="22"/>
          <w:lang w:val="sr-Latn-ME"/>
        </w:rPr>
        <w:t>je</w:t>
      </w:r>
      <w:r w:rsidRPr="00CA7204">
        <w:rPr>
          <w:sz w:val="22"/>
          <w:szCs w:val="22"/>
          <w:lang w:val="sr-Latn-ME"/>
        </w:rPr>
        <w:t xml:space="preserve">su ispitivani u ovom stanju (vidjeti </w:t>
      </w:r>
      <w:r w:rsidR="00C02689" w:rsidRPr="00CA7204">
        <w:rPr>
          <w:sz w:val="22"/>
          <w:szCs w:val="22"/>
          <w:lang w:val="sr-Latn-ME"/>
        </w:rPr>
        <w:t>dio</w:t>
      </w:r>
      <w:r w:rsidR="00F2401E" w:rsidRPr="00CA7204">
        <w:rPr>
          <w:sz w:val="22"/>
          <w:szCs w:val="22"/>
          <w:lang w:val="sr-Latn-ME"/>
        </w:rPr>
        <w:t xml:space="preserve"> </w:t>
      </w:r>
      <w:r w:rsidRPr="00CA7204">
        <w:rPr>
          <w:sz w:val="22"/>
          <w:szCs w:val="22"/>
          <w:lang w:val="sr-Latn-ME"/>
        </w:rPr>
        <w:t>5.1).</w:t>
      </w:r>
    </w:p>
    <w:p w:rsidR="000831AD" w:rsidRPr="00CA7204" w:rsidRDefault="000831AD">
      <w:pPr>
        <w:tabs>
          <w:tab w:val="left" w:pos="284"/>
        </w:tabs>
        <w:jc w:val="both"/>
        <w:rPr>
          <w:sz w:val="22"/>
          <w:szCs w:val="22"/>
          <w:lang w:val="sr-Latn-ME"/>
        </w:rPr>
      </w:pPr>
    </w:p>
    <w:p w:rsidR="000831AD" w:rsidRPr="00CA7204" w:rsidRDefault="00E5456C">
      <w:pPr>
        <w:numPr>
          <w:ilvl w:val="0"/>
          <w:numId w:val="33"/>
        </w:numPr>
        <w:tabs>
          <w:tab w:val="left" w:pos="284"/>
        </w:tabs>
        <w:jc w:val="both"/>
        <w:rPr>
          <w:sz w:val="22"/>
          <w:szCs w:val="22"/>
        </w:rPr>
      </w:pPr>
      <w:r w:rsidRPr="00CA7204">
        <w:rPr>
          <w:sz w:val="22"/>
          <w:szCs w:val="22"/>
        </w:rPr>
        <w:t>Odrasli pacijenti s umjerenim do visokorizičnim prolaznim ishemijskim napadom ili manjim (</w:t>
      </w:r>
      <w:r w:rsidRPr="00CA7204">
        <w:rPr>
          <w:i/>
          <w:sz w:val="22"/>
          <w:szCs w:val="22"/>
        </w:rPr>
        <w:t>minor</w:t>
      </w:r>
      <w:r w:rsidRPr="00CA7204">
        <w:rPr>
          <w:sz w:val="22"/>
          <w:szCs w:val="22"/>
        </w:rPr>
        <w:t>) ishemijskim moždanim udarom</w:t>
      </w:r>
      <w:r w:rsidR="000831AD" w:rsidRPr="00CA7204">
        <w:rPr>
          <w:sz w:val="22"/>
          <w:szCs w:val="22"/>
        </w:rPr>
        <w:t>:</w:t>
      </w:r>
    </w:p>
    <w:p w:rsidR="000831AD" w:rsidRPr="00CA7204" w:rsidRDefault="00E5456C" w:rsidP="00F2401E">
      <w:pPr>
        <w:tabs>
          <w:tab w:val="left" w:pos="567"/>
        </w:tabs>
        <w:autoSpaceDE w:val="0"/>
        <w:autoSpaceDN w:val="0"/>
        <w:adjustRightInd w:val="0"/>
        <w:jc w:val="both"/>
        <w:rPr>
          <w:sz w:val="22"/>
          <w:szCs w:val="22"/>
        </w:rPr>
      </w:pPr>
      <w:r w:rsidRPr="00CA7204">
        <w:rPr>
          <w:sz w:val="22"/>
          <w:szCs w:val="22"/>
        </w:rPr>
        <w:t xml:space="preserve">Odraslim pacijentima sa umjerenim do visokorizičnim prolaznim ishemijskim napadom (vrijednost ABCD2 ≥4) ili manjim ishemijskim moždanim udarom (NIHSS ≤3) treba dati udarnu dozu klopidogrela od 300 mg, a nakon toga 75 mg klopidogrela jednom dnevno i ASK (75 mg do 100 mg jednom dnevno). Potrebno je započeti liječenje klopidogrelom i ASK u roku </w:t>
      </w:r>
      <w:proofErr w:type="gramStart"/>
      <w:r w:rsidRPr="00CA7204">
        <w:rPr>
          <w:sz w:val="22"/>
          <w:szCs w:val="22"/>
        </w:rPr>
        <w:t>od</w:t>
      </w:r>
      <w:proofErr w:type="gramEnd"/>
      <w:r w:rsidRPr="00CA7204">
        <w:rPr>
          <w:sz w:val="22"/>
          <w:szCs w:val="22"/>
        </w:rPr>
        <w:t xml:space="preserve"> 24 sata od događaja i nastaviti </w:t>
      </w:r>
      <w:r w:rsidR="00C02689" w:rsidRPr="00CA7204">
        <w:rPr>
          <w:sz w:val="22"/>
          <w:szCs w:val="22"/>
        </w:rPr>
        <w:t xml:space="preserve">tokom </w:t>
      </w:r>
      <w:r w:rsidRPr="00CA7204">
        <w:rPr>
          <w:sz w:val="22"/>
          <w:szCs w:val="22"/>
        </w:rPr>
        <w:t>21 dan</w:t>
      </w:r>
      <w:r w:rsidR="00517B37" w:rsidRPr="00CA7204">
        <w:rPr>
          <w:sz w:val="22"/>
          <w:szCs w:val="22"/>
        </w:rPr>
        <w:t>a</w:t>
      </w:r>
      <w:r w:rsidRPr="00CA7204">
        <w:rPr>
          <w:sz w:val="22"/>
          <w:szCs w:val="22"/>
        </w:rPr>
        <w:t xml:space="preserve"> (dvojna antitrombocitna terapija), a nakon toga slijedi jednostruka antitrombocitna terapija.</w:t>
      </w:r>
    </w:p>
    <w:p w:rsidR="000831AD" w:rsidRPr="00CA7204" w:rsidRDefault="000831AD">
      <w:pPr>
        <w:tabs>
          <w:tab w:val="left" w:pos="284"/>
        </w:tabs>
        <w:jc w:val="both"/>
        <w:rPr>
          <w:sz w:val="22"/>
          <w:szCs w:val="22"/>
        </w:rPr>
      </w:pPr>
    </w:p>
    <w:p w:rsidR="00F171CD" w:rsidRDefault="00F171CD">
      <w:pPr>
        <w:tabs>
          <w:tab w:val="left" w:pos="284"/>
        </w:tabs>
        <w:jc w:val="both"/>
        <w:rPr>
          <w:sz w:val="22"/>
          <w:szCs w:val="22"/>
          <w:lang w:val="sr-Latn-ME"/>
        </w:rPr>
      </w:pPr>
      <w:r w:rsidRPr="00CA7204">
        <w:rPr>
          <w:sz w:val="22"/>
          <w:szCs w:val="22"/>
          <w:lang w:val="sr-Latn-ME"/>
        </w:rPr>
        <w:t xml:space="preserve">Kod pacijenata sa atrijalnom fibrilacijom, klopidogrel treba primijeniti kao pojedinačnu dnevnu dozu od 75 mg. Terapiju ASK (75-100 mg dnevno) treba započeti i nastaviti u kombinaciji sa klopidogrelom (vidjeti </w:t>
      </w:r>
      <w:r w:rsidR="00C02689" w:rsidRPr="00CA7204">
        <w:rPr>
          <w:sz w:val="22"/>
          <w:szCs w:val="22"/>
          <w:lang w:val="sr-Latn-ME"/>
        </w:rPr>
        <w:t xml:space="preserve">dio </w:t>
      </w:r>
      <w:r w:rsidRPr="00CA7204">
        <w:rPr>
          <w:sz w:val="22"/>
          <w:szCs w:val="22"/>
          <w:lang w:val="sr-Latn-ME"/>
        </w:rPr>
        <w:t>5.1)</w:t>
      </w:r>
      <w:r w:rsidR="00CA7204">
        <w:rPr>
          <w:sz w:val="22"/>
          <w:szCs w:val="22"/>
          <w:lang w:val="sr-Latn-ME"/>
        </w:rPr>
        <w:t>.</w:t>
      </w:r>
    </w:p>
    <w:p w:rsidR="00CA7204" w:rsidRPr="00CA7204" w:rsidRDefault="00CA7204">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Propuštena doza:</w:t>
      </w:r>
    </w:p>
    <w:p w:rsidR="00F171CD" w:rsidRPr="00CA7204" w:rsidRDefault="00F171CD">
      <w:pPr>
        <w:numPr>
          <w:ilvl w:val="0"/>
          <w:numId w:val="30"/>
        </w:numPr>
        <w:tabs>
          <w:tab w:val="left" w:pos="284"/>
        </w:tabs>
        <w:ind w:left="284" w:hanging="284"/>
        <w:jc w:val="both"/>
        <w:rPr>
          <w:sz w:val="22"/>
          <w:szCs w:val="22"/>
          <w:lang w:val="sr-Latn-ME"/>
        </w:rPr>
      </w:pPr>
      <w:r w:rsidRPr="00CA7204">
        <w:rPr>
          <w:sz w:val="22"/>
          <w:szCs w:val="22"/>
          <w:lang w:val="sr-Latn-ME"/>
        </w:rPr>
        <w:t>Ako je prošlo manje od 12 sati nakon uobičajenog termina uzimanja lijeka: pacijent treba odmah da uzme dozu, a sljedeću dozu treba da uzme prema uobičajenom rasporedu.</w:t>
      </w:r>
    </w:p>
    <w:p w:rsidR="00F171CD" w:rsidRPr="00CA7204" w:rsidRDefault="00F171CD">
      <w:pPr>
        <w:numPr>
          <w:ilvl w:val="0"/>
          <w:numId w:val="30"/>
        </w:numPr>
        <w:tabs>
          <w:tab w:val="left" w:pos="284"/>
        </w:tabs>
        <w:ind w:left="284" w:hanging="284"/>
        <w:jc w:val="both"/>
        <w:rPr>
          <w:sz w:val="22"/>
          <w:szCs w:val="22"/>
          <w:lang w:val="sr-Latn-ME"/>
        </w:rPr>
      </w:pPr>
      <w:r w:rsidRPr="00CA7204">
        <w:rPr>
          <w:sz w:val="22"/>
          <w:szCs w:val="22"/>
          <w:lang w:val="sr-Latn-ME"/>
        </w:rPr>
        <w:t xml:space="preserve">Ako je prošlo više od 12 sati: pacijent treba sljedeću dozu da uzme prema uobičajenom rasporedu i ne smije </w:t>
      </w:r>
      <w:r w:rsidR="00C02689" w:rsidRPr="00CA7204">
        <w:rPr>
          <w:sz w:val="22"/>
          <w:szCs w:val="22"/>
          <w:lang w:val="sr-Latn-ME"/>
        </w:rPr>
        <w:t xml:space="preserve">uzeti </w:t>
      </w:r>
      <w:r w:rsidRPr="00CA7204">
        <w:rPr>
          <w:sz w:val="22"/>
          <w:szCs w:val="22"/>
          <w:lang w:val="sr-Latn-ME"/>
        </w:rPr>
        <w:t>dvostruku dozu.</w:t>
      </w:r>
    </w:p>
    <w:p w:rsidR="00F171CD" w:rsidRPr="00CA7204" w:rsidRDefault="00F171CD">
      <w:pPr>
        <w:tabs>
          <w:tab w:val="left" w:pos="284"/>
        </w:tabs>
        <w:jc w:val="both"/>
        <w:rPr>
          <w:b/>
          <w:i/>
          <w:sz w:val="22"/>
          <w:szCs w:val="22"/>
          <w:u w:val="single"/>
          <w:lang w:val="sr-Latn-ME"/>
        </w:rPr>
      </w:pPr>
    </w:p>
    <w:p w:rsidR="00F171CD" w:rsidRPr="00CA7204" w:rsidRDefault="00F171CD">
      <w:pPr>
        <w:numPr>
          <w:ilvl w:val="0"/>
          <w:numId w:val="34"/>
        </w:numPr>
        <w:tabs>
          <w:tab w:val="left" w:pos="284"/>
        </w:tabs>
        <w:ind w:hanging="720"/>
        <w:jc w:val="both"/>
        <w:rPr>
          <w:sz w:val="22"/>
          <w:szCs w:val="22"/>
          <w:lang w:val="sr-Latn-ME"/>
        </w:rPr>
      </w:pPr>
      <w:r w:rsidRPr="00CA7204">
        <w:rPr>
          <w:sz w:val="22"/>
          <w:szCs w:val="22"/>
          <w:lang w:val="sr-Latn-ME"/>
        </w:rPr>
        <w:t>Pedijatrijska populacija</w:t>
      </w:r>
    </w:p>
    <w:p w:rsidR="00F171CD" w:rsidRPr="00CA7204" w:rsidRDefault="00F171CD">
      <w:pPr>
        <w:tabs>
          <w:tab w:val="left" w:pos="284"/>
        </w:tabs>
        <w:jc w:val="both"/>
        <w:rPr>
          <w:sz w:val="22"/>
          <w:szCs w:val="22"/>
          <w:lang w:val="sr-Latn-ME"/>
        </w:rPr>
      </w:pPr>
      <w:r w:rsidRPr="00CA7204">
        <w:rPr>
          <w:sz w:val="22"/>
          <w:szCs w:val="22"/>
          <w:lang w:val="sr-Latn-ME"/>
        </w:rPr>
        <w:t xml:space="preserve">Klopidogrel se ne primjenjuje kod djece zbog nedovoljno podataka o efikasnosti (vidjeti </w:t>
      </w:r>
      <w:r w:rsidR="00C02689" w:rsidRPr="00CA7204">
        <w:rPr>
          <w:sz w:val="22"/>
          <w:szCs w:val="22"/>
          <w:lang w:val="sr-Latn-ME"/>
        </w:rPr>
        <w:t xml:space="preserve">dio </w:t>
      </w:r>
      <w:r w:rsidRPr="00CA7204">
        <w:rPr>
          <w:sz w:val="22"/>
          <w:szCs w:val="22"/>
          <w:lang w:val="sr-Latn-ME"/>
        </w:rPr>
        <w:t>5.1).</w:t>
      </w:r>
    </w:p>
    <w:p w:rsidR="00F171CD" w:rsidRPr="00CA7204" w:rsidRDefault="00F171CD">
      <w:pPr>
        <w:tabs>
          <w:tab w:val="left" w:pos="284"/>
        </w:tabs>
        <w:jc w:val="both"/>
        <w:rPr>
          <w:sz w:val="22"/>
          <w:szCs w:val="22"/>
          <w:lang w:val="sr-Latn-ME"/>
        </w:rPr>
      </w:pPr>
    </w:p>
    <w:p w:rsidR="00F171CD" w:rsidRPr="00CA7204" w:rsidRDefault="00F171CD">
      <w:pPr>
        <w:numPr>
          <w:ilvl w:val="0"/>
          <w:numId w:val="34"/>
        </w:numPr>
        <w:tabs>
          <w:tab w:val="left" w:pos="284"/>
        </w:tabs>
        <w:ind w:hanging="720"/>
        <w:jc w:val="both"/>
        <w:rPr>
          <w:sz w:val="22"/>
          <w:szCs w:val="22"/>
          <w:lang w:val="sr-Latn-ME"/>
        </w:rPr>
      </w:pPr>
      <w:r w:rsidRPr="00CA7204">
        <w:rPr>
          <w:sz w:val="22"/>
          <w:szCs w:val="22"/>
          <w:lang w:val="sr-Latn-ME"/>
        </w:rPr>
        <w:t>Oštećenje funkcije bubrega</w:t>
      </w:r>
    </w:p>
    <w:p w:rsidR="00F171CD" w:rsidRPr="00CA7204" w:rsidRDefault="00F171CD">
      <w:pPr>
        <w:tabs>
          <w:tab w:val="left" w:pos="284"/>
        </w:tabs>
        <w:jc w:val="both"/>
        <w:rPr>
          <w:sz w:val="22"/>
          <w:szCs w:val="22"/>
          <w:lang w:val="sr-Latn-ME"/>
        </w:rPr>
      </w:pPr>
      <w:r w:rsidRPr="00CA7204">
        <w:rPr>
          <w:sz w:val="22"/>
          <w:szCs w:val="22"/>
          <w:lang w:val="sr-Latn-ME"/>
        </w:rPr>
        <w:t xml:space="preserve">Terapijsko iskustvo kod pacijenata sa narušenom funkcijom bubrega je ograničeno (vidjeti </w:t>
      </w:r>
      <w:r w:rsidR="00C02689" w:rsidRPr="00CA7204">
        <w:rPr>
          <w:sz w:val="22"/>
          <w:szCs w:val="22"/>
          <w:lang w:val="sr-Latn-ME"/>
        </w:rPr>
        <w:t xml:space="preserve">dio </w:t>
      </w:r>
      <w:r w:rsidRPr="00CA7204">
        <w:rPr>
          <w:sz w:val="22"/>
          <w:szCs w:val="22"/>
          <w:lang w:val="sr-Latn-ME"/>
        </w:rPr>
        <w:t>4.4).</w:t>
      </w:r>
    </w:p>
    <w:p w:rsidR="00F171CD" w:rsidRPr="00CA7204" w:rsidRDefault="00F171CD">
      <w:pPr>
        <w:numPr>
          <w:ilvl w:val="0"/>
          <w:numId w:val="34"/>
        </w:numPr>
        <w:tabs>
          <w:tab w:val="left" w:pos="284"/>
        </w:tabs>
        <w:ind w:hanging="720"/>
        <w:jc w:val="both"/>
        <w:rPr>
          <w:sz w:val="22"/>
          <w:szCs w:val="22"/>
          <w:lang w:val="sr-Latn-ME"/>
        </w:rPr>
      </w:pPr>
      <w:r w:rsidRPr="00CA7204">
        <w:rPr>
          <w:sz w:val="22"/>
          <w:szCs w:val="22"/>
          <w:lang w:val="sr-Latn-ME"/>
        </w:rPr>
        <w:lastRenderedPageBreak/>
        <w:t>Oštećenje funkcije jetre</w:t>
      </w:r>
    </w:p>
    <w:p w:rsidR="00F171CD" w:rsidRPr="00CA7204" w:rsidRDefault="00F171CD">
      <w:pPr>
        <w:tabs>
          <w:tab w:val="left" w:pos="284"/>
        </w:tabs>
        <w:jc w:val="both"/>
        <w:rPr>
          <w:sz w:val="22"/>
          <w:szCs w:val="22"/>
          <w:lang w:val="sr-Latn-ME"/>
        </w:rPr>
      </w:pPr>
      <w:r w:rsidRPr="00CA7204">
        <w:rPr>
          <w:sz w:val="22"/>
          <w:szCs w:val="22"/>
          <w:lang w:val="sr-Latn-ME"/>
        </w:rPr>
        <w:t>Terapijsko iskustvo kod pacijenata sa umjereno narušenom funkcijom jetre</w:t>
      </w:r>
      <w:r w:rsidRPr="00CA7204">
        <w:rPr>
          <w:b/>
          <w:sz w:val="22"/>
          <w:szCs w:val="22"/>
          <w:lang w:val="sr-Latn-ME"/>
        </w:rPr>
        <w:t xml:space="preserve"> </w:t>
      </w:r>
      <w:r w:rsidRPr="00CA7204">
        <w:rPr>
          <w:sz w:val="22"/>
          <w:szCs w:val="22"/>
          <w:lang w:val="sr-Latn-ME"/>
        </w:rPr>
        <w:t xml:space="preserve">koji mogu imati hemoragijsku dijatezu je ograničeno (vidjeti </w:t>
      </w:r>
      <w:r w:rsidR="00C02689"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jc w:val="both"/>
        <w:rPr>
          <w:b/>
          <w:i/>
          <w:sz w:val="22"/>
          <w:szCs w:val="22"/>
          <w:u w:val="single"/>
          <w:lang w:val="sr-Latn-ME"/>
        </w:rPr>
      </w:pPr>
    </w:p>
    <w:p w:rsidR="00F171CD" w:rsidRPr="00CA7204" w:rsidRDefault="00F171CD">
      <w:pPr>
        <w:tabs>
          <w:tab w:val="left" w:pos="284"/>
        </w:tabs>
        <w:jc w:val="both"/>
        <w:rPr>
          <w:sz w:val="22"/>
          <w:szCs w:val="22"/>
          <w:u w:val="single"/>
          <w:lang w:val="sr-Latn-ME"/>
        </w:rPr>
      </w:pPr>
      <w:r w:rsidRPr="00CA7204">
        <w:rPr>
          <w:sz w:val="22"/>
          <w:szCs w:val="22"/>
          <w:u w:val="single"/>
          <w:lang w:val="sr-Latn-ME"/>
        </w:rPr>
        <w:t>Način primjene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Za oralnu upotrebu.</w:t>
      </w:r>
    </w:p>
    <w:p w:rsidR="00F171CD" w:rsidRPr="00CA7204" w:rsidRDefault="00F171CD">
      <w:pPr>
        <w:tabs>
          <w:tab w:val="left" w:pos="284"/>
        </w:tabs>
        <w:autoSpaceDE w:val="0"/>
        <w:autoSpaceDN w:val="0"/>
        <w:adjustRightInd w:val="0"/>
        <w:ind w:right="-20"/>
        <w:jc w:val="both"/>
        <w:rPr>
          <w:sz w:val="22"/>
          <w:szCs w:val="22"/>
          <w:lang w:val="sr-Latn-ME"/>
        </w:rPr>
      </w:pPr>
      <w:r w:rsidRPr="00CA7204">
        <w:rPr>
          <w:sz w:val="22"/>
          <w:szCs w:val="22"/>
          <w:lang w:val="sr-Latn-ME"/>
        </w:rPr>
        <w:t>Lijek se može uzimati uz obrok ili nezavisno od njega.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4.3.  Kontraindikacije</w:t>
      </w:r>
    </w:p>
    <w:p w:rsidR="00F171CD" w:rsidRPr="00CA7204" w:rsidRDefault="00F171CD">
      <w:pPr>
        <w:tabs>
          <w:tab w:val="left" w:pos="284"/>
        </w:tabs>
        <w:jc w:val="both"/>
        <w:rPr>
          <w:sz w:val="22"/>
          <w:szCs w:val="22"/>
          <w:lang w:val="sr-Latn-ME"/>
        </w:rPr>
      </w:pPr>
    </w:p>
    <w:p w:rsidR="00F171CD" w:rsidRPr="00CA7204" w:rsidRDefault="00F171CD">
      <w:pPr>
        <w:numPr>
          <w:ilvl w:val="0"/>
          <w:numId w:val="35"/>
        </w:numPr>
        <w:tabs>
          <w:tab w:val="left" w:pos="284"/>
        </w:tabs>
        <w:autoSpaceDE w:val="0"/>
        <w:autoSpaceDN w:val="0"/>
        <w:adjustRightInd w:val="0"/>
        <w:jc w:val="both"/>
        <w:rPr>
          <w:sz w:val="22"/>
          <w:szCs w:val="22"/>
          <w:lang w:val="sr-Latn-ME"/>
        </w:rPr>
      </w:pPr>
      <w:r w:rsidRPr="00CA7204">
        <w:rPr>
          <w:sz w:val="22"/>
          <w:szCs w:val="22"/>
          <w:lang w:val="sr-Latn-ME"/>
        </w:rPr>
        <w:t>Poznata preosjetljivost na klopidogrel ili na bilo koju pomoćnu supstancu u lijeku (pomenut</w:t>
      </w:r>
      <w:r w:rsidR="00145898" w:rsidRPr="00CA7204">
        <w:rPr>
          <w:sz w:val="22"/>
          <w:szCs w:val="22"/>
          <w:lang w:val="sr-Latn-ME"/>
        </w:rPr>
        <w:t>u</w:t>
      </w:r>
      <w:r w:rsidRPr="00CA7204">
        <w:rPr>
          <w:sz w:val="22"/>
          <w:szCs w:val="22"/>
          <w:lang w:val="sr-Latn-ME"/>
        </w:rPr>
        <w:t xml:space="preserve"> u </w:t>
      </w:r>
      <w:r w:rsidR="00C02689" w:rsidRPr="00CA7204">
        <w:rPr>
          <w:sz w:val="22"/>
          <w:szCs w:val="22"/>
          <w:lang w:val="sr-Latn-ME"/>
        </w:rPr>
        <w:t xml:space="preserve">djelovima </w:t>
      </w:r>
      <w:r w:rsidRPr="00CA7204">
        <w:rPr>
          <w:sz w:val="22"/>
          <w:szCs w:val="22"/>
          <w:lang w:val="sr-Latn-ME"/>
        </w:rPr>
        <w:t>2 ili 6.1)</w:t>
      </w:r>
      <w:r w:rsidR="00C02689" w:rsidRPr="00CA7204">
        <w:rPr>
          <w:sz w:val="22"/>
          <w:szCs w:val="22"/>
          <w:lang w:val="sr-Latn-ME"/>
        </w:rPr>
        <w:t>,</w:t>
      </w:r>
    </w:p>
    <w:p w:rsidR="00F171CD" w:rsidRPr="00CA7204" w:rsidRDefault="00F171CD">
      <w:pPr>
        <w:numPr>
          <w:ilvl w:val="0"/>
          <w:numId w:val="35"/>
        </w:numPr>
        <w:tabs>
          <w:tab w:val="left" w:pos="284"/>
        </w:tabs>
        <w:autoSpaceDE w:val="0"/>
        <w:autoSpaceDN w:val="0"/>
        <w:adjustRightInd w:val="0"/>
        <w:jc w:val="both"/>
        <w:rPr>
          <w:sz w:val="22"/>
          <w:szCs w:val="22"/>
          <w:lang w:val="sr-Latn-ME"/>
        </w:rPr>
      </w:pPr>
      <w:r w:rsidRPr="00CA7204">
        <w:rPr>
          <w:sz w:val="22"/>
          <w:szCs w:val="22"/>
          <w:lang w:val="sr-Latn-ME"/>
        </w:rPr>
        <w:t>Teško oštećenje funkcije jetre</w:t>
      </w:r>
      <w:r w:rsidR="00C02689" w:rsidRPr="00CA7204">
        <w:rPr>
          <w:sz w:val="22"/>
          <w:szCs w:val="22"/>
          <w:lang w:val="sr-Latn-ME"/>
        </w:rPr>
        <w:t xml:space="preserve"> i</w:t>
      </w:r>
    </w:p>
    <w:p w:rsidR="00F171CD" w:rsidRPr="00CA7204" w:rsidRDefault="00F171CD">
      <w:pPr>
        <w:numPr>
          <w:ilvl w:val="0"/>
          <w:numId w:val="35"/>
        </w:numPr>
        <w:tabs>
          <w:tab w:val="left" w:pos="284"/>
        </w:tabs>
        <w:autoSpaceDE w:val="0"/>
        <w:autoSpaceDN w:val="0"/>
        <w:adjustRightInd w:val="0"/>
        <w:jc w:val="both"/>
        <w:rPr>
          <w:sz w:val="22"/>
          <w:szCs w:val="22"/>
          <w:lang w:val="sr-Latn-ME"/>
        </w:rPr>
      </w:pPr>
      <w:r w:rsidRPr="00CA7204">
        <w:rPr>
          <w:sz w:val="22"/>
          <w:szCs w:val="22"/>
          <w:lang w:val="sr-Latn-ME"/>
        </w:rPr>
        <w:t>Aktivno patološko krvarenje (npr. kod čira u želucu ili kod intrakranijalnog krvarenja</w:t>
      </w:r>
      <w:r w:rsidR="00C02689" w:rsidRPr="00CA7204">
        <w:rPr>
          <w:sz w:val="22"/>
          <w:szCs w:val="22"/>
          <w:lang w:val="sr-Latn-ME"/>
        </w:rPr>
        <w:t>).</w:t>
      </w:r>
    </w:p>
    <w:p w:rsidR="00F171CD" w:rsidRPr="00CA7204" w:rsidRDefault="00F171CD">
      <w:pPr>
        <w:tabs>
          <w:tab w:val="left" w:pos="284"/>
        </w:tabs>
        <w:jc w:val="both"/>
        <w:rPr>
          <w:b/>
          <w:sz w:val="22"/>
          <w:szCs w:val="22"/>
          <w:u w:val="single"/>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4.4.  Posebna upozorenja i mjere opreza pri upotrebi lijeka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iCs/>
          <w:sz w:val="22"/>
          <w:szCs w:val="22"/>
          <w:lang w:val="sr-Latn-ME"/>
        </w:rPr>
      </w:pPr>
      <w:r w:rsidRPr="00CA7204">
        <w:rPr>
          <w:i/>
          <w:iCs/>
          <w:sz w:val="22"/>
          <w:szCs w:val="22"/>
          <w:lang w:val="sr-Latn-ME"/>
        </w:rPr>
        <w:t>Krvarenje i hematološki poremećaji</w:t>
      </w:r>
    </w:p>
    <w:p w:rsidR="00F171CD" w:rsidRPr="00CA7204" w:rsidRDefault="00F171CD">
      <w:pPr>
        <w:tabs>
          <w:tab w:val="left" w:pos="284"/>
        </w:tabs>
        <w:jc w:val="both"/>
        <w:rPr>
          <w:sz w:val="22"/>
          <w:szCs w:val="22"/>
          <w:lang w:val="sr-Latn-ME"/>
        </w:rPr>
      </w:pPr>
      <w:r w:rsidRPr="00CA7204">
        <w:rPr>
          <w:sz w:val="22"/>
          <w:szCs w:val="22"/>
          <w:lang w:val="sr-Latn-ME"/>
        </w:rPr>
        <w:t xml:space="preserve">Zbog povećanog rizika od krvarenja i neželjenih hematoloških dejstava potrebno je odmah provjeriti krvnu sliku odnosno uraditi druga odgovarajuća ispitivanja uvijek kada u toku liječenja dođe do pojave kliničkih znakova koji ukazuju na krvarenje (vidjeti </w:t>
      </w:r>
      <w:r w:rsidR="00C02689" w:rsidRPr="00CA7204">
        <w:rPr>
          <w:sz w:val="22"/>
          <w:szCs w:val="22"/>
          <w:lang w:val="sr-Latn-ME"/>
        </w:rPr>
        <w:t xml:space="preserve">dio </w:t>
      </w:r>
      <w:r w:rsidRPr="00CA7204">
        <w:rPr>
          <w:sz w:val="22"/>
          <w:szCs w:val="22"/>
          <w:lang w:val="sr-Latn-ME"/>
        </w:rPr>
        <w:t xml:space="preserve">4.8). Kao i pri primjeni drugih antitrombocitnih ljekova, klopidogrel sa oprezom treba primjenjivati kod pacijenata koji su izloženi povećanom riziku od krvarenja zbog povreda, hirurških zahvata ili drugih patoloških stanja kao i kod pacijenata koji se liječe acetilsalicilnom kiselinom, heparinom, inhibitorima glikoproteina IIb/IIIa ili nesteroidnim antiinflamatornim ljekovima, uključujući i COX-2 inhibitore, ili selektivne inhibitore preuzimanja serotonina (SSRI) ili </w:t>
      </w:r>
      <w:r w:rsidRPr="00CA7204">
        <w:rPr>
          <w:iCs/>
          <w:sz w:val="22"/>
          <w:szCs w:val="22"/>
          <w:lang w:val="sr-Latn-ME"/>
        </w:rPr>
        <w:t xml:space="preserve">CYP2C19 jake induktore </w:t>
      </w:r>
      <w:r w:rsidRPr="00CA7204">
        <w:rPr>
          <w:sz w:val="22"/>
          <w:szCs w:val="22"/>
          <w:lang w:val="sr-Latn-ME"/>
        </w:rPr>
        <w:t xml:space="preserve">ili druge ljekove čija je primjena udružena sa povećanim rizikom od krvarenja, kao što je pentoksifilin (vidjeti </w:t>
      </w:r>
      <w:r w:rsidR="00C02689" w:rsidRPr="00CA7204">
        <w:rPr>
          <w:sz w:val="22"/>
          <w:szCs w:val="22"/>
          <w:lang w:val="sr-Latn-ME"/>
        </w:rPr>
        <w:t xml:space="preserve">dio </w:t>
      </w:r>
      <w:r w:rsidRPr="00CA7204">
        <w:rPr>
          <w:sz w:val="22"/>
          <w:szCs w:val="22"/>
          <w:lang w:val="sr-Latn-ME"/>
        </w:rPr>
        <w:t xml:space="preserve">4.5). Treba pažljivo pratiti pacijenta i reagovati na pojavu bilo kakvog znaka krvarenja, uključujući i okultno krvarenje, posebno tokom prvih nekoliko nedjelja liječenja i/ili nakon invazivnih kardioloških ili drugih hirurških zahvata. Ne preporučuje se istovremena primjena klopidogrela sa oralnim antikoagulansima jer se može pojačati intenzitet krvarenja (vidjeti </w:t>
      </w:r>
      <w:r w:rsidR="00C02689" w:rsidRPr="00CA7204">
        <w:rPr>
          <w:sz w:val="22"/>
          <w:szCs w:val="22"/>
          <w:lang w:val="sr-Latn-ME"/>
        </w:rPr>
        <w:t xml:space="preserve">dio </w:t>
      </w:r>
      <w:r w:rsidRPr="00CA7204">
        <w:rPr>
          <w:sz w:val="22"/>
          <w:szCs w:val="22"/>
          <w:lang w:val="sr-Latn-ME"/>
        </w:rPr>
        <w:t>4.5).</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slučaju planiranih hirurških zahvata, kada antitrombocitni efekat nije poželjan, davanje klopidogrela treba prekinuti 7 dana prije operacije. Pacijenti bi trebalo da obavijeste svog ljekara ili stomatologa o uzimanju klopidogrela prije nego što se planira bilo kakav hirurški ili stomatološki zahvat i prije nego što se započne uzimanje bilo kog novog lijeka. Klopidogrel produžava vrijeme krvarenja i mora se davati sa oprezom pacijentima koji imaju lezije sklone krvarenju (naročito gastrointestinalne ili intraokularne).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Pacijentima koji uzimaju klopidogrel (kao monoterapiju ili u kombinaciji sa acetilsalicilnom kiselinom) potrebno je objasniti da će krvarenje možda trajati duže nego obično i da treba da obavijeste ljekara o bilo kakvom neočekivanom krvarenju (mjesto i trajanje krvarenja).</w:t>
      </w:r>
    </w:p>
    <w:p w:rsidR="002E7D32" w:rsidRPr="00CA7204" w:rsidRDefault="002E7D32" w:rsidP="00F2401E">
      <w:pPr>
        <w:tabs>
          <w:tab w:val="left" w:pos="567"/>
        </w:tabs>
        <w:autoSpaceDE w:val="0"/>
        <w:autoSpaceDN w:val="0"/>
        <w:adjustRightInd w:val="0"/>
        <w:rPr>
          <w:sz w:val="22"/>
          <w:szCs w:val="22"/>
          <w:lang w:val="sr-Latn-ME"/>
        </w:rPr>
      </w:pPr>
    </w:p>
    <w:p w:rsidR="002E7D32" w:rsidRPr="00CA7204" w:rsidRDefault="00A40D04" w:rsidP="00F2401E">
      <w:pPr>
        <w:tabs>
          <w:tab w:val="left" w:pos="567"/>
        </w:tabs>
        <w:autoSpaceDE w:val="0"/>
        <w:autoSpaceDN w:val="0"/>
        <w:adjustRightInd w:val="0"/>
        <w:jc w:val="both"/>
        <w:rPr>
          <w:sz w:val="22"/>
          <w:szCs w:val="22"/>
        </w:rPr>
      </w:pPr>
      <w:r w:rsidRPr="00CA7204">
        <w:rPr>
          <w:sz w:val="22"/>
          <w:szCs w:val="22"/>
        </w:rPr>
        <w:t xml:space="preserve">Primjena udarne doze klopidogrela </w:t>
      </w:r>
      <w:proofErr w:type="gramStart"/>
      <w:r w:rsidRPr="00CA7204">
        <w:rPr>
          <w:sz w:val="22"/>
          <w:szCs w:val="22"/>
        </w:rPr>
        <w:t>od</w:t>
      </w:r>
      <w:proofErr w:type="gramEnd"/>
      <w:r w:rsidRPr="00CA7204">
        <w:rPr>
          <w:sz w:val="22"/>
          <w:szCs w:val="22"/>
        </w:rPr>
        <w:t xml:space="preserve"> 600 mg ne preporučuje se kod pacijenata sa akutnim koronarnim sindromom bez elevacije ST-segmenta i starosti ≥75 godina zbog povećanog rizika od krvarenja u toj grupi pacijenata.</w:t>
      </w:r>
    </w:p>
    <w:p w:rsidR="00F171CD" w:rsidRPr="00CA7204" w:rsidRDefault="00F171CD">
      <w:pPr>
        <w:tabs>
          <w:tab w:val="left" w:pos="284"/>
        </w:tabs>
        <w:jc w:val="both"/>
        <w:rPr>
          <w:sz w:val="22"/>
          <w:szCs w:val="22"/>
        </w:rPr>
      </w:pPr>
    </w:p>
    <w:p w:rsidR="00F171CD" w:rsidRPr="00CA7204" w:rsidRDefault="00F171CD">
      <w:pPr>
        <w:tabs>
          <w:tab w:val="left" w:pos="284"/>
        </w:tabs>
        <w:jc w:val="both"/>
        <w:rPr>
          <w:i/>
          <w:sz w:val="22"/>
          <w:szCs w:val="22"/>
          <w:lang w:val="sr-Latn-ME"/>
        </w:rPr>
      </w:pPr>
      <w:r w:rsidRPr="00CA7204">
        <w:rPr>
          <w:i/>
          <w:sz w:val="22"/>
          <w:szCs w:val="22"/>
          <w:lang w:val="sr-Latn-ME"/>
        </w:rPr>
        <w:t>Trombotična trombocitopenijska purpura (TTP)</w:t>
      </w:r>
    </w:p>
    <w:p w:rsidR="00F171CD" w:rsidRPr="00CA7204" w:rsidRDefault="00F171CD">
      <w:pPr>
        <w:tabs>
          <w:tab w:val="left" w:pos="284"/>
        </w:tabs>
        <w:jc w:val="both"/>
        <w:rPr>
          <w:sz w:val="22"/>
          <w:szCs w:val="22"/>
          <w:lang w:val="sr-Latn-ME"/>
        </w:rPr>
      </w:pPr>
      <w:r w:rsidRPr="00CA7204">
        <w:rPr>
          <w:sz w:val="22"/>
          <w:szCs w:val="22"/>
          <w:lang w:val="sr-Latn-ME"/>
        </w:rPr>
        <w:t>Trombotična trombocitopenijska purpura (TTP) je registrovana veoma rijetko nakon primjene klopidogrela, ponekad i poslije kraćeg izlaganja lijeku. Karakteriše je trombocitopenija i mikroangiopatska hemolitička anemija, a mogu se javiti i neurološki ispadi, bubrežni poremećaji ili groznica. TTP je potencijalno fatalno stanje koje zahtijeva hitno liječenje uključujući i plazmaferezu.</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Stečena hemofilija</w:t>
      </w:r>
    </w:p>
    <w:p w:rsidR="00F171CD" w:rsidRPr="00CA7204" w:rsidRDefault="00F171CD">
      <w:pPr>
        <w:tabs>
          <w:tab w:val="left" w:pos="284"/>
        </w:tabs>
        <w:jc w:val="both"/>
        <w:rPr>
          <w:sz w:val="22"/>
          <w:szCs w:val="22"/>
          <w:lang w:val="sr-Latn-ME"/>
        </w:rPr>
      </w:pPr>
      <w:r w:rsidRPr="00CA7204">
        <w:rPr>
          <w:sz w:val="22"/>
          <w:szCs w:val="22"/>
          <w:lang w:val="sr-Latn-ME"/>
        </w:rPr>
        <w:t xml:space="preserve">Nakon primjene klopidogrela prijavljena je stečena hemofilja. U slučajevima kada je potvrđeno izolovano produženje aktiviranog parcijalnog tromboplastinskog vremena (aPTT), sa krvarenjem ili bez njega, treba </w:t>
      </w:r>
      <w:r w:rsidRPr="00CA7204">
        <w:rPr>
          <w:sz w:val="22"/>
          <w:szCs w:val="22"/>
          <w:lang w:val="sr-Latn-ME"/>
        </w:rPr>
        <w:lastRenderedPageBreak/>
        <w:t>uzeti u obzir mogućnost stečene hemofilije. Pacijente sa potvrđenom dijagnozom stečene hemofilije moraju liječiti specijalisti, a primjena klopidogrela se mora prekinuti.</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Nedavni ishemijski moždani udar</w:t>
      </w:r>
    </w:p>
    <w:p w:rsidR="000831AD" w:rsidRPr="00CA7204" w:rsidRDefault="0023214A" w:rsidP="00F2401E">
      <w:pPr>
        <w:numPr>
          <w:ilvl w:val="0"/>
          <w:numId w:val="37"/>
        </w:numPr>
        <w:tabs>
          <w:tab w:val="left" w:pos="567"/>
        </w:tabs>
        <w:autoSpaceDE w:val="0"/>
        <w:autoSpaceDN w:val="0"/>
        <w:adjustRightInd w:val="0"/>
        <w:jc w:val="both"/>
        <w:rPr>
          <w:i/>
          <w:sz w:val="22"/>
          <w:szCs w:val="22"/>
        </w:rPr>
      </w:pPr>
      <w:r w:rsidRPr="00CA7204">
        <w:rPr>
          <w:i/>
          <w:sz w:val="22"/>
          <w:szCs w:val="22"/>
        </w:rPr>
        <w:t>Početak terapije</w:t>
      </w:r>
    </w:p>
    <w:p w:rsidR="000831AD" w:rsidRPr="00CA7204" w:rsidRDefault="0023214A" w:rsidP="00F2401E">
      <w:pPr>
        <w:numPr>
          <w:ilvl w:val="0"/>
          <w:numId w:val="36"/>
        </w:numPr>
        <w:tabs>
          <w:tab w:val="left" w:pos="567"/>
        </w:tabs>
        <w:autoSpaceDE w:val="0"/>
        <w:autoSpaceDN w:val="0"/>
        <w:adjustRightInd w:val="0"/>
        <w:jc w:val="both"/>
        <w:rPr>
          <w:sz w:val="22"/>
          <w:szCs w:val="22"/>
        </w:rPr>
      </w:pPr>
      <w:r w:rsidRPr="00CA7204">
        <w:rPr>
          <w:sz w:val="22"/>
          <w:szCs w:val="22"/>
        </w:rPr>
        <w:t xml:space="preserve">Kod pacijenata </w:t>
      </w:r>
      <w:proofErr w:type="gramStart"/>
      <w:r w:rsidRPr="00CA7204">
        <w:rPr>
          <w:sz w:val="22"/>
          <w:szCs w:val="22"/>
        </w:rPr>
        <w:t>sa</w:t>
      </w:r>
      <w:proofErr w:type="gramEnd"/>
      <w:r w:rsidRPr="00CA7204">
        <w:rPr>
          <w:sz w:val="22"/>
          <w:szCs w:val="22"/>
        </w:rPr>
        <w:t xml:space="preserve"> akutnim manjim ishemijskim moždanim udarom ili umjerenim do visokorizičnim prolaznim ishemijskim napadom, potrebno je započeti s dvojnom antitrombocitnom terapijom (klopidogrel i ASK) najkasnije 24 sata nakon događaja</w:t>
      </w:r>
      <w:r w:rsidR="000831AD" w:rsidRPr="00CA7204">
        <w:rPr>
          <w:sz w:val="22"/>
          <w:szCs w:val="22"/>
        </w:rPr>
        <w:t>.</w:t>
      </w:r>
    </w:p>
    <w:p w:rsidR="000831AD" w:rsidRPr="00CA7204" w:rsidRDefault="00CF325C" w:rsidP="00F2401E">
      <w:pPr>
        <w:numPr>
          <w:ilvl w:val="0"/>
          <w:numId w:val="36"/>
        </w:numPr>
        <w:tabs>
          <w:tab w:val="left" w:pos="567"/>
        </w:tabs>
        <w:autoSpaceDE w:val="0"/>
        <w:autoSpaceDN w:val="0"/>
        <w:adjustRightInd w:val="0"/>
        <w:jc w:val="both"/>
        <w:rPr>
          <w:sz w:val="22"/>
          <w:szCs w:val="22"/>
        </w:rPr>
      </w:pPr>
      <w:r w:rsidRPr="00CA7204">
        <w:rPr>
          <w:sz w:val="22"/>
          <w:szCs w:val="22"/>
        </w:rPr>
        <w:t>Nema podataka o koristi i riziku kratkoročne dvojne antitrombocitne terapije kod pacijenata sa akutnim manjim ishemijskim moždanim udarom ili umjerenim do visokorizičnim prolaznim ishemijskim napadom sa (netraumatskim) intrakranijalnim krvarenjem u istoriji bolesti</w:t>
      </w:r>
    </w:p>
    <w:p w:rsidR="000831AD" w:rsidRPr="00CA7204" w:rsidRDefault="00CF325C" w:rsidP="00F2401E">
      <w:pPr>
        <w:numPr>
          <w:ilvl w:val="0"/>
          <w:numId w:val="36"/>
        </w:numPr>
        <w:tabs>
          <w:tab w:val="left" w:pos="567"/>
        </w:tabs>
        <w:autoSpaceDE w:val="0"/>
        <w:autoSpaceDN w:val="0"/>
        <w:adjustRightInd w:val="0"/>
        <w:jc w:val="both"/>
        <w:rPr>
          <w:sz w:val="22"/>
          <w:szCs w:val="22"/>
        </w:rPr>
      </w:pPr>
      <w:r w:rsidRPr="00CA7204">
        <w:rPr>
          <w:sz w:val="22"/>
          <w:szCs w:val="22"/>
        </w:rPr>
        <w:t xml:space="preserve">Kod pacijenata </w:t>
      </w:r>
      <w:proofErr w:type="gramStart"/>
      <w:r w:rsidRPr="00CA7204">
        <w:rPr>
          <w:sz w:val="22"/>
          <w:szCs w:val="22"/>
        </w:rPr>
        <w:t>sa</w:t>
      </w:r>
      <w:proofErr w:type="gramEnd"/>
      <w:r w:rsidRPr="00CA7204">
        <w:rPr>
          <w:sz w:val="22"/>
          <w:szCs w:val="22"/>
        </w:rPr>
        <w:t xml:space="preserve"> non-minor ishemijskim moždanim udarom, monoterapiju klopidogrelom treba započeti tek nakon prvih 7 dana od događaja.</w:t>
      </w:r>
    </w:p>
    <w:p w:rsidR="000831AD" w:rsidRPr="00CA7204" w:rsidRDefault="002A023B" w:rsidP="00F2401E">
      <w:pPr>
        <w:numPr>
          <w:ilvl w:val="0"/>
          <w:numId w:val="37"/>
        </w:numPr>
        <w:tabs>
          <w:tab w:val="left" w:pos="567"/>
        </w:tabs>
        <w:autoSpaceDE w:val="0"/>
        <w:autoSpaceDN w:val="0"/>
        <w:adjustRightInd w:val="0"/>
        <w:jc w:val="both"/>
        <w:rPr>
          <w:i/>
          <w:sz w:val="22"/>
          <w:szCs w:val="22"/>
        </w:rPr>
      </w:pPr>
      <w:r w:rsidRPr="00CA7204">
        <w:rPr>
          <w:i/>
          <w:sz w:val="22"/>
          <w:szCs w:val="22"/>
        </w:rPr>
        <w:t>Pacijenti sa non-minor ishemijskim moždanim udarom (NIHSS &gt;4)</w:t>
      </w:r>
    </w:p>
    <w:p w:rsidR="002A023B" w:rsidRPr="00CA7204" w:rsidRDefault="00C02689" w:rsidP="00F2401E">
      <w:pPr>
        <w:tabs>
          <w:tab w:val="left" w:pos="567"/>
        </w:tabs>
        <w:autoSpaceDE w:val="0"/>
        <w:autoSpaceDN w:val="0"/>
        <w:adjustRightInd w:val="0"/>
        <w:ind w:left="567"/>
        <w:jc w:val="both"/>
        <w:rPr>
          <w:sz w:val="22"/>
          <w:szCs w:val="22"/>
        </w:rPr>
      </w:pPr>
      <w:r w:rsidRPr="00CA7204">
        <w:rPr>
          <w:sz w:val="22"/>
          <w:szCs w:val="22"/>
        </w:rPr>
        <w:t>S</w:t>
      </w:r>
      <w:r w:rsidR="00C31648" w:rsidRPr="00CA7204">
        <w:rPr>
          <w:sz w:val="22"/>
          <w:szCs w:val="22"/>
        </w:rPr>
        <w:t xml:space="preserve"> </w:t>
      </w:r>
      <w:r w:rsidRPr="00CA7204">
        <w:rPr>
          <w:sz w:val="22"/>
          <w:szCs w:val="22"/>
        </w:rPr>
        <w:t>o</w:t>
      </w:r>
      <w:r w:rsidR="002A023B" w:rsidRPr="00CA7204">
        <w:rPr>
          <w:sz w:val="22"/>
          <w:szCs w:val="22"/>
        </w:rPr>
        <w:t xml:space="preserve">bzirom </w:t>
      </w:r>
      <w:proofErr w:type="gramStart"/>
      <w:r w:rsidR="002A023B" w:rsidRPr="00CA7204">
        <w:rPr>
          <w:sz w:val="22"/>
          <w:szCs w:val="22"/>
        </w:rPr>
        <w:t>na</w:t>
      </w:r>
      <w:proofErr w:type="gramEnd"/>
      <w:r w:rsidR="002A023B" w:rsidRPr="00CA7204">
        <w:rPr>
          <w:sz w:val="22"/>
          <w:szCs w:val="22"/>
        </w:rPr>
        <w:t xml:space="preserve"> nedostatak podataka, ne preporučuje se primjena dvojne antitrombocitne terapije (vidjeti dio 4.1)</w:t>
      </w:r>
      <w:r w:rsidR="002A023B" w:rsidRPr="00CA7204" w:rsidDel="002A023B">
        <w:rPr>
          <w:sz w:val="22"/>
          <w:szCs w:val="22"/>
        </w:rPr>
        <w:t xml:space="preserve"> </w:t>
      </w:r>
    </w:p>
    <w:p w:rsidR="00C31648" w:rsidRPr="00CA7204" w:rsidRDefault="001144D3" w:rsidP="00F2401E">
      <w:pPr>
        <w:numPr>
          <w:ilvl w:val="0"/>
          <w:numId w:val="37"/>
        </w:numPr>
        <w:tabs>
          <w:tab w:val="left" w:pos="567"/>
        </w:tabs>
        <w:autoSpaceDE w:val="0"/>
        <w:autoSpaceDN w:val="0"/>
        <w:adjustRightInd w:val="0"/>
        <w:jc w:val="both"/>
        <w:rPr>
          <w:i/>
          <w:sz w:val="22"/>
          <w:szCs w:val="22"/>
        </w:rPr>
      </w:pPr>
      <w:r w:rsidRPr="00CA7204">
        <w:rPr>
          <w:i/>
          <w:sz w:val="22"/>
          <w:szCs w:val="22"/>
        </w:rPr>
        <w:t>Nedavni manji ishemijski moždani udar ili umjereni do visokorizični prolazni ishemijski</w:t>
      </w:r>
    </w:p>
    <w:p w:rsidR="000831AD" w:rsidRPr="00CA7204" w:rsidRDefault="00C31648" w:rsidP="00F2401E">
      <w:pPr>
        <w:tabs>
          <w:tab w:val="left" w:pos="567"/>
        </w:tabs>
        <w:autoSpaceDE w:val="0"/>
        <w:autoSpaceDN w:val="0"/>
        <w:adjustRightInd w:val="0"/>
        <w:ind w:left="230"/>
        <w:jc w:val="both"/>
        <w:rPr>
          <w:i/>
          <w:sz w:val="22"/>
          <w:szCs w:val="22"/>
        </w:rPr>
      </w:pPr>
      <w:r w:rsidRPr="00CA7204">
        <w:rPr>
          <w:i/>
          <w:sz w:val="22"/>
          <w:szCs w:val="22"/>
        </w:rPr>
        <w:t xml:space="preserve">      </w:t>
      </w:r>
      <w:proofErr w:type="gramStart"/>
      <w:r w:rsidR="001144D3" w:rsidRPr="00CA7204">
        <w:rPr>
          <w:i/>
          <w:sz w:val="22"/>
          <w:szCs w:val="22"/>
        </w:rPr>
        <w:t>napad</w:t>
      </w:r>
      <w:proofErr w:type="gramEnd"/>
      <w:r w:rsidR="001144D3" w:rsidRPr="00CA7204">
        <w:rPr>
          <w:i/>
          <w:sz w:val="22"/>
          <w:szCs w:val="22"/>
        </w:rPr>
        <w:t xml:space="preserve"> kod pacijenata kod kojih je intervencija indikovana ili planirana</w:t>
      </w:r>
    </w:p>
    <w:p w:rsidR="000831AD" w:rsidRPr="00CA7204" w:rsidRDefault="001144D3" w:rsidP="00F2401E">
      <w:pPr>
        <w:tabs>
          <w:tab w:val="left" w:pos="567"/>
        </w:tabs>
        <w:autoSpaceDE w:val="0"/>
        <w:autoSpaceDN w:val="0"/>
        <w:adjustRightInd w:val="0"/>
        <w:ind w:left="567"/>
        <w:jc w:val="both"/>
        <w:rPr>
          <w:sz w:val="22"/>
          <w:szCs w:val="22"/>
        </w:rPr>
      </w:pPr>
      <w:r w:rsidRPr="00CA7204">
        <w:rPr>
          <w:sz w:val="22"/>
          <w:szCs w:val="22"/>
        </w:rPr>
        <w:t xml:space="preserve">Nema podataka koji opravdavaju primjenu dvojne antitrombocitne terapije kod pacijenata kod kojih je indikovano liječenje karotidnom endarterektomijom </w:t>
      </w:r>
      <w:proofErr w:type="gramStart"/>
      <w:r w:rsidRPr="00CA7204">
        <w:rPr>
          <w:sz w:val="22"/>
          <w:szCs w:val="22"/>
        </w:rPr>
        <w:t>ili</w:t>
      </w:r>
      <w:proofErr w:type="gramEnd"/>
      <w:r w:rsidRPr="00CA7204">
        <w:rPr>
          <w:sz w:val="22"/>
          <w:szCs w:val="22"/>
        </w:rPr>
        <w:t xml:space="preserve"> intravaskularnom trombektomijom, kao ni kod pacijenata kod kojih je planirana tromboliza ili antikoagulantna terapija. Ne preporučuje se dvojna antitrombocitna terapija u ovim situacijama.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Citohrom P4502</w:t>
      </w:r>
      <w:r w:rsidR="0037570E" w:rsidRPr="00CA7204">
        <w:rPr>
          <w:i/>
          <w:sz w:val="22"/>
          <w:szCs w:val="22"/>
          <w:lang w:val="sr-Latn-ME"/>
        </w:rPr>
        <w:t xml:space="preserve"> </w:t>
      </w:r>
      <w:r w:rsidRPr="00CA7204">
        <w:rPr>
          <w:i/>
          <w:sz w:val="22"/>
          <w:szCs w:val="22"/>
          <w:lang w:val="sr-Latn-ME"/>
        </w:rPr>
        <w:t>C19 (CYP2C19)</w:t>
      </w:r>
    </w:p>
    <w:p w:rsidR="00F171CD" w:rsidRPr="00CA7204" w:rsidRDefault="00F171CD">
      <w:pPr>
        <w:tabs>
          <w:tab w:val="left" w:pos="284"/>
        </w:tabs>
        <w:jc w:val="both"/>
        <w:rPr>
          <w:sz w:val="22"/>
          <w:szCs w:val="22"/>
          <w:lang w:val="sr-Latn-ME"/>
        </w:rPr>
      </w:pPr>
      <w:r w:rsidRPr="00CA7204">
        <w:rPr>
          <w:sz w:val="22"/>
          <w:szCs w:val="22"/>
          <w:lang w:val="sr-Latn-ME"/>
        </w:rPr>
        <w:t>Farmakogenetika: Kod pacijenata koji su slabi CYP2C19 metabolizeri klopidogrel u preporučenim dozama stvara manje aktivnog metabolita i ima manje efekta na funkciju trombocita. Postoje testovi koji identifikuju CYP2C19 genotip</w:t>
      </w:r>
      <w:r w:rsidR="00C02689" w:rsidRPr="00CA7204">
        <w:rPr>
          <w:sz w:val="22"/>
          <w:szCs w:val="22"/>
          <w:lang w:val="sr-Latn-ME"/>
        </w:rPr>
        <w:t xml:space="preserve"> pacijenta</w:t>
      </w:r>
      <w:r w:rsidRPr="00CA7204">
        <w:rPr>
          <w:sz w:val="22"/>
          <w:szCs w:val="22"/>
          <w:lang w:val="sr-Latn-ME"/>
        </w:rPr>
        <w:t>.</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S obzirom na to da se klopidogrel </w:t>
      </w:r>
      <w:r w:rsidR="00C02689" w:rsidRPr="00CA7204">
        <w:rPr>
          <w:sz w:val="22"/>
          <w:szCs w:val="22"/>
          <w:lang w:val="sr-Latn-ME"/>
        </w:rPr>
        <w:t xml:space="preserve">djelimično </w:t>
      </w:r>
      <w:r w:rsidRPr="00CA7204">
        <w:rPr>
          <w:sz w:val="22"/>
          <w:szCs w:val="22"/>
          <w:lang w:val="sr-Latn-ME"/>
        </w:rPr>
        <w:t>metaboliše u aktivni metabolit uglavnom preko CYP2C19 enzima, primjena ljekova koji inhibiraju aktivnost ovog enzima može dovesti do smanjenog nivoa aktivnog metabolita klopidogrela. Klinički značaj ove interakcije nije potpuno definisan. Kao mjera opreza</w:t>
      </w:r>
      <w:r w:rsidR="00C02689" w:rsidRPr="00CA7204">
        <w:rPr>
          <w:sz w:val="22"/>
          <w:szCs w:val="22"/>
          <w:lang w:val="sr-Latn-ME"/>
        </w:rPr>
        <w:t>,</w:t>
      </w:r>
      <w:r w:rsidRPr="00CA7204">
        <w:rPr>
          <w:sz w:val="22"/>
          <w:szCs w:val="22"/>
          <w:lang w:val="sr-Latn-ME"/>
        </w:rPr>
        <w:t xml:space="preserve"> ne preporučuje</w:t>
      </w:r>
      <w:r w:rsidR="00C02689" w:rsidRPr="00CA7204">
        <w:rPr>
          <w:sz w:val="22"/>
          <w:szCs w:val="22"/>
          <w:lang w:val="sr-Latn-ME"/>
        </w:rPr>
        <w:t xml:space="preserve"> se </w:t>
      </w:r>
      <w:r w:rsidRPr="00CA7204">
        <w:rPr>
          <w:sz w:val="22"/>
          <w:szCs w:val="22"/>
          <w:lang w:val="sr-Latn-ME"/>
        </w:rPr>
        <w:t>istovremena prim</w:t>
      </w:r>
      <w:r w:rsidR="00C02689" w:rsidRPr="00CA7204">
        <w:rPr>
          <w:sz w:val="22"/>
          <w:szCs w:val="22"/>
          <w:lang w:val="sr-Latn-ME"/>
        </w:rPr>
        <w:t>j</w:t>
      </w:r>
      <w:r w:rsidRPr="00CA7204">
        <w:rPr>
          <w:sz w:val="22"/>
          <w:szCs w:val="22"/>
          <w:lang w:val="sr-Latn-ME"/>
        </w:rPr>
        <w:t xml:space="preserve">ena jakih ili umjerenih CYP2C19 inhibitora sa klopidogrelom (vidjeti </w:t>
      </w:r>
      <w:r w:rsidR="00C02689" w:rsidRPr="00CA7204">
        <w:rPr>
          <w:sz w:val="22"/>
          <w:szCs w:val="22"/>
          <w:lang w:val="sr-Latn-ME"/>
        </w:rPr>
        <w:t>djelove</w:t>
      </w:r>
      <w:r w:rsidRPr="00CA7204">
        <w:rPr>
          <w:sz w:val="22"/>
          <w:szCs w:val="22"/>
          <w:lang w:val="sr-Latn-ME"/>
        </w:rPr>
        <w:t xml:space="preserve"> 4.5 i 5.2).</w:t>
      </w:r>
    </w:p>
    <w:p w:rsidR="00F171CD" w:rsidRPr="00CA7204" w:rsidRDefault="00F171CD">
      <w:pPr>
        <w:tabs>
          <w:tab w:val="left" w:pos="284"/>
        </w:tabs>
        <w:jc w:val="both"/>
        <w:rPr>
          <w:i/>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Očekuje se da će primjena ljekova koji indukuju aktivnost CYP2C19 dovesti do povećanog novoa aktivnog metabolita klopidogrela i da će možda povećati rizik od nastanka krvarenja. Kao mjera opreza se ne preporučuje istovremena primjena sa ljekovima koji su jaki induktori (vidjeti </w:t>
      </w:r>
      <w:r w:rsidR="00C02689" w:rsidRPr="00CA7204">
        <w:rPr>
          <w:sz w:val="22"/>
          <w:szCs w:val="22"/>
          <w:lang w:val="sr-Latn-ME"/>
        </w:rPr>
        <w:t xml:space="preserve">dio </w:t>
      </w:r>
      <w:r w:rsidRPr="00CA7204">
        <w:rPr>
          <w:sz w:val="22"/>
          <w:szCs w:val="22"/>
          <w:lang w:val="sr-Latn-ME"/>
        </w:rPr>
        <w:t xml:space="preserve">4.5).  </w:t>
      </w:r>
    </w:p>
    <w:p w:rsidR="00F171CD" w:rsidRPr="00CA7204" w:rsidRDefault="00F171CD">
      <w:pPr>
        <w:tabs>
          <w:tab w:val="left" w:pos="284"/>
        </w:tabs>
        <w:jc w:val="both"/>
        <w:rPr>
          <w:i/>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Ljekovi koji se metabolišu preko citohroma CYP2C8</w:t>
      </w:r>
    </w:p>
    <w:p w:rsidR="00F171CD" w:rsidRPr="00CA7204" w:rsidRDefault="00F171CD">
      <w:pPr>
        <w:tabs>
          <w:tab w:val="left" w:pos="284"/>
        </w:tabs>
        <w:jc w:val="both"/>
        <w:rPr>
          <w:sz w:val="22"/>
          <w:szCs w:val="22"/>
          <w:lang w:val="sr-Latn-ME"/>
        </w:rPr>
      </w:pPr>
      <w:r w:rsidRPr="00CA7204">
        <w:rPr>
          <w:sz w:val="22"/>
          <w:szCs w:val="22"/>
          <w:lang w:val="sr-Latn-ME"/>
        </w:rPr>
        <w:t xml:space="preserve">Oprez je potreban kod pacijenata koji su na istovremenoj terapiji klopidogrelom i ljekovima koji predstavljaju supstrat za CYP2C8 (vidjeti </w:t>
      </w:r>
      <w:r w:rsidR="00C02689" w:rsidRPr="00CA7204">
        <w:rPr>
          <w:sz w:val="22"/>
          <w:szCs w:val="22"/>
          <w:lang w:val="sr-Latn-ME"/>
        </w:rPr>
        <w:t xml:space="preserve">dio </w:t>
      </w:r>
      <w:r w:rsidRPr="00CA7204">
        <w:rPr>
          <w:sz w:val="22"/>
          <w:szCs w:val="22"/>
          <w:lang w:val="sr-Latn-ME"/>
        </w:rPr>
        <w:t>4.5).</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Unakrsne reakcije između tienopiridina</w:t>
      </w:r>
    </w:p>
    <w:p w:rsidR="00F171CD" w:rsidRPr="00CA7204" w:rsidRDefault="00F171CD">
      <w:pPr>
        <w:tabs>
          <w:tab w:val="left" w:pos="284"/>
        </w:tabs>
        <w:jc w:val="both"/>
        <w:rPr>
          <w:sz w:val="22"/>
          <w:szCs w:val="22"/>
          <w:lang w:val="sr-Latn-ME"/>
        </w:rPr>
      </w:pPr>
      <w:r w:rsidRPr="00CA7204">
        <w:rPr>
          <w:sz w:val="22"/>
          <w:szCs w:val="22"/>
          <w:lang w:val="sr-Latn-ME"/>
        </w:rPr>
        <w:t xml:space="preserve">Treba ispitati da li postoji preosjetljivost na tienopiridine u anamnezi (kao što su klopidogrel, tiklopidin, prasugrel) jer je prijavljena unakrsna preosjetljivost na tienopiridine (vidjeti </w:t>
      </w:r>
      <w:r w:rsidR="00C02689" w:rsidRPr="00CA7204">
        <w:rPr>
          <w:sz w:val="22"/>
          <w:szCs w:val="22"/>
          <w:lang w:val="sr-Latn-ME"/>
        </w:rPr>
        <w:t xml:space="preserve">dio </w:t>
      </w:r>
      <w:r w:rsidRPr="00CA7204">
        <w:rPr>
          <w:sz w:val="22"/>
          <w:szCs w:val="22"/>
          <w:lang w:val="sr-Latn-ME"/>
        </w:rPr>
        <w:t>4.8). Tienopiridini mogu izazvati blage do teške alergijske reakcije kao što su osip, angioedem ili hematološke unakrsne reakcije kao što su trombocitopenija i neutropenija. Kod pacijenata koji su već imali alergijsku i/ili hematološku reakciju na neki od tienopiridina može biti povećan rizik od nastanka iste ili slične alergijske reakcije na neki drugi tienopiridin. Savjetuje se praćenje znakova preosjetljivosti kod pacijenata sa poznatom alergijom na tienopiridine.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Oštećenje funkcije bubrega</w:t>
      </w:r>
    </w:p>
    <w:p w:rsidR="00F171CD" w:rsidRPr="00CA7204" w:rsidRDefault="00F171CD">
      <w:pPr>
        <w:tabs>
          <w:tab w:val="left" w:pos="284"/>
        </w:tabs>
        <w:jc w:val="both"/>
        <w:rPr>
          <w:sz w:val="22"/>
          <w:szCs w:val="22"/>
          <w:lang w:val="sr-Latn-ME"/>
        </w:rPr>
      </w:pPr>
      <w:r w:rsidRPr="00CA7204">
        <w:rPr>
          <w:sz w:val="22"/>
          <w:szCs w:val="22"/>
          <w:lang w:val="sr-Latn-ME"/>
        </w:rPr>
        <w:t xml:space="preserve">Kod pacijenata sa poremećajem funkcije bubrega se savjetuje oprez, s obzirom da nema dovoljno iskustva u primjeni lijeka kod ovih pacijenata (vidjeti </w:t>
      </w:r>
      <w:r w:rsidR="00C02689" w:rsidRPr="00CA7204">
        <w:rPr>
          <w:sz w:val="22"/>
          <w:szCs w:val="22"/>
          <w:lang w:val="sr-Latn-ME"/>
        </w:rPr>
        <w:t xml:space="preserve">dio </w:t>
      </w:r>
      <w:r w:rsidRPr="00CA7204">
        <w:rPr>
          <w:sz w:val="22"/>
          <w:szCs w:val="22"/>
          <w:lang w:val="sr-Latn-ME"/>
        </w:rPr>
        <w:t>4.2).</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lastRenderedPageBreak/>
        <w:t>Oštećenje funkcije jetre</w:t>
      </w:r>
    </w:p>
    <w:p w:rsidR="00F171CD" w:rsidRPr="00CA7204" w:rsidRDefault="00F171CD">
      <w:pPr>
        <w:tabs>
          <w:tab w:val="left" w:pos="284"/>
        </w:tabs>
        <w:jc w:val="both"/>
        <w:rPr>
          <w:sz w:val="22"/>
          <w:szCs w:val="22"/>
          <w:lang w:val="sr-Latn-ME"/>
        </w:rPr>
      </w:pPr>
      <w:r w:rsidRPr="00CA7204">
        <w:rPr>
          <w:sz w:val="22"/>
          <w:szCs w:val="22"/>
          <w:lang w:val="sr-Latn-ME"/>
        </w:rPr>
        <w:t xml:space="preserve">Iskustvo je ograničeno kod pacijenata sa umjerenim poremećajem funkcije jetre koji mogu imati hemoragijsku dijatezu. Prema tome, klopidogrel treba primjenjivati sa oprezom kod ove populacije (vidjeti </w:t>
      </w:r>
      <w:r w:rsidR="00C02689" w:rsidRPr="00CA7204">
        <w:rPr>
          <w:sz w:val="22"/>
          <w:szCs w:val="22"/>
          <w:lang w:val="sr-Latn-ME"/>
        </w:rPr>
        <w:t xml:space="preserve">dio </w:t>
      </w:r>
      <w:r w:rsidRPr="00CA7204">
        <w:rPr>
          <w:sz w:val="22"/>
          <w:szCs w:val="22"/>
          <w:lang w:val="sr-Latn-ME"/>
        </w:rPr>
        <w:t>4.2).</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Posebna upozorenja o pomoćnim supstancama</w:t>
      </w:r>
    </w:p>
    <w:p w:rsidR="00F171CD" w:rsidRPr="00CA7204" w:rsidRDefault="00F171CD">
      <w:pPr>
        <w:tabs>
          <w:tab w:val="left" w:pos="284"/>
        </w:tabs>
        <w:jc w:val="both"/>
        <w:rPr>
          <w:sz w:val="22"/>
          <w:szCs w:val="22"/>
          <w:lang w:val="sr-Latn-ME"/>
        </w:rPr>
      </w:pPr>
      <w:r w:rsidRPr="00CA7204">
        <w:rPr>
          <w:sz w:val="22"/>
          <w:szCs w:val="22"/>
          <w:lang w:val="sr-Latn-ME"/>
        </w:rPr>
        <w:t xml:space="preserve">Lijek </w:t>
      </w:r>
      <w:r w:rsidR="00C02689" w:rsidRPr="00CA7204">
        <w:rPr>
          <w:sz w:val="22"/>
          <w:szCs w:val="22"/>
          <w:lang w:val="sr-Latn-ME"/>
        </w:rPr>
        <w:t xml:space="preserve">Zyllt </w:t>
      </w:r>
      <w:r w:rsidRPr="00CA7204">
        <w:rPr>
          <w:sz w:val="22"/>
          <w:szCs w:val="22"/>
          <w:lang w:val="sr-Latn-ME"/>
        </w:rPr>
        <w:t>sadrži laktozu. Pacijenti sa rijetkim nasljednim oboljenjem intolerancije na galaktozu, nedostatkom Lapp-laktaze ili glukozo-galaktoznom malapsorpcijom ne smiju da uzimaju ovaj lijek.</w:t>
      </w:r>
    </w:p>
    <w:p w:rsidR="00F171CD" w:rsidRPr="00CA7204" w:rsidRDefault="00F171CD">
      <w:pPr>
        <w:tabs>
          <w:tab w:val="left" w:pos="284"/>
        </w:tabs>
        <w:jc w:val="both"/>
        <w:rPr>
          <w:sz w:val="22"/>
          <w:szCs w:val="22"/>
          <w:lang w:val="sr-Latn-ME"/>
        </w:rPr>
      </w:pPr>
      <w:r w:rsidRPr="00CA7204">
        <w:rPr>
          <w:sz w:val="22"/>
          <w:szCs w:val="22"/>
          <w:lang w:val="sr-Latn-ME"/>
        </w:rPr>
        <w:t>Lijek sadrži ulje ricinusa što može dovesti do stomačnih tegoba i dijareje.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4.5.  Interakcije sa drugim ljekovima i druge vrste interakcija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 xml:space="preserve">Ljekovi čija je primjena udružena sa povećanjem rizika od krvarenja: </w:t>
      </w:r>
      <w:r w:rsidRPr="00CA7204">
        <w:rPr>
          <w:sz w:val="22"/>
          <w:szCs w:val="22"/>
          <w:lang w:val="sr-Latn-ME"/>
        </w:rPr>
        <w:t xml:space="preserve">postoji povećan rizik od krvarenja zbog potencijalnog aditivnog efekta. Potreban je oprez kod istovremene primjene ljekova koji mogu povećati rizik od krvarenja (vidjeti </w:t>
      </w:r>
      <w:r w:rsidR="00C02689"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jc w:val="both"/>
        <w:rPr>
          <w:i/>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Oralni antikoagulansi</w:t>
      </w:r>
      <w:r w:rsidRPr="00CA7204">
        <w:rPr>
          <w:sz w:val="22"/>
          <w:szCs w:val="22"/>
          <w:lang w:val="sr-Latn-ME"/>
        </w:rPr>
        <w:t xml:space="preserve">: istovremena primjena klopidogrela sa oralnim antikoagulansima se ne preporučuje jer se može povećati intenzitet krvarenja (vidjeti </w:t>
      </w:r>
      <w:r w:rsidR="00C02689" w:rsidRPr="00CA7204">
        <w:rPr>
          <w:sz w:val="22"/>
          <w:szCs w:val="22"/>
          <w:lang w:val="sr-Latn-ME"/>
        </w:rPr>
        <w:t xml:space="preserve">dio </w:t>
      </w:r>
      <w:r w:rsidRPr="00CA7204">
        <w:rPr>
          <w:sz w:val="22"/>
          <w:szCs w:val="22"/>
          <w:lang w:val="sr-Latn-ME"/>
        </w:rPr>
        <w:t>4.4). Iako primjena 75 mg klopidogrela dnevno nije uticala na kinetiku S-varfarina ili na INR (Internacionalni standardizovani odnos), kod pacijenata koji su na dugotrajnoj terapiji varfarinom</w:t>
      </w:r>
      <w:r w:rsidR="00C02689" w:rsidRPr="00CA7204">
        <w:rPr>
          <w:sz w:val="22"/>
          <w:szCs w:val="22"/>
          <w:lang w:val="sr-Latn-ME"/>
        </w:rPr>
        <w:t>,</w:t>
      </w:r>
      <w:r w:rsidRPr="00CA7204">
        <w:rPr>
          <w:sz w:val="22"/>
          <w:szCs w:val="22"/>
          <w:lang w:val="sr-Latn-ME"/>
        </w:rPr>
        <w:t xml:space="preserve"> istovremena primjena klopidogrela i varfarina povećava rizik od krvarenja (nezavisni efekti na hemostazu).</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Inhibitori glikoproteina IIb/IIIa:</w:t>
      </w:r>
      <w:r w:rsidRPr="00CA7204">
        <w:rPr>
          <w:sz w:val="22"/>
          <w:szCs w:val="22"/>
          <w:lang w:val="sr-Latn-ME"/>
        </w:rPr>
        <w:t xml:space="preserve"> klopidogrel se sa oprezom mora davati pacijentima koji primaju inhibitor glikoproteina IIb/IIIa (vidjeti </w:t>
      </w:r>
      <w:r w:rsidR="00C02689"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 xml:space="preserve">Acetilsalicilna kiselina (ASK): </w:t>
      </w:r>
      <w:r w:rsidRPr="00CA7204">
        <w:rPr>
          <w:sz w:val="22"/>
          <w:szCs w:val="22"/>
          <w:lang w:val="sr-Latn-ME"/>
        </w:rPr>
        <w:t xml:space="preserve">ASK nije uticala na promjenu inhibicije agregacije trombocita posredovane klopidogrelom (ADP indukovanu), ali klopidogrel pojačava dejstvo acetilsalicilne kiseline na agregaciju trombocita izazvanu kolagenom. Istovremena primjena 500 mg acetilsalicilne kiseline dva puta dnevno tokom jednog dana nije značajno produžila vrijeme krvarenja izazvanog uzimanjem klopidogrela. Farmakodinamska interakcija između klopidogrela i acetilsalicilne kiseline se može javiti i povećati opasnost od krvarenja. Zbog toga se savjetuje oprez pri istovremenoj primjeni ova dva lijeka (vidjeti </w:t>
      </w:r>
      <w:r w:rsidR="00DB278E" w:rsidRPr="00CA7204">
        <w:rPr>
          <w:sz w:val="22"/>
          <w:szCs w:val="22"/>
          <w:lang w:val="sr-Latn-ME"/>
        </w:rPr>
        <w:t xml:space="preserve">dio </w:t>
      </w:r>
      <w:r w:rsidRPr="00CA7204">
        <w:rPr>
          <w:sz w:val="22"/>
          <w:szCs w:val="22"/>
          <w:lang w:val="sr-Latn-ME"/>
        </w:rPr>
        <w:t xml:space="preserve">4.4). Međutim, klopidogrel i acetilsalicilna kiselina su se istovremeno primjenjivali u trajanju do jedne godine (vidjeti </w:t>
      </w:r>
      <w:r w:rsidR="00DB278E" w:rsidRPr="00CA7204">
        <w:rPr>
          <w:sz w:val="22"/>
          <w:szCs w:val="22"/>
          <w:lang w:val="sr-Latn-ME"/>
        </w:rPr>
        <w:t xml:space="preserve">dio </w:t>
      </w:r>
      <w:r w:rsidRPr="00CA7204">
        <w:rPr>
          <w:sz w:val="22"/>
          <w:szCs w:val="22"/>
          <w:lang w:val="sr-Latn-ME"/>
        </w:rPr>
        <w:t>5.1).</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Heparin:</w:t>
      </w:r>
      <w:r w:rsidRPr="00CA7204">
        <w:rPr>
          <w:sz w:val="22"/>
          <w:szCs w:val="22"/>
          <w:lang w:val="sr-Latn-ME"/>
        </w:rPr>
        <w:t xml:space="preserve"> u jednoj kliničkoj studiji sa zdravim ispitanicima primjena klopidogrela nije zahtijevala promjenu doze heparina, niti je mijenjala efekat heparina na koagulaciju. Istovremena primjena heparina nije djelovala na inhibiciju agregacije trombocita indukovane klopidogrelom. Farmakodinamska interakcija između klopidogrela i heparina se može javiti i povećati rizik od krvarenja. Zbog toga je pri istovremenoj primjeni potreban oprez (vidjeti </w:t>
      </w:r>
      <w:r w:rsidR="00DB278E"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 xml:space="preserve">Trombolitici: </w:t>
      </w:r>
      <w:r w:rsidRPr="00CA7204">
        <w:rPr>
          <w:sz w:val="22"/>
          <w:szCs w:val="22"/>
          <w:lang w:val="sr-Latn-ME"/>
        </w:rPr>
        <w:t>bezbjednost istovremene primjene klopidogrela, fibrin-specifičnih ili fibrin-nespecifičnih trombolitika i heparina je procjenjivana kod pacijenata sa akutnim infarktom miokarda.</w:t>
      </w:r>
    </w:p>
    <w:p w:rsidR="00F171CD" w:rsidRPr="00CA7204" w:rsidRDefault="00F171CD">
      <w:pPr>
        <w:tabs>
          <w:tab w:val="left" w:pos="284"/>
        </w:tabs>
        <w:jc w:val="both"/>
        <w:rPr>
          <w:sz w:val="22"/>
          <w:szCs w:val="22"/>
          <w:lang w:val="sr-Latn-ME"/>
        </w:rPr>
      </w:pPr>
      <w:r w:rsidRPr="00CA7204">
        <w:rPr>
          <w:sz w:val="22"/>
          <w:szCs w:val="22"/>
          <w:lang w:val="sr-Latn-ME"/>
        </w:rPr>
        <w:t xml:space="preserve">Incidenca klinički značajnog krvarenja je bila slična onoj primijećenoj pri istovremenoj primjeni trombolitika i heparina sa acetilsalicilnom kiselinom (vidjeti </w:t>
      </w:r>
      <w:r w:rsidR="00DB278E" w:rsidRPr="00CA7204">
        <w:rPr>
          <w:sz w:val="22"/>
          <w:szCs w:val="22"/>
          <w:lang w:val="sr-Latn-ME"/>
        </w:rPr>
        <w:t xml:space="preserve">dio </w:t>
      </w:r>
      <w:r w:rsidRPr="00CA7204">
        <w:rPr>
          <w:sz w:val="22"/>
          <w:szCs w:val="22"/>
          <w:lang w:val="sr-Latn-ME"/>
        </w:rPr>
        <w:t>4.8).</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Nesteroidni antiinflamatorni ljekovi (NSAIL)</w:t>
      </w:r>
      <w:r w:rsidRPr="00CA7204">
        <w:rPr>
          <w:sz w:val="22"/>
          <w:szCs w:val="22"/>
          <w:lang w:val="sr-Latn-ME"/>
        </w:rPr>
        <w:t xml:space="preserve">: u jednom kliničkom ispitivanju sprovedenom kod zdravih ljudi istovremena primjena klopidogrela i naproksena povećala je gastrointestinalno okultno krvarenje. Međutim, zbog nepostojanja studija interakcija sa drugim ljekovima iz te grupe za sada nije jasno da li se povećani rizik od gastrointetinalnih krvarenja odnosi na sve nesteroidne antiinflamatorne ljekove. Zato je potreban oprez pri istovremenoj upotrebi klopidogrela i nesteroidnih antiinflamatornih ljekova, uključujući i COX-2 inhibitore (vidjeti </w:t>
      </w:r>
      <w:r w:rsidR="00DB278E"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Inhibitori preuzimanja serotonina (SSRI)</w:t>
      </w:r>
    </w:p>
    <w:p w:rsidR="00F171CD" w:rsidRPr="00CA7204" w:rsidRDefault="00F171CD">
      <w:pPr>
        <w:tabs>
          <w:tab w:val="left" w:pos="284"/>
        </w:tabs>
        <w:jc w:val="both"/>
        <w:rPr>
          <w:sz w:val="22"/>
          <w:szCs w:val="22"/>
          <w:lang w:val="sr-Latn-ME"/>
        </w:rPr>
      </w:pPr>
      <w:r w:rsidRPr="00CA7204">
        <w:rPr>
          <w:sz w:val="22"/>
          <w:szCs w:val="22"/>
          <w:lang w:val="sr-Latn-ME"/>
        </w:rPr>
        <w:t>S obzirom na to da SSRI utiču na aktivaciju trombocita i povećavaju rizik od krvarenja, istovremenu primjenu sa klopidogrelom treba sprovoditi sa oprezom.</w:t>
      </w:r>
    </w:p>
    <w:p w:rsidR="00F171CD" w:rsidRPr="00CA7204" w:rsidRDefault="00F171CD">
      <w:pPr>
        <w:tabs>
          <w:tab w:val="left" w:pos="284"/>
        </w:tabs>
        <w:jc w:val="both"/>
        <w:rPr>
          <w:i/>
          <w:sz w:val="22"/>
          <w:szCs w:val="22"/>
          <w:lang w:val="sr-Latn-ME"/>
        </w:rPr>
      </w:pPr>
    </w:p>
    <w:p w:rsidR="00F171CD" w:rsidRPr="00CA7204" w:rsidRDefault="00F171CD">
      <w:pPr>
        <w:widowControl w:val="0"/>
        <w:tabs>
          <w:tab w:val="left" w:pos="284"/>
          <w:tab w:val="left" w:pos="2400"/>
          <w:tab w:val="left" w:pos="7280"/>
        </w:tabs>
        <w:ind w:right="-29"/>
        <w:jc w:val="both"/>
        <w:rPr>
          <w:i/>
          <w:iCs/>
          <w:sz w:val="22"/>
          <w:szCs w:val="22"/>
          <w:lang w:val="sr-Latn-ME"/>
        </w:rPr>
      </w:pPr>
      <w:r w:rsidRPr="00CA7204">
        <w:rPr>
          <w:i/>
          <w:iCs/>
          <w:sz w:val="22"/>
          <w:szCs w:val="22"/>
          <w:lang w:val="sr-Latn-ME"/>
        </w:rPr>
        <w:lastRenderedPageBreak/>
        <w:t>Ostali istovremeno primijenjeni lijekovi</w:t>
      </w:r>
    </w:p>
    <w:p w:rsidR="00F171CD" w:rsidRPr="00CA7204" w:rsidRDefault="00F171CD">
      <w:pPr>
        <w:widowControl w:val="0"/>
        <w:tabs>
          <w:tab w:val="left" w:pos="284"/>
          <w:tab w:val="left" w:pos="2400"/>
          <w:tab w:val="left" w:pos="7280"/>
        </w:tabs>
        <w:ind w:right="-29"/>
        <w:jc w:val="both"/>
        <w:rPr>
          <w:i/>
          <w:iCs/>
          <w:sz w:val="22"/>
          <w:szCs w:val="22"/>
          <w:lang w:val="sr-Latn-ME"/>
        </w:rPr>
      </w:pPr>
    </w:p>
    <w:p w:rsidR="00F171CD" w:rsidRPr="00CA7204" w:rsidRDefault="00F171CD">
      <w:pPr>
        <w:widowControl w:val="0"/>
        <w:tabs>
          <w:tab w:val="left" w:pos="284"/>
          <w:tab w:val="left" w:pos="2400"/>
          <w:tab w:val="left" w:pos="7280"/>
        </w:tabs>
        <w:ind w:right="-29"/>
        <w:jc w:val="both"/>
        <w:rPr>
          <w:i/>
          <w:iCs/>
          <w:sz w:val="22"/>
          <w:szCs w:val="22"/>
          <w:lang w:val="sr-Latn-ME"/>
        </w:rPr>
      </w:pPr>
      <w:r w:rsidRPr="00CA7204">
        <w:rPr>
          <w:i/>
          <w:sz w:val="22"/>
          <w:szCs w:val="22"/>
          <w:lang w:val="sr-Latn-ME"/>
        </w:rPr>
        <w:t>Induktori CYP2C19</w:t>
      </w:r>
    </w:p>
    <w:p w:rsidR="00F171CD" w:rsidRPr="00CA7204" w:rsidRDefault="00F171CD">
      <w:pPr>
        <w:tabs>
          <w:tab w:val="left" w:pos="284"/>
        </w:tabs>
        <w:jc w:val="both"/>
        <w:rPr>
          <w:sz w:val="22"/>
          <w:szCs w:val="22"/>
          <w:lang w:val="sr-Latn-ME"/>
        </w:rPr>
      </w:pPr>
      <w:r w:rsidRPr="00CA7204">
        <w:rPr>
          <w:sz w:val="22"/>
          <w:szCs w:val="22"/>
          <w:lang w:val="sr-Latn-ME"/>
        </w:rPr>
        <w:t xml:space="preserve">S obzirom da se klopidogrel do svog aktivnog metabolita djelimično metaboliše enzimom CYP2C19, očekuje se da će primjena ljekova koji indukuju aktivnost ovog enzima dovesti do povećanja vrijednosti aktivnog metabolita klopidogrela. </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Rifampicin snažno indukuje CYP2C19, što dovodi i do povećanog nivoa aktivnog metabolita klopidogrela i do inhibicije trombocita, a što posebno može pojačati rizik od krvarenja. Kao mjera opreza se ne preporučuje istovremena primjena sa ljekovima koji su jaki induktori CYP2C19 (vidjeti </w:t>
      </w:r>
      <w:r w:rsidR="00DB278E" w:rsidRPr="00CA7204">
        <w:rPr>
          <w:sz w:val="22"/>
          <w:szCs w:val="22"/>
          <w:lang w:val="sr-Latn-ME"/>
        </w:rPr>
        <w:t xml:space="preserve">dio </w:t>
      </w:r>
      <w:r w:rsidRPr="00CA7204">
        <w:rPr>
          <w:sz w:val="22"/>
          <w:szCs w:val="22"/>
          <w:lang w:val="sr-Latn-ME"/>
        </w:rPr>
        <w:t xml:space="preserve">4.4). </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Inhibitori CYP2C19</w:t>
      </w:r>
    </w:p>
    <w:p w:rsidR="00F171CD" w:rsidRPr="00CA7204" w:rsidRDefault="00F171CD">
      <w:pPr>
        <w:tabs>
          <w:tab w:val="left" w:pos="284"/>
        </w:tabs>
        <w:jc w:val="both"/>
        <w:rPr>
          <w:sz w:val="22"/>
          <w:szCs w:val="22"/>
          <w:lang w:val="sr-Latn-ME"/>
        </w:rPr>
      </w:pPr>
      <w:r w:rsidRPr="00CA7204">
        <w:rPr>
          <w:sz w:val="22"/>
          <w:szCs w:val="22"/>
          <w:lang w:val="sr-Latn-ME"/>
        </w:rPr>
        <w:t>S obzirom na to da se klopidogrel metaboliše u aktivni metabolit uglavnom preko CYP2C19, primjena ljekova koji inhibiraju aktivnost ovog enzima može dovesti do smanjenja nivoa aktivnog metabolita klopidogrela u krvi. Klinički značaj ove interakcije nije</w:t>
      </w:r>
      <w:r w:rsidR="0037570E" w:rsidRPr="00CA7204">
        <w:rPr>
          <w:sz w:val="22"/>
          <w:szCs w:val="22"/>
          <w:lang w:val="sr-Latn-ME"/>
        </w:rPr>
        <w:t xml:space="preserve"> </w:t>
      </w:r>
      <w:r w:rsidR="00DB278E" w:rsidRPr="00CA7204">
        <w:rPr>
          <w:sz w:val="22"/>
          <w:szCs w:val="22"/>
          <w:lang w:val="sr-Latn-ME"/>
        </w:rPr>
        <w:t xml:space="preserve">jasan </w:t>
      </w:r>
      <w:r w:rsidRPr="00CA7204">
        <w:rPr>
          <w:sz w:val="22"/>
          <w:szCs w:val="22"/>
          <w:lang w:val="sr-Latn-ME"/>
        </w:rPr>
        <w:t xml:space="preserve"> Kao mjera opreza se ne preporučuje istovremena primjena ljekova koji jako ili umjereno inhibiraju CYP2C19 (vidjeti </w:t>
      </w:r>
      <w:r w:rsidR="00DB278E" w:rsidRPr="00CA7204">
        <w:rPr>
          <w:sz w:val="22"/>
          <w:szCs w:val="22"/>
          <w:lang w:val="sr-Latn-ME"/>
        </w:rPr>
        <w:t xml:space="preserve">djelove </w:t>
      </w:r>
      <w:r w:rsidRPr="00CA7204">
        <w:rPr>
          <w:sz w:val="22"/>
          <w:szCs w:val="22"/>
          <w:lang w:val="sr-Latn-ME"/>
        </w:rPr>
        <w:t>4.4 i 5.2).</w:t>
      </w:r>
    </w:p>
    <w:p w:rsidR="00F171CD" w:rsidRPr="00CA7204" w:rsidRDefault="00F171CD">
      <w:pPr>
        <w:tabs>
          <w:tab w:val="left" w:pos="284"/>
        </w:tabs>
        <w:jc w:val="both"/>
        <w:rPr>
          <w:sz w:val="22"/>
          <w:szCs w:val="22"/>
          <w:lang w:val="sr-Latn-ME"/>
        </w:rPr>
      </w:pPr>
      <w:r w:rsidRPr="00CA7204">
        <w:rPr>
          <w:sz w:val="22"/>
          <w:szCs w:val="22"/>
          <w:lang w:val="sr-Latn-ME"/>
        </w:rPr>
        <w:t>Jaki ili umjereni inhibitori CYP2C19 su na primjer sljedeći ljekovi: omeprazol i esomeprazol, fluvoksamin, fluoksetin, moklobemid, vorikonazol, flukonazol, tiklopidin, karbamazepin i efavirenz.</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Inhibitori protonske pumpe</w:t>
      </w:r>
      <w:r w:rsidR="00DB278E" w:rsidRPr="00CA7204">
        <w:rPr>
          <w:i/>
          <w:sz w:val="22"/>
          <w:szCs w:val="22"/>
          <w:lang w:val="sr-Latn-ME"/>
        </w:rPr>
        <w:t>(IPP)</w:t>
      </w:r>
    </w:p>
    <w:p w:rsidR="00F171CD" w:rsidRPr="00CA7204" w:rsidRDefault="00F171CD">
      <w:pPr>
        <w:tabs>
          <w:tab w:val="left" w:pos="284"/>
        </w:tabs>
        <w:jc w:val="both"/>
        <w:rPr>
          <w:sz w:val="22"/>
          <w:szCs w:val="22"/>
          <w:lang w:val="sr-Latn-ME"/>
        </w:rPr>
      </w:pPr>
      <w:r w:rsidRPr="00CA7204">
        <w:rPr>
          <w:sz w:val="22"/>
          <w:szCs w:val="22"/>
          <w:lang w:val="sr-Latn-ME"/>
        </w:rPr>
        <w:t>Omeprazol, primijenjen u dozi od 80 mg jednom dnevno, istovremeno sa klopidogrelom ili u intervalu od 12 h, smanjio</w:t>
      </w:r>
      <w:r w:rsidR="004E60EA" w:rsidRPr="00CA7204">
        <w:rPr>
          <w:sz w:val="22"/>
          <w:szCs w:val="22"/>
          <w:lang w:val="sr-Latn-ME"/>
        </w:rPr>
        <w:t xml:space="preserve"> je </w:t>
      </w:r>
      <w:r w:rsidRPr="00CA7204">
        <w:rPr>
          <w:sz w:val="22"/>
          <w:szCs w:val="22"/>
          <w:lang w:val="sr-Latn-ME"/>
        </w:rPr>
        <w:t>izloženost aktivnom metabolitu za 45% (udarna doza) i 40% (doza održavanja).</w:t>
      </w:r>
    </w:p>
    <w:p w:rsidR="00F171CD" w:rsidRPr="00CA7204" w:rsidRDefault="00F171CD">
      <w:pPr>
        <w:tabs>
          <w:tab w:val="left" w:pos="284"/>
        </w:tabs>
        <w:jc w:val="both"/>
        <w:rPr>
          <w:sz w:val="22"/>
          <w:szCs w:val="22"/>
          <w:lang w:val="sr-Latn-ME"/>
        </w:rPr>
      </w:pPr>
      <w:r w:rsidRPr="00CA7204">
        <w:rPr>
          <w:sz w:val="22"/>
          <w:szCs w:val="22"/>
          <w:lang w:val="sr-Latn-ME"/>
        </w:rPr>
        <w:t>Sniženje koncentracija je bilo udruženo sa 39% (udarna doza) i 21% (doza održavanja) redukcijom inhibicije agregacije trombocita. Očekuje se da primjena esomeprazola istovremeno sa klopidogrelom može izazvati sličnu interakciju.</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Rezultati studija (opservacione i kliničke) su bili nekonzistentni da bi se moglo sa sigurnošću utvrditi da li postoji mogućnost za pojavu farmakodinamskih i farmakokinetičkih interakcija u pogledu </w:t>
      </w:r>
      <w:r w:rsidR="004E60EA" w:rsidRPr="00CA7204">
        <w:rPr>
          <w:sz w:val="22"/>
          <w:szCs w:val="22"/>
          <w:lang w:val="sr-Latn-ME"/>
        </w:rPr>
        <w:t xml:space="preserve">značajnih </w:t>
      </w:r>
      <w:r w:rsidRPr="00CA7204">
        <w:rPr>
          <w:sz w:val="22"/>
          <w:szCs w:val="22"/>
          <w:lang w:val="sr-Latn-ME"/>
        </w:rPr>
        <w:t xml:space="preserve">kardiovaskularnih događaja. Istovremenu primjenu omeprazola ili esomeprazola sa klopidogrelom treba izbjegavati (vidjeti </w:t>
      </w:r>
      <w:r w:rsidR="004E60EA"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jc w:val="both"/>
        <w:rPr>
          <w:sz w:val="22"/>
          <w:szCs w:val="22"/>
          <w:lang w:val="sr-Latn-ME"/>
        </w:rPr>
      </w:pPr>
      <w:r w:rsidRPr="00CA7204">
        <w:rPr>
          <w:sz w:val="22"/>
          <w:szCs w:val="22"/>
          <w:lang w:val="sr-Latn-ME"/>
        </w:rPr>
        <w:t>Primjena pantoprazola ili lansoprazola, istovremeno sa klopidogrelom, dovodi do manje izražene redukcije koncentracije metabolita.</w:t>
      </w:r>
    </w:p>
    <w:p w:rsidR="00F171CD" w:rsidRPr="00CA7204" w:rsidRDefault="00F171CD">
      <w:pPr>
        <w:tabs>
          <w:tab w:val="left" w:pos="284"/>
        </w:tabs>
        <w:jc w:val="both"/>
        <w:rPr>
          <w:sz w:val="22"/>
          <w:szCs w:val="22"/>
          <w:lang w:val="sr-Latn-ME"/>
        </w:rPr>
      </w:pPr>
      <w:r w:rsidRPr="00CA7204">
        <w:rPr>
          <w:sz w:val="22"/>
          <w:szCs w:val="22"/>
          <w:lang w:val="sr-Latn-ME"/>
        </w:rPr>
        <w:t xml:space="preserve">Koncentracije aktivnog metabolita u plazmi su bile smanjene za 20% (udarna doza) i 14% (doza održavanja) kada je klopidogrel primjenjivan istovremeno sa 80 mg pantoprazola jednom dnevno. </w:t>
      </w:r>
      <w:r w:rsidRPr="00CA7204">
        <w:rPr>
          <w:sz w:val="22"/>
          <w:szCs w:val="22"/>
          <w:lang w:val="sr-Latn-ME" w:eastAsia="sr-Latn-CS"/>
        </w:rPr>
        <w:t>To je bilo povezano sa smanjenjem prosječne vrijednosti inhibicije agregacije trombocita od 15%, odnosno 11%.</w:t>
      </w:r>
      <w:r w:rsidRPr="00CA7204">
        <w:rPr>
          <w:sz w:val="22"/>
          <w:szCs w:val="22"/>
          <w:lang w:val="sr-Latn-ME"/>
        </w:rPr>
        <w:t xml:space="preserve"> Ovi rezultati sugerišu da se klopidogrel može primjenjivati istovremeno sa pantoprazolom.</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Nema dokaza da ostali ljekovi koji smanjuju nivo želudačne kiseline, kao što su H2 blokatori ili antacidi, utiču na antitrombocitnu aktivnost klopidogrela.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Pojačana antiretrovir</w:t>
      </w:r>
      <w:r w:rsidR="004D50B5" w:rsidRPr="00CA7204">
        <w:rPr>
          <w:i/>
          <w:sz w:val="22"/>
          <w:szCs w:val="22"/>
          <w:lang w:val="sr-Latn-ME"/>
        </w:rPr>
        <w:t>usna</w:t>
      </w:r>
      <w:r w:rsidRPr="00CA7204">
        <w:rPr>
          <w:i/>
          <w:sz w:val="22"/>
          <w:szCs w:val="22"/>
          <w:lang w:val="sr-Latn-ME"/>
        </w:rPr>
        <w:t xml:space="preserve"> terapija (ART)</w:t>
      </w:r>
    </w:p>
    <w:p w:rsidR="00F171CD" w:rsidRPr="00CA7204" w:rsidRDefault="00F171CD">
      <w:pPr>
        <w:tabs>
          <w:tab w:val="left" w:pos="284"/>
        </w:tabs>
        <w:jc w:val="both"/>
        <w:rPr>
          <w:sz w:val="22"/>
          <w:szCs w:val="22"/>
          <w:lang w:val="sr-Latn-ME"/>
        </w:rPr>
      </w:pPr>
      <w:r w:rsidRPr="00CA7204">
        <w:rPr>
          <w:sz w:val="22"/>
          <w:szCs w:val="22"/>
          <w:lang w:val="sr-Latn-ME"/>
        </w:rPr>
        <w:t>Kod HIV pacijenata koji su na pojačanoj antiretrovir</w:t>
      </w:r>
      <w:r w:rsidR="004D50B5" w:rsidRPr="00CA7204">
        <w:rPr>
          <w:sz w:val="22"/>
          <w:szCs w:val="22"/>
          <w:lang w:val="sr-Latn-ME"/>
        </w:rPr>
        <w:t>usnoj</w:t>
      </w:r>
      <w:r w:rsidRPr="00CA7204">
        <w:rPr>
          <w:sz w:val="22"/>
          <w:szCs w:val="22"/>
          <w:lang w:val="sr-Latn-ME"/>
        </w:rPr>
        <w:t xml:space="preserve"> terapiji (ART) povećan je rizik od nastanka vaskularnih događaja.</w:t>
      </w:r>
    </w:p>
    <w:p w:rsidR="00F171CD" w:rsidRPr="00CA7204" w:rsidRDefault="00F171CD">
      <w:pPr>
        <w:tabs>
          <w:tab w:val="left" w:pos="284"/>
        </w:tabs>
        <w:jc w:val="both"/>
        <w:rPr>
          <w:sz w:val="22"/>
          <w:szCs w:val="22"/>
          <w:lang w:val="sr-Latn-ME"/>
        </w:rPr>
      </w:pPr>
      <w:r w:rsidRPr="00CA7204">
        <w:rPr>
          <w:sz w:val="22"/>
          <w:szCs w:val="22"/>
          <w:lang w:val="sr-Latn-ME"/>
        </w:rPr>
        <w:t>Značajno smanjena inhibicija trombocita je zabilježena kod pacijenata sa HIV infekcijom koji su na terapiji lijekom ritonavir ili kobicistat/pojačanoj antiretrovi</w:t>
      </w:r>
      <w:r w:rsidR="004D50B5" w:rsidRPr="00CA7204">
        <w:rPr>
          <w:sz w:val="22"/>
          <w:szCs w:val="22"/>
          <w:lang w:val="sr-Latn-ME"/>
        </w:rPr>
        <w:t>rusnoj</w:t>
      </w:r>
      <w:r w:rsidRPr="00CA7204">
        <w:rPr>
          <w:sz w:val="22"/>
          <w:szCs w:val="22"/>
          <w:lang w:val="sr-Latn-ME"/>
        </w:rPr>
        <w:t xml:space="preserve"> terapiji. Iako je klinički značaj ovih nalaza nepoznat, bilo je spontanih prijava od strane pacijenata sa HIV infekcijom koji su na terapiji pojačanom antiretrovir</w:t>
      </w:r>
      <w:r w:rsidR="004D50B5" w:rsidRPr="00CA7204">
        <w:rPr>
          <w:sz w:val="22"/>
          <w:szCs w:val="22"/>
          <w:lang w:val="sr-Latn-ME"/>
        </w:rPr>
        <w:t>usnoj</w:t>
      </w:r>
      <w:r w:rsidRPr="00CA7204">
        <w:rPr>
          <w:sz w:val="22"/>
          <w:szCs w:val="22"/>
          <w:lang w:val="sr-Latn-ME"/>
        </w:rPr>
        <w:t xml:space="preserve"> terapijom (ART), kod kojih je došlo do ponovnih okluzivnih događaja nakon uklanjanja opstrukcije ili do nastanka trombotskih događaj</w:t>
      </w:r>
      <w:r w:rsidR="004D50B5" w:rsidRPr="00CA7204">
        <w:rPr>
          <w:sz w:val="22"/>
          <w:szCs w:val="22"/>
          <w:lang w:val="sr-Latn-ME"/>
        </w:rPr>
        <w:t>a</w:t>
      </w:r>
      <w:r w:rsidRPr="00CA7204">
        <w:rPr>
          <w:sz w:val="22"/>
          <w:szCs w:val="22"/>
          <w:lang w:val="sr-Latn-ME"/>
        </w:rPr>
        <w:t xml:space="preserve"> uprkos uvođenju terapije klopidogrelom. Prosječna inhibicija trombocita može biti smanjena istovremenom upotrebom klopidogrela sa ritonavirom. Zbog toga istovremenu upotrebu klopidogrela sa ART ljekovima treba izbjegavati.</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Ostali ljekovi</w:t>
      </w:r>
    </w:p>
    <w:p w:rsidR="00F171CD" w:rsidRPr="00CA7204" w:rsidRDefault="00F171CD">
      <w:pPr>
        <w:tabs>
          <w:tab w:val="left" w:pos="284"/>
        </w:tabs>
        <w:jc w:val="both"/>
        <w:rPr>
          <w:sz w:val="22"/>
          <w:szCs w:val="22"/>
          <w:lang w:val="sr-Latn-ME"/>
        </w:rPr>
      </w:pPr>
      <w:r w:rsidRPr="00CA7204">
        <w:rPr>
          <w:sz w:val="22"/>
          <w:szCs w:val="22"/>
          <w:lang w:val="sr-Latn-ME"/>
        </w:rPr>
        <w:t>Sprovedeno je nekoliko kliničkih studija u kojima je istovremeno primjenjivan klopidogrel i drugi ljekovi, kako bi se ispitalo da li postoji mogućnost za pojavu farmakodinamskih i farmakokinetičkih interakcija.</w:t>
      </w:r>
    </w:p>
    <w:p w:rsidR="00F171CD" w:rsidRPr="00CA7204" w:rsidRDefault="00F171CD">
      <w:pPr>
        <w:tabs>
          <w:tab w:val="left" w:pos="284"/>
        </w:tabs>
        <w:jc w:val="both"/>
        <w:rPr>
          <w:sz w:val="22"/>
          <w:szCs w:val="22"/>
          <w:lang w:val="sr-Latn-ME"/>
        </w:rPr>
      </w:pPr>
      <w:r w:rsidRPr="00CA7204">
        <w:rPr>
          <w:sz w:val="22"/>
          <w:szCs w:val="22"/>
          <w:lang w:val="sr-Latn-ME"/>
        </w:rPr>
        <w:t>Ni</w:t>
      </w:r>
      <w:r w:rsidR="004E60EA" w:rsidRPr="00CA7204">
        <w:rPr>
          <w:sz w:val="22"/>
          <w:szCs w:val="22"/>
          <w:lang w:val="sr-Latn-ME"/>
        </w:rPr>
        <w:t>je</w:t>
      </w:r>
      <w:r w:rsidRPr="00CA7204">
        <w:rPr>
          <w:sz w:val="22"/>
          <w:szCs w:val="22"/>
          <w:lang w:val="sr-Latn-ME"/>
        </w:rPr>
        <w:t xml:space="preserve">su zabilježene klinički značajne farmakodinamske interakcije kada je klopidogrel primjenjivan istovremeno sa atenololom ili nifedipinom, ili istovremeno i sa atenololom i nifedipinom. Takođe, </w:t>
      </w:r>
      <w:r w:rsidRPr="00CA7204">
        <w:rPr>
          <w:sz w:val="22"/>
          <w:szCs w:val="22"/>
          <w:lang w:val="sr-Latn-ME"/>
        </w:rPr>
        <w:lastRenderedPageBreak/>
        <w:t>farmakodinamska aktivnost klopidogrela nije bila značajno izmijenjena kada je klopidogrel istovremeno primjenjivan sa fenobarbitonom ili estrogenom.</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Farmakokinetika digoksina ili teofilina nije bila promijenjena pri istovremenoj primjeni sa klopidogrelom. Antacidi ni</w:t>
      </w:r>
      <w:r w:rsidR="004E60EA" w:rsidRPr="00CA7204">
        <w:rPr>
          <w:sz w:val="22"/>
          <w:szCs w:val="22"/>
          <w:lang w:val="sr-Latn-ME"/>
        </w:rPr>
        <w:t>je</w:t>
      </w:r>
      <w:r w:rsidRPr="00CA7204">
        <w:rPr>
          <w:sz w:val="22"/>
          <w:szCs w:val="22"/>
          <w:lang w:val="sr-Latn-ME"/>
        </w:rPr>
        <w:t>su uticali na stepen resorpcije klopidogrela.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Podaci iz CAPRIE studije ukazuju na to da se fenitoin i tolbutamid, koji se metabolišu preko CYP2C9, mogu bezb</w:t>
      </w:r>
      <w:r w:rsidR="004E60EA" w:rsidRPr="00CA7204">
        <w:rPr>
          <w:sz w:val="22"/>
          <w:szCs w:val="22"/>
          <w:lang w:val="sr-Latn-ME"/>
        </w:rPr>
        <w:t>j</w:t>
      </w:r>
      <w:r w:rsidRPr="00CA7204">
        <w:rPr>
          <w:sz w:val="22"/>
          <w:szCs w:val="22"/>
          <w:lang w:val="sr-Latn-ME"/>
        </w:rPr>
        <w:t>edno primjenjivati istovremeno sa klopidogrelom.</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Ljekovi koji se metabolišu preko CYP2C8: pokazano je da klopidogrel povećava izloženost repaglinidu kod zdravih dobrovoljaca. </w:t>
      </w:r>
      <w:r w:rsidRPr="00CA7204">
        <w:rPr>
          <w:i/>
          <w:sz w:val="22"/>
          <w:szCs w:val="22"/>
          <w:lang w:val="sr-Latn-ME"/>
        </w:rPr>
        <w:t xml:space="preserve">In vitro </w:t>
      </w:r>
      <w:r w:rsidRPr="00CA7204">
        <w:rPr>
          <w:sz w:val="22"/>
          <w:szCs w:val="22"/>
          <w:lang w:val="sr-Latn-ME"/>
        </w:rPr>
        <w:t xml:space="preserve">ispitivanja su pokazala da je ovo povećanje posljedica inhibicije CYP2C8 od strane glukuronid-metabolita klopidogrela. Zbog rizika od povećanja koncentracije istovremena primjena klopidogrela i ljekova koji se primarno metabolišu preko CYP2C8 (npr. repaglinid, paklitaksel) treba da bude pod nadzorom (vidjeti </w:t>
      </w:r>
      <w:r w:rsidR="004E60EA"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Pored specifičnih informacija o interakcijama koje su gore opisane, studije interakcija sa klopidogrelom i ljekovima koji se primjenjuju kod pacijenata sa aterotrombotičkim oboljenjima ni</w:t>
      </w:r>
      <w:r w:rsidR="004E60EA" w:rsidRPr="00CA7204">
        <w:rPr>
          <w:sz w:val="22"/>
          <w:szCs w:val="22"/>
          <w:lang w:val="sr-Latn-ME"/>
        </w:rPr>
        <w:t>je</w:t>
      </w:r>
      <w:r w:rsidRPr="00CA7204">
        <w:rPr>
          <w:sz w:val="22"/>
          <w:szCs w:val="22"/>
          <w:lang w:val="sr-Latn-ME"/>
        </w:rPr>
        <w:t>su sprovedene. Međutim, pacijenti koji su uključivani u kliničke studije sa klopidogrelom su istovremeno primali i ljekove kao što su diuretici, beta blokatori, ACE inhibitori, antagonisti kalcijuma, ljekovi za snižavanje holesterola, koronarni vazodilatatori, ljekovi za dijabetes (uključujući i insulin), antiepileptici i GPIIb/IIIa antagonisti i pri tome ni</w:t>
      </w:r>
      <w:r w:rsidR="004E60EA" w:rsidRPr="00CA7204">
        <w:rPr>
          <w:sz w:val="22"/>
          <w:szCs w:val="22"/>
          <w:lang w:val="sr-Latn-ME"/>
        </w:rPr>
        <w:t>je</w:t>
      </w:r>
      <w:r w:rsidRPr="00CA7204">
        <w:rPr>
          <w:sz w:val="22"/>
          <w:szCs w:val="22"/>
          <w:lang w:val="sr-Latn-ME"/>
        </w:rPr>
        <w:t>su potvrđene klinički značajne interakcije.</w:t>
      </w:r>
    </w:p>
    <w:p w:rsidR="00F171CD" w:rsidRPr="00CA7204" w:rsidRDefault="00F171CD">
      <w:pPr>
        <w:tabs>
          <w:tab w:val="left" w:pos="284"/>
        </w:tabs>
        <w:jc w:val="both"/>
        <w:rPr>
          <w:sz w:val="22"/>
          <w:szCs w:val="22"/>
          <w:lang w:val="sr-Latn-ME"/>
        </w:rPr>
      </w:pPr>
    </w:p>
    <w:p w:rsidR="00097268" w:rsidRPr="00CA7204" w:rsidRDefault="00F171CD">
      <w:pPr>
        <w:ind w:right="-29"/>
        <w:jc w:val="both"/>
        <w:rPr>
          <w:sz w:val="22"/>
          <w:szCs w:val="22"/>
          <w:lang w:val="sr-Latn-ME"/>
        </w:rPr>
      </w:pPr>
      <w:r w:rsidRPr="00CA7204">
        <w:rPr>
          <w:sz w:val="22"/>
          <w:szCs w:val="22"/>
          <w:lang w:val="sr-Latn-ME"/>
        </w:rPr>
        <w:t>Kao i u slučaju drugih oralnih P2Y12 inhibitora, istovremena upotreba sa opioidnim agonistima može potencijalno da odloži i smanji resorpciju klopidogrela, vjerovatno zbog usporenog gastričnog pražnjenja. Klinički značaj je nepoznat. Preporučuje se upotreba parenteralnog antikoagulantnog lijeka kod akutnog koronarnog sindroma kod pacijenata kojima je neophodna ponavljana upotreba morfina ili drugog opioidnog agoniste.</w:t>
      </w:r>
      <w:r w:rsidR="00097268" w:rsidRPr="00CA7204">
        <w:rPr>
          <w:sz w:val="22"/>
          <w:szCs w:val="22"/>
          <w:lang w:val="sr-Latn-ME"/>
        </w:rPr>
        <w:t xml:space="preserve"> </w:t>
      </w:r>
    </w:p>
    <w:p w:rsidR="00097268" w:rsidRPr="00CA7204" w:rsidRDefault="00097268">
      <w:pPr>
        <w:ind w:right="-29"/>
        <w:rPr>
          <w:sz w:val="22"/>
          <w:szCs w:val="22"/>
          <w:lang w:val="sr-Latn-ME"/>
        </w:rPr>
      </w:pPr>
    </w:p>
    <w:p w:rsidR="000831AD" w:rsidRPr="00CA7204" w:rsidRDefault="00097268">
      <w:pPr>
        <w:tabs>
          <w:tab w:val="left" w:pos="284"/>
        </w:tabs>
        <w:rPr>
          <w:i/>
          <w:sz w:val="22"/>
          <w:szCs w:val="22"/>
          <w:lang w:val="en-GB"/>
        </w:rPr>
      </w:pPr>
      <w:r w:rsidRPr="00CA7204">
        <w:rPr>
          <w:i/>
          <w:sz w:val="22"/>
          <w:szCs w:val="22"/>
          <w:lang w:val="en-GB"/>
        </w:rPr>
        <w:t>Rosuvastatin</w:t>
      </w:r>
    </w:p>
    <w:p w:rsidR="00F171CD" w:rsidRPr="00CA7204" w:rsidRDefault="00481A6B">
      <w:pPr>
        <w:tabs>
          <w:tab w:val="left" w:pos="284"/>
        </w:tabs>
        <w:jc w:val="both"/>
        <w:rPr>
          <w:sz w:val="22"/>
          <w:szCs w:val="22"/>
          <w:lang w:val="sr-Latn-ME"/>
        </w:rPr>
      </w:pPr>
      <w:r w:rsidRPr="00CA7204">
        <w:rPr>
          <w:sz w:val="22"/>
          <w:szCs w:val="22"/>
        </w:rPr>
        <w:t>Dokazano  je da klopidogrel povećava izloženost pacijenta rosuvastatinu 2 puta (AUC) i 1,3 puta (C</w:t>
      </w:r>
      <w:r w:rsidRPr="00CA7204">
        <w:rPr>
          <w:sz w:val="22"/>
          <w:szCs w:val="22"/>
          <w:vertAlign w:val="subscript"/>
        </w:rPr>
        <w:t>max</w:t>
      </w:r>
      <w:r w:rsidRPr="00CA7204">
        <w:rPr>
          <w:sz w:val="22"/>
          <w:szCs w:val="22"/>
        </w:rPr>
        <w:t xml:space="preserve">) nakon primjene klopidogrela u dozi od 300 mg te za 1,4 puta (AUC) bez </w:t>
      </w:r>
      <w:r w:rsidR="009D2D73" w:rsidRPr="00CA7204">
        <w:rPr>
          <w:sz w:val="22"/>
          <w:szCs w:val="22"/>
        </w:rPr>
        <w:t>uticaja</w:t>
      </w:r>
      <w:r w:rsidRPr="00CA7204">
        <w:rPr>
          <w:sz w:val="22"/>
          <w:szCs w:val="22"/>
        </w:rPr>
        <w:t xml:space="preserve"> na C</w:t>
      </w:r>
      <w:r w:rsidRPr="00CA7204">
        <w:rPr>
          <w:sz w:val="22"/>
          <w:szCs w:val="22"/>
          <w:vertAlign w:val="subscript"/>
        </w:rPr>
        <w:t>max</w:t>
      </w:r>
      <w:r w:rsidRPr="00CA7204">
        <w:rPr>
          <w:sz w:val="22"/>
          <w:szCs w:val="22"/>
        </w:rPr>
        <w:t xml:space="preserve"> nakon ponovljene primjene klopidogrela u dozi od 75 mg</w:t>
      </w:r>
    </w:p>
    <w:p w:rsidR="00F171CD" w:rsidRPr="00CA7204" w:rsidRDefault="00F171CD">
      <w:pPr>
        <w:tabs>
          <w:tab w:val="left" w:pos="284"/>
        </w:tabs>
        <w:jc w:val="both"/>
        <w:rPr>
          <w:b/>
          <w:bCs/>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4.6.  Plodnost, trudnoća i dojenje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Trudnoća</w:t>
      </w:r>
    </w:p>
    <w:p w:rsidR="00F171CD" w:rsidRPr="00CA7204" w:rsidRDefault="00F171CD">
      <w:pPr>
        <w:tabs>
          <w:tab w:val="left" w:pos="284"/>
        </w:tabs>
        <w:jc w:val="both"/>
        <w:rPr>
          <w:sz w:val="22"/>
          <w:szCs w:val="22"/>
          <w:lang w:val="sr-Latn-ME"/>
        </w:rPr>
      </w:pPr>
      <w:r w:rsidRPr="00CA7204">
        <w:rPr>
          <w:sz w:val="22"/>
          <w:szCs w:val="22"/>
          <w:lang w:val="sr-Latn-ME"/>
        </w:rPr>
        <w:t>S obzirom na to da nema dovoljno kliničkog iskustva sa primjenom klopidogrela u periodu trudnoće, kao mjera opreza, ne preporučuje se primjena ovog lijeka u periodu trudnoće.</w:t>
      </w:r>
    </w:p>
    <w:p w:rsidR="00F171CD" w:rsidRPr="00CA7204" w:rsidRDefault="00F171CD">
      <w:pPr>
        <w:tabs>
          <w:tab w:val="left" w:pos="284"/>
        </w:tabs>
        <w:jc w:val="both"/>
        <w:rPr>
          <w:sz w:val="22"/>
          <w:szCs w:val="22"/>
          <w:lang w:val="sr-Latn-ME"/>
        </w:rPr>
      </w:pPr>
      <w:r w:rsidRPr="00CA7204">
        <w:rPr>
          <w:sz w:val="22"/>
          <w:szCs w:val="22"/>
          <w:lang w:val="sr-Latn-ME"/>
        </w:rPr>
        <w:t>Eksperimentalne studije na životinjama ni</w:t>
      </w:r>
      <w:r w:rsidR="004E60EA" w:rsidRPr="00CA7204">
        <w:rPr>
          <w:sz w:val="22"/>
          <w:szCs w:val="22"/>
          <w:lang w:val="sr-Latn-ME"/>
        </w:rPr>
        <w:t>je</w:t>
      </w:r>
      <w:r w:rsidRPr="00CA7204">
        <w:rPr>
          <w:sz w:val="22"/>
          <w:szCs w:val="22"/>
          <w:lang w:val="sr-Latn-ME"/>
        </w:rPr>
        <w:t xml:space="preserve">su pokazale direktan ili indirektan štetan uticaj na trudnoću, embriofetalni razvoj, porođaj ili postnatalni razvoj (vidjeti </w:t>
      </w:r>
      <w:r w:rsidR="004E60EA" w:rsidRPr="00CA7204">
        <w:rPr>
          <w:sz w:val="22"/>
          <w:szCs w:val="22"/>
          <w:lang w:val="sr-Latn-ME"/>
        </w:rPr>
        <w:t xml:space="preserve">dio </w:t>
      </w:r>
      <w:r w:rsidRPr="00CA7204">
        <w:rPr>
          <w:sz w:val="22"/>
          <w:szCs w:val="22"/>
          <w:lang w:val="sr-Latn-ME"/>
        </w:rPr>
        <w:t>5.3).</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Dojenje</w:t>
      </w:r>
    </w:p>
    <w:p w:rsidR="00F171CD" w:rsidRPr="00CA7204" w:rsidRDefault="00F171CD">
      <w:pPr>
        <w:tabs>
          <w:tab w:val="left" w:pos="284"/>
        </w:tabs>
        <w:jc w:val="both"/>
        <w:rPr>
          <w:sz w:val="22"/>
          <w:szCs w:val="22"/>
          <w:u w:val="single"/>
          <w:lang w:val="sr-Latn-ME"/>
        </w:rPr>
      </w:pPr>
      <w:r w:rsidRPr="00CA7204">
        <w:rPr>
          <w:sz w:val="22"/>
          <w:szCs w:val="22"/>
          <w:lang w:val="sr-Latn-ME"/>
        </w:rPr>
        <w:t>Nije poznato da li se klopidogrel izlučuje u mlijeko. Studije na životinjama su pokazale da se klopidogrel izlučuje u mlijeko. Kao mjeru opreza treba prekinuti sa dojenjem za vrijeme terapije klopidogrelom.</w:t>
      </w:r>
    </w:p>
    <w:p w:rsidR="00F171CD" w:rsidRPr="00CA7204" w:rsidRDefault="00F171CD">
      <w:pPr>
        <w:tabs>
          <w:tab w:val="left" w:pos="284"/>
        </w:tabs>
        <w:jc w:val="both"/>
        <w:rPr>
          <w:sz w:val="22"/>
          <w:szCs w:val="22"/>
          <w:u w:val="single"/>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Plodnost</w:t>
      </w:r>
    </w:p>
    <w:p w:rsidR="00F171CD" w:rsidRPr="00CA7204" w:rsidRDefault="00F171CD">
      <w:pPr>
        <w:tabs>
          <w:tab w:val="left" w:pos="284"/>
        </w:tabs>
        <w:jc w:val="both"/>
        <w:rPr>
          <w:sz w:val="22"/>
          <w:szCs w:val="22"/>
          <w:lang w:val="sr-Latn-ME"/>
        </w:rPr>
      </w:pPr>
      <w:r w:rsidRPr="00CA7204">
        <w:rPr>
          <w:sz w:val="22"/>
          <w:szCs w:val="22"/>
          <w:lang w:val="sr-Latn-ME"/>
        </w:rPr>
        <w:t>U studijama na životinjama nije pokazano da klopidogrel utiče na plodnost.</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pacing w:val="-8"/>
          <w:sz w:val="22"/>
          <w:szCs w:val="22"/>
          <w:lang w:val="sr-Latn-ME"/>
        </w:rPr>
      </w:pPr>
      <w:r w:rsidRPr="00CA7204">
        <w:rPr>
          <w:b/>
          <w:bCs/>
          <w:spacing w:val="-8"/>
          <w:sz w:val="22"/>
          <w:szCs w:val="22"/>
          <w:lang w:val="sr-Latn-ME"/>
        </w:rPr>
        <w:t>4.7.  Uticaj na sposobnost upravljanja vozilima i rukovanje mašinama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Klopidogrel nema ili ima</w:t>
      </w:r>
      <w:r w:rsidR="004D50B5" w:rsidRPr="00CA7204">
        <w:rPr>
          <w:sz w:val="22"/>
          <w:szCs w:val="22"/>
          <w:lang w:val="sr-Latn-ME"/>
        </w:rPr>
        <w:t xml:space="preserve"> zanemarljiv</w:t>
      </w:r>
      <w:r w:rsidRPr="00CA7204">
        <w:rPr>
          <w:sz w:val="22"/>
          <w:szCs w:val="22"/>
          <w:lang w:val="sr-Latn-ME"/>
        </w:rPr>
        <w:t xml:space="preserve"> uticaj na sposobnost upravljanja vozilima i rukovanje mašinama.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4.8.  Neželjena dejstva</w:t>
      </w:r>
    </w:p>
    <w:p w:rsidR="00F171CD" w:rsidRDefault="00F171CD">
      <w:pPr>
        <w:tabs>
          <w:tab w:val="left" w:pos="284"/>
        </w:tabs>
        <w:jc w:val="both"/>
        <w:rPr>
          <w:sz w:val="22"/>
          <w:szCs w:val="22"/>
          <w:u w:val="single"/>
          <w:lang w:val="sr-Latn-ME"/>
        </w:rPr>
      </w:pPr>
    </w:p>
    <w:p w:rsidR="00CA7204" w:rsidRDefault="00CA7204">
      <w:pPr>
        <w:tabs>
          <w:tab w:val="left" w:pos="284"/>
        </w:tabs>
        <w:jc w:val="both"/>
        <w:rPr>
          <w:sz w:val="22"/>
          <w:szCs w:val="22"/>
          <w:u w:val="single"/>
          <w:lang w:val="sr-Latn-ME"/>
        </w:rPr>
      </w:pPr>
    </w:p>
    <w:p w:rsidR="00CA7204" w:rsidRPr="00CA7204" w:rsidRDefault="00CA7204">
      <w:pPr>
        <w:tabs>
          <w:tab w:val="left" w:pos="284"/>
        </w:tabs>
        <w:jc w:val="both"/>
        <w:rPr>
          <w:sz w:val="22"/>
          <w:szCs w:val="22"/>
          <w:u w:val="single"/>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lastRenderedPageBreak/>
        <w:t>Sažetak bezbjednosnog profila</w:t>
      </w:r>
    </w:p>
    <w:p w:rsidR="00F171CD" w:rsidRPr="00CA7204" w:rsidRDefault="00F171CD">
      <w:pPr>
        <w:tabs>
          <w:tab w:val="left" w:pos="284"/>
        </w:tabs>
        <w:jc w:val="both"/>
        <w:rPr>
          <w:sz w:val="22"/>
          <w:szCs w:val="22"/>
          <w:lang w:val="sr-Latn-ME"/>
        </w:rPr>
      </w:pPr>
      <w:r w:rsidRPr="00CA7204">
        <w:rPr>
          <w:sz w:val="22"/>
          <w:szCs w:val="22"/>
          <w:lang w:val="sr-Latn-ME"/>
        </w:rPr>
        <w:t>Procjena bezbjednosti klopidogrela je vršena kod više od 44000 pacijenata koji su učestvovali u kliničkim studijama, uključujući više od 12000 pacijenata liječenih u periodu od godinu dana ili više.</w:t>
      </w:r>
    </w:p>
    <w:p w:rsidR="00F171CD" w:rsidRPr="00CA7204" w:rsidRDefault="00F171CD">
      <w:pPr>
        <w:tabs>
          <w:tab w:val="left" w:pos="284"/>
        </w:tabs>
        <w:jc w:val="both"/>
        <w:rPr>
          <w:sz w:val="22"/>
          <w:szCs w:val="22"/>
          <w:lang w:val="sr-Latn-ME"/>
        </w:rPr>
      </w:pPr>
      <w:r w:rsidRPr="00CA7204">
        <w:rPr>
          <w:sz w:val="22"/>
          <w:szCs w:val="22"/>
          <w:lang w:val="sr-Latn-ME"/>
        </w:rPr>
        <w:t>Ukupna podnošljivost klopidogrela 75 mg/dan u CAPRIE studiji je bila slična podnošljivosti doze acetilsalicilne kiseline (325 mg dnevno), bez obzira na uzrast, pol i rasnu pripadnost. Klinički značajne neželjene reakcije su zabilježene u studijama CAPRIE, CURE, CLARITY, COMMIT i ACTIVE-A i opisane su u daljem tekstu. Pored iskustva iz kliničkih studija neželjene reakcije su i spontano prijavljivane.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Krvarenje je najčešće prijavljena reakcija, i u kliničkim studijama kao i u postmarketinškom praćenju lijeka, pri čemu se najčešće prijavljuje u prvom mjesecu liječenja.</w:t>
      </w:r>
    </w:p>
    <w:p w:rsidR="00F171CD" w:rsidRPr="00CA7204" w:rsidRDefault="00F171CD">
      <w:pPr>
        <w:tabs>
          <w:tab w:val="left" w:pos="284"/>
        </w:tabs>
        <w:jc w:val="both"/>
        <w:rPr>
          <w:sz w:val="22"/>
          <w:szCs w:val="22"/>
          <w:lang w:val="sr-Latn-ME"/>
        </w:rPr>
      </w:pPr>
    </w:p>
    <w:p w:rsidR="00F171CD" w:rsidRDefault="00F171CD">
      <w:pPr>
        <w:tabs>
          <w:tab w:val="left" w:pos="284"/>
        </w:tabs>
        <w:jc w:val="both"/>
        <w:rPr>
          <w:sz w:val="22"/>
          <w:szCs w:val="22"/>
          <w:lang w:val="sr-Latn-ME"/>
        </w:rPr>
      </w:pPr>
      <w:r w:rsidRPr="00CA7204">
        <w:rPr>
          <w:sz w:val="22"/>
          <w:szCs w:val="22"/>
          <w:lang w:val="sr-Latn-ME"/>
        </w:rPr>
        <w:t>U CAPRIE studiji, kod pacijenata liječenih klopidogrelom ili acetilsalicilnom kiselinom (ASK), incidenca krvarenja je bila 9,3%. Incidenca težih slučajeva je bila slična pri primjeni klopidogrela i acetilsalicilne kiseline.</w:t>
      </w:r>
    </w:p>
    <w:p w:rsidR="00CA7204" w:rsidRPr="00CA7204" w:rsidRDefault="00CA7204">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studiji CURE nije bilo povećanja učestalosti većih krvarenja primjenom klopidogrela i acetilsalicilne kiseline tokom 7 dana poslije operacije koronarnog bypass-a, kod pacijenata koji su prestali sa terapijom više od 5 dana prije operacije. Kod pacijenata koji su dobijali terapiju i u periodu kraćem od 5 dana prije iste operacije učestalost događaja je bila 9,6% za klopidogrel + ASK, a 6,3% za placebo + ASK.</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CLARITY studiji je uočen ukupni porast krvarenja u grupi klopidogrel+ASK, u odnosu na grupu koja je primala placebo+ASK. Incidenca velikih krvarenja bila je slična među grupama. Dobijeni podaci bili su konzistentni u podgrupama pacijenata definisanih prema osnovnim karakteristikama i tipu terapije fibrinoliticima ili heparinom.</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studiji COMMIT ukupni stepen necerebralnog masivnog krvarenja ili cerebralnog krvarenja bio je nizak i sličan u obje grupe.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U studiji ACTIVE-A masivno krvarenje je bilo češće u grupi koja je primala klopidogrel + ASK nego u grupi koja je primala placebo + ASK (6,7% u odnosu na 4,3%). Obilna krvarenja su bila uglavnom ekstrakranijalnog porijekla u obje grupe (5,3% u grupi koja je primala klopidogrel+ASK; 3,5% u grupi koja je primala placebo + ASK) i to uglavnom iz gastrointestinalnog trakta (3,5% </w:t>
      </w:r>
      <w:r w:rsidR="001E6233" w:rsidRPr="00CA7204">
        <w:rPr>
          <w:sz w:val="22"/>
          <w:szCs w:val="22"/>
          <w:lang w:val="sr-Latn-ME"/>
        </w:rPr>
        <w:t>u odnosu na</w:t>
      </w:r>
      <w:r w:rsidRPr="00CA7204">
        <w:rPr>
          <w:sz w:val="22"/>
          <w:szCs w:val="22"/>
          <w:lang w:val="sr-Latn-ME"/>
        </w:rPr>
        <w:t xml:space="preserve"> 1,8%).</w:t>
      </w:r>
    </w:p>
    <w:p w:rsidR="00F171CD" w:rsidRPr="00CA7204" w:rsidRDefault="00F171CD">
      <w:pPr>
        <w:tabs>
          <w:tab w:val="left" w:pos="284"/>
        </w:tabs>
        <w:jc w:val="both"/>
        <w:rPr>
          <w:sz w:val="22"/>
          <w:szCs w:val="22"/>
          <w:lang w:val="sr-Latn-ME"/>
        </w:rPr>
      </w:pPr>
      <w:r w:rsidRPr="00CA7204">
        <w:rPr>
          <w:sz w:val="22"/>
          <w:szCs w:val="22"/>
          <w:lang w:val="sr-Latn-ME"/>
        </w:rPr>
        <w:t>Porast intrakranijalnih hemoragija je bio registrovan u grupi koja je primala klopidogrel+ASK u odnosu na grupu koja je primala placebo+ASK (1,4% u odnosu na 0,8%). Nije bilo statistički značajne razlike u incidenci fatalnih krvarenja (1,1% u grupi koja je primala klopidogrel + ASK i 0,7% u grupi koja je primala placebo + ASK) i hemoragijskog moždanog udara (0,8% i 0,6%).</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Tabelarni prikaz neželjenih reakcija</w:t>
      </w:r>
    </w:p>
    <w:p w:rsidR="00F171CD" w:rsidRPr="00CA7204" w:rsidRDefault="00F171CD">
      <w:pPr>
        <w:tabs>
          <w:tab w:val="left" w:pos="284"/>
        </w:tabs>
        <w:jc w:val="both"/>
        <w:rPr>
          <w:sz w:val="22"/>
          <w:szCs w:val="22"/>
          <w:lang w:val="sr-Latn-ME"/>
        </w:rPr>
      </w:pPr>
      <w:r w:rsidRPr="00CA7204">
        <w:rPr>
          <w:sz w:val="22"/>
          <w:szCs w:val="22"/>
          <w:lang w:val="sr-Latn-ME"/>
        </w:rPr>
        <w:t>Neželjena dejstva, koja su registrovana tokom kliničkih studija ili su spontano prijavljena, navedena su u tabeli</w:t>
      </w:r>
      <w:r w:rsidR="001E6233" w:rsidRPr="00CA7204">
        <w:rPr>
          <w:sz w:val="22"/>
          <w:szCs w:val="22"/>
          <w:lang w:val="sr-Latn-ME"/>
        </w:rPr>
        <w:t xml:space="preserve"> ispod</w:t>
      </w:r>
      <w:r w:rsidRPr="00CA7204">
        <w:rPr>
          <w:sz w:val="22"/>
          <w:szCs w:val="22"/>
          <w:lang w:val="sr-Latn-ME"/>
        </w:rPr>
        <w:t>. Njihova učestalost javljanja je predstavljena na sl</w:t>
      </w:r>
      <w:r w:rsidR="004E60EA" w:rsidRPr="00CA7204">
        <w:rPr>
          <w:sz w:val="22"/>
          <w:szCs w:val="22"/>
          <w:lang w:val="sr-Latn-ME"/>
        </w:rPr>
        <w:t>j</w:t>
      </w:r>
      <w:r w:rsidRPr="00CA7204">
        <w:rPr>
          <w:sz w:val="22"/>
          <w:szCs w:val="22"/>
          <w:lang w:val="sr-Latn-ME"/>
        </w:rPr>
        <w:t>edeći način:</w:t>
      </w:r>
    </w:p>
    <w:p w:rsidR="00F171CD" w:rsidRPr="00CA7204" w:rsidRDefault="00F171CD">
      <w:pPr>
        <w:tabs>
          <w:tab w:val="left" w:pos="284"/>
        </w:tabs>
        <w:jc w:val="both"/>
        <w:rPr>
          <w:i/>
          <w:sz w:val="22"/>
          <w:szCs w:val="22"/>
          <w:lang w:val="sr-Latn-ME"/>
        </w:rPr>
      </w:pPr>
      <w:r w:rsidRPr="00CA7204">
        <w:rPr>
          <w:i/>
          <w:sz w:val="22"/>
          <w:szCs w:val="22"/>
          <w:lang w:val="sr-Latn-ME"/>
        </w:rPr>
        <w:t>često (≥ 1/100, &lt;1/10); povremeno (≥1/1000, 1&lt;1/100)</w:t>
      </w:r>
      <w:r w:rsidRPr="00CA7204">
        <w:rPr>
          <w:sz w:val="22"/>
          <w:szCs w:val="22"/>
          <w:lang w:val="sr-Latn-ME"/>
        </w:rPr>
        <w:t xml:space="preserve">; </w:t>
      </w:r>
      <w:r w:rsidRPr="00CA7204">
        <w:rPr>
          <w:i/>
          <w:sz w:val="22"/>
          <w:szCs w:val="22"/>
          <w:lang w:val="sr-Latn-ME"/>
        </w:rPr>
        <w:t>rijetko (≥1/10 000, &lt;1/1000)</w:t>
      </w:r>
      <w:r w:rsidRPr="00CA7204">
        <w:rPr>
          <w:sz w:val="22"/>
          <w:szCs w:val="22"/>
          <w:lang w:val="sr-Latn-ME"/>
        </w:rPr>
        <w:t xml:space="preserve">; </w:t>
      </w:r>
      <w:r w:rsidRPr="00CA7204">
        <w:rPr>
          <w:i/>
          <w:sz w:val="22"/>
          <w:szCs w:val="22"/>
          <w:lang w:val="sr-Latn-ME"/>
        </w:rPr>
        <w:t>veoma rijetko</w:t>
      </w:r>
      <w:r w:rsidR="001E6233" w:rsidRPr="00CA7204">
        <w:rPr>
          <w:i/>
          <w:sz w:val="22"/>
          <w:szCs w:val="22"/>
          <w:lang w:val="sr-Latn-ME"/>
        </w:rPr>
        <w:t xml:space="preserve"> </w:t>
      </w:r>
      <w:r w:rsidRPr="00CA7204">
        <w:rPr>
          <w:i/>
          <w:sz w:val="22"/>
          <w:szCs w:val="22"/>
          <w:lang w:val="sr-Latn-ME"/>
        </w:rPr>
        <w:t>(&lt;10 000). U okviru svakog sistema organa neželjene reakcije su prikazane od većeg ka manjem stepenu ozbiljnosti.</w:t>
      </w:r>
    </w:p>
    <w:p w:rsidR="00F171CD" w:rsidRPr="00CA7204" w:rsidRDefault="00F171CD">
      <w:pP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915"/>
      </w:tblGrid>
      <w:tr w:rsidR="00321DF1" w:rsidRPr="00CA7204" w:rsidTr="00A7111D">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i/>
                <w:sz w:val="22"/>
                <w:szCs w:val="22"/>
                <w:lang w:val="sr-Latn-ME"/>
              </w:rPr>
            </w:pPr>
            <w:r w:rsidRPr="00CA7204">
              <w:rPr>
                <w:i/>
                <w:sz w:val="22"/>
                <w:szCs w:val="22"/>
                <w:lang w:val="sr-Latn-ME"/>
              </w:rPr>
              <w:t>Često</w:t>
            </w:r>
          </w:p>
        </w:tc>
        <w:tc>
          <w:tcPr>
            <w:tcW w:w="1857" w:type="dxa"/>
          </w:tcPr>
          <w:p w:rsidR="00F171CD" w:rsidRPr="00CA7204" w:rsidRDefault="00F171CD">
            <w:pPr>
              <w:tabs>
                <w:tab w:val="left" w:pos="284"/>
              </w:tabs>
              <w:rPr>
                <w:i/>
                <w:sz w:val="22"/>
                <w:szCs w:val="22"/>
                <w:lang w:val="sr-Latn-ME"/>
              </w:rPr>
            </w:pPr>
            <w:r w:rsidRPr="00CA7204">
              <w:rPr>
                <w:i/>
                <w:sz w:val="22"/>
                <w:szCs w:val="22"/>
                <w:lang w:val="sr-Latn-ME"/>
              </w:rPr>
              <w:t>Povremeno</w:t>
            </w:r>
          </w:p>
        </w:tc>
        <w:tc>
          <w:tcPr>
            <w:tcW w:w="1858" w:type="dxa"/>
          </w:tcPr>
          <w:p w:rsidR="00F171CD" w:rsidRPr="00CA7204" w:rsidRDefault="00F171CD">
            <w:pPr>
              <w:tabs>
                <w:tab w:val="left" w:pos="284"/>
              </w:tabs>
              <w:rPr>
                <w:i/>
                <w:sz w:val="22"/>
                <w:szCs w:val="22"/>
                <w:lang w:val="sr-Latn-ME"/>
              </w:rPr>
            </w:pPr>
            <w:r w:rsidRPr="00CA7204">
              <w:rPr>
                <w:i/>
                <w:sz w:val="22"/>
                <w:szCs w:val="22"/>
                <w:lang w:val="sr-Latn-ME"/>
              </w:rPr>
              <w:t>Rijetko</w:t>
            </w:r>
          </w:p>
        </w:tc>
        <w:tc>
          <w:tcPr>
            <w:tcW w:w="1858" w:type="dxa"/>
          </w:tcPr>
          <w:p w:rsidR="00F171CD" w:rsidRPr="00CA7204" w:rsidRDefault="00F171CD">
            <w:pPr>
              <w:tabs>
                <w:tab w:val="left" w:pos="284"/>
              </w:tabs>
              <w:rPr>
                <w:i/>
                <w:sz w:val="22"/>
                <w:szCs w:val="22"/>
                <w:lang w:val="sr-Latn-ME"/>
              </w:rPr>
            </w:pPr>
            <w:r w:rsidRPr="00CA7204">
              <w:rPr>
                <w:i/>
                <w:sz w:val="22"/>
                <w:szCs w:val="22"/>
                <w:lang w:val="sr-Latn-ME"/>
              </w:rPr>
              <w:t>Veoma rijetko, nepoznate učestalosti⃰</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t>Poremećaji krvi i limfnog sistema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r w:rsidRPr="00CA7204">
              <w:rPr>
                <w:sz w:val="22"/>
                <w:szCs w:val="22"/>
                <w:lang w:val="sr-Latn-ME"/>
              </w:rPr>
              <w:t>Trombocitopenija, leukopenija i eozinofilija</w:t>
            </w:r>
          </w:p>
        </w:tc>
        <w:tc>
          <w:tcPr>
            <w:tcW w:w="1858" w:type="dxa"/>
          </w:tcPr>
          <w:p w:rsidR="00F171CD" w:rsidRPr="00CA7204" w:rsidRDefault="00F171CD">
            <w:pPr>
              <w:tabs>
                <w:tab w:val="left" w:pos="284"/>
              </w:tabs>
              <w:rPr>
                <w:sz w:val="22"/>
                <w:szCs w:val="22"/>
                <w:lang w:val="sr-Latn-ME"/>
              </w:rPr>
            </w:pPr>
            <w:r w:rsidRPr="00CA7204">
              <w:rPr>
                <w:sz w:val="22"/>
                <w:szCs w:val="22"/>
                <w:lang w:val="sr-Latn-ME"/>
              </w:rPr>
              <w:t>Neutropenija, uključujući i tešku neutropeniju</w:t>
            </w:r>
          </w:p>
        </w:tc>
        <w:tc>
          <w:tcPr>
            <w:tcW w:w="1858" w:type="dxa"/>
          </w:tcPr>
          <w:p w:rsidR="00F171CD" w:rsidRPr="00CA7204" w:rsidRDefault="00F171CD">
            <w:pPr>
              <w:tabs>
                <w:tab w:val="left" w:pos="284"/>
              </w:tabs>
              <w:rPr>
                <w:sz w:val="22"/>
                <w:szCs w:val="22"/>
                <w:lang w:val="sr-Latn-ME"/>
              </w:rPr>
            </w:pPr>
            <w:r w:rsidRPr="00CA7204">
              <w:rPr>
                <w:sz w:val="22"/>
                <w:szCs w:val="22"/>
                <w:lang w:val="sr-Latn-ME"/>
              </w:rPr>
              <w:t xml:space="preserve">Trombotična trombocitopenijska purpura (TTP) (vidjeti </w:t>
            </w:r>
            <w:r w:rsidR="004E60EA" w:rsidRPr="00CA7204">
              <w:rPr>
                <w:sz w:val="22"/>
                <w:szCs w:val="22"/>
                <w:lang w:val="sr-Latn-ME"/>
              </w:rPr>
              <w:t xml:space="preserve">dio </w:t>
            </w:r>
            <w:r w:rsidRPr="00CA7204">
              <w:rPr>
                <w:sz w:val="22"/>
                <w:szCs w:val="22"/>
                <w:lang w:val="sr-Latn-ME"/>
              </w:rPr>
              <w:t xml:space="preserve">4.4), aplastična anemija, pancitopenija, agranulocitoza; teška trombocitopenija, </w:t>
            </w:r>
            <w:r w:rsidRPr="00CA7204">
              <w:rPr>
                <w:sz w:val="22"/>
                <w:szCs w:val="22"/>
                <w:lang w:val="sr-Latn-ME"/>
              </w:rPr>
              <w:lastRenderedPageBreak/>
              <w:t>stečena hemofilija A, granulocitopenija, anemija</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lastRenderedPageBreak/>
              <w:t>Kardiološki poremećaji</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Kunis sindrom</w:t>
            </w:r>
          </w:p>
          <w:p w:rsidR="00F171CD" w:rsidRPr="00CA7204" w:rsidRDefault="00F171CD">
            <w:pPr>
              <w:tabs>
                <w:tab w:val="left" w:pos="284"/>
              </w:tabs>
              <w:rPr>
                <w:sz w:val="22"/>
                <w:szCs w:val="22"/>
                <w:lang w:val="sr-Latn-ME"/>
              </w:rPr>
            </w:pPr>
            <w:r w:rsidRPr="00CA7204">
              <w:rPr>
                <w:sz w:val="22"/>
                <w:szCs w:val="22"/>
                <w:lang w:val="sr-Latn-ME"/>
              </w:rPr>
              <w:t>(vazospastična</w:t>
            </w:r>
          </w:p>
          <w:p w:rsidR="00F171CD" w:rsidRPr="00CA7204" w:rsidRDefault="00F171CD">
            <w:pPr>
              <w:tabs>
                <w:tab w:val="left" w:pos="284"/>
              </w:tabs>
              <w:rPr>
                <w:sz w:val="22"/>
                <w:szCs w:val="22"/>
                <w:lang w:val="sr-Latn-ME"/>
              </w:rPr>
            </w:pPr>
            <w:r w:rsidRPr="00CA7204">
              <w:rPr>
                <w:sz w:val="22"/>
                <w:szCs w:val="22"/>
                <w:lang w:val="sr-Latn-ME"/>
              </w:rPr>
              <w:t>alergijska angina/alergijski</w:t>
            </w:r>
          </w:p>
          <w:p w:rsidR="00F171CD" w:rsidRPr="00CA7204" w:rsidRDefault="00F171CD">
            <w:pPr>
              <w:tabs>
                <w:tab w:val="left" w:pos="284"/>
              </w:tabs>
              <w:rPr>
                <w:sz w:val="22"/>
                <w:szCs w:val="22"/>
                <w:lang w:val="sr-Latn-ME"/>
              </w:rPr>
            </w:pPr>
            <w:r w:rsidRPr="00CA7204">
              <w:rPr>
                <w:sz w:val="22"/>
                <w:szCs w:val="22"/>
                <w:lang w:val="sr-Latn-ME"/>
              </w:rPr>
              <w:t>infarkt miokarda) u sklopu reakcije</w:t>
            </w:r>
          </w:p>
          <w:p w:rsidR="00F171CD" w:rsidRPr="00CA7204" w:rsidRDefault="00F171CD">
            <w:pPr>
              <w:tabs>
                <w:tab w:val="left" w:pos="284"/>
              </w:tabs>
              <w:rPr>
                <w:sz w:val="22"/>
                <w:szCs w:val="22"/>
                <w:lang w:val="sr-Latn-ME"/>
              </w:rPr>
            </w:pPr>
            <w:r w:rsidRPr="00CA7204">
              <w:rPr>
                <w:sz w:val="22"/>
                <w:szCs w:val="22"/>
                <w:lang w:val="sr-Latn-ME"/>
              </w:rPr>
              <w:t>preosjetljivosti na</w:t>
            </w:r>
          </w:p>
          <w:p w:rsidR="00F171CD" w:rsidRPr="00CA7204" w:rsidRDefault="00F171CD">
            <w:pPr>
              <w:tabs>
                <w:tab w:val="left" w:pos="284"/>
              </w:tabs>
              <w:rPr>
                <w:sz w:val="22"/>
                <w:szCs w:val="22"/>
                <w:lang w:val="sr-Latn-ME"/>
              </w:rPr>
            </w:pPr>
            <w:r w:rsidRPr="00CA7204">
              <w:rPr>
                <w:sz w:val="22"/>
                <w:szCs w:val="22"/>
                <w:lang w:val="sr-Latn-ME"/>
              </w:rPr>
              <w:t>klopidogrel</w:t>
            </w:r>
            <w:r w:rsidR="001E6233" w:rsidRPr="00CA7204">
              <w:rPr>
                <w:sz w:val="22"/>
                <w:szCs w:val="22"/>
                <w:lang w:val="sr-Latn-ME"/>
              </w:rPr>
              <w:t>*</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t>Poremećaji imunološkog sistema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 xml:space="preserve">Serumska bolest, anafilaktoidne reakcije, unakrsna preosjetljivost na lijek u okviru </w:t>
            </w:r>
            <w:r w:rsidR="001E6233" w:rsidRPr="00CA7204">
              <w:rPr>
                <w:sz w:val="22"/>
                <w:szCs w:val="22"/>
                <w:lang w:val="sr-Latn-ME"/>
              </w:rPr>
              <w:t xml:space="preserve">klase </w:t>
            </w:r>
            <w:r w:rsidRPr="00CA7204">
              <w:rPr>
                <w:sz w:val="22"/>
                <w:szCs w:val="22"/>
                <w:lang w:val="sr-Latn-ME"/>
              </w:rPr>
              <w:t xml:space="preserve">tienopiridina (kao što su tiklopidin, prasugrel) (vidjeti </w:t>
            </w:r>
            <w:r w:rsidR="004E60EA" w:rsidRPr="00CA7204">
              <w:rPr>
                <w:sz w:val="22"/>
                <w:szCs w:val="22"/>
                <w:lang w:val="sr-Latn-ME"/>
              </w:rPr>
              <w:t xml:space="preserve">dio </w:t>
            </w:r>
            <w:r w:rsidRPr="00CA7204">
              <w:rPr>
                <w:sz w:val="22"/>
                <w:szCs w:val="22"/>
                <w:lang w:val="sr-Latn-ME"/>
              </w:rPr>
              <w:t>4.4)⃰, insulin</w:t>
            </w:r>
            <w:r w:rsidR="001E6233" w:rsidRPr="00CA7204">
              <w:rPr>
                <w:sz w:val="22"/>
                <w:szCs w:val="22"/>
                <w:lang w:val="sr-Latn-ME"/>
              </w:rPr>
              <w:t>ski</w:t>
            </w:r>
            <w:r w:rsidRPr="00CA7204">
              <w:rPr>
                <w:sz w:val="22"/>
                <w:szCs w:val="22"/>
                <w:lang w:val="sr-Latn-ME"/>
              </w:rPr>
              <w:t xml:space="preserve"> autoimuni sindrom, koji može dovesti do teške hipoglikemije, posebno kod pacijenata sa podtipom HLA DRA4 </w:t>
            </w:r>
          </w:p>
          <w:p w:rsidR="00F171CD" w:rsidRPr="00CA7204" w:rsidRDefault="00F171CD">
            <w:pPr>
              <w:tabs>
                <w:tab w:val="left" w:pos="284"/>
              </w:tabs>
              <w:rPr>
                <w:sz w:val="22"/>
                <w:szCs w:val="22"/>
                <w:lang w:val="sr-Latn-ME"/>
              </w:rPr>
            </w:pPr>
            <w:r w:rsidRPr="00CA7204">
              <w:rPr>
                <w:sz w:val="22"/>
                <w:szCs w:val="22"/>
                <w:lang w:val="sr-Latn-ME"/>
              </w:rPr>
              <w:t>(češći u japanskoj populaciji )*</w:t>
            </w:r>
          </w:p>
        </w:tc>
      </w:tr>
      <w:tr w:rsidR="00321DF1" w:rsidRPr="00CA7204" w:rsidTr="00A7111D">
        <w:tc>
          <w:tcPr>
            <w:tcW w:w="1857" w:type="dxa"/>
          </w:tcPr>
          <w:p w:rsidR="00F171CD" w:rsidRPr="00CA7204" w:rsidRDefault="00F171CD">
            <w:pPr>
              <w:tabs>
                <w:tab w:val="left" w:pos="284"/>
              </w:tabs>
              <w:rPr>
                <w:sz w:val="22"/>
                <w:szCs w:val="22"/>
                <w:lang w:val="sr-Latn-ME"/>
              </w:rPr>
            </w:pPr>
            <w:r w:rsidRPr="00CA7204">
              <w:rPr>
                <w:i/>
                <w:sz w:val="22"/>
                <w:szCs w:val="22"/>
                <w:lang w:val="sr-Latn-ME"/>
              </w:rPr>
              <w:t>Psihijatrijski poremećaji</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Halucinacije, konfuzija</w:t>
            </w:r>
          </w:p>
        </w:tc>
      </w:tr>
      <w:tr w:rsidR="00321DF1" w:rsidRPr="00CA7204" w:rsidTr="00A7111D">
        <w:tc>
          <w:tcPr>
            <w:tcW w:w="1857" w:type="dxa"/>
          </w:tcPr>
          <w:p w:rsidR="00F171CD" w:rsidRPr="00CA7204" w:rsidRDefault="00F171CD">
            <w:pPr>
              <w:tabs>
                <w:tab w:val="left" w:pos="284"/>
              </w:tabs>
              <w:rPr>
                <w:sz w:val="22"/>
                <w:szCs w:val="22"/>
                <w:lang w:val="sr-Latn-ME"/>
              </w:rPr>
            </w:pPr>
            <w:r w:rsidRPr="00CA7204">
              <w:rPr>
                <w:bCs/>
                <w:i/>
                <w:sz w:val="22"/>
                <w:szCs w:val="22"/>
                <w:lang w:val="sr-Latn-ME"/>
              </w:rPr>
              <w:t>Poremećaji nervnog sistema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r w:rsidRPr="00CA7204">
              <w:rPr>
                <w:sz w:val="22"/>
                <w:szCs w:val="22"/>
                <w:lang w:val="sr-Latn-ME"/>
              </w:rPr>
              <w:t>Intrakranijalno krvarenje (zabilježeni su slučajevi i sa fatalnim ishodom), glavobolja, parestezije, vrtoglavica</w:t>
            </w: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Poremećaji ukusa, ageuzija</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t>Poremećaji oka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r w:rsidRPr="00CA7204">
              <w:rPr>
                <w:sz w:val="22"/>
                <w:szCs w:val="22"/>
                <w:lang w:val="sr-Latn-ME"/>
              </w:rPr>
              <w:t>Krvarenje u oku (konjunktivalno, okularno, retinalno)</w:t>
            </w: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r>
      <w:tr w:rsidR="00321DF1" w:rsidRPr="00CA7204" w:rsidTr="00A7111D">
        <w:tc>
          <w:tcPr>
            <w:tcW w:w="1857" w:type="dxa"/>
          </w:tcPr>
          <w:p w:rsidR="00F171CD" w:rsidRPr="00CA7204" w:rsidRDefault="00F171CD">
            <w:pPr>
              <w:tabs>
                <w:tab w:val="left" w:pos="284"/>
              </w:tabs>
              <w:rPr>
                <w:bCs/>
                <w:i/>
                <w:sz w:val="22"/>
                <w:szCs w:val="22"/>
                <w:lang w:val="sr-Latn-ME"/>
              </w:rPr>
            </w:pPr>
            <w:r w:rsidRPr="00CA7204">
              <w:rPr>
                <w:i/>
                <w:sz w:val="22"/>
                <w:szCs w:val="22"/>
                <w:lang w:val="sr-Latn-ME"/>
              </w:rPr>
              <w:t>Poremećaji uha i labirinta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Vertigo</w:t>
            </w:r>
          </w:p>
        </w:tc>
        <w:tc>
          <w:tcPr>
            <w:tcW w:w="1858" w:type="dxa"/>
          </w:tcPr>
          <w:p w:rsidR="00F171CD" w:rsidRPr="00CA7204" w:rsidRDefault="00F171CD">
            <w:pPr>
              <w:tabs>
                <w:tab w:val="left" w:pos="284"/>
              </w:tabs>
              <w:rPr>
                <w:sz w:val="22"/>
                <w:szCs w:val="22"/>
                <w:lang w:val="sr-Latn-ME"/>
              </w:rPr>
            </w:pPr>
          </w:p>
        </w:tc>
      </w:tr>
      <w:tr w:rsidR="00321DF1" w:rsidRPr="00CA7204" w:rsidTr="00A7111D">
        <w:tc>
          <w:tcPr>
            <w:tcW w:w="1857" w:type="dxa"/>
          </w:tcPr>
          <w:p w:rsidR="00F171CD" w:rsidRPr="00CA7204" w:rsidRDefault="00F171CD">
            <w:pPr>
              <w:tabs>
                <w:tab w:val="left" w:pos="284"/>
              </w:tabs>
              <w:rPr>
                <w:sz w:val="22"/>
                <w:szCs w:val="22"/>
                <w:lang w:val="sr-Latn-ME"/>
              </w:rPr>
            </w:pPr>
            <w:r w:rsidRPr="00CA7204">
              <w:rPr>
                <w:bCs/>
                <w:i/>
                <w:sz w:val="22"/>
                <w:szCs w:val="22"/>
                <w:lang w:val="sr-Latn-ME"/>
              </w:rPr>
              <w:t>Vaskularni poremećaji</w:t>
            </w:r>
          </w:p>
        </w:tc>
        <w:tc>
          <w:tcPr>
            <w:tcW w:w="1857" w:type="dxa"/>
          </w:tcPr>
          <w:p w:rsidR="00F171CD" w:rsidRPr="00CA7204" w:rsidRDefault="00F171CD">
            <w:pPr>
              <w:tabs>
                <w:tab w:val="left" w:pos="284"/>
              </w:tabs>
              <w:rPr>
                <w:sz w:val="22"/>
                <w:szCs w:val="22"/>
                <w:lang w:val="sr-Latn-ME"/>
              </w:rPr>
            </w:pPr>
            <w:r w:rsidRPr="00CA7204">
              <w:rPr>
                <w:sz w:val="22"/>
                <w:szCs w:val="22"/>
                <w:lang w:val="sr-Latn-ME"/>
              </w:rPr>
              <w:t>Hematom</w:t>
            </w: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Ozbiljna krvarenja, krvarenje iz operativne rane, vaskulitis, hipotenzija</w:t>
            </w:r>
          </w:p>
        </w:tc>
      </w:tr>
      <w:tr w:rsidR="00321DF1" w:rsidRPr="00CA7204" w:rsidTr="00A7111D">
        <w:tc>
          <w:tcPr>
            <w:tcW w:w="1857" w:type="dxa"/>
          </w:tcPr>
          <w:p w:rsidR="00F171CD" w:rsidRPr="00CA7204" w:rsidRDefault="00F171CD">
            <w:pPr>
              <w:tabs>
                <w:tab w:val="left" w:pos="284"/>
              </w:tabs>
              <w:rPr>
                <w:sz w:val="22"/>
                <w:szCs w:val="22"/>
                <w:lang w:val="sr-Latn-ME"/>
              </w:rPr>
            </w:pPr>
            <w:r w:rsidRPr="00CA7204">
              <w:rPr>
                <w:bCs/>
                <w:i/>
                <w:sz w:val="22"/>
                <w:szCs w:val="22"/>
                <w:lang w:val="sr-Latn-ME"/>
              </w:rPr>
              <w:lastRenderedPageBreak/>
              <w:t>Respiratorni, torakalni i medijastinalni poremećaji</w:t>
            </w:r>
          </w:p>
        </w:tc>
        <w:tc>
          <w:tcPr>
            <w:tcW w:w="1857" w:type="dxa"/>
          </w:tcPr>
          <w:p w:rsidR="00F171CD" w:rsidRPr="00CA7204" w:rsidRDefault="00F171CD">
            <w:pPr>
              <w:tabs>
                <w:tab w:val="left" w:pos="284"/>
              </w:tabs>
              <w:rPr>
                <w:sz w:val="22"/>
                <w:szCs w:val="22"/>
                <w:lang w:val="sr-Latn-ME"/>
              </w:rPr>
            </w:pPr>
            <w:r w:rsidRPr="00CA7204">
              <w:rPr>
                <w:sz w:val="22"/>
                <w:szCs w:val="22"/>
                <w:lang w:val="sr-Latn-ME"/>
              </w:rPr>
              <w:t>Epistaksa</w:t>
            </w: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Krvarenje u respiratornom traktu (hemoptizije, plućna hemoragija), bronhospazam, intersticijalna pneumonija, eozinofilna pneumonija</w:t>
            </w:r>
          </w:p>
        </w:tc>
      </w:tr>
      <w:tr w:rsidR="00321DF1" w:rsidRPr="00CA7204" w:rsidTr="00A7111D">
        <w:tc>
          <w:tcPr>
            <w:tcW w:w="1857" w:type="dxa"/>
          </w:tcPr>
          <w:p w:rsidR="00F171CD" w:rsidRPr="00CA7204" w:rsidRDefault="00F171CD">
            <w:pPr>
              <w:tabs>
                <w:tab w:val="left" w:pos="284"/>
              </w:tabs>
              <w:rPr>
                <w:sz w:val="22"/>
                <w:szCs w:val="22"/>
                <w:lang w:val="sr-Latn-ME"/>
              </w:rPr>
            </w:pPr>
            <w:r w:rsidRPr="00CA7204">
              <w:rPr>
                <w:i/>
                <w:sz w:val="22"/>
                <w:szCs w:val="22"/>
                <w:lang w:val="sr-Latn-ME"/>
              </w:rPr>
              <w:t>Gastrointestinalni poremećaji</w:t>
            </w:r>
          </w:p>
        </w:tc>
        <w:tc>
          <w:tcPr>
            <w:tcW w:w="1857" w:type="dxa"/>
          </w:tcPr>
          <w:p w:rsidR="00F171CD" w:rsidRPr="00CA7204" w:rsidRDefault="00F171CD">
            <w:pPr>
              <w:tabs>
                <w:tab w:val="left" w:pos="284"/>
              </w:tabs>
              <w:rPr>
                <w:sz w:val="22"/>
                <w:szCs w:val="22"/>
                <w:lang w:val="sr-Latn-ME"/>
              </w:rPr>
            </w:pPr>
            <w:r w:rsidRPr="00CA7204">
              <w:rPr>
                <w:sz w:val="22"/>
                <w:szCs w:val="22"/>
                <w:lang w:val="sr-Latn-ME"/>
              </w:rPr>
              <w:t>Krvarenje u digestivnom traktu, dijareja, abdominalni bol, dispepsija</w:t>
            </w:r>
          </w:p>
        </w:tc>
        <w:tc>
          <w:tcPr>
            <w:tcW w:w="1857" w:type="dxa"/>
          </w:tcPr>
          <w:p w:rsidR="00F171CD" w:rsidRPr="00CA7204" w:rsidRDefault="00F171CD">
            <w:pPr>
              <w:tabs>
                <w:tab w:val="left" w:pos="284"/>
              </w:tabs>
              <w:rPr>
                <w:sz w:val="22"/>
                <w:szCs w:val="22"/>
                <w:lang w:val="sr-Latn-ME"/>
              </w:rPr>
            </w:pPr>
            <w:r w:rsidRPr="00CA7204">
              <w:rPr>
                <w:sz w:val="22"/>
                <w:szCs w:val="22"/>
                <w:lang w:val="sr-Latn-ME"/>
              </w:rPr>
              <w:t>Ulkus u želucu i duodenumu, gastritis, povraćanje, mučnina, opstipacija, flatulencija</w:t>
            </w:r>
          </w:p>
        </w:tc>
        <w:tc>
          <w:tcPr>
            <w:tcW w:w="1858" w:type="dxa"/>
          </w:tcPr>
          <w:p w:rsidR="00F171CD" w:rsidRPr="00CA7204" w:rsidRDefault="00F171CD">
            <w:pPr>
              <w:tabs>
                <w:tab w:val="left" w:pos="284"/>
              </w:tabs>
              <w:rPr>
                <w:sz w:val="22"/>
                <w:szCs w:val="22"/>
                <w:lang w:val="sr-Latn-ME"/>
              </w:rPr>
            </w:pPr>
            <w:r w:rsidRPr="00CA7204">
              <w:rPr>
                <w:sz w:val="22"/>
                <w:szCs w:val="22"/>
                <w:lang w:val="sr-Latn-ME"/>
              </w:rPr>
              <w:t>Retroperitonealna hemoragija</w:t>
            </w:r>
          </w:p>
        </w:tc>
        <w:tc>
          <w:tcPr>
            <w:tcW w:w="1858" w:type="dxa"/>
          </w:tcPr>
          <w:p w:rsidR="00F171CD" w:rsidRPr="00CA7204" w:rsidRDefault="00F171CD">
            <w:pPr>
              <w:tabs>
                <w:tab w:val="left" w:pos="284"/>
              </w:tabs>
              <w:rPr>
                <w:sz w:val="22"/>
                <w:szCs w:val="22"/>
                <w:lang w:val="sr-Latn-ME"/>
              </w:rPr>
            </w:pPr>
            <w:r w:rsidRPr="00CA7204">
              <w:rPr>
                <w:sz w:val="22"/>
                <w:szCs w:val="22"/>
                <w:lang w:val="sr-Latn-ME"/>
              </w:rPr>
              <w:t>Gastrointestinalna i retroperitonealna hemoragija sa fatalnim ishodom, pankreatitis, kolitis (uključujući ulcerativni ili limfocitni kolitis), stomatitis</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t>Hepatobilijarni poremećaji</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Akutna insuficijencija jetre, hepatitis, patološki nalaz testova funkcije jetre</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t>Poremećaji kože i potkožnog tkiva</w:t>
            </w:r>
          </w:p>
        </w:tc>
        <w:tc>
          <w:tcPr>
            <w:tcW w:w="1857" w:type="dxa"/>
          </w:tcPr>
          <w:p w:rsidR="00F171CD" w:rsidRPr="00CA7204" w:rsidRDefault="00F171CD">
            <w:pPr>
              <w:tabs>
                <w:tab w:val="left" w:pos="284"/>
              </w:tabs>
              <w:rPr>
                <w:sz w:val="22"/>
                <w:szCs w:val="22"/>
                <w:lang w:val="sr-Latn-ME"/>
              </w:rPr>
            </w:pPr>
            <w:r w:rsidRPr="00CA7204">
              <w:rPr>
                <w:sz w:val="22"/>
                <w:szCs w:val="22"/>
                <w:lang w:val="sr-Latn-ME"/>
              </w:rPr>
              <w:t>Krvni podlivi</w:t>
            </w:r>
          </w:p>
        </w:tc>
        <w:tc>
          <w:tcPr>
            <w:tcW w:w="1857" w:type="dxa"/>
          </w:tcPr>
          <w:p w:rsidR="00F171CD" w:rsidRPr="00CA7204" w:rsidRDefault="00F171CD">
            <w:pPr>
              <w:tabs>
                <w:tab w:val="left" w:pos="284"/>
              </w:tabs>
              <w:rPr>
                <w:sz w:val="22"/>
                <w:szCs w:val="22"/>
                <w:lang w:val="sr-Latn-ME"/>
              </w:rPr>
            </w:pPr>
            <w:r w:rsidRPr="00CA7204">
              <w:rPr>
                <w:sz w:val="22"/>
                <w:szCs w:val="22"/>
                <w:lang w:val="sr-Latn-ME"/>
              </w:rPr>
              <w:t>Osip, pruritus, krvarenja po koži (purpura)</w:t>
            </w: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 xml:space="preserve">Bulozni dermatitis, (toksična epidermalna nekroliza, </w:t>
            </w:r>
            <w:r w:rsidRPr="00CA7204">
              <w:rPr>
                <w:i/>
                <w:sz w:val="22"/>
                <w:szCs w:val="22"/>
                <w:lang w:val="sr-Latn-ME"/>
              </w:rPr>
              <w:t>Stevens-Johnson</w:t>
            </w:r>
            <w:r w:rsidRPr="00CA7204">
              <w:rPr>
                <w:sz w:val="22"/>
                <w:szCs w:val="22"/>
                <w:lang w:val="sr-Latn-ME"/>
              </w:rPr>
              <w:t xml:space="preserve">-ov sindrom, </w:t>
            </w:r>
            <w:r w:rsidRPr="00CA7204">
              <w:rPr>
                <w:i/>
                <w:sz w:val="22"/>
                <w:szCs w:val="22"/>
                <w:lang w:val="sr-Latn-ME"/>
              </w:rPr>
              <w:t xml:space="preserve">erythema multiforme, </w:t>
            </w:r>
            <w:r w:rsidRPr="00CA7204">
              <w:rPr>
                <w:sz w:val="22"/>
                <w:szCs w:val="22"/>
                <w:lang w:val="sr-Latn-ME"/>
              </w:rPr>
              <w:t xml:space="preserve">akutna generalizovana egzantematozna pustuloza (AGEP) angioedem, lijekom izazvan sindrom preosjetljivosti, osip uzrokovan lijekom sa eozinofilijom i sistemskim simptomima (DRESS), osip – eritematozni ili eksfolijativni, urtikarija, ekcem, </w:t>
            </w:r>
            <w:r w:rsidRPr="00CA7204">
              <w:rPr>
                <w:i/>
                <w:sz w:val="22"/>
                <w:szCs w:val="22"/>
                <w:lang w:val="sr-Latn-ME"/>
              </w:rPr>
              <w:t>lichen planus</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t>Poremećaji reproduktivnog sistema i poremećaji na nivou dojki</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Ginekomastija</w:t>
            </w:r>
          </w:p>
        </w:tc>
        <w:tc>
          <w:tcPr>
            <w:tcW w:w="1858" w:type="dxa"/>
          </w:tcPr>
          <w:p w:rsidR="00F171CD" w:rsidRPr="00CA7204" w:rsidRDefault="00F171CD">
            <w:pPr>
              <w:tabs>
                <w:tab w:val="left" w:pos="284"/>
              </w:tabs>
              <w:rPr>
                <w:sz w:val="22"/>
                <w:szCs w:val="22"/>
                <w:lang w:val="sr-Latn-ME"/>
              </w:rPr>
            </w:pP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lastRenderedPageBreak/>
              <w:t>Poremećaji mišićno-skeletnog, vezivnog i koštanog tkiva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Krvarenje u mišićno-skeletnom sistemu (hemartroza), artritis, artralgija, mijalgija</w:t>
            </w:r>
          </w:p>
        </w:tc>
      </w:tr>
      <w:tr w:rsidR="00321DF1" w:rsidRPr="00CA7204" w:rsidTr="00A7111D">
        <w:tc>
          <w:tcPr>
            <w:tcW w:w="1857" w:type="dxa"/>
          </w:tcPr>
          <w:p w:rsidR="00F171CD" w:rsidRPr="00CA7204" w:rsidRDefault="00F171CD">
            <w:pPr>
              <w:tabs>
                <w:tab w:val="left" w:pos="284"/>
              </w:tabs>
              <w:rPr>
                <w:i/>
                <w:sz w:val="22"/>
                <w:szCs w:val="22"/>
                <w:lang w:val="sr-Latn-ME"/>
              </w:rPr>
            </w:pPr>
            <w:r w:rsidRPr="00CA7204">
              <w:rPr>
                <w:i/>
                <w:sz w:val="22"/>
                <w:szCs w:val="22"/>
                <w:lang w:val="sr-Latn-ME"/>
              </w:rPr>
              <w:t>Poremećaji bubrega i urinarnog sistema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r w:rsidRPr="00CA7204">
              <w:rPr>
                <w:sz w:val="22"/>
                <w:szCs w:val="22"/>
                <w:lang w:val="sr-Latn-ME"/>
              </w:rPr>
              <w:t>Hematurija</w:t>
            </w: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Glomerulonefriti</w:t>
            </w:r>
            <w:r w:rsidR="001E6233" w:rsidRPr="00CA7204">
              <w:rPr>
                <w:sz w:val="22"/>
                <w:szCs w:val="22"/>
                <w:lang w:val="sr-Latn-ME"/>
              </w:rPr>
              <w:t>s</w:t>
            </w:r>
            <w:r w:rsidRPr="00CA7204">
              <w:rPr>
                <w:sz w:val="22"/>
                <w:szCs w:val="22"/>
                <w:lang w:val="sr-Latn-ME"/>
              </w:rPr>
              <w:t>, povišen kreatinin u krvi</w:t>
            </w:r>
          </w:p>
        </w:tc>
      </w:tr>
      <w:tr w:rsidR="00321DF1" w:rsidRPr="00CA7204" w:rsidTr="00A7111D">
        <w:tc>
          <w:tcPr>
            <w:tcW w:w="1857" w:type="dxa"/>
          </w:tcPr>
          <w:p w:rsidR="00F171CD" w:rsidRPr="00CA7204" w:rsidRDefault="00F171CD">
            <w:pPr>
              <w:tabs>
                <w:tab w:val="left" w:pos="284"/>
              </w:tabs>
              <w:rPr>
                <w:sz w:val="22"/>
                <w:szCs w:val="22"/>
                <w:lang w:val="sr-Latn-ME"/>
              </w:rPr>
            </w:pPr>
            <w:r w:rsidRPr="00CA7204">
              <w:rPr>
                <w:i/>
                <w:sz w:val="22"/>
                <w:szCs w:val="22"/>
                <w:lang w:val="sr-Latn-ME"/>
              </w:rPr>
              <w:t>Opšti poremećaji i reakcije na mjestu primene</w:t>
            </w:r>
          </w:p>
        </w:tc>
        <w:tc>
          <w:tcPr>
            <w:tcW w:w="1857" w:type="dxa"/>
          </w:tcPr>
          <w:p w:rsidR="00F171CD" w:rsidRPr="00CA7204" w:rsidRDefault="00F171CD">
            <w:pPr>
              <w:tabs>
                <w:tab w:val="left" w:pos="284"/>
              </w:tabs>
              <w:rPr>
                <w:sz w:val="22"/>
                <w:szCs w:val="22"/>
                <w:lang w:val="sr-Latn-ME"/>
              </w:rPr>
            </w:pPr>
            <w:r w:rsidRPr="00CA7204">
              <w:rPr>
                <w:sz w:val="22"/>
                <w:szCs w:val="22"/>
                <w:lang w:val="sr-Latn-ME"/>
              </w:rPr>
              <w:t>Krvarenje na mjestu punktiranja</w:t>
            </w:r>
          </w:p>
        </w:tc>
        <w:tc>
          <w:tcPr>
            <w:tcW w:w="1857"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r w:rsidRPr="00CA7204">
              <w:rPr>
                <w:sz w:val="22"/>
                <w:szCs w:val="22"/>
                <w:lang w:val="sr-Latn-ME"/>
              </w:rPr>
              <w:t>Groznica</w:t>
            </w:r>
          </w:p>
        </w:tc>
      </w:tr>
      <w:tr w:rsidR="00321DF1" w:rsidRPr="00CA7204" w:rsidTr="00A7111D">
        <w:tc>
          <w:tcPr>
            <w:tcW w:w="1857" w:type="dxa"/>
          </w:tcPr>
          <w:p w:rsidR="00F171CD" w:rsidRPr="00CA7204" w:rsidRDefault="00F171CD">
            <w:pPr>
              <w:tabs>
                <w:tab w:val="left" w:pos="284"/>
              </w:tabs>
              <w:rPr>
                <w:sz w:val="22"/>
                <w:szCs w:val="22"/>
                <w:lang w:val="sr-Latn-ME"/>
              </w:rPr>
            </w:pPr>
            <w:r w:rsidRPr="00CA7204">
              <w:rPr>
                <w:i/>
                <w:sz w:val="22"/>
                <w:szCs w:val="22"/>
                <w:lang w:val="sr-Latn-ME"/>
              </w:rPr>
              <w:t>Ispitivanja</w:t>
            </w:r>
          </w:p>
        </w:tc>
        <w:tc>
          <w:tcPr>
            <w:tcW w:w="1857" w:type="dxa"/>
          </w:tcPr>
          <w:p w:rsidR="00F171CD" w:rsidRPr="00CA7204" w:rsidRDefault="00F171CD">
            <w:pPr>
              <w:tabs>
                <w:tab w:val="left" w:pos="284"/>
              </w:tabs>
              <w:rPr>
                <w:sz w:val="22"/>
                <w:szCs w:val="22"/>
                <w:lang w:val="sr-Latn-ME"/>
              </w:rPr>
            </w:pPr>
          </w:p>
        </w:tc>
        <w:tc>
          <w:tcPr>
            <w:tcW w:w="1857" w:type="dxa"/>
          </w:tcPr>
          <w:p w:rsidR="00F171CD" w:rsidRPr="00CA7204" w:rsidRDefault="00F171CD">
            <w:pPr>
              <w:tabs>
                <w:tab w:val="left" w:pos="284"/>
              </w:tabs>
              <w:rPr>
                <w:sz w:val="22"/>
                <w:szCs w:val="22"/>
                <w:lang w:val="sr-Latn-ME"/>
              </w:rPr>
            </w:pPr>
            <w:r w:rsidRPr="00CA7204">
              <w:rPr>
                <w:sz w:val="22"/>
                <w:szCs w:val="22"/>
                <w:lang w:val="sr-Latn-ME"/>
              </w:rPr>
              <w:t>Produženo vrijeme krvarenja, smanjen broj neutrofila, smanjen broj trombocita</w:t>
            </w:r>
          </w:p>
        </w:tc>
        <w:tc>
          <w:tcPr>
            <w:tcW w:w="1858" w:type="dxa"/>
          </w:tcPr>
          <w:p w:rsidR="00F171CD" w:rsidRPr="00CA7204" w:rsidRDefault="00F171CD">
            <w:pPr>
              <w:tabs>
                <w:tab w:val="left" w:pos="284"/>
              </w:tabs>
              <w:rPr>
                <w:sz w:val="22"/>
                <w:szCs w:val="22"/>
                <w:lang w:val="sr-Latn-ME"/>
              </w:rPr>
            </w:pPr>
          </w:p>
        </w:tc>
        <w:tc>
          <w:tcPr>
            <w:tcW w:w="1858" w:type="dxa"/>
          </w:tcPr>
          <w:p w:rsidR="00F171CD" w:rsidRPr="00CA7204" w:rsidRDefault="00F171CD">
            <w:pPr>
              <w:tabs>
                <w:tab w:val="left" w:pos="284"/>
              </w:tabs>
              <w:rPr>
                <w:sz w:val="22"/>
                <w:szCs w:val="22"/>
                <w:lang w:val="sr-Latn-ME"/>
              </w:rPr>
            </w:pPr>
          </w:p>
        </w:tc>
      </w:tr>
    </w:tbl>
    <w:p w:rsidR="00F171CD" w:rsidRPr="00CA7204" w:rsidRDefault="00F171CD">
      <w:pPr>
        <w:tabs>
          <w:tab w:val="left" w:pos="284"/>
        </w:tabs>
        <w:jc w:val="both"/>
        <w:rPr>
          <w:sz w:val="22"/>
          <w:szCs w:val="22"/>
          <w:lang w:val="sr-Latn-ME"/>
        </w:rPr>
      </w:pPr>
      <w:r w:rsidRPr="00CA7204">
        <w:rPr>
          <w:sz w:val="22"/>
          <w:szCs w:val="22"/>
          <w:lang w:val="sr-Latn-ME"/>
        </w:rPr>
        <w:t>⃰Informacija se odnosi na klopidogrel sa učestalošću „nepoznato“.</w:t>
      </w:r>
    </w:p>
    <w:p w:rsidR="00F171CD" w:rsidRPr="00CA7204" w:rsidRDefault="00F171CD">
      <w:pPr>
        <w:tabs>
          <w:tab w:val="left" w:pos="284"/>
        </w:tabs>
        <w:jc w:val="both"/>
        <w:rPr>
          <w:sz w:val="22"/>
          <w:szCs w:val="22"/>
          <w:lang w:val="sr-Latn-ME"/>
        </w:rPr>
      </w:pPr>
    </w:p>
    <w:p w:rsidR="00F171CD" w:rsidRPr="00CA7204" w:rsidRDefault="00F171CD" w:rsidP="00F2401E">
      <w:pPr>
        <w:spacing w:after="200"/>
        <w:rPr>
          <w:rFonts w:eastAsia="Calibri"/>
          <w:sz w:val="22"/>
          <w:szCs w:val="22"/>
          <w:u w:val="single"/>
          <w:lang w:val="sr-Latn-ME" w:eastAsia="sl-SI"/>
        </w:rPr>
      </w:pPr>
      <w:r w:rsidRPr="00CA7204">
        <w:rPr>
          <w:rFonts w:eastAsia="Calibri"/>
          <w:sz w:val="22"/>
          <w:szCs w:val="22"/>
          <w:u w:val="single"/>
          <w:lang w:val="sr-Latn-ME" w:eastAsia="sl-SI"/>
        </w:rPr>
        <w:t>Prijavljivanje sumnji na neželjena dejstva</w:t>
      </w:r>
    </w:p>
    <w:p w:rsidR="00F171CD" w:rsidRPr="00CA7204" w:rsidRDefault="00F171CD">
      <w:pPr>
        <w:spacing w:after="200"/>
        <w:jc w:val="both"/>
        <w:rPr>
          <w:rFonts w:eastAsia="Calibri"/>
          <w:sz w:val="22"/>
          <w:szCs w:val="22"/>
          <w:lang w:val="sr-Latn-ME" w:eastAsia="sl-SI"/>
        </w:rPr>
      </w:pPr>
      <w:r w:rsidRPr="00CA7204">
        <w:rPr>
          <w:rFonts w:eastAsia="Calibri"/>
          <w:sz w:val="22"/>
          <w:szCs w:val="22"/>
          <w:lang w:val="sr-Latn-ME" w:eastAsia="sl-SI"/>
        </w:rPr>
        <w:t>Prijavljivanje neželjenih dejstava nakon dobijanja dozvole</w:t>
      </w:r>
      <w:r w:rsidR="004E60EA" w:rsidRPr="00CA7204">
        <w:rPr>
          <w:rFonts w:eastAsia="Calibri"/>
          <w:sz w:val="22"/>
          <w:szCs w:val="22"/>
          <w:lang w:val="sr-Latn-ME" w:eastAsia="sl-SI"/>
        </w:rPr>
        <w:t xml:space="preserve"> za lijek</w:t>
      </w:r>
      <w:r w:rsidRPr="00CA7204">
        <w:rPr>
          <w:rFonts w:eastAsia="Calibri"/>
          <w:sz w:val="22"/>
          <w:szCs w:val="22"/>
          <w:lang w:val="sr-Latn-ME" w:eastAsia="sl-SI"/>
        </w:rPr>
        <w:t>je od velikog značaja jer obezbjeđuje kontinuirano praćenje odnosa korist/rizik primjene lijeka. Zdravstveni radnici treba da prijave svaku sumnju na neželjeno dejstvo ovog lijeka Institutu za ljekove i medicinska sredstva (CInMED):</w:t>
      </w:r>
    </w:p>
    <w:p w:rsidR="00F171CD" w:rsidRPr="00CA7204" w:rsidRDefault="00F171CD">
      <w:pPr>
        <w:jc w:val="both"/>
        <w:rPr>
          <w:rFonts w:eastAsia="Calibri"/>
          <w:sz w:val="22"/>
          <w:szCs w:val="22"/>
          <w:lang w:val="sr-Latn-ME"/>
        </w:rPr>
      </w:pPr>
      <w:r w:rsidRPr="00CA7204">
        <w:rPr>
          <w:rFonts w:eastAsia="Calibri"/>
          <w:sz w:val="22"/>
          <w:szCs w:val="22"/>
          <w:lang w:val="sr-Latn-ME"/>
        </w:rPr>
        <w:t xml:space="preserve">Institut za ljekove i medicinska sredstva </w:t>
      </w:r>
    </w:p>
    <w:p w:rsidR="00F171CD" w:rsidRPr="00CA7204" w:rsidRDefault="00F171CD">
      <w:pPr>
        <w:jc w:val="both"/>
        <w:rPr>
          <w:rFonts w:eastAsia="Calibri"/>
          <w:sz w:val="22"/>
          <w:szCs w:val="22"/>
          <w:lang w:val="sr-Latn-ME"/>
        </w:rPr>
      </w:pPr>
      <w:r w:rsidRPr="00CA7204">
        <w:rPr>
          <w:rFonts w:eastAsia="Calibri"/>
          <w:sz w:val="22"/>
          <w:szCs w:val="22"/>
          <w:lang w:val="sr-Latn-ME"/>
        </w:rPr>
        <w:t>Odjeljenje za farmakovigilancu</w:t>
      </w:r>
    </w:p>
    <w:p w:rsidR="00F171CD" w:rsidRPr="00CA7204" w:rsidRDefault="00F171CD">
      <w:pPr>
        <w:jc w:val="both"/>
        <w:rPr>
          <w:rFonts w:eastAsia="Calibri"/>
          <w:sz w:val="22"/>
          <w:szCs w:val="22"/>
          <w:lang w:val="sr-Latn-ME"/>
        </w:rPr>
      </w:pPr>
      <w:r w:rsidRPr="00CA7204">
        <w:rPr>
          <w:rFonts w:eastAsia="Calibri"/>
          <w:sz w:val="22"/>
          <w:szCs w:val="22"/>
          <w:lang w:val="sr-Latn-ME"/>
        </w:rPr>
        <w:t>Bulevar Ivana Crnojevića 64a, 81000 Podgorica</w:t>
      </w:r>
    </w:p>
    <w:p w:rsidR="00F171CD" w:rsidRPr="00CA7204" w:rsidRDefault="00F171CD">
      <w:pPr>
        <w:rPr>
          <w:rFonts w:eastAsia="Calibri"/>
          <w:sz w:val="22"/>
          <w:szCs w:val="22"/>
          <w:lang w:val="sr-Latn-ME"/>
        </w:rPr>
      </w:pPr>
    </w:p>
    <w:p w:rsidR="00F171CD" w:rsidRPr="00CA7204" w:rsidRDefault="00F171CD">
      <w:pPr>
        <w:jc w:val="both"/>
        <w:rPr>
          <w:rFonts w:eastAsia="Calibri"/>
          <w:sz w:val="22"/>
          <w:szCs w:val="22"/>
          <w:lang w:val="sr-Latn-ME"/>
        </w:rPr>
      </w:pPr>
      <w:r w:rsidRPr="00CA7204">
        <w:rPr>
          <w:rFonts w:eastAsia="Calibri"/>
          <w:sz w:val="22"/>
          <w:szCs w:val="22"/>
          <w:lang w:val="sr-Latn-ME"/>
        </w:rPr>
        <w:t>tel: +382 (0) 20 310 280</w:t>
      </w:r>
    </w:p>
    <w:p w:rsidR="00F171CD" w:rsidRPr="00CA7204" w:rsidRDefault="00F171CD">
      <w:pPr>
        <w:jc w:val="both"/>
        <w:rPr>
          <w:rFonts w:eastAsia="Calibri"/>
          <w:sz w:val="22"/>
          <w:szCs w:val="22"/>
          <w:lang w:val="sr-Latn-ME"/>
        </w:rPr>
      </w:pPr>
      <w:r w:rsidRPr="00CA7204">
        <w:rPr>
          <w:rFonts w:eastAsia="Calibri"/>
          <w:sz w:val="22"/>
          <w:szCs w:val="22"/>
          <w:lang w:val="sr-Latn-ME"/>
        </w:rPr>
        <w:t>fax: +382 (0) 20 310 581</w:t>
      </w:r>
    </w:p>
    <w:p w:rsidR="00F171CD" w:rsidRPr="00CA7204" w:rsidRDefault="00375CA4">
      <w:pPr>
        <w:jc w:val="both"/>
        <w:rPr>
          <w:rFonts w:eastAsia="Calibri"/>
          <w:sz w:val="22"/>
          <w:szCs w:val="22"/>
          <w:u w:val="single"/>
          <w:lang w:val="sr-Latn-ME"/>
        </w:rPr>
      </w:pPr>
      <w:hyperlink r:id="rId7" w:history="1">
        <w:r w:rsidR="00F171CD" w:rsidRPr="00CA7204">
          <w:rPr>
            <w:rFonts w:eastAsia="Calibri"/>
            <w:sz w:val="22"/>
            <w:szCs w:val="22"/>
            <w:u w:val="single"/>
            <w:lang w:val="sr-Latn-ME"/>
          </w:rPr>
          <w:t>www.cinmed.me</w:t>
        </w:r>
      </w:hyperlink>
    </w:p>
    <w:p w:rsidR="00F171CD" w:rsidRPr="00CA7204" w:rsidRDefault="00375CA4">
      <w:pPr>
        <w:jc w:val="both"/>
        <w:rPr>
          <w:rFonts w:eastAsia="Calibri"/>
          <w:sz w:val="22"/>
          <w:szCs w:val="22"/>
          <w:u w:val="single"/>
          <w:lang w:val="sr-Latn-ME"/>
        </w:rPr>
      </w:pPr>
      <w:hyperlink r:id="rId8" w:history="1">
        <w:r w:rsidR="00F171CD" w:rsidRPr="00CA7204">
          <w:rPr>
            <w:rFonts w:eastAsia="Calibri"/>
            <w:sz w:val="22"/>
            <w:szCs w:val="22"/>
            <w:u w:val="single"/>
            <w:lang w:val="sr-Latn-ME"/>
          </w:rPr>
          <w:t>nezeljenadejstva@cinmed.me</w:t>
        </w:r>
      </w:hyperlink>
    </w:p>
    <w:p w:rsidR="00F171CD" w:rsidRPr="00CA7204" w:rsidRDefault="00F171CD">
      <w:pPr>
        <w:jc w:val="both"/>
        <w:rPr>
          <w:rFonts w:eastAsia="Calibri"/>
          <w:sz w:val="22"/>
          <w:szCs w:val="22"/>
          <w:lang w:val="sr-Latn-ME"/>
        </w:rPr>
      </w:pPr>
      <w:r w:rsidRPr="00CA7204">
        <w:rPr>
          <w:rFonts w:eastAsia="Calibri"/>
          <w:sz w:val="22"/>
          <w:szCs w:val="22"/>
          <w:lang w:val="sr-Latn-ME"/>
        </w:rPr>
        <w:t>putem IS zdravstvene zaštite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4.9.  Predoziranje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Predoziranje klopidogrelom može dovesti do produženog vremena krvarenja i posljedičnih komplikacija krvarenja. U tom slučaju treba razmotriti primjenu odgovarajuće terapije.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Ne postoji antidot u slučaju predoziranja klopidogrelom. Ukoliko je potrebna hitna korekcija produženog vremena krvarenja, transfuzija trombocita može antagonizovati dejstvo klopidogrela.</w:t>
      </w:r>
    </w:p>
    <w:p w:rsidR="00F171CD" w:rsidRPr="00CA7204" w:rsidRDefault="00F171CD">
      <w:pPr>
        <w:tabs>
          <w:tab w:val="left" w:pos="284"/>
        </w:tabs>
        <w:jc w:val="both"/>
        <w:rPr>
          <w:b/>
          <w:sz w:val="22"/>
          <w:szCs w:val="22"/>
          <w:lang w:val="sr-Latn-ME"/>
        </w:rPr>
      </w:pPr>
    </w:p>
    <w:p w:rsidR="00F171CD" w:rsidRPr="00CA7204" w:rsidRDefault="00F171CD">
      <w:pPr>
        <w:tabs>
          <w:tab w:val="left" w:pos="284"/>
        </w:tabs>
        <w:jc w:val="both"/>
        <w:rPr>
          <w:b/>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5.     FARMAKOLOŠKI PODACI</w:t>
      </w:r>
    </w:p>
    <w:p w:rsidR="00F171CD" w:rsidRPr="00CA7204" w:rsidRDefault="00F171CD">
      <w:pPr>
        <w:tabs>
          <w:tab w:val="left" w:pos="284"/>
        </w:tabs>
        <w:jc w:val="both"/>
        <w:rPr>
          <w:b/>
          <w:bCs/>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5.1.  Farmakodinamski podaci</w:t>
      </w:r>
    </w:p>
    <w:p w:rsidR="00F171CD" w:rsidRPr="00CA7204" w:rsidRDefault="00F171CD">
      <w:pPr>
        <w:tabs>
          <w:tab w:val="left" w:pos="284"/>
        </w:tabs>
        <w:jc w:val="both"/>
        <w:rPr>
          <w:b/>
          <w:bCs/>
          <w:sz w:val="22"/>
          <w:szCs w:val="22"/>
          <w:lang w:val="sr-Latn-ME"/>
        </w:rPr>
      </w:pPr>
    </w:p>
    <w:p w:rsidR="00F171CD" w:rsidRPr="00CA7204" w:rsidRDefault="00F171CD">
      <w:pPr>
        <w:tabs>
          <w:tab w:val="left" w:pos="284"/>
        </w:tabs>
        <w:jc w:val="both"/>
        <w:rPr>
          <w:sz w:val="22"/>
          <w:szCs w:val="22"/>
          <w:lang w:val="sr-Latn-ME"/>
        </w:rPr>
      </w:pPr>
      <w:r w:rsidRPr="00CA7204">
        <w:rPr>
          <w:bCs/>
          <w:sz w:val="22"/>
          <w:szCs w:val="22"/>
          <w:lang w:val="sr-Latn-ME"/>
        </w:rPr>
        <w:t>Farmakoterapijska grupa:</w:t>
      </w:r>
      <w:r w:rsidRPr="00CA7204">
        <w:rPr>
          <w:b/>
          <w:bCs/>
          <w:sz w:val="22"/>
          <w:szCs w:val="22"/>
          <w:lang w:val="sr-Latn-ME"/>
        </w:rPr>
        <w:t xml:space="preserve"> </w:t>
      </w:r>
      <w:r w:rsidRPr="00CA7204">
        <w:rPr>
          <w:sz w:val="22"/>
          <w:szCs w:val="22"/>
          <w:lang w:val="sr-Latn-ME"/>
        </w:rPr>
        <w:t>Inhibitori agregacije trombocita, isključujući heparin</w:t>
      </w:r>
    </w:p>
    <w:p w:rsidR="00F171CD" w:rsidRPr="00CA7204" w:rsidRDefault="00F171CD">
      <w:pPr>
        <w:tabs>
          <w:tab w:val="left" w:pos="284"/>
        </w:tabs>
        <w:jc w:val="both"/>
        <w:rPr>
          <w:bCs/>
          <w:sz w:val="22"/>
          <w:szCs w:val="22"/>
          <w:lang w:val="sr-Latn-ME"/>
        </w:rPr>
      </w:pPr>
    </w:p>
    <w:p w:rsidR="00F171CD" w:rsidRPr="00CA7204" w:rsidRDefault="00F171CD">
      <w:pPr>
        <w:tabs>
          <w:tab w:val="left" w:pos="284"/>
        </w:tabs>
        <w:jc w:val="both"/>
        <w:rPr>
          <w:sz w:val="22"/>
          <w:szCs w:val="22"/>
          <w:lang w:val="sr-Latn-ME"/>
        </w:rPr>
      </w:pPr>
      <w:r w:rsidRPr="00CA7204">
        <w:rPr>
          <w:bCs/>
          <w:sz w:val="22"/>
          <w:szCs w:val="22"/>
          <w:lang w:val="sr-Latn-ME"/>
        </w:rPr>
        <w:t>ATC kod</w:t>
      </w:r>
      <w:r w:rsidRPr="00CA7204">
        <w:rPr>
          <w:b/>
          <w:bCs/>
          <w:sz w:val="22"/>
          <w:szCs w:val="22"/>
          <w:lang w:val="sr-Latn-ME"/>
        </w:rPr>
        <w:t xml:space="preserve">: </w:t>
      </w:r>
      <w:r w:rsidRPr="00CA7204">
        <w:rPr>
          <w:sz w:val="22"/>
          <w:szCs w:val="22"/>
          <w:lang w:val="sr-Latn-ME"/>
        </w:rPr>
        <w:t>B01AC04</w:t>
      </w:r>
    </w:p>
    <w:p w:rsidR="00F171CD" w:rsidRPr="00CA7204" w:rsidRDefault="00F171CD">
      <w:pPr>
        <w:tabs>
          <w:tab w:val="left" w:pos="284"/>
        </w:tabs>
        <w:jc w:val="both"/>
        <w:rPr>
          <w:b/>
          <w:bCs/>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Mehanizam dejstva</w:t>
      </w:r>
    </w:p>
    <w:p w:rsidR="00F171CD" w:rsidRPr="00CA7204" w:rsidRDefault="00F171CD">
      <w:pPr>
        <w:tabs>
          <w:tab w:val="left" w:pos="284"/>
        </w:tabs>
        <w:jc w:val="both"/>
        <w:rPr>
          <w:sz w:val="22"/>
          <w:szCs w:val="22"/>
          <w:lang w:val="sr-Latn-ME"/>
        </w:rPr>
      </w:pPr>
      <w:r w:rsidRPr="00CA7204">
        <w:rPr>
          <w:sz w:val="22"/>
          <w:szCs w:val="22"/>
          <w:lang w:val="sr-Latn-ME"/>
        </w:rPr>
        <w:t xml:space="preserve">Klopidogrel je prolijek, a jedan od njegovih metabolita je inhibitor agregacije trombocita. Klopidogrel se mora metabolisati preko CYP450 enzima kako bi nastao aktivni metabolit koji inhibira agregaciju </w:t>
      </w:r>
      <w:r w:rsidRPr="00CA7204">
        <w:rPr>
          <w:sz w:val="22"/>
          <w:szCs w:val="22"/>
          <w:lang w:val="sr-Latn-ME"/>
        </w:rPr>
        <w:lastRenderedPageBreak/>
        <w:t>trombocita. Aktivni metabolit klopidogrela selektivno inhibira vezivanje adenozin difosfata (ADP) za receptor trombocita (P2Y</w:t>
      </w:r>
      <w:r w:rsidRPr="00CA7204">
        <w:rPr>
          <w:sz w:val="22"/>
          <w:szCs w:val="22"/>
          <w:vertAlign w:val="subscript"/>
          <w:lang w:val="sr-Latn-ME"/>
        </w:rPr>
        <w:t>12</w:t>
      </w:r>
      <w:r w:rsidRPr="00CA7204">
        <w:rPr>
          <w:sz w:val="22"/>
          <w:szCs w:val="22"/>
          <w:lang w:val="sr-Latn-ME"/>
        </w:rPr>
        <w:t>) čime se aktivira kompleks GPIIb/IIIa i sprečava agregacija trombocita (ADP posredovana aktivacija). Usljed ireverzibilnog vezivanja trombociti izloženi dejstvu klopidogrela su pod tim efektom do kraja njihovog životnog vijeka (oko 7-10 dana), pa se obnavljanje normalne funkcije trombocita postiže stvaranjem novih trombocita.</w:t>
      </w:r>
    </w:p>
    <w:p w:rsidR="00F171CD" w:rsidRPr="00CA7204" w:rsidRDefault="00F171CD">
      <w:pPr>
        <w:tabs>
          <w:tab w:val="left" w:pos="284"/>
        </w:tabs>
        <w:jc w:val="both"/>
        <w:rPr>
          <w:sz w:val="22"/>
          <w:szCs w:val="22"/>
          <w:lang w:val="sr-Latn-ME"/>
        </w:rPr>
      </w:pPr>
      <w:r w:rsidRPr="00CA7204">
        <w:rPr>
          <w:sz w:val="22"/>
          <w:szCs w:val="22"/>
          <w:lang w:val="sr-Latn-ME"/>
        </w:rPr>
        <w:t>Klopidogrel takođe inhibira agregaciju trombocita koju indukuju drugi agonisti i to blokiranjem pojačan</w:t>
      </w:r>
      <w:r w:rsidR="001E4673" w:rsidRPr="00CA7204">
        <w:rPr>
          <w:sz w:val="22"/>
          <w:szCs w:val="22"/>
          <w:lang w:val="sr-Latn-ME"/>
        </w:rPr>
        <w:t>e</w:t>
      </w:r>
      <w:r w:rsidRPr="00CA7204">
        <w:rPr>
          <w:sz w:val="22"/>
          <w:szCs w:val="22"/>
          <w:lang w:val="sr-Latn-ME"/>
        </w:rPr>
        <w:t xml:space="preserve"> aktivacije trombocita oslobođenim ADP-om.</w:t>
      </w:r>
    </w:p>
    <w:p w:rsidR="00F171CD" w:rsidRPr="00CA7204" w:rsidRDefault="00F171CD">
      <w:pPr>
        <w:tabs>
          <w:tab w:val="left" w:pos="284"/>
        </w:tabs>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Zbog toga što aktivni metabolit klopidogrela nastaje metabolizmom pomoću CYP450 enzima, od kojih su neki polimorfni ili mogu biti inhibirani od strane drugih ljekova, kod svih pacijenata neće biti postignuta adekvatna inhibicija trombocita.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Farmakodinamski efekti</w:t>
      </w:r>
    </w:p>
    <w:p w:rsidR="00F171CD" w:rsidRPr="00CA7204" w:rsidRDefault="00F171CD">
      <w:pPr>
        <w:tabs>
          <w:tab w:val="left" w:pos="284"/>
        </w:tabs>
        <w:jc w:val="both"/>
        <w:rPr>
          <w:sz w:val="22"/>
          <w:szCs w:val="22"/>
          <w:lang w:val="sr-Latn-ME"/>
        </w:rPr>
      </w:pPr>
      <w:r w:rsidRPr="00CA7204">
        <w:rPr>
          <w:sz w:val="22"/>
          <w:szCs w:val="22"/>
          <w:lang w:val="sr-Latn-ME"/>
        </w:rPr>
        <w:t>Ponovljene doze od 75 mg dnevno dovode do snažne inhibicije agregacije trombocita posredovane ADP-om i to od prvog dana; efekat se progresivno pojačava i dostiže stanje dinamičke ravnoteže između 3. dana i 7. dana. U stanju dinamičke ravnoteže prosječni inhibitorni nivo, pri primjeni doze od 75 mg dnevno, je iznosio između 40% i 60%. Agregacija trombocita i vrijeme krvarenja obično su se postepeno vraćali na početne vrijednosti u toku 5 dana nakon prekida uzimanja lijeka.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Klinička efikasnost i bezbjednost primjene</w:t>
      </w:r>
    </w:p>
    <w:p w:rsidR="00F171CD" w:rsidRPr="00CA7204" w:rsidRDefault="00F171CD">
      <w:pPr>
        <w:tabs>
          <w:tab w:val="left" w:pos="284"/>
        </w:tabs>
        <w:jc w:val="both"/>
        <w:rPr>
          <w:sz w:val="22"/>
          <w:szCs w:val="22"/>
          <w:lang w:val="sr-Latn-ME"/>
        </w:rPr>
      </w:pPr>
      <w:r w:rsidRPr="00CA7204">
        <w:rPr>
          <w:sz w:val="22"/>
          <w:szCs w:val="22"/>
          <w:lang w:val="sr-Latn-ME"/>
        </w:rPr>
        <w:t xml:space="preserve">Bezbjednost primjene i efikasnost klopidogrela su procijenjeni u </w:t>
      </w:r>
      <w:r w:rsidR="000831AD" w:rsidRPr="00CA7204">
        <w:rPr>
          <w:sz w:val="22"/>
          <w:szCs w:val="22"/>
          <w:lang w:val="sr-Latn-ME"/>
        </w:rPr>
        <w:t>7</w:t>
      </w:r>
      <w:r w:rsidRPr="00CA7204">
        <w:rPr>
          <w:sz w:val="22"/>
          <w:szCs w:val="22"/>
          <w:lang w:val="sr-Latn-ME"/>
        </w:rPr>
        <w:t xml:space="preserve"> dvostruko-slijepih studija koje su uključivale preko </w:t>
      </w:r>
      <w:r w:rsidR="000831AD" w:rsidRPr="00CA7204">
        <w:rPr>
          <w:sz w:val="22"/>
          <w:szCs w:val="22"/>
          <w:lang w:val="sr-Latn-ME"/>
        </w:rPr>
        <w:t>100</w:t>
      </w:r>
      <w:r w:rsidRPr="00CA7204">
        <w:rPr>
          <w:sz w:val="22"/>
          <w:szCs w:val="22"/>
          <w:lang w:val="sr-Latn-ME"/>
        </w:rPr>
        <w:t xml:space="preserve">000 pacijenata: u studiji CAPRIE, koja je upoređivala djelovanje klopidogrela i ASK; i u studijama CURE, CLARITY i COMMIT, </w:t>
      </w:r>
      <w:r w:rsidR="000831AD" w:rsidRPr="00CA7204">
        <w:rPr>
          <w:sz w:val="22"/>
          <w:szCs w:val="22"/>
          <w:lang w:val="sr-Latn-ME"/>
        </w:rPr>
        <w:t xml:space="preserve">CHANCE, POINT </w:t>
      </w:r>
      <w:r w:rsidRPr="00CA7204">
        <w:rPr>
          <w:sz w:val="22"/>
          <w:szCs w:val="22"/>
          <w:lang w:val="sr-Latn-ME"/>
        </w:rPr>
        <w:t>i ACTIVE-A koje su upoređivale djelovanje klopidogrela u poređenju sa placebom, kombinaciju oba sa ASK i ostalom standardnom terapijom.</w:t>
      </w:r>
    </w:p>
    <w:p w:rsidR="00F171CD" w:rsidRPr="00CA7204" w:rsidRDefault="00F171CD">
      <w:pPr>
        <w:tabs>
          <w:tab w:val="left" w:pos="284"/>
        </w:tabs>
        <w:jc w:val="both"/>
        <w:rPr>
          <w:sz w:val="22"/>
          <w:szCs w:val="22"/>
          <w:lang w:val="sr-Latn-ME"/>
        </w:rPr>
      </w:pPr>
    </w:p>
    <w:p w:rsidR="00F171CD" w:rsidRPr="00CA7204" w:rsidRDefault="00F171CD">
      <w:pPr>
        <w:tabs>
          <w:tab w:val="left" w:pos="284"/>
        </w:tabs>
        <w:autoSpaceDE w:val="0"/>
        <w:autoSpaceDN w:val="0"/>
        <w:adjustRightInd w:val="0"/>
        <w:jc w:val="both"/>
        <w:rPr>
          <w:i/>
          <w:iCs/>
          <w:sz w:val="22"/>
          <w:szCs w:val="22"/>
          <w:lang w:val="sr-Latn-ME"/>
        </w:rPr>
      </w:pPr>
      <w:r w:rsidRPr="00CA7204">
        <w:rPr>
          <w:i/>
          <w:iCs/>
          <w:sz w:val="22"/>
          <w:szCs w:val="22"/>
          <w:lang w:val="sr-Latn-ME"/>
        </w:rPr>
        <w:t>Nedavni infarkt miokarda (MI), nedavni moždani udar ili utvrđena bolest perifernih arterija</w:t>
      </w: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Studija CAPRIE uključila je 19185 pacijenata sa aterotrombozom uzrokovanom nedavnim infarktom miokarda (&lt;35 dana), nedavnim ishemijskim moždanim udarom (između 7 dana i 6 m</w:t>
      </w:r>
      <w:r w:rsidR="00083032" w:rsidRPr="00CA7204">
        <w:rPr>
          <w:sz w:val="22"/>
          <w:szCs w:val="22"/>
          <w:lang w:val="sr-Latn-ME"/>
        </w:rPr>
        <w:t>j</w:t>
      </w:r>
      <w:r w:rsidRPr="00CA7204">
        <w:rPr>
          <w:sz w:val="22"/>
          <w:szCs w:val="22"/>
          <w:lang w:val="sr-Latn-ME"/>
        </w:rPr>
        <w:t>eseci) ili utvrđenom bolešću perifernih arterija (PAD). Pacijenti su randomizovani u grupe koje su dnevno primale 75 mg klopidogrela ili 325 mg acetilsalicilne kiseline, a zatim praćeni od 1 do 3 godine. U podgrupi sa infarktom miokarda većina pacijenata je prvih nekoliko dana nakon akutnog infarkta miokarda primala acetilsalicilnu kiselinu.</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U poređenju sa acetilsalicilnom kiselinom klopidogrel je značajno smanjio incidencu novih ishemijskih događaja (kombinovani </w:t>
      </w:r>
      <w:r w:rsidR="00720A62" w:rsidRPr="00CA7204">
        <w:rPr>
          <w:sz w:val="22"/>
          <w:szCs w:val="22"/>
          <w:lang w:val="sr-Latn-ME"/>
        </w:rPr>
        <w:t>parametar praćenja</w:t>
      </w:r>
      <w:r w:rsidRPr="00CA7204">
        <w:rPr>
          <w:sz w:val="22"/>
          <w:szCs w:val="22"/>
          <w:lang w:val="sr-Latn-ME"/>
        </w:rPr>
        <w:t xml:space="preserve"> infarkta miokarda, ishemijskog moždanog udara i vaskularne smrti). U analizi ITT (eng</w:t>
      </w:r>
      <w:r w:rsidRPr="00CA7204">
        <w:rPr>
          <w:i/>
          <w:sz w:val="22"/>
          <w:szCs w:val="22"/>
          <w:lang w:val="sr-Latn-ME"/>
        </w:rPr>
        <w:t>. intention to treat</w:t>
      </w:r>
      <w:r w:rsidRPr="00CA7204">
        <w:rPr>
          <w:sz w:val="22"/>
          <w:szCs w:val="22"/>
          <w:lang w:val="sr-Latn-ME"/>
        </w:rPr>
        <w:t xml:space="preserve">) registrovano je 939 slučajeva u grupi koja je primala klopidogrel, a 1020 u grupi koja je primala acetilsalicilnu kiselinu (relativno smanjenje rizika, eng. </w:t>
      </w:r>
      <w:r w:rsidRPr="00CA7204">
        <w:rPr>
          <w:i/>
          <w:sz w:val="22"/>
          <w:szCs w:val="22"/>
          <w:lang w:val="sr-Latn-ME"/>
        </w:rPr>
        <w:t>relative risk reduction</w:t>
      </w:r>
      <w:r w:rsidRPr="00CA7204">
        <w:rPr>
          <w:sz w:val="22"/>
          <w:szCs w:val="22"/>
          <w:lang w:val="sr-Latn-ME"/>
        </w:rPr>
        <w:t xml:space="preserve"> – RRR=8,7% </w:t>
      </w:r>
      <w:r w:rsidR="004E60EA" w:rsidRPr="00CA7204">
        <w:rPr>
          <w:sz w:val="22"/>
          <w:szCs w:val="22"/>
          <w:lang w:val="sr-Latn-ME"/>
        </w:rPr>
        <w:t>(</w:t>
      </w:r>
      <w:r w:rsidRPr="00CA7204">
        <w:rPr>
          <w:sz w:val="22"/>
          <w:szCs w:val="22"/>
          <w:lang w:val="sr-Latn-ME"/>
        </w:rPr>
        <w:t>95% granica pouzdanosti: 0,2 do 16,4</w:t>
      </w:r>
      <w:r w:rsidR="004E60EA" w:rsidRPr="00CA7204">
        <w:rPr>
          <w:sz w:val="22"/>
          <w:szCs w:val="22"/>
          <w:lang w:val="sr-Latn-ME"/>
        </w:rPr>
        <w:t>)</w:t>
      </w:r>
      <w:r w:rsidRPr="00CA7204">
        <w:rPr>
          <w:sz w:val="22"/>
          <w:szCs w:val="22"/>
          <w:lang w:val="sr-Latn-ME"/>
        </w:rPr>
        <w:t xml:space="preserve">; </w:t>
      </w:r>
      <w:r w:rsidR="004E60EA" w:rsidRPr="00CA7204">
        <w:rPr>
          <w:sz w:val="22"/>
          <w:szCs w:val="22"/>
          <w:lang w:val="sr-Latn-ME"/>
        </w:rPr>
        <w:t>(</w:t>
      </w:r>
      <w:r w:rsidRPr="00CA7204">
        <w:rPr>
          <w:sz w:val="22"/>
          <w:szCs w:val="22"/>
          <w:lang w:val="sr-Latn-ME"/>
        </w:rPr>
        <w:t xml:space="preserve">p=0,045) što odgovara broju od dodatnih 10 pacijenata kojima je spriječen novi ishemijski događaj, na svakih 1000 pacijenata liječenih 2 godine </w:t>
      </w:r>
      <w:r w:rsidR="004E60EA" w:rsidRPr="00CA7204">
        <w:rPr>
          <w:sz w:val="22"/>
          <w:szCs w:val="22"/>
          <w:lang w:val="sr-Latn-ME"/>
        </w:rPr>
        <w:t>(</w:t>
      </w:r>
      <w:r w:rsidRPr="00CA7204">
        <w:rPr>
          <w:sz w:val="22"/>
          <w:szCs w:val="22"/>
          <w:lang w:val="sr-Latn-ME"/>
        </w:rPr>
        <w:t>interval pouzdanosti: 0 do 20</w:t>
      </w:r>
      <w:r w:rsidR="004E60EA" w:rsidRPr="00CA7204">
        <w:rPr>
          <w:sz w:val="22"/>
          <w:szCs w:val="22"/>
          <w:lang w:val="sr-Latn-ME"/>
        </w:rPr>
        <w:t>)</w:t>
      </w:r>
      <w:r w:rsidRPr="00CA7204">
        <w:rPr>
          <w:sz w:val="22"/>
          <w:szCs w:val="22"/>
          <w:lang w:val="sr-Latn-ME"/>
        </w:rPr>
        <w:t>.</w:t>
      </w: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Analiza ukupne smrtnosti, kao sekundarnog </w:t>
      </w:r>
      <w:r w:rsidR="00720A62" w:rsidRPr="00CA7204">
        <w:rPr>
          <w:sz w:val="22"/>
          <w:szCs w:val="22"/>
          <w:lang w:val="sr-Latn-ME"/>
        </w:rPr>
        <w:t>parametra praćenja</w:t>
      </w:r>
      <w:r w:rsidRPr="00CA7204">
        <w:rPr>
          <w:sz w:val="22"/>
          <w:szCs w:val="22"/>
          <w:lang w:val="sr-Latn-ME"/>
        </w:rPr>
        <w:t xml:space="preserve"> studije, nije pokazala značajnu razliku između klopidogrela (5,8%) i acetilsalicilne kiseline (6,0%).</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U analizi podgrupa sačinjenih prema stanju (infarkt miokarda, ishemijski moždani udar, PAD) najveću korist od liječenja (postignuta statistička značajnost pri p=0,003) su imali pacijenti sa bolešću perifernih arterija, posebno oni koji su u anamnezi imali infarkt miokarda (RRR=23,7%; interval pouzdanosti 8,9 do 36,2), a manja korist (ne statistički značajno različita od dejstva acetilsalicilne kiseline) uočena je kod pacijenata sa moždanim udarom (RRR=7,3%; interval pouzdanosti -5,7 do 18,7 </w:t>
      </w:r>
      <w:r w:rsidR="00432F82" w:rsidRPr="00CA7204">
        <w:rPr>
          <w:sz w:val="22"/>
          <w:szCs w:val="22"/>
          <w:lang w:val="sr-Latn-ME"/>
        </w:rPr>
        <w:t>(</w:t>
      </w:r>
      <w:r w:rsidRPr="00CA7204">
        <w:rPr>
          <w:sz w:val="22"/>
          <w:szCs w:val="22"/>
          <w:lang w:val="sr-Latn-ME"/>
        </w:rPr>
        <w:t>p=0,258</w:t>
      </w:r>
      <w:r w:rsidR="00432F82" w:rsidRPr="00CA7204">
        <w:rPr>
          <w:sz w:val="22"/>
          <w:szCs w:val="22"/>
          <w:lang w:val="sr-Latn-ME"/>
        </w:rPr>
        <w:t>)</w:t>
      </w:r>
      <w:r w:rsidRPr="00CA7204">
        <w:rPr>
          <w:sz w:val="22"/>
          <w:szCs w:val="22"/>
          <w:lang w:val="sr-Latn-ME"/>
        </w:rPr>
        <w:t xml:space="preserve">). Kod pacijenata koji su u studiju uključeni samo zbog nedavnog infarkta miokarda klopidogrel se pokazao brojčano slabiji, ali se statistički nije razlikovao od acetilsalicilne kiseline (RRR=-4,0%; interval pouzdanosti -22,5 do 11,7 </w:t>
      </w:r>
      <w:r w:rsidR="00432F82" w:rsidRPr="00CA7204">
        <w:rPr>
          <w:sz w:val="22"/>
          <w:szCs w:val="22"/>
          <w:lang w:val="sr-Latn-ME"/>
        </w:rPr>
        <w:t>(</w:t>
      </w:r>
      <w:r w:rsidRPr="00CA7204">
        <w:rPr>
          <w:sz w:val="22"/>
          <w:szCs w:val="22"/>
          <w:lang w:val="sr-Latn-ME"/>
        </w:rPr>
        <w:t>p=0,639</w:t>
      </w:r>
      <w:r w:rsidR="00432F82" w:rsidRPr="00CA7204">
        <w:rPr>
          <w:sz w:val="22"/>
          <w:szCs w:val="22"/>
          <w:lang w:val="sr-Latn-ME"/>
        </w:rPr>
        <w:t>)</w:t>
      </w:r>
      <w:r w:rsidRPr="00CA7204">
        <w:rPr>
          <w:sz w:val="22"/>
          <w:szCs w:val="22"/>
          <w:lang w:val="sr-Latn-ME"/>
        </w:rPr>
        <w:t>).</w:t>
      </w: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Dodatno, analiza podgrupa prema uzrastu ukazuje da je korist od liječenja klopidogrelom manja kod pacijenata iznad 75 godina nego kod onih ≤75 godina.</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lastRenderedPageBreak/>
        <w:t>Kako klinička studija CAPRIE nije imala za cilj da procijeni efikasnost u pojedinačnim podgrupama, nije jasno da li su razlike relativnog smanjenja rizika unutar podgrupa stvarne ili su slučajan rezultat.</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i/>
          <w:iCs/>
          <w:sz w:val="22"/>
          <w:szCs w:val="22"/>
          <w:lang w:val="sr-Latn-ME"/>
        </w:rPr>
      </w:pPr>
      <w:r w:rsidRPr="00CA7204">
        <w:rPr>
          <w:i/>
          <w:iCs/>
          <w:sz w:val="22"/>
          <w:szCs w:val="22"/>
          <w:lang w:val="sr-Latn-ME"/>
        </w:rPr>
        <w:t>Akutni koronarni sindrom</w:t>
      </w: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Studija CURE je uključila 12562 pacijenta sa akutnim koronarnim sindromom bez elevacije ST-segmenta (nestabilna angina ili infarkt miokarda bez Q zupca) koji su u posljednja 24 sata imali epizodu bola u grudima ili simptome ishemije. Kriterijumi za uključivanje u studiju su bili da pacijenti imaju promjene u EKG-u povezane sa novom ishemijom ili povećane vrijednosti srčanih enzima, ili troponin I ili T barem dva puta veće od gornjeg intervala referentnih vrijednosti. Pacijenti su randomizovani u grupe koje su primale klopidogrel (udarna doza od 300 mg, a nakon toga 75 mg/dan, N=6259) ili placebo (N=6303), u oba slučaja u kombinaciji sa acetilsalicilnom kiselinom (75 do 325 mg jednom dnevno) i drugom standardnom terapijom. Pacijenti su lijek primali do jedne godine. U studiji CURE 823 (6,6%) pacijenata istovremeno je primalo antagoniste receptora GPIIb/IIIa. Heparin je primalo više od 90% pacijenata, a na relativni stepen krvarenja u grupi koja je primala klopidogrel i onoj koja je primala placebo nije značajno uticalo istovremeno liječenje heparinom.</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Broj pacijenata koji su doživjeli primarni </w:t>
      </w:r>
      <w:r w:rsidR="00720A62" w:rsidRPr="00CA7204">
        <w:rPr>
          <w:sz w:val="22"/>
          <w:szCs w:val="22"/>
          <w:lang w:val="sr-Latn-ME"/>
        </w:rPr>
        <w:t>parametar praćenja</w:t>
      </w:r>
      <w:r w:rsidRPr="00CA7204">
        <w:rPr>
          <w:sz w:val="22"/>
          <w:szCs w:val="22"/>
          <w:lang w:val="sr-Latn-ME"/>
        </w:rPr>
        <w:t xml:space="preserve"> </w:t>
      </w:r>
      <w:r w:rsidR="00432F82" w:rsidRPr="00CA7204">
        <w:rPr>
          <w:sz w:val="22"/>
          <w:szCs w:val="22"/>
          <w:lang w:val="sr-Latn-ME"/>
        </w:rPr>
        <w:t>(</w:t>
      </w:r>
      <w:r w:rsidRPr="00CA7204">
        <w:rPr>
          <w:sz w:val="22"/>
          <w:szCs w:val="22"/>
          <w:lang w:val="sr-Latn-ME"/>
        </w:rPr>
        <w:t>kardiovaskularnu smrt, infarkt miokarda ili moždani udar</w:t>
      </w:r>
      <w:r w:rsidR="00432F82" w:rsidRPr="00CA7204">
        <w:rPr>
          <w:sz w:val="22"/>
          <w:szCs w:val="22"/>
          <w:lang w:val="sr-Latn-ME"/>
        </w:rPr>
        <w:t>)</w:t>
      </w:r>
      <w:r w:rsidRPr="00CA7204">
        <w:rPr>
          <w:sz w:val="22"/>
          <w:szCs w:val="22"/>
          <w:lang w:val="sr-Latn-ME"/>
        </w:rPr>
        <w:t xml:space="preserve"> bio je 582 (9,3%) u grupi koja je primala klopidogrel i 719 (11,4%) u grupi koja je primala placebo, uz 20%-tno smanjenje relativnog rizika (95% interval pouzdanosti od 10% do 28%; p=0,00009) u grupi koja se liječila klopidogrelom (17% smanjenje relativnog rizika kod pacijenata koji su liječeni konzervativno, 29% kod liječenih pomoću PTCA sa ili bez ugradnje stenta i 10% za pacijente kojima je obavljen CABG). Novi kardiovaskularni događaji (primarni </w:t>
      </w:r>
      <w:r w:rsidR="00FC2FEE" w:rsidRPr="00CA7204">
        <w:rPr>
          <w:sz w:val="22"/>
          <w:szCs w:val="22"/>
          <w:lang w:val="sr-Latn-ME"/>
        </w:rPr>
        <w:t>parametar praćenja</w:t>
      </w:r>
      <w:r w:rsidRPr="00CA7204">
        <w:rPr>
          <w:sz w:val="22"/>
          <w:szCs w:val="22"/>
          <w:lang w:val="sr-Latn-ME"/>
        </w:rPr>
        <w:t xml:space="preserve">) su spriječeni, sa smanjenjem relativnoga rizika od 22% (interval pouzdanosti: 8,6, 33,4), 32% (interval pouzdanosti: 12,8, 46,4), 4% (interval pouzdanosti: -26,9, 26,7), 6% (interval pouzdanosti: -33,5, 34,3) i 14% (interval pouzdanosti: -31,6 i 44,2), u toku perioda od 0 do 1 mjeseca, 1 do 3 mjeseca, 3 do 6 mjeseci, 6 do 9 mjeseci, odnosno 9 do 12 mjeseci. Tako se, nakon 3 mjeseca, korist od liječenja kombinacijom klopidogrela i acetilsalicilne kiseline nije dalje povećavala, dok je opasnost od krvarenja i dalje postojala (vidjeti </w:t>
      </w:r>
      <w:r w:rsidR="00432F82" w:rsidRPr="00CA7204">
        <w:rPr>
          <w:sz w:val="22"/>
          <w:szCs w:val="22"/>
          <w:lang w:val="sr-Latn-ME"/>
        </w:rPr>
        <w:t xml:space="preserve">dio </w:t>
      </w:r>
      <w:r w:rsidRPr="00CA7204">
        <w:rPr>
          <w:sz w:val="22"/>
          <w:szCs w:val="22"/>
          <w:lang w:val="sr-Latn-ME"/>
        </w:rPr>
        <w:t>4.4.).</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Primjena klopidogrela u studiji CURE bila je povezana sa smanjenjem potrebe za trombolitičkom terapijom (RRR=43,3%; interval pouzdanosti: 24,3%, 57,5%) i inhibitorima GPIIb/IIIa (RRR=18,2%; interval pouzdanosti: 6,5%, 28,3%).</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Broj pacijenata koji je doživio ko-primarni </w:t>
      </w:r>
      <w:r w:rsidR="00FC2FEE" w:rsidRPr="00CA7204">
        <w:rPr>
          <w:sz w:val="22"/>
          <w:szCs w:val="22"/>
          <w:lang w:val="sr-Latn-ME"/>
        </w:rPr>
        <w:t>parametar praćenja</w:t>
      </w:r>
      <w:r w:rsidRPr="00CA7204">
        <w:rPr>
          <w:sz w:val="22"/>
          <w:szCs w:val="22"/>
          <w:lang w:val="sr-Latn-ME"/>
        </w:rPr>
        <w:t xml:space="preserve"> (kardiovaskularna smrt, infarkt miokarda, moždani udar ili refraktorna ishemija) bio je 1035 (16,5%) u grupi koja je primala klopidogrel, a 1187 (18,8%) u grupi koja je primala placebo, što znači smanjenje relativnog rizika od 14% (95% interval pouzdanosti: 6% do 21%, p=0,0005) u grupi koja je primala klopidogrel. Na takav efekat najviše je uticalo statistički značajno smanjenje incidence infarkta miokarda 287 (4,6%) u grupi koja je primala klopidogrel i 363 (5,8%) u grupi koja je primala placebo. Nije primijećen efekat na ponovljenu hospitalizaciju zbog nestabilne angine.</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Rezultati koji su dobijeni u populacijama sa različitim karakteristikama (npr. nestabilna angina ili infarkt miokarda bez Q zupca, nizak ili visok nivo rizika, šećerna bolest, potreba revaskularizacije, starost, pol itd.) bili su konzistentni sa rezultatima primarne analize. U tzv. </w:t>
      </w:r>
      <w:r w:rsidRPr="00CA7204">
        <w:rPr>
          <w:i/>
          <w:sz w:val="22"/>
          <w:szCs w:val="22"/>
          <w:lang w:val="sr-Latn-ME"/>
        </w:rPr>
        <w:t xml:space="preserve">post-hoc </w:t>
      </w:r>
      <w:r w:rsidRPr="00CA7204">
        <w:rPr>
          <w:sz w:val="22"/>
          <w:szCs w:val="22"/>
          <w:lang w:val="sr-Latn-ME"/>
        </w:rPr>
        <w:t xml:space="preserve">analizi u koju su bila uključena 2172 pacijenta (17% ukupne CURE populacije) koji su se podvrgli ugradnji stenta (Stent-CURE) podaci su pokazali da je klopidogrel u poređenju sa placebom pokazao značajno smanjenje relativnog rizika od 26,2% za ko-primarni </w:t>
      </w:r>
      <w:r w:rsidR="00FC2FEE" w:rsidRPr="00CA7204">
        <w:rPr>
          <w:sz w:val="22"/>
          <w:szCs w:val="22"/>
          <w:lang w:val="sr-Latn-ME"/>
        </w:rPr>
        <w:t>parametar praćenja</w:t>
      </w:r>
      <w:r w:rsidRPr="00CA7204">
        <w:rPr>
          <w:sz w:val="22"/>
          <w:szCs w:val="22"/>
          <w:lang w:val="sr-Latn-ME"/>
        </w:rPr>
        <w:t xml:space="preserve"> (kardiovaskularna smrt, infarkt miokarda, moždani udar), kao i značajno smanjenje relativnog rizika od 23,9% za drugi ko-primarni </w:t>
      </w:r>
      <w:r w:rsidR="00FC2FEE" w:rsidRPr="00CA7204">
        <w:rPr>
          <w:sz w:val="22"/>
          <w:szCs w:val="22"/>
          <w:lang w:val="sr-Latn-ME"/>
        </w:rPr>
        <w:t>parametar praćenja</w:t>
      </w:r>
      <w:r w:rsidRPr="00CA7204">
        <w:rPr>
          <w:sz w:val="22"/>
          <w:szCs w:val="22"/>
          <w:lang w:val="sr-Latn-ME"/>
        </w:rPr>
        <w:t xml:space="preserve"> (kardiovaskularna smrt, infarkt miokarda, moždani udar ili refraktorna ishemija). Osim toga, bezbjednosni profil klopidogrela nije u toj podgrupi pacijenata izazvao bilo kakvu zabrinutost.</w:t>
      </w: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Prema tome, rezultati iz te podgrupe su u skladu sa cjelokupnim rezultatima ispitivanja.</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Korist od liječenja klopidogrelom bila je nezavisna od druge akutne ili dugotrajne kardiovaskularne terapije (kao što su: heparin/heparini male molekularne težine, antagonisti GPIIb/IIIa, ljekovi za snižavanje holesterola, beta blokatori i ACE inhibitori). Efikasnost klopidogrela je bila nezavisna od doze acetilsalicilne kiseline (75 do 325 mg jedanput dnevno).</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lastRenderedPageBreak/>
        <w:t>Kod pacijenata sa elevacijom ST-segmenta kod akutnog infarkta miokarda bezbjednost primene i efikasnost klopidogrela evaluirana je u 2 randomizovane, dvostruko-slijepe, placebo kontrolisane studije: CLARITY i COMMIT.</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Studija CLARITY uključila je 3491 pacijenta, koji su unutar posljednjih 12 sati imali infarkt miokarda sa elevacijom ST-segmenta i bili su planirani za trombolitičku terapiju. Pacijenti su primali klopidogrel (prvo udarnu dozu od 300 mg, a nakon toga dozu od 75 mg na dan, N=1752) ili placebo (N=1739), oba lijeka u kombinaciji sa acetilsalicilnom kiselinom (150 do 325 mg kao udarna doza</w:t>
      </w:r>
      <w:r w:rsidR="00432F82" w:rsidRPr="00CA7204">
        <w:rPr>
          <w:sz w:val="22"/>
          <w:szCs w:val="22"/>
          <w:lang w:val="sr-Latn-ME"/>
        </w:rPr>
        <w:t>,</w:t>
      </w:r>
      <w:r w:rsidRPr="00CA7204">
        <w:rPr>
          <w:sz w:val="22"/>
          <w:szCs w:val="22"/>
          <w:lang w:val="sr-Latn-ME"/>
        </w:rPr>
        <w:t xml:space="preserve"> a nakon toga 75 do 162 mg na dan), fibrinolitik i, po potrebi, heparin. Pacijenti su praćeni 30 dana. Primarni </w:t>
      </w:r>
      <w:r w:rsidR="00FC2FEE" w:rsidRPr="00CA7204">
        <w:rPr>
          <w:sz w:val="22"/>
          <w:szCs w:val="22"/>
          <w:lang w:val="sr-Latn-ME"/>
        </w:rPr>
        <w:t>parametar praćenja</w:t>
      </w:r>
      <w:r w:rsidRPr="00CA7204">
        <w:rPr>
          <w:sz w:val="22"/>
          <w:szCs w:val="22"/>
          <w:lang w:val="sr-Latn-ME"/>
        </w:rPr>
        <w:t xml:space="preserve"> bila je pojava koju su sačinjavali okluzija arterija povezana sa infarktom na angiogramu prije otpusta, smrt, ili ponovljeni infarkt miokarda prije koronarne angiografije. Za pacijente kojima nije urađena angiografija primarni </w:t>
      </w:r>
      <w:r w:rsidR="00FC2FEE" w:rsidRPr="00CA7204">
        <w:rPr>
          <w:sz w:val="22"/>
          <w:szCs w:val="22"/>
          <w:lang w:val="sr-Latn-ME"/>
        </w:rPr>
        <w:t>parametar praćenja</w:t>
      </w:r>
      <w:r w:rsidRPr="00CA7204">
        <w:rPr>
          <w:sz w:val="22"/>
          <w:szCs w:val="22"/>
          <w:lang w:val="sr-Latn-ME"/>
        </w:rPr>
        <w:t xml:space="preserve"> bi</w:t>
      </w:r>
      <w:r w:rsidR="00432F82" w:rsidRPr="00CA7204">
        <w:rPr>
          <w:sz w:val="22"/>
          <w:szCs w:val="22"/>
          <w:lang w:val="sr-Latn-ME"/>
        </w:rPr>
        <w:t>la</w:t>
      </w:r>
      <w:r w:rsidRPr="00CA7204">
        <w:rPr>
          <w:sz w:val="22"/>
          <w:szCs w:val="22"/>
          <w:lang w:val="sr-Latn-ME"/>
        </w:rPr>
        <w:t xml:space="preserve"> je smrt ili ponovljeni infarkt miokarda do 8. dana ili do otpusta iz bolnice. Populacija pacijenata uključivala je 19,7% žena i 29,2% pacijenata ≥65 godina. Fibrinolitike je primalo 99,7% pacijenata (fibrin-specifični: 68,7%, fibrin-nespecifični: 31,1%), 89,5% heparin, 78,7% beta blokatore, 54,7% ACE inhibitore i 63% statine.</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Primarni </w:t>
      </w:r>
      <w:r w:rsidR="00FC2FEE" w:rsidRPr="00CA7204">
        <w:rPr>
          <w:sz w:val="22"/>
          <w:szCs w:val="22"/>
          <w:lang w:val="sr-Latn-ME"/>
        </w:rPr>
        <w:t>parametar praćenja</w:t>
      </w:r>
      <w:r w:rsidRPr="00CA7204">
        <w:rPr>
          <w:sz w:val="22"/>
          <w:szCs w:val="22"/>
          <w:lang w:val="sr-Latn-ME"/>
        </w:rPr>
        <w:t xml:space="preserve"> zabilježen je kod 15,0% pacijenata u grupi sa klopidogrelom i 21,7% u grupi sa placebom, što predstavlja apsolutno smanjenje od 6,7% i smanjenje izgleda (od eng. </w:t>
      </w:r>
      <w:r w:rsidRPr="00CA7204">
        <w:rPr>
          <w:i/>
          <w:sz w:val="22"/>
          <w:szCs w:val="22"/>
          <w:lang w:val="sr-Latn-ME"/>
        </w:rPr>
        <w:t>odds reduction</w:t>
      </w:r>
      <w:r w:rsidRPr="00CA7204">
        <w:rPr>
          <w:sz w:val="22"/>
          <w:szCs w:val="22"/>
          <w:lang w:val="sr-Latn-ME"/>
        </w:rPr>
        <w:t>) od 36% u korist klopidogrela (95% interval pouzdanosti: 24, 47%; p&lt;0,001), većinom povezanim sa smanjenjem okluzije arterija povezane sa infarktom. Ovaj efekat bio je prisutan u svim prethodno određenim podgrupama koje su uključivale uzrast i pol pacijenta, lokaciju infarkta i tip primijenjenog fibrinolitika ili heparina.</w:t>
      </w:r>
    </w:p>
    <w:p w:rsidR="00F171CD" w:rsidRPr="00CA7204" w:rsidRDefault="00F171CD">
      <w:pPr>
        <w:tabs>
          <w:tab w:val="left" w:pos="284"/>
        </w:tabs>
        <w:autoSpaceDE w:val="0"/>
        <w:autoSpaceDN w:val="0"/>
        <w:adjustRightInd w:val="0"/>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sz w:val="22"/>
          <w:szCs w:val="22"/>
          <w:lang w:val="sr-Latn-ME"/>
        </w:rPr>
        <w:t xml:space="preserve">COMMIT studija (2 x 2, faktorijelni dizajn) je uključila 45852 pacijenta koji su unutar posljednja 24 sata pretrpjeli simptome koji upućuju na infarkt miokarda, sa pratećim abnormalnostima EKG-a (npr. ST elevacija, ST depresija ili blok lijeve grane snopa). Pacijenti su primali klopidogrel (75 mg dnevno, n=22961) ili placebo (n=22891), u kombinaciji sa acetilsalicilnom kiselinom (162 mg dnevno), u trajanju do 28 dana ili do otpusta iz bolnice. Uz ko-primarni </w:t>
      </w:r>
      <w:r w:rsidR="00A273A1" w:rsidRPr="00CA7204">
        <w:rPr>
          <w:sz w:val="22"/>
          <w:szCs w:val="22"/>
          <w:lang w:val="sr-Latn-ME"/>
        </w:rPr>
        <w:t>parametar praćenja</w:t>
      </w:r>
      <w:r w:rsidRPr="00CA7204">
        <w:rPr>
          <w:sz w:val="22"/>
          <w:szCs w:val="22"/>
          <w:lang w:val="sr-Latn-ME"/>
        </w:rPr>
        <w:t xml:space="preserve"> bili su povezani smrt usljed bilo kojeg uzroka i prvi ponovljeni infarkt, moždani udar ili smrt. Populacija pacijenata uključivala je 27,8% žena, 58,4% pacijenata ≥60 godina (26% ≥70 godina) i 54,5% pacijenata koji su primali fibrinolitike.</w:t>
      </w:r>
    </w:p>
    <w:p w:rsidR="00F171CD" w:rsidRPr="00CA7204" w:rsidRDefault="00F171CD">
      <w:pPr>
        <w:tabs>
          <w:tab w:val="left" w:pos="284"/>
        </w:tabs>
        <w:jc w:val="both"/>
        <w:rPr>
          <w:sz w:val="22"/>
          <w:szCs w:val="22"/>
          <w:lang w:val="sr-Latn-ME"/>
        </w:rPr>
      </w:pPr>
      <w:r w:rsidRPr="00CA7204">
        <w:rPr>
          <w:sz w:val="22"/>
          <w:szCs w:val="22"/>
          <w:lang w:val="sr-Latn-ME"/>
        </w:rPr>
        <w:t>Klopidogrel je značajno smanjio relativni rizik od smrti usljed bilo kojeg uzroka za 7% (p=0,029) i relativni rizik od kombinacije ponovljenog infarkta, moždanog udara ili smrti za 9% (p=0,002), što predstavlja apsolutno smanjenje od 0,5%, odnosno 0,9%. Taj efekat je bio konzistentan u svim starosnim grupama, kod oba pola, sa ili bez primjene fibrinolitika i primijećen je unutar 24 sata.</w:t>
      </w:r>
    </w:p>
    <w:p w:rsidR="00F171CD" w:rsidRPr="00CA7204" w:rsidRDefault="00F171CD">
      <w:pPr>
        <w:tabs>
          <w:tab w:val="left" w:pos="284"/>
        </w:tabs>
        <w:jc w:val="both"/>
        <w:rPr>
          <w:bCs/>
          <w:sz w:val="22"/>
          <w:szCs w:val="22"/>
          <w:u w:val="single"/>
          <w:lang w:val="sr-Latn-ME"/>
        </w:rPr>
      </w:pPr>
    </w:p>
    <w:p w:rsidR="00F171CD" w:rsidRPr="00CA7204" w:rsidRDefault="00F171CD">
      <w:pPr>
        <w:tabs>
          <w:tab w:val="left" w:pos="284"/>
        </w:tabs>
        <w:jc w:val="both"/>
        <w:rPr>
          <w:sz w:val="22"/>
          <w:szCs w:val="22"/>
          <w:lang w:val="sr-Latn-ME"/>
        </w:rPr>
      </w:pPr>
      <w:r w:rsidRPr="00CA7204">
        <w:rPr>
          <w:sz w:val="22"/>
          <w:szCs w:val="22"/>
          <w:lang w:val="sr-Latn-ME"/>
        </w:rPr>
        <w:t>De-eskalacija P2Y</w:t>
      </w:r>
      <w:r w:rsidRPr="00CA7204">
        <w:rPr>
          <w:sz w:val="22"/>
          <w:szCs w:val="22"/>
          <w:vertAlign w:val="subscript"/>
          <w:lang w:val="sr-Latn-ME"/>
        </w:rPr>
        <w:t>12</w:t>
      </w:r>
      <w:r w:rsidRPr="00CA7204">
        <w:rPr>
          <w:sz w:val="22"/>
          <w:szCs w:val="22"/>
          <w:lang w:val="sr-Latn-ME"/>
        </w:rPr>
        <w:t xml:space="preserve"> inhibitora u akutnom koronarnom sindromu</w:t>
      </w:r>
    </w:p>
    <w:p w:rsidR="00F171CD" w:rsidRPr="00CA7204" w:rsidRDefault="00F171CD">
      <w:pPr>
        <w:tabs>
          <w:tab w:val="left" w:pos="284"/>
        </w:tabs>
        <w:jc w:val="both"/>
        <w:rPr>
          <w:sz w:val="22"/>
          <w:szCs w:val="22"/>
          <w:lang w:val="sr-Latn-ME"/>
        </w:rPr>
      </w:pPr>
      <w:r w:rsidRPr="00CA7204">
        <w:rPr>
          <w:sz w:val="22"/>
          <w:szCs w:val="22"/>
          <w:lang w:val="sr-Latn-ME"/>
        </w:rPr>
        <w:t>Zamjena snažnijeg inhibitora receptora P2Y12 klopidogrelom u kombinaciji sa aspirinom nakon akutne faze u akutnom koronarnom sindromu</w:t>
      </w:r>
      <w:r w:rsidR="00432F82" w:rsidRPr="00CA7204">
        <w:rPr>
          <w:sz w:val="22"/>
          <w:szCs w:val="22"/>
          <w:lang w:val="sr-Latn-ME"/>
        </w:rPr>
        <w:t>,</w:t>
      </w:r>
      <w:r w:rsidRPr="00CA7204">
        <w:rPr>
          <w:sz w:val="22"/>
          <w:szCs w:val="22"/>
          <w:lang w:val="sr-Latn-ME"/>
        </w:rPr>
        <w:t xml:space="preserve"> procijenjena je u dvije randomizovane studije </w:t>
      </w:r>
      <w:r w:rsidR="00A273A1" w:rsidRPr="00CA7204">
        <w:rPr>
          <w:sz w:val="22"/>
          <w:szCs w:val="22"/>
          <w:lang w:val="sr-Latn-ME"/>
        </w:rPr>
        <w:t xml:space="preserve">koje je sponzorisao istraživač </w:t>
      </w:r>
      <w:r w:rsidRPr="00CA7204">
        <w:rPr>
          <w:sz w:val="22"/>
          <w:szCs w:val="22"/>
          <w:lang w:val="sr-Latn-ME"/>
        </w:rPr>
        <w:t xml:space="preserve">(eng. </w:t>
      </w:r>
      <w:r w:rsidRPr="00CA7204">
        <w:rPr>
          <w:i/>
          <w:sz w:val="22"/>
          <w:szCs w:val="22"/>
          <w:lang w:val="sr-Latn-ME"/>
        </w:rPr>
        <w:t>investigator-sponsored studies</w:t>
      </w:r>
      <w:r w:rsidRPr="00CA7204">
        <w:rPr>
          <w:sz w:val="22"/>
          <w:szCs w:val="22"/>
          <w:lang w:val="sr-Latn-ME"/>
        </w:rPr>
        <w:t>, ISS</w:t>
      </w:r>
      <w:r w:rsidR="00A273A1" w:rsidRPr="00CA7204">
        <w:rPr>
          <w:sz w:val="22"/>
          <w:szCs w:val="22"/>
          <w:lang w:val="sr-Latn-ME"/>
        </w:rPr>
        <w:t xml:space="preserve">) </w:t>
      </w:r>
      <w:r w:rsidRPr="00CA7204">
        <w:rPr>
          <w:sz w:val="22"/>
          <w:szCs w:val="22"/>
          <w:lang w:val="sr-Latn-ME"/>
        </w:rPr>
        <w:t xml:space="preserve">-TOPIC i TROPICAL-ACS, sa kliničkim ishodom. </w:t>
      </w:r>
    </w:p>
    <w:p w:rsidR="00F171CD" w:rsidRPr="00CA7204" w:rsidRDefault="00F171CD">
      <w:pPr>
        <w:tabs>
          <w:tab w:val="left" w:pos="284"/>
        </w:tabs>
        <w:jc w:val="both"/>
        <w:rPr>
          <w:bCs/>
          <w:sz w:val="22"/>
          <w:szCs w:val="22"/>
          <w:lang w:val="sr-Latn-ME"/>
        </w:rPr>
      </w:pPr>
    </w:p>
    <w:p w:rsidR="00F171CD" w:rsidRPr="00CA7204" w:rsidRDefault="00F171CD">
      <w:pPr>
        <w:tabs>
          <w:tab w:val="left" w:pos="284"/>
        </w:tabs>
        <w:jc w:val="both"/>
        <w:rPr>
          <w:bCs/>
          <w:sz w:val="22"/>
          <w:szCs w:val="22"/>
          <w:lang w:val="sr-Latn-ME"/>
        </w:rPr>
      </w:pPr>
      <w:r w:rsidRPr="00CA7204">
        <w:rPr>
          <w:sz w:val="22"/>
          <w:szCs w:val="22"/>
          <w:lang w:val="sr-Latn-ME"/>
        </w:rPr>
        <w:t>Klinička korist obezbijeđena snažnijim inhibitorima P2Y</w:t>
      </w:r>
      <w:r w:rsidRPr="00CA7204">
        <w:rPr>
          <w:sz w:val="22"/>
          <w:szCs w:val="22"/>
          <w:vertAlign w:val="subscript"/>
          <w:lang w:val="sr-Latn-ME"/>
        </w:rPr>
        <w:t>12</w:t>
      </w:r>
      <w:r w:rsidRPr="00CA7204">
        <w:rPr>
          <w:sz w:val="22"/>
          <w:szCs w:val="22"/>
          <w:lang w:val="sr-Latn-ME"/>
        </w:rPr>
        <w:t xml:space="preserve">, tikagrelolom i prasugrelom, u pivotalnim studijama je u vezi sa značajnom redukcijom rekurentnih ishemijskih događaja (uključujući akutnu i subakutnu trombozu stenta, infarkt miokarda i urgentnu revaskularizaciju). Mada je korist za ishemiju bila konzistentna tokom prve godine, veće smanjenje u rekurentnosti ishemije nakon akutnog koronarnog sindroma je primijećeno za vrijeme prvih dana od početka terapije. Suprotno, </w:t>
      </w:r>
      <w:r w:rsidRPr="00CA7204">
        <w:rPr>
          <w:i/>
          <w:sz w:val="22"/>
          <w:szCs w:val="22"/>
          <w:lang w:val="sr-Latn-ME"/>
        </w:rPr>
        <w:t>post-hoc</w:t>
      </w:r>
      <w:r w:rsidRPr="00CA7204">
        <w:rPr>
          <w:sz w:val="22"/>
          <w:szCs w:val="22"/>
          <w:lang w:val="sr-Latn-ME"/>
        </w:rPr>
        <w:t xml:space="preserve"> analize su pokazale statistički značajno povećanje rizika od krvarenja sa snažnijim inhibitorima P2Y</w:t>
      </w:r>
      <w:r w:rsidRPr="00CA7204">
        <w:rPr>
          <w:sz w:val="22"/>
          <w:szCs w:val="22"/>
          <w:vertAlign w:val="subscript"/>
          <w:lang w:val="sr-Latn-ME"/>
        </w:rPr>
        <w:t>12</w:t>
      </w:r>
      <w:r w:rsidRPr="00CA7204">
        <w:rPr>
          <w:sz w:val="22"/>
          <w:szCs w:val="22"/>
          <w:lang w:val="sr-Latn-ME"/>
        </w:rPr>
        <w:t>, koje se pojavljuje pretežno za vrijeme faze održavanja, nakon prvog mjeseca poslije akutnog koronarnog sindroma. TOPIC i TROPICAL-ACS studije su dizajnirane da prouče kako da ublaže događaje krvarenja za vrijeme održavanja efikasnosti.</w:t>
      </w:r>
    </w:p>
    <w:p w:rsidR="00F171CD" w:rsidRPr="00CA7204" w:rsidRDefault="00F171CD">
      <w:pPr>
        <w:tabs>
          <w:tab w:val="left" w:pos="284"/>
        </w:tabs>
        <w:jc w:val="both"/>
        <w:rPr>
          <w:bCs/>
          <w:sz w:val="22"/>
          <w:szCs w:val="22"/>
          <w:lang w:val="sr-Latn-ME"/>
        </w:rPr>
      </w:pPr>
    </w:p>
    <w:p w:rsidR="00F171CD" w:rsidRPr="00CA7204" w:rsidRDefault="00F171CD">
      <w:pPr>
        <w:tabs>
          <w:tab w:val="left" w:pos="284"/>
        </w:tabs>
        <w:jc w:val="both"/>
        <w:rPr>
          <w:sz w:val="22"/>
          <w:szCs w:val="22"/>
          <w:lang w:val="sr-Latn-ME"/>
        </w:rPr>
      </w:pPr>
      <w:r w:rsidRPr="00CA7204">
        <w:rPr>
          <w:b/>
          <w:sz w:val="22"/>
          <w:szCs w:val="22"/>
          <w:lang w:val="sr-Latn-ME"/>
        </w:rPr>
        <w:t>TOPIC</w:t>
      </w:r>
      <w:r w:rsidRPr="00CA7204">
        <w:rPr>
          <w:sz w:val="22"/>
          <w:szCs w:val="22"/>
          <w:lang w:val="sr-Latn-ME"/>
        </w:rPr>
        <w:t xml:space="preserve"> (eng. </w:t>
      </w:r>
      <w:r w:rsidRPr="00CA7204">
        <w:rPr>
          <w:i/>
          <w:sz w:val="22"/>
          <w:szCs w:val="22"/>
          <w:lang w:val="sr-Latn-ME"/>
        </w:rPr>
        <w:t>Timing of Platelet Inhibition after Acute Coronary Syndrome</w:t>
      </w:r>
      <w:r w:rsidRPr="00CA7204">
        <w:rPr>
          <w:sz w:val="22"/>
          <w:szCs w:val="22"/>
          <w:lang w:val="sr-Latn-ME"/>
        </w:rPr>
        <w:t xml:space="preserve">) </w:t>
      </w:r>
    </w:p>
    <w:p w:rsidR="00F171CD" w:rsidRPr="00CA7204" w:rsidRDefault="00F171CD">
      <w:pPr>
        <w:tabs>
          <w:tab w:val="left" w:pos="284"/>
        </w:tabs>
        <w:jc w:val="both"/>
        <w:rPr>
          <w:bCs/>
          <w:sz w:val="22"/>
          <w:szCs w:val="22"/>
          <w:lang w:val="sr-Latn-ME"/>
        </w:rPr>
      </w:pPr>
      <w:r w:rsidRPr="00CA7204">
        <w:rPr>
          <w:sz w:val="22"/>
          <w:szCs w:val="22"/>
          <w:lang w:val="sr-Latn-ME"/>
        </w:rPr>
        <w:t xml:space="preserve">Randomizovana, otvorena studija uključivala je pacijente sa ACS koji su zahtijevali perkutanu koronarnu intervenciju (PCI). Pacijenti koji su primali aspirin i snažniji blokator P2Y12 i bez neželjenih događaja tokom mjesec dana su prebačeni na liječenje fiksnom dozom aspirina uz dodatak klopidogrela (de-eskalaciona dualna antitrombocitna terapija (eng. </w:t>
      </w:r>
      <w:r w:rsidRPr="00CA7204">
        <w:rPr>
          <w:i/>
          <w:sz w:val="22"/>
          <w:szCs w:val="22"/>
          <w:lang w:val="sr-Latn-ME"/>
        </w:rPr>
        <w:t>dual antiplatet therapy</w:t>
      </w:r>
      <w:r w:rsidRPr="00CA7204">
        <w:rPr>
          <w:sz w:val="22"/>
          <w:szCs w:val="22"/>
          <w:lang w:val="sr-Latn-ME"/>
        </w:rPr>
        <w:t xml:space="preserve"> – DAPT) ili je nastavljen postojeći režim liječenja (nepromijenjen DAPT).</w:t>
      </w:r>
    </w:p>
    <w:p w:rsidR="00F171CD" w:rsidRPr="00CA7204" w:rsidRDefault="00F171CD">
      <w:pPr>
        <w:tabs>
          <w:tab w:val="left" w:pos="284"/>
        </w:tabs>
        <w:jc w:val="both"/>
        <w:rPr>
          <w:bCs/>
          <w:sz w:val="22"/>
          <w:szCs w:val="22"/>
          <w:lang w:val="sr-Latn-ME"/>
        </w:rPr>
      </w:pPr>
      <w:r w:rsidRPr="00CA7204">
        <w:rPr>
          <w:sz w:val="22"/>
          <w:szCs w:val="22"/>
          <w:lang w:val="sr-Latn-ME"/>
        </w:rPr>
        <w:lastRenderedPageBreak/>
        <w:t>Ukupno je ispitano 645 od 646 pacijenata sa infarktom miokarda sa ST elevacijom (STEMI), infarktom miokarda bez ST elevacije (NSTEMI) i nestabilnom anginom (smanjeni DAPT (N=322); nepromijenjen DAPT (N=323)). Praćenje u periodu od godinu dana sprovedeno je kod 316 pacijenata (98,1%) u grupi sa de-eskaliranim DAPT-om i 318 pacijenata (98,5%) u grupi sa nepromijenjenim DAPT-om. Medijana praćenja u obje grupe je bila 359 dana. Karakteristike ispitivane kohorte bile su slične u obje grupe.</w:t>
      </w:r>
    </w:p>
    <w:p w:rsidR="00F171CD" w:rsidRPr="00CA7204" w:rsidRDefault="00F171CD">
      <w:pPr>
        <w:tabs>
          <w:tab w:val="left" w:pos="284"/>
        </w:tabs>
        <w:jc w:val="both"/>
        <w:rPr>
          <w:bCs/>
          <w:sz w:val="22"/>
          <w:szCs w:val="22"/>
          <w:lang w:val="sr-Latn-ME"/>
        </w:rPr>
      </w:pPr>
    </w:p>
    <w:p w:rsidR="00F171CD" w:rsidRPr="00CA7204" w:rsidRDefault="00F171CD">
      <w:pPr>
        <w:tabs>
          <w:tab w:val="left" w:pos="284"/>
        </w:tabs>
        <w:jc w:val="both"/>
        <w:rPr>
          <w:bCs/>
          <w:sz w:val="22"/>
          <w:szCs w:val="22"/>
          <w:lang w:val="sr-Latn-ME"/>
        </w:rPr>
      </w:pPr>
      <w:r w:rsidRPr="00CA7204">
        <w:rPr>
          <w:sz w:val="22"/>
          <w:szCs w:val="22"/>
          <w:lang w:val="sr-Latn-ME"/>
        </w:rPr>
        <w:t xml:space="preserve">Primarni parametar </w:t>
      </w:r>
      <w:r w:rsidR="00F164AA" w:rsidRPr="00CA7204">
        <w:rPr>
          <w:sz w:val="22"/>
          <w:szCs w:val="22"/>
          <w:lang w:val="sr-Latn-ME"/>
        </w:rPr>
        <w:t>praćenja</w:t>
      </w:r>
      <w:r w:rsidRPr="00CA7204">
        <w:rPr>
          <w:sz w:val="22"/>
          <w:szCs w:val="22"/>
          <w:lang w:val="sr-Latn-ME"/>
        </w:rPr>
        <w:t xml:space="preserve">, sastavljen od kardiovaskularne smrti, moždanog udara, urgentne revaskularizacije i BARC (eng. </w:t>
      </w:r>
      <w:r w:rsidRPr="00CA7204">
        <w:rPr>
          <w:i/>
          <w:sz w:val="22"/>
          <w:szCs w:val="22"/>
          <w:lang w:val="sr-Latn-ME"/>
        </w:rPr>
        <w:t>Bleeding Academic Research Consortium</w:t>
      </w:r>
      <w:r w:rsidRPr="00CA7204">
        <w:rPr>
          <w:sz w:val="22"/>
          <w:szCs w:val="22"/>
          <w:lang w:val="sr-Latn-ME"/>
        </w:rPr>
        <w:t xml:space="preserve">) krvarenja ≥2 tokom jedne godine od ACS, se desio kod 43 pacijenta (13,4%) u de-eskalacionoj DAPT grupi i kod 85 pacijenata (26,3%) u nepromijenjenoj DAPT grupi (p &lt; 0,01). Statistički značajna razlika je bila uglavnom u vidu rjeđih događaja krvarenja, bez razlike u  </w:t>
      </w:r>
      <w:r w:rsidR="00F164AA" w:rsidRPr="00CA7204">
        <w:rPr>
          <w:sz w:val="22"/>
          <w:szCs w:val="22"/>
          <w:lang w:val="sr-Latn-ME"/>
        </w:rPr>
        <w:t xml:space="preserve">parametrima praćenja </w:t>
      </w:r>
      <w:r w:rsidRPr="00CA7204">
        <w:rPr>
          <w:sz w:val="22"/>
          <w:szCs w:val="22"/>
          <w:lang w:val="sr-Latn-ME"/>
        </w:rPr>
        <w:t>koji su posljedica ishemije (p = 0,36), dok BARC kravarenja ≥2 su se javljala manje često u de-eskalacionoj DAPT grupi (4,0%), u odnosu na 14,9% u nepromijenjenoj DAPT grupi (p &lt; 0,01). Događaji krvarenja su definisani kao svi BARC koji se javljaju kod 30 pacijenata (9,3%) u de-eskalacionoj DAPT grupi i kod 76 pacijenata (23,5%) u nepromijenjenoj DAPT grupi. (p &lt; 0,01).</w:t>
      </w:r>
    </w:p>
    <w:p w:rsidR="00F171CD" w:rsidRPr="00CA7204" w:rsidRDefault="00F171CD">
      <w:pPr>
        <w:tabs>
          <w:tab w:val="left" w:pos="284"/>
        </w:tabs>
        <w:jc w:val="both"/>
        <w:rPr>
          <w:bCs/>
          <w:sz w:val="22"/>
          <w:szCs w:val="22"/>
          <w:lang w:val="sr-Latn-ME"/>
        </w:rPr>
      </w:pPr>
    </w:p>
    <w:p w:rsidR="00F171CD" w:rsidRPr="00CA7204" w:rsidRDefault="00F171CD">
      <w:pPr>
        <w:tabs>
          <w:tab w:val="left" w:pos="284"/>
        </w:tabs>
        <w:jc w:val="both"/>
        <w:rPr>
          <w:sz w:val="22"/>
          <w:szCs w:val="22"/>
          <w:lang w:val="sr-Latn-ME"/>
        </w:rPr>
      </w:pPr>
      <w:r w:rsidRPr="00CA7204">
        <w:rPr>
          <w:b/>
          <w:sz w:val="22"/>
          <w:szCs w:val="22"/>
          <w:lang w:val="sr-Latn-ME"/>
        </w:rPr>
        <w:t>TROPICAL-ACS</w:t>
      </w:r>
      <w:r w:rsidRPr="00CA7204">
        <w:rPr>
          <w:sz w:val="22"/>
          <w:szCs w:val="22"/>
          <w:lang w:val="sr-Latn-ME"/>
        </w:rPr>
        <w:t xml:space="preserve"> (eng. </w:t>
      </w:r>
      <w:r w:rsidRPr="00CA7204">
        <w:rPr>
          <w:i/>
          <w:sz w:val="22"/>
          <w:szCs w:val="22"/>
          <w:lang w:val="sr-Latn-ME"/>
        </w:rPr>
        <w:t>Testing Responsiveness to Platelet Inhibition on Chronic Antiplatelet Treatment for</w:t>
      </w:r>
      <w:r w:rsidRPr="00CA7204">
        <w:rPr>
          <w:sz w:val="22"/>
          <w:szCs w:val="22"/>
          <w:lang w:val="sr-Latn-ME"/>
        </w:rPr>
        <w:t xml:space="preserve"> </w:t>
      </w:r>
      <w:r w:rsidRPr="00CA7204">
        <w:rPr>
          <w:i/>
          <w:sz w:val="22"/>
          <w:szCs w:val="22"/>
          <w:lang w:val="sr-Latn-ME"/>
        </w:rPr>
        <w:t>Acute Coronary Syndromes)</w:t>
      </w:r>
      <w:r w:rsidRPr="00CA7204">
        <w:rPr>
          <w:sz w:val="22"/>
          <w:szCs w:val="22"/>
          <w:lang w:val="sr-Latn-ME"/>
        </w:rPr>
        <w:t xml:space="preserve"> </w:t>
      </w:r>
    </w:p>
    <w:p w:rsidR="00F171CD" w:rsidRPr="00CA7204" w:rsidRDefault="00F171CD">
      <w:pPr>
        <w:tabs>
          <w:tab w:val="left" w:pos="284"/>
        </w:tabs>
        <w:jc w:val="both"/>
        <w:rPr>
          <w:bCs/>
          <w:sz w:val="22"/>
          <w:szCs w:val="22"/>
          <w:lang w:val="sr-Latn-ME"/>
        </w:rPr>
      </w:pPr>
      <w:r w:rsidRPr="00CA7204">
        <w:rPr>
          <w:sz w:val="22"/>
          <w:szCs w:val="22"/>
          <w:lang w:val="sr-Latn-ME"/>
        </w:rPr>
        <w:t>Ova randomizovana, otvorena studija je uključivala 2610 pacijenata sa biomarker pozitivnim ACS nakon uspješne PCI. Pacijenti su randomizovano primali ili prasugrel 5 ili 10 mg/dan (0-14 dana) (n=130</w:t>
      </w:r>
      <w:r w:rsidR="007D1DDD" w:rsidRPr="00CA7204">
        <w:rPr>
          <w:sz w:val="22"/>
          <w:szCs w:val="22"/>
          <w:lang w:val="sr-Latn-ME"/>
        </w:rPr>
        <w:t>6</w:t>
      </w:r>
      <w:r w:rsidRPr="00CA7204">
        <w:rPr>
          <w:sz w:val="22"/>
          <w:szCs w:val="22"/>
          <w:lang w:val="sr-Latn-ME"/>
        </w:rPr>
        <w:t>) ili prasugrel 5 ili 10 mg/dan (0-7 dana), a zatim de-eskalacijom klopidigrel 75 mg/dan (8-14 dana) (n=130</w:t>
      </w:r>
      <w:r w:rsidR="007D1DDD" w:rsidRPr="00CA7204">
        <w:rPr>
          <w:sz w:val="22"/>
          <w:szCs w:val="22"/>
          <w:lang w:val="sr-Latn-ME"/>
        </w:rPr>
        <w:t>4</w:t>
      </w:r>
      <w:r w:rsidRPr="00CA7204">
        <w:rPr>
          <w:sz w:val="22"/>
          <w:szCs w:val="22"/>
          <w:lang w:val="sr-Latn-ME"/>
        </w:rPr>
        <w:t>), u kombinaciji sa ASK (&lt;100 mg/dan). Testiranje funkcije trombocita urađeno je 14. dana. Pacijenti liječeni samo prasugrelom su nastavili sa njegovom primjenom još 11,5 mjeseci.</w:t>
      </w:r>
    </w:p>
    <w:p w:rsidR="00F171CD" w:rsidRPr="00CA7204" w:rsidRDefault="00F171CD">
      <w:pPr>
        <w:tabs>
          <w:tab w:val="left" w:pos="284"/>
        </w:tabs>
        <w:jc w:val="both"/>
        <w:rPr>
          <w:bCs/>
          <w:sz w:val="22"/>
          <w:szCs w:val="22"/>
          <w:lang w:val="sr-Latn-ME"/>
        </w:rPr>
      </w:pPr>
    </w:p>
    <w:p w:rsidR="00F171CD" w:rsidRPr="00CA7204" w:rsidRDefault="00F171CD">
      <w:pPr>
        <w:tabs>
          <w:tab w:val="left" w:pos="284"/>
        </w:tabs>
        <w:jc w:val="both"/>
        <w:rPr>
          <w:bCs/>
          <w:sz w:val="22"/>
          <w:szCs w:val="22"/>
          <w:lang w:val="sr-Latn-ME"/>
        </w:rPr>
      </w:pPr>
      <w:r w:rsidRPr="00CA7204">
        <w:rPr>
          <w:sz w:val="22"/>
          <w:szCs w:val="22"/>
          <w:lang w:val="sr-Latn-ME"/>
        </w:rPr>
        <w:t xml:space="preserve">De-eskalacioni pacijenti su podvrgnuti testiranju visoke reaktivnosti trombocita (eng. </w:t>
      </w:r>
      <w:r w:rsidRPr="00CA7204">
        <w:rPr>
          <w:i/>
          <w:sz w:val="22"/>
          <w:szCs w:val="22"/>
          <w:lang w:val="sr-Latn-ME"/>
        </w:rPr>
        <w:t xml:space="preserve">High Platelet Reactivity </w:t>
      </w:r>
      <w:r w:rsidRPr="00CA7204">
        <w:rPr>
          <w:sz w:val="22"/>
          <w:szCs w:val="22"/>
          <w:lang w:val="sr-Latn-ME"/>
        </w:rPr>
        <w:t>– HPR). Ako je HPR≥46 jedinica, pacijenti su eskalirali nazad na prasugrel 5 ili 10 mg/dan 11,5 mjeseci; ako je HPR&lt;46 jedinica, pacijenti nastavljaju sa klopidogrelom 75 mg/dan 11,5 mjeseci. Stoga, vođeni de-eskalacijom pacijenti su primali prasugrel (40%) ili klopidogrel (60%). Svi pacijenti su nastavili sa uzimanjem acetilsalicilne kiseline i bili su praćeni tokom jedne godine.</w:t>
      </w:r>
    </w:p>
    <w:p w:rsidR="00F171CD" w:rsidRPr="00CA7204" w:rsidRDefault="00F171CD">
      <w:pPr>
        <w:tabs>
          <w:tab w:val="left" w:pos="284"/>
        </w:tabs>
        <w:jc w:val="both"/>
        <w:rPr>
          <w:bCs/>
          <w:sz w:val="22"/>
          <w:szCs w:val="22"/>
          <w:lang w:val="sr-Latn-ME"/>
        </w:rPr>
      </w:pPr>
    </w:p>
    <w:p w:rsidR="00F171CD" w:rsidRPr="00CA7204" w:rsidRDefault="00F171CD">
      <w:pPr>
        <w:tabs>
          <w:tab w:val="left" w:pos="284"/>
        </w:tabs>
        <w:jc w:val="both"/>
        <w:rPr>
          <w:bCs/>
          <w:sz w:val="22"/>
          <w:szCs w:val="22"/>
          <w:lang w:val="sr-Latn-ME"/>
        </w:rPr>
      </w:pPr>
      <w:r w:rsidRPr="00CA7204">
        <w:rPr>
          <w:sz w:val="22"/>
          <w:szCs w:val="22"/>
          <w:lang w:val="sr-Latn-ME"/>
        </w:rPr>
        <w:t xml:space="preserve">Primarni parametri </w:t>
      </w:r>
      <w:r w:rsidR="007D1DDD" w:rsidRPr="00CA7204">
        <w:rPr>
          <w:sz w:val="22"/>
          <w:szCs w:val="22"/>
          <w:lang w:val="sr-Latn-ME"/>
        </w:rPr>
        <w:t>praćenja</w:t>
      </w:r>
      <w:r w:rsidRPr="00CA7204">
        <w:rPr>
          <w:sz w:val="22"/>
          <w:szCs w:val="22"/>
          <w:lang w:val="sr-Latn-ME"/>
        </w:rPr>
        <w:t xml:space="preserve"> (kombinovana incidenca CV smrti, infarkta miokarda, moždanog udara i BARC stepena krvarenja ≥2 u 12 mjeseci) je pokazao ne-inferiornost. Jedan događaj je imalo 95 pacijenata (7%) u de-eskalacionoj grupi i 118 pacijenata (9%) u kontrolnoj grupi (p ne-inferiornost = 0,0004). Vođena de-eskalacija nije dovela do povećanja kombinovanog rizika od ishemičnih događaja (2,5% u de-eskalacionoj grupi u odnosu na 3,2% u kontrolnoj grupi; p neinferiornost =0.0115), niti glavnim sekundarnim </w:t>
      </w:r>
      <w:r w:rsidR="007D1DDD" w:rsidRPr="00CA7204">
        <w:rPr>
          <w:sz w:val="22"/>
          <w:szCs w:val="22"/>
          <w:lang w:val="sr-Latn-ME"/>
        </w:rPr>
        <w:t>parametrima praćenja</w:t>
      </w:r>
      <w:r w:rsidRPr="00CA7204">
        <w:rPr>
          <w:sz w:val="22"/>
          <w:szCs w:val="22"/>
          <w:lang w:val="sr-Latn-ME"/>
        </w:rPr>
        <w:t xml:space="preserve"> BARC stepena krvarenja ≥2 (5%) u de-eskalacionoj grupi u odnosu na 6% u kontrolnoj grupi (p = 0,23). Kumulativna incidenca svih događaja krvarenja (BARC klasa od 1 do 5) je bila 9% (114 događaja) u vođenoj de-eskalacionoj grupi, u odnosu na 11% (137 događaja) u kontrolnoj grupi (p=0,14).</w:t>
      </w:r>
    </w:p>
    <w:p w:rsidR="000831AD" w:rsidRPr="00CA7204" w:rsidRDefault="000831AD" w:rsidP="00F2401E">
      <w:pPr>
        <w:tabs>
          <w:tab w:val="left" w:pos="567"/>
        </w:tabs>
        <w:jc w:val="both"/>
        <w:rPr>
          <w:bCs/>
          <w:noProof/>
          <w:sz w:val="22"/>
          <w:szCs w:val="22"/>
          <w:u w:val="single"/>
          <w:lang w:val="sr-Latn-ME"/>
        </w:rPr>
      </w:pPr>
    </w:p>
    <w:p w:rsidR="000831AD" w:rsidRPr="00CA7204" w:rsidRDefault="00DF39EC" w:rsidP="00F2401E">
      <w:pPr>
        <w:tabs>
          <w:tab w:val="left" w:pos="567"/>
        </w:tabs>
        <w:jc w:val="both"/>
        <w:rPr>
          <w:bCs/>
          <w:noProof/>
          <w:sz w:val="22"/>
          <w:szCs w:val="22"/>
        </w:rPr>
      </w:pPr>
      <w:r w:rsidRPr="00CA7204">
        <w:rPr>
          <w:bCs/>
          <w:noProof/>
          <w:sz w:val="22"/>
          <w:szCs w:val="22"/>
          <w:u w:val="single"/>
        </w:rPr>
        <w:t>Dvojna antitrombocitna terapija u akutnom manjem ishemijskom moždanom udaru ili umjerenom do visokorizičnom prolaznom ishemijskom napadu</w:t>
      </w:r>
    </w:p>
    <w:p w:rsidR="000831AD" w:rsidRPr="00CA7204" w:rsidRDefault="000831AD" w:rsidP="00F2401E">
      <w:pPr>
        <w:tabs>
          <w:tab w:val="left" w:pos="567"/>
        </w:tabs>
        <w:jc w:val="both"/>
        <w:rPr>
          <w:bCs/>
          <w:noProof/>
          <w:sz w:val="22"/>
          <w:szCs w:val="22"/>
        </w:rPr>
      </w:pPr>
    </w:p>
    <w:p w:rsidR="000831AD" w:rsidRPr="00CA7204" w:rsidRDefault="00DF39EC" w:rsidP="00F2401E">
      <w:pPr>
        <w:tabs>
          <w:tab w:val="left" w:pos="567"/>
        </w:tabs>
        <w:jc w:val="both"/>
        <w:rPr>
          <w:bCs/>
          <w:noProof/>
          <w:sz w:val="22"/>
          <w:szCs w:val="22"/>
        </w:rPr>
      </w:pPr>
      <w:r w:rsidRPr="00CA7204">
        <w:rPr>
          <w:bCs/>
          <w:noProof/>
          <w:sz w:val="22"/>
          <w:szCs w:val="22"/>
        </w:rPr>
        <w:t>Dvojna antitrombocitna terapija s kombinacijom klopidogrela i ASK kao terapija za prevenciju moždanog udara nakon akutnog manjeg ishemijskog moždanog udara ili umjerenog do visokorizičnog prolaznog ishemijskog napada ispitana je u dvije randomizovane studije sponzorirane od strane ispitivača CHANCE i POINT, s podacima o kliničkoj sigurnosti i efikasnosti.</w:t>
      </w:r>
    </w:p>
    <w:p w:rsidR="000831AD" w:rsidRPr="00CA7204" w:rsidRDefault="000831AD" w:rsidP="00F2401E">
      <w:pPr>
        <w:tabs>
          <w:tab w:val="left" w:pos="567"/>
        </w:tabs>
        <w:jc w:val="both"/>
        <w:rPr>
          <w:bCs/>
          <w:noProof/>
          <w:sz w:val="22"/>
          <w:szCs w:val="22"/>
        </w:rPr>
      </w:pPr>
    </w:p>
    <w:p w:rsidR="000831AD" w:rsidRPr="00CA7204" w:rsidRDefault="000831AD" w:rsidP="00F2401E">
      <w:pPr>
        <w:tabs>
          <w:tab w:val="left" w:pos="567"/>
        </w:tabs>
        <w:jc w:val="both"/>
        <w:rPr>
          <w:bCs/>
          <w:noProof/>
          <w:sz w:val="22"/>
          <w:szCs w:val="22"/>
        </w:rPr>
      </w:pPr>
      <w:r w:rsidRPr="00CA7204">
        <w:rPr>
          <w:b/>
          <w:bCs/>
          <w:noProof/>
          <w:sz w:val="22"/>
          <w:szCs w:val="22"/>
        </w:rPr>
        <w:t xml:space="preserve">CHANCE </w:t>
      </w:r>
      <w:r w:rsidRPr="00CA7204">
        <w:rPr>
          <w:bCs/>
          <w:noProof/>
          <w:sz w:val="22"/>
          <w:szCs w:val="22"/>
        </w:rPr>
        <w:t>(</w:t>
      </w:r>
      <w:r w:rsidR="006E1E76" w:rsidRPr="00CA7204">
        <w:rPr>
          <w:bCs/>
          <w:noProof/>
          <w:sz w:val="22"/>
          <w:szCs w:val="22"/>
        </w:rPr>
        <w:t xml:space="preserve">engl. </w:t>
      </w:r>
      <w:r w:rsidRPr="00CA7204">
        <w:rPr>
          <w:bCs/>
          <w:i/>
          <w:noProof/>
          <w:sz w:val="22"/>
          <w:szCs w:val="22"/>
        </w:rPr>
        <w:t>Clopidogrel in High-risk patients with Acute Non-disabling Cerebrovascular Events</w:t>
      </w:r>
      <w:r w:rsidRPr="00CA7204">
        <w:rPr>
          <w:bCs/>
          <w:noProof/>
          <w:sz w:val="22"/>
          <w:szCs w:val="22"/>
        </w:rPr>
        <w:t>)</w:t>
      </w:r>
    </w:p>
    <w:p w:rsidR="000831AD" w:rsidRPr="00CA7204" w:rsidRDefault="006E1E76" w:rsidP="00F2401E">
      <w:pPr>
        <w:tabs>
          <w:tab w:val="left" w:pos="567"/>
        </w:tabs>
        <w:jc w:val="both"/>
        <w:rPr>
          <w:bCs/>
          <w:noProof/>
          <w:sz w:val="22"/>
          <w:szCs w:val="22"/>
        </w:rPr>
      </w:pPr>
      <w:r w:rsidRPr="00CA7204">
        <w:rPr>
          <w:bCs/>
          <w:noProof/>
          <w:sz w:val="22"/>
          <w:szCs w:val="22"/>
        </w:rPr>
        <w:t>Randomizovana, dvostruko slijepa, multicentrična, placebom kontrolisana kliničk</w:t>
      </w:r>
      <w:r w:rsidR="00432F82" w:rsidRPr="00CA7204">
        <w:rPr>
          <w:bCs/>
          <w:noProof/>
          <w:sz w:val="22"/>
          <w:szCs w:val="22"/>
        </w:rPr>
        <w:t>a</w:t>
      </w:r>
      <w:r w:rsidRPr="00CA7204">
        <w:rPr>
          <w:bCs/>
          <w:noProof/>
          <w:sz w:val="22"/>
          <w:szCs w:val="22"/>
        </w:rPr>
        <w:t xml:space="preserve"> studija obuhvatala je 5170 pacijenata kineskog porijekla s</w:t>
      </w:r>
      <w:r w:rsidR="00432F82" w:rsidRPr="00CA7204">
        <w:rPr>
          <w:bCs/>
          <w:noProof/>
          <w:sz w:val="22"/>
          <w:szCs w:val="22"/>
        </w:rPr>
        <w:t>a</w:t>
      </w:r>
      <w:r w:rsidRPr="00CA7204">
        <w:rPr>
          <w:bCs/>
          <w:noProof/>
          <w:sz w:val="22"/>
          <w:szCs w:val="22"/>
        </w:rPr>
        <w:t xml:space="preserve"> akutnim prolaznim ishemijskim napadom (vrijednost ABCD2 ≥4) ili akutnim manjim ishemijskim moždanim udarom (NIHSS ≤3). Pacijenti su u obje </w:t>
      </w:r>
      <w:r w:rsidR="00432F82" w:rsidRPr="00CA7204">
        <w:rPr>
          <w:bCs/>
          <w:noProof/>
          <w:sz w:val="22"/>
          <w:szCs w:val="22"/>
        </w:rPr>
        <w:t xml:space="preserve">grupe </w:t>
      </w:r>
      <w:r w:rsidRPr="00CA7204">
        <w:rPr>
          <w:bCs/>
          <w:noProof/>
          <w:sz w:val="22"/>
          <w:szCs w:val="22"/>
        </w:rPr>
        <w:t xml:space="preserve">primili ASK 1. dan (s dozom u rasponu od 75 do 300 mg, prema odluci ljekara). Pacijenti koji su nasumično raspoređeni u grupu koja je primala klopidogrel i ASK, primili su udarnu dozu klopidogrela od 300 mg 1. dan, nakon čega je slijedila doza klopidogrela od 75 mg dnevno od 2. do 90. dana, i ASK u dozi od 75 mg dnevno od </w:t>
      </w:r>
      <w:r w:rsidRPr="00CA7204">
        <w:rPr>
          <w:bCs/>
          <w:noProof/>
          <w:sz w:val="22"/>
          <w:szCs w:val="22"/>
        </w:rPr>
        <w:lastRenderedPageBreak/>
        <w:t>2. do 21. dana. Pacijenti koji su nasumično raspoređeni u grupu koja je primala samo ASK, primili su placebo oblik klopidogrela od 1. do 90. dana i ASK u dozi od 75 mg dnevno od 2. do 90. dana</w:t>
      </w:r>
    </w:p>
    <w:p w:rsidR="000831AD" w:rsidRPr="00CA7204" w:rsidRDefault="000831AD" w:rsidP="00F2401E">
      <w:pPr>
        <w:tabs>
          <w:tab w:val="left" w:pos="567"/>
        </w:tabs>
        <w:jc w:val="both"/>
        <w:rPr>
          <w:bCs/>
          <w:noProof/>
          <w:sz w:val="22"/>
          <w:szCs w:val="22"/>
        </w:rPr>
      </w:pPr>
    </w:p>
    <w:p w:rsidR="000831AD" w:rsidRPr="00CA7204" w:rsidRDefault="001A3D6C" w:rsidP="00F2401E">
      <w:pPr>
        <w:tabs>
          <w:tab w:val="left" w:pos="567"/>
        </w:tabs>
        <w:jc w:val="both"/>
        <w:rPr>
          <w:bCs/>
          <w:noProof/>
          <w:sz w:val="22"/>
          <w:szCs w:val="22"/>
        </w:rPr>
      </w:pPr>
      <w:r w:rsidRPr="00CA7204">
        <w:rPr>
          <w:bCs/>
          <w:noProof/>
          <w:sz w:val="22"/>
          <w:szCs w:val="22"/>
        </w:rPr>
        <w:t xml:space="preserve">Primarni ishod </w:t>
      </w:r>
      <w:r w:rsidR="006E49F5" w:rsidRPr="00CA7204">
        <w:rPr>
          <w:bCs/>
          <w:noProof/>
          <w:sz w:val="22"/>
          <w:szCs w:val="22"/>
        </w:rPr>
        <w:t>efikasnosti</w:t>
      </w:r>
      <w:r w:rsidRPr="00CA7204">
        <w:rPr>
          <w:bCs/>
          <w:noProof/>
          <w:sz w:val="22"/>
          <w:szCs w:val="22"/>
        </w:rPr>
        <w:t xml:space="preserve"> bio je svaki novi slučaj moždanog udara (ishemijskog ili hemoragijskog) u prvih 90 dana nakon akutnog manjeg ishemijskog moždanog udara ili visokorizičnog prolaznog ishemijskog napada. To se javilo u 212 </w:t>
      </w:r>
      <w:r w:rsidR="006E49F5" w:rsidRPr="00CA7204">
        <w:rPr>
          <w:bCs/>
          <w:noProof/>
          <w:sz w:val="22"/>
          <w:szCs w:val="22"/>
        </w:rPr>
        <w:t>pacijenata</w:t>
      </w:r>
      <w:r w:rsidRPr="00CA7204">
        <w:rPr>
          <w:bCs/>
          <w:noProof/>
          <w:sz w:val="22"/>
          <w:szCs w:val="22"/>
        </w:rPr>
        <w:t xml:space="preserve"> (8,2%) u </w:t>
      </w:r>
      <w:r w:rsidR="006E49F5" w:rsidRPr="00CA7204">
        <w:rPr>
          <w:bCs/>
          <w:noProof/>
          <w:sz w:val="22"/>
          <w:szCs w:val="22"/>
        </w:rPr>
        <w:t>grupi</w:t>
      </w:r>
      <w:r w:rsidRPr="00CA7204">
        <w:rPr>
          <w:bCs/>
          <w:noProof/>
          <w:sz w:val="22"/>
          <w:szCs w:val="22"/>
        </w:rPr>
        <w:t xml:space="preserve"> koja je primala klopidogrel i ASK u </w:t>
      </w:r>
      <w:r w:rsidR="006E49F5" w:rsidRPr="00CA7204">
        <w:rPr>
          <w:bCs/>
          <w:noProof/>
          <w:sz w:val="22"/>
          <w:szCs w:val="22"/>
        </w:rPr>
        <w:t>poređenju</w:t>
      </w:r>
      <w:r w:rsidRPr="00CA7204">
        <w:rPr>
          <w:bCs/>
          <w:noProof/>
          <w:sz w:val="22"/>
          <w:szCs w:val="22"/>
        </w:rPr>
        <w:t xml:space="preserve"> s</w:t>
      </w:r>
      <w:r w:rsidR="006E49F5" w:rsidRPr="00CA7204">
        <w:rPr>
          <w:bCs/>
          <w:noProof/>
          <w:sz w:val="22"/>
          <w:szCs w:val="22"/>
        </w:rPr>
        <w:t>a</w:t>
      </w:r>
      <w:r w:rsidRPr="00CA7204">
        <w:rPr>
          <w:bCs/>
          <w:noProof/>
          <w:sz w:val="22"/>
          <w:szCs w:val="22"/>
        </w:rPr>
        <w:t xml:space="preserve"> 303 </w:t>
      </w:r>
      <w:r w:rsidR="006E49F5" w:rsidRPr="00CA7204">
        <w:rPr>
          <w:bCs/>
          <w:noProof/>
          <w:sz w:val="22"/>
          <w:szCs w:val="22"/>
        </w:rPr>
        <w:t>pacijenta</w:t>
      </w:r>
      <w:r w:rsidRPr="00CA7204">
        <w:rPr>
          <w:bCs/>
          <w:noProof/>
          <w:sz w:val="22"/>
          <w:szCs w:val="22"/>
        </w:rPr>
        <w:t xml:space="preserve"> (11,7%) u </w:t>
      </w:r>
      <w:r w:rsidR="006E49F5" w:rsidRPr="00CA7204">
        <w:rPr>
          <w:bCs/>
          <w:noProof/>
          <w:sz w:val="22"/>
          <w:szCs w:val="22"/>
        </w:rPr>
        <w:t>grupi</w:t>
      </w:r>
      <w:r w:rsidRPr="00CA7204">
        <w:rPr>
          <w:bCs/>
          <w:noProof/>
          <w:sz w:val="22"/>
          <w:szCs w:val="22"/>
        </w:rPr>
        <w:t xml:space="preserve"> koja je primala samo ASK (</w:t>
      </w:r>
      <w:r w:rsidR="006E49F5" w:rsidRPr="00CA7204">
        <w:rPr>
          <w:bCs/>
          <w:noProof/>
          <w:sz w:val="22"/>
          <w:szCs w:val="22"/>
        </w:rPr>
        <w:t>odnos</w:t>
      </w:r>
      <w:r w:rsidRPr="00CA7204">
        <w:rPr>
          <w:bCs/>
          <w:noProof/>
          <w:sz w:val="22"/>
          <w:szCs w:val="22"/>
        </w:rPr>
        <w:t xml:space="preserve"> </w:t>
      </w:r>
      <w:r w:rsidR="007D1DDD" w:rsidRPr="00CA7204">
        <w:rPr>
          <w:bCs/>
          <w:noProof/>
          <w:sz w:val="22"/>
          <w:szCs w:val="22"/>
        </w:rPr>
        <w:t>rizika</w:t>
      </w:r>
      <w:r w:rsidRPr="00CA7204">
        <w:rPr>
          <w:bCs/>
          <w:noProof/>
          <w:sz w:val="22"/>
          <w:szCs w:val="22"/>
        </w:rPr>
        <w:t xml:space="preserve"> </w:t>
      </w:r>
      <w:r w:rsidR="00432F82" w:rsidRPr="00CA7204">
        <w:rPr>
          <w:bCs/>
          <w:noProof/>
          <w:sz w:val="22"/>
          <w:szCs w:val="22"/>
        </w:rPr>
        <w:t>(</w:t>
      </w:r>
      <w:r w:rsidRPr="00CA7204">
        <w:rPr>
          <w:bCs/>
          <w:noProof/>
          <w:sz w:val="22"/>
          <w:szCs w:val="22"/>
        </w:rPr>
        <w:t>HR</w:t>
      </w:r>
      <w:r w:rsidR="00432F82" w:rsidRPr="00CA7204">
        <w:rPr>
          <w:bCs/>
          <w:noProof/>
          <w:sz w:val="22"/>
          <w:szCs w:val="22"/>
        </w:rPr>
        <w:t>)</w:t>
      </w:r>
      <w:r w:rsidRPr="00CA7204">
        <w:rPr>
          <w:bCs/>
          <w:noProof/>
          <w:sz w:val="22"/>
          <w:szCs w:val="22"/>
        </w:rPr>
        <w:t>, 0,68; 95% CI; 0,57 do 0,81; P</w:t>
      </w:r>
      <w:r w:rsidR="006E49F5" w:rsidRPr="00CA7204">
        <w:rPr>
          <w:sz w:val="22"/>
          <w:szCs w:val="22"/>
        </w:rPr>
        <w:t xml:space="preserve"> </w:t>
      </w:r>
      <w:r w:rsidR="006E49F5" w:rsidRPr="00CA7204">
        <w:rPr>
          <w:bCs/>
          <w:noProof/>
          <w:sz w:val="22"/>
          <w:szCs w:val="22"/>
        </w:rPr>
        <w:t>&lt;0,001). Ishemijski moždani udar javio se kod 204 pacijenta (7,9%) u grupi koja je primala klopidogrel i ASK u poređenju sa 295 (11,4%) u grupi koja je primala samo ASK (HR; 0,67; 95% CI; 0,56 do 0,81; P&lt;0,001). Hemoragijski moždani udar javio se kod 8 pacijenata u obije ispitivane grupe (0,3% svake grupe). Umjereno ili teško krvarenje javilo se kod sedam pacijenata (0,3%) u grupi koja je primala klopidogrel i ASK i kod osam pacijenata (0,3%) u grupi koja je primala samo ASK (P=0,73). Učestalost bilo kojeg slučaja krvarenja iznosila je 2,3% u grupi koja je primala klopidogrel i ASK u poređenju sa 1,6% u grupi koja je primala samo ASK (HR; 1,41%; 95% CI; 0,95 do 2,10; P=0,09).</w:t>
      </w:r>
    </w:p>
    <w:p w:rsidR="000831AD" w:rsidRPr="00CA7204" w:rsidRDefault="000831AD" w:rsidP="00F2401E">
      <w:pPr>
        <w:tabs>
          <w:tab w:val="left" w:pos="567"/>
        </w:tabs>
        <w:jc w:val="both"/>
        <w:rPr>
          <w:bCs/>
          <w:noProof/>
          <w:sz w:val="22"/>
          <w:szCs w:val="22"/>
        </w:rPr>
      </w:pPr>
    </w:p>
    <w:p w:rsidR="000831AD" w:rsidRPr="00CA7204" w:rsidRDefault="000831AD" w:rsidP="00F2401E">
      <w:pPr>
        <w:tabs>
          <w:tab w:val="left" w:pos="567"/>
        </w:tabs>
        <w:jc w:val="both"/>
        <w:rPr>
          <w:bCs/>
          <w:noProof/>
          <w:sz w:val="22"/>
          <w:szCs w:val="22"/>
        </w:rPr>
      </w:pPr>
      <w:r w:rsidRPr="00CA7204">
        <w:rPr>
          <w:b/>
          <w:bCs/>
          <w:noProof/>
          <w:sz w:val="22"/>
          <w:szCs w:val="22"/>
        </w:rPr>
        <w:t xml:space="preserve">POINT </w:t>
      </w:r>
      <w:r w:rsidRPr="00CA7204">
        <w:rPr>
          <w:bCs/>
          <w:noProof/>
          <w:sz w:val="22"/>
          <w:szCs w:val="22"/>
        </w:rPr>
        <w:t>(</w:t>
      </w:r>
      <w:r w:rsidR="006E49F5" w:rsidRPr="00CA7204">
        <w:rPr>
          <w:bCs/>
          <w:noProof/>
          <w:sz w:val="22"/>
          <w:szCs w:val="22"/>
        </w:rPr>
        <w:t>engl.</w:t>
      </w:r>
      <w:r w:rsidR="006E49F5" w:rsidRPr="00CA7204">
        <w:rPr>
          <w:bCs/>
          <w:i/>
          <w:noProof/>
          <w:sz w:val="22"/>
          <w:szCs w:val="22"/>
        </w:rPr>
        <w:t xml:space="preserve"> </w:t>
      </w:r>
      <w:r w:rsidRPr="00CA7204">
        <w:rPr>
          <w:bCs/>
          <w:i/>
          <w:noProof/>
          <w:sz w:val="22"/>
          <w:szCs w:val="22"/>
        </w:rPr>
        <w:t>Platelet-Oriented Inhibition in New TIA and Minor Ischemic Stroke</w:t>
      </w:r>
      <w:r w:rsidRPr="00CA7204">
        <w:rPr>
          <w:bCs/>
          <w:noProof/>
          <w:sz w:val="22"/>
          <w:szCs w:val="22"/>
        </w:rPr>
        <w:t>)</w:t>
      </w:r>
    </w:p>
    <w:p w:rsidR="000831AD" w:rsidRPr="00CA7204" w:rsidRDefault="006E49F5" w:rsidP="00F2401E">
      <w:pPr>
        <w:tabs>
          <w:tab w:val="left" w:pos="567"/>
        </w:tabs>
        <w:jc w:val="both"/>
        <w:rPr>
          <w:bCs/>
          <w:noProof/>
          <w:sz w:val="22"/>
          <w:szCs w:val="22"/>
        </w:rPr>
      </w:pPr>
      <w:r w:rsidRPr="00CA7204">
        <w:rPr>
          <w:bCs/>
          <w:noProof/>
          <w:sz w:val="22"/>
          <w:szCs w:val="22"/>
        </w:rPr>
        <w:t>Randomizovana, dvostruko slijepa, multicentrična, placebom kontrolisana klinička studija uključila je 4881 pacijenta iz različitih država s akutnim prolaznim ishemijskim napadom (vrijednost ABCD2 ≥4) ili manjim moždanim udarom (NIHSS ≤3). Svi pacijenti iz obje grupe primili su ASK od 1. do 90. dana (50-325 mg zavisno od odluke ljekara). Pacijenti koji su nasumično raspoređeni u grupu koja je primala klopidogrel, primili su udarnu dozu klopidogrela od 600 mg 1. dan, nakon čega je slijedila doza klopidogrela od 75 mg dnevno od 2. do 90. dana. Pacijenti koji su nasumično raspoređeni u grupu koja je primala placebo, primili su placebo oblik klopidogrela od 1. do 90. dana.</w:t>
      </w:r>
    </w:p>
    <w:p w:rsidR="000831AD" w:rsidRPr="00CA7204" w:rsidRDefault="000831AD" w:rsidP="00F2401E">
      <w:pPr>
        <w:tabs>
          <w:tab w:val="left" w:pos="567"/>
        </w:tabs>
        <w:jc w:val="both"/>
        <w:rPr>
          <w:bCs/>
          <w:noProof/>
          <w:sz w:val="22"/>
          <w:szCs w:val="22"/>
        </w:rPr>
      </w:pPr>
    </w:p>
    <w:p w:rsidR="000831AD" w:rsidRPr="00CA7204" w:rsidRDefault="00B92422" w:rsidP="00F2401E">
      <w:pPr>
        <w:tabs>
          <w:tab w:val="left" w:pos="567"/>
        </w:tabs>
        <w:jc w:val="both"/>
        <w:rPr>
          <w:bCs/>
          <w:noProof/>
          <w:sz w:val="22"/>
          <w:szCs w:val="22"/>
        </w:rPr>
      </w:pPr>
      <w:r w:rsidRPr="00CA7204">
        <w:rPr>
          <w:bCs/>
          <w:noProof/>
          <w:sz w:val="22"/>
          <w:szCs w:val="22"/>
        </w:rPr>
        <w:t>Primarni ishod efikasnosti bio je komponentni i sastojao se od velikih ishemijskih događaja (ishemijski moždani udar, infarkt miokarda ili smrt zbog ishemijskog vaskularnog događaja) na dan 90. Ovo se javilo kod 121 pacijenta (5,0%) koji su primali klopidogrel i ASK u poređenju sa 160 pacijenata (6,5%) koji su primali samo ASK (HR; 0,75; 95% CI; 0,59 do 0,95; P = 0,02). Sekundarni ishod ishemijskog moždanog udara javio se kod 112 pacijenata (4,6%) koji su primali klopidogrel i ASK u poređenju sa 155 pacijenata (6,3%) koji su primali samo ASK (HR; 0,72; 95% CI; 0,56 do 0,92; P = 0,01). Primarni sigurnosni ishod velikog krvarenja javio se kod 23 od 2432 pacijenata (0,9%) koji su primali klopidogrel i ASK i kod 10 od 2449 pacijenata (0,4%) koji su primali samo ASK (HR 2,32; 95% CI, 1,10 do 4,87; P = 0,02). Manje krvarenje pojavilo se kod 40 pacijenata (1,6%) koji su dobijali klopidogrel i ASK te kod 13 pacijenata (0,5%) koji su dobijali samo ASK (HR; 3,12; 95% CI; 1,67 do 5,83; P &lt; 0,001).</w:t>
      </w:r>
    </w:p>
    <w:p w:rsidR="000831AD" w:rsidRPr="00CA7204" w:rsidRDefault="000831AD" w:rsidP="00F2401E">
      <w:pPr>
        <w:tabs>
          <w:tab w:val="left" w:pos="567"/>
        </w:tabs>
        <w:jc w:val="both"/>
        <w:rPr>
          <w:bCs/>
          <w:noProof/>
          <w:sz w:val="22"/>
          <w:szCs w:val="22"/>
        </w:rPr>
      </w:pPr>
    </w:p>
    <w:p w:rsidR="000A2A1D" w:rsidRPr="00CA7204" w:rsidRDefault="000A2A1D" w:rsidP="00F2401E">
      <w:pPr>
        <w:tabs>
          <w:tab w:val="left" w:pos="567"/>
        </w:tabs>
        <w:jc w:val="both"/>
        <w:rPr>
          <w:bCs/>
          <w:noProof/>
          <w:sz w:val="22"/>
          <w:szCs w:val="22"/>
        </w:rPr>
      </w:pPr>
      <w:r w:rsidRPr="00CA7204">
        <w:rPr>
          <w:bCs/>
          <w:noProof/>
          <w:sz w:val="22"/>
          <w:szCs w:val="22"/>
        </w:rPr>
        <w:t>Analiza vremenske raspodjele u studijama CHANCE i POINT</w:t>
      </w:r>
      <w:r w:rsidRPr="00CA7204" w:rsidDel="000A2A1D">
        <w:rPr>
          <w:bCs/>
          <w:noProof/>
          <w:sz w:val="22"/>
          <w:szCs w:val="22"/>
        </w:rPr>
        <w:t xml:space="preserve"> </w:t>
      </w:r>
    </w:p>
    <w:p w:rsidR="000831AD" w:rsidRPr="00CA7204" w:rsidRDefault="000A2A1D" w:rsidP="00F2401E">
      <w:pPr>
        <w:tabs>
          <w:tab w:val="left" w:pos="567"/>
        </w:tabs>
        <w:jc w:val="both"/>
        <w:rPr>
          <w:bCs/>
          <w:noProof/>
          <w:sz w:val="22"/>
          <w:szCs w:val="22"/>
        </w:rPr>
      </w:pPr>
      <w:r w:rsidRPr="00CA7204">
        <w:rPr>
          <w:bCs/>
          <w:noProof/>
          <w:sz w:val="22"/>
          <w:szCs w:val="22"/>
        </w:rPr>
        <w:t>Nastavljanje dvojne antitrombocitne terapije duže od 21 dan nije pokazalo korist u pogledu efikasnosti. Vremenska raspodjela velikih ishemijskih događaja i velikog krvarenja prema uvedenom liječenju napravljena je kako bi se analizirao učinak kratkoročne vremenske raspodjele dvojne antitrombocitne terapije.</w:t>
      </w:r>
    </w:p>
    <w:p w:rsidR="000831AD" w:rsidRPr="00CA7204" w:rsidRDefault="000831AD" w:rsidP="00F2401E">
      <w:pPr>
        <w:tabs>
          <w:tab w:val="left" w:pos="567"/>
        </w:tabs>
        <w:rPr>
          <w:bCs/>
          <w:noProof/>
          <w:sz w:val="22"/>
          <w:szCs w:val="22"/>
        </w:rPr>
      </w:pPr>
    </w:p>
    <w:p w:rsidR="000831AD" w:rsidRPr="00CA7204" w:rsidRDefault="000831AD" w:rsidP="00F2401E">
      <w:pPr>
        <w:tabs>
          <w:tab w:val="left" w:pos="567"/>
        </w:tabs>
        <w:rPr>
          <w:b/>
          <w:bCs/>
          <w:noProof/>
          <w:sz w:val="22"/>
          <w:szCs w:val="22"/>
        </w:rPr>
      </w:pPr>
      <w:r w:rsidRPr="00CA7204">
        <w:rPr>
          <w:b/>
          <w:bCs/>
          <w:noProof/>
          <w:sz w:val="22"/>
          <w:szCs w:val="22"/>
        </w:rPr>
        <w:t>Tab</w:t>
      </w:r>
      <w:r w:rsidR="001A317E" w:rsidRPr="00CA7204">
        <w:rPr>
          <w:b/>
          <w:bCs/>
          <w:noProof/>
          <w:sz w:val="22"/>
          <w:szCs w:val="22"/>
        </w:rPr>
        <w:t>e</w:t>
      </w:r>
      <w:r w:rsidRPr="00CA7204">
        <w:rPr>
          <w:b/>
          <w:bCs/>
          <w:noProof/>
          <w:sz w:val="22"/>
          <w:szCs w:val="22"/>
        </w:rPr>
        <w:t>l</w:t>
      </w:r>
      <w:r w:rsidR="001A317E" w:rsidRPr="00CA7204">
        <w:rPr>
          <w:b/>
          <w:bCs/>
          <w:noProof/>
          <w:sz w:val="22"/>
          <w:szCs w:val="22"/>
        </w:rPr>
        <w:t>a</w:t>
      </w:r>
      <w:r w:rsidRPr="00CA7204">
        <w:rPr>
          <w:b/>
          <w:bCs/>
          <w:noProof/>
          <w:sz w:val="22"/>
          <w:szCs w:val="22"/>
        </w:rPr>
        <w:t xml:space="preserve"> 1- </w:t>
      </w:r>
      <w:r w:rsidR="001A317E" w:rsidRPr="00CA7204">
        <w:rPr>
          <w:b/>
          <w:bCs/>
          <w:noProof/>
          <w:sz w:val="22"/>
          <w:szCs w:val="22"/>
        </w:rPr>
        <w:t xml:space="preserve">Vremenska raspodjela velikih ishemijskih događaja i velikog krvarenja prema uvedenom liječenju u studijama CHANCE i POINT </w:t>
      </w:r>
    </w:p>
    <w:tbl>
      <w:tblPr>
        <w:tblW w:w="0" w:type="auto"/>
        <w:jc w:val="center"/>
        <w:tblBorders>
          <w:insideH w:val="single" w:sz="4" w:space="0" w:color="auto"/>
        </w:tblBorders>
        <w:tblLook w:val="04A0" w:firstRow="1" w:lastRow="0" w:firstColumn="1" w:lastColumn="0" w:noHBand="0" w:noVBand="1"/>
      </w:tblPr>
      <w:tblGrid>
        <w:gridCol w:w="1752"/>
        <w:gridCol w:w="2098"/>
        <w:gridCol w:w="925"/>
        <w:gridCol w:w="1102"/>
        <w:gridCol w:w="1102"/>
        <w:gridCol w:w="1281"/>
      </w:tblGrid>
      <w:tr w:rsidR="00321DF1" w:rsidRPr="00CA7204" w:rsidTr="001A317E">
        <w:trPr>
          <w:jc w:val="center"/>
        </w:trPr>
        <w:tc>
          <w:tcPr>
            <w:tcW w:w="8147" w:type="dxa"/>
            <w:gridSpan w:val="6"/>
            <w:shd w:val="clear" w:color="auto" w:fill="auto"/>
          </w:tcPr>
          <w:p w:rsidR="000831AD" w:rsidRPr="00CA7204" w:rsidRDefault="001A317E" w:rsidP="00F2401E">
            <w:pPr>
              <w:tabs>
                <w:tab w:val="left" w:pos="567"/>
              </w:tabs>
              <w:rPr>
                <w:bCs/>
                <w:noProof/>
                <w:sz w:val="22"/>
                <w:szCs w:val="22"/>
              </w:rPr>
            </w:pPr>
            <w:r w:rsidRPr="00CA7204">
              <w:rPr>
                <w:bCs/>
                <w:noProof/>
                <w:sz w:val="22"/>
                <w:szCs w:val="22"/>
              </w:rPr>
              <w:t>Broj događaja</w:t>
            </w:r>
          </w:p>
        </w:tc>
      </w:tr>
      <w:tr w:rsidR="00321DF1" w:rsidRPr="00CA7204" w:rsidTr="001A317E">
        <w:trPr>
          <w:jc w:val="center"/>
        </w:trPr>
        <w:tc>
          <w:tcPr>
            <w:tcW w:w="1752" w:type="dxa"/>
            <w:shd w:val="clear" w:color="auto" w:fill="auto"/>
          </w:tcPr>
          <w:p w:rsidR="000831AD" w:rsidRPr="00CA7204" w:rsidRDefault="001A317E" w:rsidP="00F2401E">
            <w:pPr>
              <w:tabs>
                <w:tab w:val="left" w:pos="567"/>
              </w:tabs>
              <w:rPr>
                <w:bCs/>
                <w:noProof/>
                <w:sz w:val="22"/>
                <w:szCs w:val="22"/>
              </w:rPr>
            </w:pPr>
            <w:r w:rsidRPr="00CA7204">
              <w:rPr>
                <w:bCs/>
                <w:noProof/>
                <w:sz w:val="22"/>
                <w:szCs w:val="22"/>
              </w:rPr>
              <w:t xml:space="preserve">Ishodi u </w:t>
            </w:r>
            <w:r w:rsidR="000831AD" w:rsidRPr="00CA7204">
              <w:rPr>
                <w:bCs/>
                <w:noProof/>
                <w:sz w:val="22"/>
                <w:szCs w:val="22"/>
              </w:rPr>
              <w:t xml:space="preserve"> CHANCE </w:t>
            </w:r>
            <w:r w:rsidRPr="00CA7204">
              <w:rPr>
                <w:bCs/>
                <w:noProof/>
                <w:sz w:val="22"/>
                <w:szCs w:val="22"/>
              </w:rPr>
              <w:t>i</w:t>
            </w:r>
            <w:r w:rsidR="000831AD" w:rsidRPr="00CA7204">
              <w:rPr>
                <w:bCs/>
                <w:noProof/>
                <w:sz w:val="22"/>
                <w:szCs w:val="22"/>
              </w:rPr>
              <w:t xml:space="preserve"> POINT</w:t>
            </w:r>
            <w:r w:rsidRPr="00CA7204">
              <w:rPr>
                <w:bCs/>
                <w:noProof/>
                <w:sz w:val="22"/>
                <w:szCs w:val="22"/>
              </w:rPr>
              <w:t xml:space="preserve"> studijama</w:t>
            </w:r>
          </w:p>
        </w:tc>
        <w:tc>
          <w:tcPr>
            <w:tcW w:w="2098" w:type="dxa"/>
            <w:tcBorders>
              <w:top w:val="single" w:sz="4" w:space="0" w:color="auto"/>
              <w:bottom w:val="single" w:sz="4" w:space="0" w:color="auto"/>
            </w:tcBorders>
            <w:shd w:val="clear" w:color="auto" w:fill="auto"/>
            <w:vAlign w:val="center"/>
          </w:tcPr>
          <w:p w:rsidR="000831AD" w:rsidRPr="00CA7204" w:rsidRDefault="001A317E" w:rsidP="00F2401E">
            <w:pPr>
              <w:tabs>
                <w:tab w:val="left" w:pos="567"/>
              </w:tabs>
              <w:rPr>
                <w:bCs/>
                <w:noProof/>
                <w:sz w:val="22"/>
                <w:szCs w:val="22"/>
              </w:rPr>
            </w:pPr>
            <w:r w:rsidRPr="00CA7204">
              <w:rPr>
                <w:bCs/>
                <w:noProof/>
                <w:sz w:val="22"/>
                <w:szCs w:val="22"/>
              </w:rPr>
              <w:t>Uvedeno liječenje</w:t>
            </w:r>
          </w:p>
        </w:tc>
        <w:tc>
          <w:tcPr>
            <w:tcW w:w="925" w:type="dxa"/>
            <w:tcBorders>
              <w:top w:val="single" w:sz="4" w:space="0" w:color="auto"/>
              <w:bottom w:val="single" w:sz="4" w:space="0" w:color="auto"/>
            </w:tcBorders>
            <w:shd w:val="clear" w:color="auto" w:fill="auto"/>
            <w:vAlign w:val="center"/>
          </w:tcPr>
          <w:p w:rsidR="000831AD" w:rsidRPr="00CA7204" w:rsidRDefault="001A317E" w:rsidP="00F2401E">
            <w:pPr>
              <w:tabs>
                <w:tab w:val="left" w:pos="567"/>
              </w:tabs>
              <w:rPr>
                <w:bCs/>
                <w:noProof/>
                <w:sz w:val="22"/>
                <w:szCs w:val="22"/>
              </w:rPr>
            </w:pPr>
            <w:r w:rsidRPr="00CA7204">
              <w:rPr>
                <w:bCs/>
                <w:noProof/>
                <w:sz w:val="22"/>
                <w:szCs w:val="22"/>
              </w:rPr>
              <w:t>Ukupno</w:t>
            </w:r>
          </w:p>
        </w:tc>
        <w:tc>
          <w:tcPr>
            <w:tcW w:w="1102" w:type="dxa"/>
            <w:tcBorders>
              <w:top w:val="single" w:sz="4" w:space="0" w:color="auto"/>
              <w:bottom w:val="single" w:sz="4" w:space="0" w:color="auto"/>
            </w:tcBorders>
            <w:shd w:val="clear" w:color="auto" w:fill="auto"/>
            <w:vAlign w:val="center"/>
          </w:tcPr>
          <w:p w:rsidR="000831AD" w:rsidRPr="00CA7204" w:rsidRDefault="001A317E" w:rsidP="00F2401E">
            <w:pPr>
              <w:tabs>
                <w:tab w:val="left" w:pos="567"/>
              </w:tabs>
              <w:rPr>
                <w:bCs/>
                <w:noProof/>
                <w:sz w:val="22"/>
                <w:szCs w:val="22"/>
              </w:rPr>
            </w:pPr>
            <w:r w:rsidRPr="00CA7204">
              <w:rPr>
                <w:bCs/>
                <w:noProof/>
                <w:sz w:val="22"/>
                <w:szCs w:val="22"/>
              </w:rPr>
              <w:t>1.sedmica</w:t>
            </w:r>
          </w:p>
        </w:tc>
        <w:tc>
          <w:tcPr>
            <w:tcW w:w="989" w:type="dxa"/>
            <w:tcBorders>
              <w:top w:val="single" w:sz="4" w:space="0" w:color="auto"/>
              <w:bottom w:val="single" w:sz="4" w:space="0" w:color="auto"/>
            </w:tcBorders>
            <w:shd w:val="clear" w:color="auto" w:fill="auto"/>
            <w:vAlign w:val="center"/>
          </w:tcPr>
          <w:p w:rsidR="000831AD" w:rsidRPr="00CA7204" w:rsidRDefault="001A317E" w:rsidP="00F2401E">
            <w:pPr>
              <w:tabs>
                <w:tab w:val="left" w:pos="567"/>
              </w:tabs>
              <w:rPr>
                <w:bCs/>
                <w:noProof/>
                <w:sz w:val="22"/>
                <w:szCs w:val="22"/>
              </w:rPr>
            </w:pPr>
            <w:r w:rsidRPr="00CA7204">
              <w:rPr>
                <w:bCs/>
                <w:noProof/>
                <w:sz w:val="22"/>
                <w:szCs w:val="22"/>
              </w:rPr>
              <w:t>2.sedmica</w:t>
            </w:r>
          </w:p>
        </w:tc>
        <w:tc>
          <w:tcPr>
            <w:tcW w:w="1281" w:type="dxa"/>
            <w:tcBorders>
              <w:top w:val="single" w:sz="4" w:space="0" w:color="auto"/>
              <w:bottom w:val="single" w:sz="4" w:space="0" w:color="auto"/>
            </w:tcBorders>
            <w:shd w:val="clear" w:color="auto" w:fill="auto"/>
            <w:vAlign w:val="center"/>
          </w:tcPr>
          <w:p w:rsidR="000831AD" w:rsidRPr="00CA7204" w:rsidRDefault="001A317E" w:rsidP="00F2401E">
            <w:pPr>
              <w:tabs>
                <w:tab w:val="left" w:pos="567"/>
              </w:tabs>
              <w:rPr>
                <w:bCs/>
                <w:noProof/>
                <w:sz w:val="22"/>
                <w:szCs w:val="22"/>
              </w:rPr>
            </w:pPr>
            <w:r w:rsidRPr="00CA7204">
              <w:rPr>
                <w:bCs/>
                <w:noProof/>
                <w:sz w:val="22"/>
                <w:szCs w:val="22"/>
              </w:rPr>
              <w:t>3. sedmica</w:t>
            </w:r>
          </w:p>
        </w:tc>
      </w:tr>
      <w:tr w:rsidR="00321DF1" w:rsidRPr="00CA7204" w:rsidTr="001A317E">
        <w:trPr>
          <w:jc w:val="center"/>
        </w:trPr>
        <w:tc>
          <w:tcPr>
            <w:tcW w:w="1752" w:type="dxa"/>
            <w:vMerge w:val="restart"/>
            <w:shd w:val="clear" w:color="auto" w:fill="auto"/>
          </w:tcPr>
          <w:p w:rsidR="000831AD" w:rsidRPr="00CA7204" w:rsidRDefault="001A317E" w:rsidP="00F2401E">
            <w:pPr>
              <w:tabs>
                <w:tab w:val="left" w:pos="567"/>
              </w:tabs>
              <w:rPr>
                <w:bCs/>
                <w:noProof/>
                <w:sz w:val="22"/>
                <w:szCs w:val="22"/>
              </w:rPr>
            </w:pPr>
            <w:r w:rsidRPr="00CA7204">
              <w:rPr>
                <w:bCs/>
                <w:noProof/>
                <w:sz w:val="22"/>
                <w:szCs w:val="22"/>
              </w:rPr>
              <w:t>Veliki ishemijski događaji</w:t>
            </w:r>
          </w:p>
        </w:tc>
        <w:tc>
          <w:tcPr>
            <w:tcW w:w="2098" w:type="dxa"/>
            <w:tcBorders>
              <w:top w:val="nil"/>
              <w:bottom w:val="nil"/>
            </w:tcBorders>
            <w:shd w:val="clear" w:color="auto" w:fill="auto"/>
          </w:tcPr>
          <w:p w:rsidR="000831AD" w:rsidRPr="00CA7204" w:rsidRDefault="000831AD" w:rsidP="00F2401E">
            <w:pPr>
              <w:tabs>
                <w:tab w:val="left" w:pos="567"/>
              </w:tabs>
              <w:rPr>
                <w:bCs/>
                <w:noProof/>
                <w:sz w:val="22"/>
                <w:szCs w:val="22"/>
              </w:rPr>
            </w:pPr>
            <w:r w:rsidRPr="00CA7204">
              <w:rPr>
                <w:bCs/>
                <w:noProof/>
                <w:sz w:val="22"/>
                <w:szCs w:val="22"/>
              </w:rPr>
              <w:t>AS</w:t>
            </w:r>
            <w:r w:rsidR="001A317E" w:rsidRPr="00CA7204">
              <w:rPr>
                <w:bCs/>
                <w:noProof/>
                <w:sz w:val="22"/>
                <w:szCs w:val="22"/>
              </w:rPr>
              <w:t>K</w:t>
            </w:r>
            <w:r w:rsidRPr="00CA7204">
              <w:rPr>
                <w:bCs/>
                <w:noProof/>
                <w:sz w:val="22"/>
                <w:szCs w:val="22"/>
              </w:rPr>
              <w:t xml:space="preserve"> (n=5,035)</w:t>
            </w:r>
          </w:p>
        </w:tc>
        <w:tc>
          <w:tcPr>
            <w:tcW w:w="925"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458</w:t>
            </w:r>
          </w:p>
        </w:tc>
        <w:tc>
          <w:tcPr>
            <w:tcW w:w="1102"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330</w:t>
            </w:r>
          </w:p>
        </w:tc>
        <w:tc>
          <w:tcPr>
            <w:tcW w:w="989"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36</w:t>
            </w:r>
          </w:p>
        </w:tc>
        <w:tc>
          <w:tcPr>
            <w:tcW w:w="1281"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21</w:t>
            </w:r>
          </w:p>
        </w:tc>
      </w:tr>
      <w:tr w:rsidR="00321DF1" w:rsidRPr="00CA7204" w:rsidTr="001A317E">
        <w:trPr>
          <w:jc w:val="center"/>
        </w:trPr>
        <w:tc>
          <w:tcPr>
            <w:tcW w:w="1752" w:type="dxa"/>
            <w:vMerge/>
            <w:shd w:val="clear" w:color="auto" w:fill="auto"/>
          </w:tcPr>
          <w:p w:rsidR="000831AD" w:rsidRPr="00CA7204" w:rsidRDefault="000831AD" w:rsidP="00F2401E">
            <w:pPr>
              <w:tabs>
                <w:tab w:val="left" w:pos="567"/>
              </w:tabs>
              <w:rPr>
                <w:bCs/>
                <w:noProof/>
                <w:sz w:val="22"/>
                <w:szCs w:val="22"/>
              </w:rPr>
            </w:pPr>
          </w:p>
        </w:tc>
        <w:tc>
          <w:tcPr>
            <w:tcW w:w="2098" w:type="dxa"/>
            <w:tcBorders>
              <w:top w:val="nil"/>
              <w:bottom w:val="nil"/>
            </w:tcBorders>
            <w:shd w:val="clear" w:color="auto" w:fill="auto"/>
          </w:tcPr>
          <w:p w:rsidR="000831AD" w:rsidRPr="00CA7204" w:rsidRDefault="001A317E" w:rsidP="00F2401E">
            <w:pPr>
              <w:tabs>
                <w:tab w:val="left" w:pos="567"/>
              </w:tabs>
              <w:rPr>
                <w:bCs/>
                <w:noProof/>
                <w:sz w:val="22"/>
                <w:szCs w:val="22"/>
              </w:rPr>
            </w:pPr>
            <w:r w:rsidRPr="00CA7204">
              <w:rPr>
                <w:bCs/>
                <w:noProof/>
                <w:sz w:val="22"/>
                <w:szCs w:val="22"/>
              </w:rPr>
              <w:t>Klopidogrel</w:t>
            </w:r>
            <w:r w:rsidR="000831AD" w:rsidRPr="00CA7204">
              <w:rPr>
                <w:bCs/>
                <w:noProof/>
                <w:sz w:val="22"/>
                <w:szCs w:val="22"/>
              </w:rPr>
              <w:t>+AS</w:t>
            </w:r>
            <w:r w:rsidRPr="00CA7204">
              <w:rPr>
                <w:bCs/>
                <w:noProof/>
                <w:sz w:val="22"/>
                <w:szCs w:val="22"/>
              </w:rPr>
              <w:t>K</w:t>
            </w:r>
            <w:r w:rsidR="000831AD" w:rsidRPr="00CA7204">
              <w:rPr>
                <w:bCs/>
                <w:noProof/>
                <w:sz w:val="22"/>
                <w:szCs w:val="22"/>
              </w:rPr>
              <w:t xml:space="preserve"> (n=5,016)</w:t>
            </w:r>
          </w:p>
        </w:tc>
        <w:tc>
          <w:tcPr>
            <w:tcW w:w="925"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328</w:t>
            </w:r>
          </w:p>
        </w:tc>
        <w:tc>
          <w:tcPr>
            <w:tcW w:w="1102"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217</w:t>
            </w:r>
          </w:p>
        </w:tc>
        <w:tc>
          <w:tcPr>
            <w:tcW w:w="989"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30</w:t>
            </w:r>
          </w:p>
        </w:tc>
        <w:tc>
          <w:tcPr>
            <w:tcW w:w="1281"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14</w:t>
            </w:r>
          </w:p>
        </w:tc>
      </w:tr>
      <w:tr w:rsidR="00321DF1" w:rsidRPr="00CA7204" w:rsidTr="001A317E">
        <w:trPr>
          <w:jc w:val="center"/>
        </w:trPr>
        <w:tc>
          <w:tcPr>
            <w:tcW w:w="1752" w:type="dxa"/>
            <w:vMerge/>
            <w:tcBorders>
              <w:bottom w:val="single" w:sz="4" w:space="0" w:color="auto"/>
            </w:tcBorders>
            <w:shd w:val="clear" w:color="auto" w:fill="auto"/>
          </w:tcPr>
          <w:p w:rsidR="000831AD" w:rsidRPr="00CA7204" w:rsidRDefault="000831AD" w:rsidP="00F2401E">
            <w:pPr>
              <w:tabs>
                <w:tab w:val="left" w:pos="567"/>
              </w:tabs>
              <w:rPr>
                <w:bCs/>
                <w:noProof/>
                <w:sz w:val="22"/>
                <w:szCs w:val="22"/>
              </w:rPr>
            </w:pPr>
          </w:p>
        </w:tc>
        <w:tc>
          <w:tcPr>
            <w:tcW w:w="2098" w:type="dxa"/>
            <w:tcBorders>
              <w:top w:val="nil"/>
              <w:bottom w:val="single" w:sz="4" w:space="0" w:color="auto"/>
            </w:tcBorders>
            <w:shd w:val="clear" w:color="auto" w:fill="auto"/>
          </w:tcPr>
          <w:p w:rsidR="000831AD" w:rsidRPr="00CA7204" w:rsidRDefault="001A317E" w:rsidP="00F2401E">
            <w:pPr>
              <w:tabs>
                <w:tab w:val="left" w:pos="567"/>
              </w:tabs>
              <w:rPr>
                <w:bCs/>
                <w:noProof/>
                <w:sz w:val="22"/>
                <w:szCs w:val="22"/>
              </w:rPr>
            </w:pPr>
            <w:r w:rsidRPr="00CA7204">
              <w:rPr>
                <w:bCs/>
                <w:noProof/>
                <w:sz w:val="22"/>
                <w:szCs w:val="22"/>
              </w:rPr>
              <w:t>Razlika</w:t>
            </w:r>
          </w:p>
        </w:tc>
        <w:tc>
          <w:tcPr>
            <w:tcW w:w="925"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130</w:t>
            </w:r>
          </w:p>
        </w:tc>
        <w:tc>
          <w:tcPr>
            <w:tcW w:w="1102"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113</w:t>
            </w:r>
          </w:p>
        </w:tc>
        <w:tc>
          <w:tcPr>
            <w:tcW w:w="989"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6</w:t>
            </w:r>
          </w:p>
        </w:tc>
        <w:tc>
          <w:tcPr>
            <w:tcW w:w="1281"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7</w:t>
            </w:r>
          </w:p>
        </w:tc>
      </w:tr>
      <w:tr w:rsidR="00321DF1" w:rsidRPr="00CA7204" w:rsidTr="001A317E">
        <w:trPr>
          <w:jc w:val="center"/>
        </w:trPr>
        <w:tc>
          <w:tcPr>
            <w:tcW w:w="1752" w:type="dxa"/>
            <w:vMerge w:val="restart"/>
            <w:tcBorders>
              <w:top w:val="single" w:sz="4" w:space="0" w:color="auto"/>
              <w:bottom w:val="single" w:sz="4" w:space="0" w:color="auto"/>
            </w:tcBorders>
            <w:shd w:val="clear" w:color="auto" w:fill="auto"/>
          </w:tcPr>
          <w:p w:rsidR="000831AD" w:rsidRPr="00CA7204" w:rsidRDefault="001A317E" w:rsidP="00F2401E">
            <w:pPr>
              <w:tabs>
                <w:tab w:val="left" w:pos="567"/>
              </w:tabs>
              <w:rPr>
                <w:bCs/>
                <w:noProof/>
                <w:sz w:val="22"/>
                <w:szCs w:val="22"/>
              </w:rPr>
            </w:pPr>
            <w:r w:rsidRPr="00CA7204">
              <w:rPr>
                <w:bCs/>
                <w:noProof/>
                <w:sz w:val="22"/>
                <w:szCs w:val="22"/>
              </w:rPr>
              <w:t>Veliko krvarenje</w:t>
            </w:r>
          </w:p>
        </w:tc>
        <w:tc>
          <w:tcPr>
            <w:tcW w:w="2098" w:type="dxa"/>
            <w:tcBorders>
              <w:top w:val="single" w:sz="4" w:space="0" w:color="auto"/>
              <w:bottom w:val="nil"/>
            </w:tcBorders>
            <w:shd w:val="clear" w:color="auto" w:fill="auto"/>
          </w:tcPr>
          <w:p w:rsidR="000831AD" w:rsidRPr="00CA7204" w:rsidRDefault="000831AD" w:rsidP="00F2401E">
            <w:pPr>
              <w:tabs>
                <w:tab w:val="left" w:pos="567"/>
              </w:tabs>
              <w:rPr>
                <w:bCs/>
                <w:noProof/>
                <w:sz w:val="22"/>
                <w:szCs w:val="22"/>
              </w:rPr>
            </w:pPr>
            <w:r w:rsidRPr="00CA7204">
              <w:rPr>
                <w:bCs/>
                <w:noProof/>
                <w:sz w:val="22"/>
                <w:szCs w:val="22"/>
              </w:rPr>
              <w:t>AS</w:t>
            </w:r>
            <w:r w:rsidR="001A317E" w:rsidRPr="00CA7204">
              <w:rPr>
                <w:bCs/>
                <w:noProof/>
                <w:sz w:val="22"/>
                <w:szCs w:val="22"/>
              </w:rPr>
              <w:t>K</w:t>
            </w:r>
            <w:r w:rsidRPr="00CA7204">
              <w:rPr>
                <w:bCs/>
                <w:noProof/>
                <w:sz w:val="22"/>
                <w:szCs w:val="22"/>
              </w:rPr>
              <w:t xml:space="preserve"> (n=5,035)</w:t>
            </w:r>
          </w:p>
        </w:tc>
        <w:tc>
          <w:tcPr>
            <w:tcW w:w="925" w:type="dxa"/>
            <w:tcBorders>
              <w:top w:val="single" w:sz="4" w:space="0" w:color="auto"/>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18</w:t>
            </w:r>
          </w:p>
        </w:tc>
        <w:tc>
          <w:tcPr>
            <w:tcW w:w="1102" w:type="dxa"/>
            <w:tcBorders>
              <w:top w:val="single" w:sz="4" w:space="0" w:color="auto"/>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4</w:t>
            </w:r>
          </w:p>
        </w:tc>
        <w:tc>
          <w:tcPr>
            <w:tcW w:w="989" w:type="dxa"/>
            <w:tcBorders>
              <w:top w:val="single" w:sz="4" w:space="0" w:color="auto"/>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2</w:t>
            </w:r>
          </w:p>
        </w:tc>
        <w:tc>
          <w:tcPr>
            <w:tcW w:w="1281" w:type="dxa"/>
            <w:tcBorders>
              <w:top w:val="single" w:sz="4" w:space="0" w:color="auto"/>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w:t>
            </w:r>
          </w:p>
        </w:tc>
      </w:tr>
      <w:tr w:rsidR="00321DF1" w:rsidRPr="00CA7204" w:rsidTr="001A317E">
        <w:trPr>
          <w:jc w:val="center"/>
        </w:trPr>
        <w:tc>
          <w:tcPr>
            <w:tcW w:w="1752" w:type="dxa"/>
            <w:vMerge/>
            <w:tcBorders>
              <w:top w:val="single" w:sz="4" w:space="0" w:color="auto"/>
              <w:bottom w:val="single" w:sz="4" w:space="0" w:color="auto"/>
            </w:tcBorders>
            <w:shd w:val="clear" w:color="auto" w:fill="auto"/>
          </w:tcPr>
          <w:p w:rsidR="000831AD" w:rsidRPr="00CA7204" w:rsidRDefault="000831AD" w:rsidP="00F2401E">
            <w:pPr>
              <w:tabs>
                <w:tab w:val="left" w:pos="567"/>
              </w:tabs>
              <w:rPr>
                <w:bCs/>
                <w:noProof/>
                <w:sz w:val="22"/>
                <w:szCs w:val="22"/>
              </w:rPr>
            </w:pPr>
          </w:p>
        </w:tc>
        <w:tc>
          <w:tcPr>
            <w:tcW w:w="2098" w:type="dxa"/>
            <w:tcBorders>
              <w:top w:val="nil"/>
              <w:bottom w:val="nil"/>
            </w:tcBorders>
            <w:shd w:val="clear" w:color="auto" w:fill="auto"/>
          </w:tcPr>
          <w:p w:rsidR="000831AD" w:rsidRPr="00CA7204" w:rsidRDefault="001A317E" w:rsidP="00F2401E">
            <w:pPr>
              <w:tabs>
                <w:tab w:val="left" w:pos="567"/>
              </w:tabs>
              <w:rPr>
                <w:bCs/>
                <w:noProof/>
                <w:sz w:val="22"/>
                <w:szCs w:val="22"/>
              </w:rPr>
            </w:pPr>
            <w:r w:rsidRPr="00CA7204">
              <w:rPr>
                <w:bCs/>
                <w:noProof/>
                <w:sz w:val="22"/>
                <w:szCs w:val="22"/>
              </w:rPr>
              <w:t xml:space="preserve">Klopidogrel+ASK </w:t>
            </w:r>
            <w:r w:rsidR="000831AD" w:rsidRPr="00CA7204">
              <w:rPr>
                <w:bCs/>
                <w:noProof/>
                <w:sz w:val="22"/>
                <w:szCs w:val="22"/>
              </w:rPr>
              <w:t>(n=5,016)</w:t>
            </w:r>
          </w:p>
        </w:tc>
        <w:tc>
          <w:tcPr>
            <w:tcW w:w="925"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30</w:t>
            </w:r>
          </w:p>
        </w:tc>
        <w:tc>
          <w:tcPr>
            <w:tcW w:w="1102"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10</w:t>
            </w:r>
          </w:p>
        </w:tc>
        <w:tc>
          <w:tcPr>
            <w:tcW w:w="989"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4</w:t>
            </w:r>
          </w:p>
        </w:tc>
        <w:tc>
          <w:tcPr>
            <w:tcW w:w="1281" w:type="dxa"/>
            <w:tcBorders>
              <w:top w:val="nil"/>
              <w:bottom w:val="nil"/>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2</w:t>
            </w:r>
          </w:p>
        </w:tc>
      </w:tr>
      <w:tr w:rsidR="001A317E" w:rsidRPr="00CA7204" w:rsidTr="001A317E">
        <w:trPr>
          <w:jc w:val="center"/>
        </w:trPr>
        <w:tc>
          <w:tcPr>
            <w:tcW w:w="1752" w:type="dxa"/>
            <w:vMerge/>
            <w:tcBorders>
              <w:top w:val="single" w:sz="4" w:space="0" w:color="auto"/>
              <w:bottom w:val="single" w:sz="4" w:space="0" w:color="auto"/>
            </w:tcBorders>
            <w:shd w:val="clear" w:color="auto" w:fill="auto"/>
          </w:tcPr>
          <w:p w:rsidR="000831AD" w:rsidRPr="00CA7204" w:rsidRDefault="000831AD" w:rsidP="00F2401E">
            <w:pPr>
              <w:tabs>
                <w:tab w:val="left" w:pos="567"/>
              </w:tabs>
              <w:rPr>
                <w:bCs/>
                <w:noProof/>
                <w:sz w:val="22"/>
                <w:szCs w:val="22"/>
              </w:rPr>
            </w:pPr>
          </w:p>
        </w:tc>
        <w:tc>
          <w:tcPr>
            <w:tcW w:w="2098" w:type="dxa"/>
            <w:tcBorders>
              <w:top w:val="nil"/>
              <w:bottom w:val="single" w:sz="4" w:space="0" w:color="auto"/>
            </w:tcBorders>
            <w:shd w:val="clear" w:color="auto" w:fill="auto"/>
          </w:tcPr>
          <w:p w:rsidR="000831AD" w:rsidRPr="00CA7204" w:rsidRDefault="001A317E" w:rsidP="00F2401E">
            <w:pPr>
              <w:tabs>
                <w:tab w:val="left" w:pos="567"/>
              </w:tabs>
              <w:rPr>
                <w:bCs/>
                <w:noProof/>
                <w:sz w:val="22"/>
                <w:szCs w:val="22"/>
              </w:rPr>
            </w:pPr>
            <w:r w:rsidRPr="00CA7204">
              <w:rPr>
                <w:bCs/>
                <w:noProof/>
                <w:sz w:val="22"/>
                <w:szCs w:val="22"/>
              </w:rPr>
              <w:t>Razlika</w:t>
            </w:r>
          </w:p>
        </w:tc>
        <w:tc>
          <w:tcPr>
            <w:tcW w:w="925"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-12</w:t>
            </w:r>
          </w:p>
        </w:tc>
        <w:tc>
          <w:tcPr>
            <w:tcW w:w="1102"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-6</w:t>
            </w:r>
          </w:p>
        </w:tc>
        <w:tc>
          <w:tcPr>
            <w:tcW w:w="989"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-2</w:t>
            </w:r>
          </w:p>
        </w:tc>
        <w:tc>
          <w:tcPr>
            <w:tcW w:w="1281" w:type="dxa"/>
            <w:tcBorders>
              <w:top w:val="nil"/>
              <w:bottom w:val="single" w:sz="4" w:space="0" w:color="auto"/>
            </w:tcBorders>
            <w:shd w:val="clear" w:color="auto" w:fill="auto"/>
            <w:vAlign w:val="center"/>
          </w:tcPr>
          <w:p w:rsidR="000831AD" w:rsidRPr="00CA7204" w:rsidRDefault="000831AD" w:rsidP="00F2401E">
            <w:pPr>
              <w:tabs>
                <w:tab w:val="left" w:pos="567"/>
              </w:tabs>
              <w:rPr>
                <w:bCs/>
                <w:noProof/>
                <w:sz w:val="22"/>
                <w:szCs w:val="22"/>
              </w:rPr>
            </w:pPr>
            <w:r w:rsidRPr="00CA7204">
              <w:rPr>
                <w:bCs/>
                <w:noProof/>
                <w:sz w:val="22"/>
                <w:szCs w:val="22"/>
              </w:rPr>
              <w:t>-1</w:t>
            </w:r>
          </w:p>
        </w:tc>
      </w:tr>
    </w:tbl>
    <w:p w:rsidR="00F171CD" w:rsidRPr="00CA7204" w:rsidRDefault="00F171CD">
      <w:pPr>
        <w:tabs>
          <w:tab w:val="left" w:pos="284"/>
        </w:tabs>
        <w:jc w:val="both"/>
        <w:rPr>
          <w:i/>
          <w:sz w:val="22"/>
          <w:szCs w:val="22"/>
          <w:lang w:val="sr-Latn-ME"/>
        </w:rPr>
      </w:pPr>
      <w:r w:rsidRPr="00CA7204">
        <w:rPr>
          <w:i/>
          <w:sz w:val="22"/>
          <w:szCs w:val="22"/>
          <w:lang w:val="sr-Latn-ME"/>
        </w:rPr>
        <w:lastRenderedPageBreak/>
        <w:t>Atrijalna fibrilacija</w:t>
      </w:r>
    </w:p>
    <w:p w:rsidR="00F171CD" w:rsidRPr="00CA7204" w:rsidRDefault="00F171CD">
      <w:pPr>
        <w:tabs>
          <w:tab w:val="left" w:pos="284"/>
        </w:tabs>
        <w:jc w:val="both"/>
        <w:rPr>
          <w:sz w:val="22"/>
          <w:szCs w:val="22"/>
          <w:lang w:val="sr-Latn-ME"/>
        </w:rPr>
      </w:pPr>
      <w:r w:rsidRPr="00CA7204">
        <w:rPr>
          <w:sz w:val="22"/>
          <w:szCs w:val="22"/>
          <w:lang w:val="sr-Latn-ME"/>
        </w:rPr>
        <w:t>ACTIVE-W i ACTIVE-A studije, odvojene studije programa ACTIVE, uključile</w:t>
      </w:r>
      <w:r w:rsidR="00432F82" w:rsidRPr="00CA7204">
        <w:rPr>
          <w:sz w:val="22"/>
          <w:szCs w:val="22"/>
          <w:lang w:val="sr-Latn-ME"/>
        </w:rPr>
        <w:t xml:space="preserve"> su </w:t>
      </w:r>
      <w:r w:rsidRPr="00CA7204">
        <w:rPr>
          <w:sz w:val="22"/>
          <w:szCs w:val="22"/>
          <w:lang w:val="sr-Latn-ME"/>
        </w:rPr>
        <w:t xml:space="preserve"> pacijente sa atrijalnom fibrilacijom (AF) koji su imali bar jedan faktor rizika za vaskularne događaje. Na osnovu kriterijuma za uključivanje, ispitivači-ljekari su uključivali pacijente u ACTIVE-W ukoliko su bili kandidati za terapiju antagonistima vitamina K (kao što je varfarin). ACTIVE-A studija je uključila pacijente koji ni</w:t>
      </w:r>
      <w:r w:rsidR="009F37C2" w:rsidRPr="00CA7204">
        <w:rPr>
          <w:sz w:val="22"/>
          <w:szCs w:val="22"/>
          <w:lang w:val="sr-Latn-ME"/>
        </w:rPr>
        <w:t>je</w:t>
      </w:r>
      <w:r w:rsidRPr="00CA7204">
        <w:rPr>
          <w:sz w:val="22"/>
          <w:szCs w:val="22"/>
          <w:lang w:val="sr-Latn-ME"/>
        </w:rPr>
        <w:t>su dobijali antagoniste vitamina K zbog toga što ili ni</w:t>
      </w:r>
      <w:r w:rsidR="009F37C2" w:rsidRPr="00CA7204">
        <w:rPr>
          <w:sz w:val="22"/>
          <w:szCs w:val="22"/>
          <w:lang w:val="sr-Latn-ME"/>
        </w:rPr>
        <w:t>je</w:t>
      </w:r>
      <w:r w:rsidRPr="00CA7204">
        <w:rPr>
          <w:sz w:val="22"/>
          <w:szCs w:val="22"/>
          <w:lang w:val="sr-Latn-ME"/>
        </w:rPr>
        <w:t>su mogli ili ni</w:t>
      </w:r>
      <w:r w:rsidR="009F37C2" w:rsidRPr="00CA7204">
        <w:rPr>
          <w:sz w:val="22"/>
          <w:szCs w:val="22"/>
          <w:lang w:val="sr-Latn-ME"/>
        </w:rPr>
        <w:t>je</w:t>
      </w:r>
      <w:r w:rsidRPr="00CA7204">
        <w:rPr>
          <w:sz w:val="22"/>
          <w:szCs w:val="22"/>
          <w:lang w:val="sr-Latn-ME"/>
        </w:rPr>
        <w:t>su željeli da ih primaju.</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ACTIVE-W studija je pokazala da je antikoagulantna terapija antagonistima vitamina K bila efikasnija u odnosu na klopidogrel i ASK.</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ACTIVE-A studija (N=7554) je bila multicentrična, randomizovana, duplo-slijepa, placebo kontrolisana studija koja je uporedila klopidogrel 75 mg/dan + ASK (N=37</w:t>
      </w:r>
      <w:r w:rsidR="009F37C2" w:rsidRPr="00CA7204">
        <w:rPr>
          <w:sz w:val="22"/>
          <w:szCs w:val="22"/>
          <w:lang w:val="sr-Latn-ME"/>
        </w:rPr>
        <w:t>7</w:t>
      </w:r>
      <w:r w:rsidRPr="00CA7204">
        <w:rPr>
          <w:sz w:val="22"/>
          <w:szCs w:val="22"/>
          <w:lang w:val="sr-Latn-ME"/>
        </w:rPr>
        <w:t>2) u odnosu na placebo + ASK (N=3782). Preporučena doza za ASK je bila 75 do 100 mg/dan. Pacijenti su bili na terapiji do 5 godina.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Pacijenti randomizovani u ACTIVE program su bili oni sa dokumentovanom atrijalnom fibrilacijom, bilo permanentnom ili sa najmanje 2 epizode intermitentne AF u posljednjih 6 mjeseci, i koji su imali najmanje jedan od sljedećih faktora rizika: životna dob ≥75 godina ili od 55 do 74 godine i: dijabetes melitus koji zahtijeva farmakološku terapiju ili dokumentovani prethodni infarkt miokarda ili dokumentovanu koronarnu bolest srca ili na prethodnoj terapiji sistemske hipertenzije ili prethodni moždani udar, prolazni ishemični napad (TIA) ili ne-CNS sistemski embolus ili sa disfunkcijom lijeve komore sa ejekcionom frakcijom lijeve komore ˂45% ili dokumentovanu perifernu vaskularnu bolest. Prosječni CHADS</w:t>
      </w:r>
      <w:r w:rsidRPr="00CA7204">
        <w:rPr>
          <w:sz w:val="22"/>
          <w:szCs w:val="22"/>
          <w:vertAlign w:val="subscript"/>
          <w:lang w:val="sr-Latn-ME"/>
        </w:rPr>
        <w:t>2</w:t>
      </w:r>
      <w:r w:rsidRPr="00CA7204">
        <w:rPr>
          <w:sz w:val="22"/>
          <w:szCs w:val="22"/>
          <w:lang w:val="sr-Latn-ME"/>
        </w:rPr>
        <w:t xml:space="preserve"> skor je bio 2,0 (interval 0-6).</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Glavni kriterijumi za isključivanje pacijenata bili su dokumentovana peptička ulkusna bolest u prethodnih 6 mjeseci; stanje pred intracerebralnu hemoragiju; značajna trombocitopenija (broj trombocita ˂ 50 x 10</w:t>
      </w:r>
      <w:r w:rsidRPr="00CA7204">
        <w:rPr>
          <w:sz w:val="22"/>
          <w:szCs w:val="22"/>
          <w:vertAlign w:val="superscript"/>
          <w:lang w:val="sr-Latn-ME"/>
        </w:rPr>
        <w:t>9</w:t>
      </w:r>
      <w:r w:rsidRPr="00CA7204">
        <w:rPr>
          <w:sz w:val="22"/>
          <w:szCs w:val="22"/>
          <w:lang w:val="sr-Latn-ME"/>
        </w:rPr>
        <w:t>/</w:t>
      </w:r>
      <w:r w:rsidR="009F37C2" w:rsidRPr="00CA7204">
        <w:rPr>
          <w:sz w:val="22"/>
          <w:szCs w:val="22"/>
          <w:lang w:val="sr-Latn-ME"/>
        </w:rPr>
        <w:t>l</w:t>
      </w:r>
      <w:r w:rsidRPr="00CA7204">
        <w:rPr>
          <w:sz w:val="22"/>
          <w:szCs w:val="22"/>
          <w:lang w:val="sr-Latn-ME"/>
        </w:rPr>
        <w:t>); potreba za klopidogrelom ili oralnim antikoagulansima; ili intolerancija na bilo koji od ova dva lijeka.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Sedamdeset i tri procenta (73%) pacijenata uključenih u ACTIVE-A studiju su bili u nemogućnosti da uzimaju antagoniste vitamina K, prema procjeni ljekara ili zbog nemogućnosti da budu pod INR nadzorom, zbog predispozicije za pad/povredu glave ili zbog specifičnog rizika od krvarenja; za 26% pacijenata odluka ljekara je bila zasnovana na nemogućnosti pacijenta da uzima antagoniste vitamina K.</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Populacija pacijenata je uključivala 41,8% žena. Prosječna starost je bila 71 godina, 41,65 pacijenata je bilo starosti ≥75 godina. Ukupno 23,0% pacijenata je dobijalo anti-aritmike, 52,1% beta blokatore, 54,6% ACE inhibitore i 25,4% statine.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Broj pacijenata koji su doživjeli primarni </w:t>
      </w:r>
      <w:r w:rsidR="009F37C2" w:rsidRPr="00CA7204">
        <w:rPr>
          <w:sz w:val="22"/>
          <w:szCs w:val="22"/>
          <w:lang w:val="sr-Latn-ME"/>
        </w:rPr>
        <w:t>parametar praćenja</w:t>
      </w:r>
      <w:r w:rsidRPr="00CA7204">
        <w:rPr>
          <w:sz w:val="22"/>
          <w:szCs w:val="22"/>
          <w:lang w:val="sr-Latn-ME"/>
        </w:rPr>
        <w:t xml:space="preserve"> (vrijeme do prve pojave moždanog udara, infarkt miokarda, ne-CNS sistemski embolizam ili smrt vaskularnog por</w:t>
      </w:r>
      <w:r w:rsidR="00432F82" w:rsidRPr="00CA7204">
        <w:rPr>
          <w:sz w:val="22"/>
          <w:szCs w:val="22"/>
          <w:lang w:val="sr-Latn-ME"/>
        </w:rPr>
        <w:t>ij</w:t>
      </w:r>
      <w:r w:rsidRPr="00CA7204">
        <w:rPr>
          <w:sz w:val="22"/>
          <w:szCs w:val="22"/>
          <w:lang w:val="sr-Latn-ME"/>
        </w:rPr>
        <w:t>ekla) je bio 832 (22,1%) u grupi na klopidogrelu + ASK i 924 (24,4%) na placebu + ASA (relativno smanjenje rizika od 11,1%; 95% CI od 2,4% do 19,1%; p=0,013), primarno zbog velikog smanjenja incidence moždanih udara. Moždani udari su nastali kod 296 (7,8%) pacijenata koji su dobijali klopidogrel + ASA i 408 (10,8%) pacijenata koji su dobijali placebo + ASK (relativno smanjenje rizika, 28,4%; 95% CI, 16,8% do 38,3%, p=0,00001).</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Pedijatrijska populacija</w:t>
      </w:r>
    </w:p>
    <w:p w:rsidR="00F171CD" w:rsidRPr="00CA7204" w:rsidRDefault="00F171CD">
      <w:pPr>
        <w:tabs>
          <w:tab w:val="left" w:pos="284"/>
        </w:tabs>
        <w:jc w:val="both"/>
        <w:rPr>
          <w:sz w:val="22"/>
          <w:szCs w:val="22"/>
          <w:lang w:val="sr-Latn-ME"/>
        </w:rPr>
      </w:pPr>
      <w:r w:rsidRPr="00CA7204">
        <w:rPr>
          <w:sz w:val="22"/>
          <w:szCs w:val="22"/>
          <w:lang w:val="sr-Latn-ME"/>
        </w:rPr>
        <w:t>U studiji povećanja doza kod 86 novorođenčadi ili odojčadi do 24 mjeseca koji su bili pod rizikom od tromboze (PICOLO) dejstvo klopidogrela je procjenjivano pri dozama od 0,01, 0,1 i 0,2 mg/kg kod novorođenčadi i odojčadi i 0,15 mg/kg samo kod novorođenčadi. Doza od 0,2 mg/kg je izazivala prosječnu inhibiciju od 49,3% (5 mikroM ADP indukovanu agregaciju trombocita), što odgovara dozi od 75 mg/dan kod odraslih.</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U randomizovanoj, duplo-slijepoj studiji sa paralelnim grupama (CLARINET) uključeno je 906 pedijatrijskih pacijenata (novorođenčad i odojčad) sa cijanotičnim kongenitalnim srčanim oboljenjem i palijativno zbrinutim sistemsko-pulmonalnim arterijskim šantom i randomizovano na grupe koje su primale klopidogrel 0,2 mg/kg (n=467) ili placebo (n=439), uz konkomitantnu osnovnu terapiju do vremena drugostepene hirurške intervencije. Prosječno vrijeme između palijativne operacije (šant) i prve primjene ispitivanog lijeka je bila 20 dana. Oko 88% pacijenata je dobijalo istovremeno ASA (interval od 1 do 23 </w:t>
      </w:r>
      <w:r w:rsidRPr="00CA7204">
        <w:rPr>
          <w:sz w:val="22"/>
          <w:szCs w:val="22"/>
          <w:lang w:val="sr-Latn-ME"/>
        </w:rPr>
        <w:lastRenderedPageBreak/>
        <w:t xml:space="preserve">mg/kg/dan). Nije bilo značajne razlike između grupa po pitanju primarnog kombinovanog </w:t>
      </w:r>
      <w:r w:rsidR="00F12A8F" w:rsidRPr="00CA7204">
        <w:rPr>
          <w:sz w:val="22"/>
          <w:szCs w:val="22"/>
          <w:lang w:val="sr-Latn-ME"/>
        </w:rPr>
        <w:t>parametra praćenja</w:t>
      </w:r>
      <w:r w:rsidRPr="00CA7204">
        <w:rPr>
          <w:sz w:val="22"/>
          <w:szCs w:val="22"/>
          <w:lang w:val="sr-Latn-ME"/>
        </w:rPr>
        <w:t xml:space="preserve"> koji se sastojao od: smrtnog ishoda, tromboze šanta ili intervencije na srcu prije isteka 120 dana od tromboembolijskog događaja, 89 (19,1%) u grupi na klopidogrelu i 90 (20,5%) u grupi na placebu (vidjeti </w:t>
      </w:r>
      <w:r w:rsidR="00432F82" w:rsidRPr="00CA7204">
        <w:rPr>
          <w:sz w:val="22"/>
          <w:szCs w:val="22"/>
          <w:lang w:val="sr-Latn-ME"/>
        </w:rPr>
        <w:t xml:space="preserve">dio </w:t>
      </w:r>
      <w:r w:rsidRPr="00CA7204">
        <w:rPr>
          <w:sz w:val="22"/>
          <w:szCs w:val="22"/>
          <w:lang w:val="sr-Latn-ME"/>
        </w:rPr>
        <w:t>4.2). Krvarenje je bilo najčešće prijavljivana neželjena reakcija u obje grupe (klopidogrel i placebo), međutim, nije bilo značajne razlike u učestalosti krvarenja između grupa. Tokom dugotrajnog praćenja bezbjednosti ove studije 26 pacijenata sa postojećim šantom i uzrastom od godinu dana je dobijalo klopidogrel do uzrasta od 18 meseci. Tokom ovog dugotrajnog praćenja nije bilo novih bezbjednosnih razmatranja.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CLARINET i PICOLO studije su sprovedene primjenom rekonstituisanog rastvora klopidogrela. U studiji relativne bioraspoloživosti kod odraslih rekonstituisani rastvor klopidogrela je pokazao sličan ukupan obim a neznatno veću brzinu resorpcije glavnog (neaktivnog metabolita) u cirkulaciji u odnosu na film tabletu.</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5.2.  Farmakokinetički podaci</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Resorpcija</w:t>
      </w:r>
    </w:p>
    <w:p w:rsidR="00F171CD" w:rsidRPr="00CA7204" w:rsidRDefault="00F171CD">
      <w:pPr>
        <w:tabs>
          <w:tab w:val="left" w:pos="284"/>
        </w:tabs>
        <w:jc w:val="both"/>
        <w:rPr>
          <w:sz w:val="22"/>
          <w:szCs w:val="22"/>
          <w:lang w:val="sr-Latn-ME"/>
        </w:rPr>
      </w:pPr>
      <w:r w:rsidRPr="00CA7204">
        <w:rPr>
          <w:sz w:val="22"/>
          <w:szCs w:val="22"/>
          <w:lang w:val="sr-Latn-ME"/>
        </w:rPr>
        <w:t>Nakon pojedinačne i ponovljene primjene lijeka (peroralne doze od 75 mg dnevno), klopidogrel se brzo resorbuje. Srednja vrijednost maksimalne koncentracije osnovnog (nemetabolisanog) lijeka u plazmi (2,2-2,5 nanogram/ml) postiže se za približno 45 minuta od primjene lijeka. Resorpcija iznosi najmanje 50%, procijenjeno</w:t>
      </w:r>
      <w:r w:rsidR="00432F82" w:rsidRPr="00CA7204">
        <w:rPr>
          <w:sz w:val="22"/>
          <w:szCs w:val="22"/>
          <w:lang w:val="sr-Latn-ME"/>
        </w:rPr>
        <w:t xml:space="preserve"> je </w:t>
      </w:r>
      <w:r w:rsidRPr="00CA7204">
        <w:rPr>
          <w:sz w:val="22"/>
          <w:szCs w:val="22"/>
          <w:lang w:val="sr-Latn-ME"/>
        </w:rPr>
        <w:t xml:space="preserve"> na osnovu izlučivanja metabolita klopidogrela putem urina.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Distribucija</w:t>
      </w:r>
    </w:p>
    <w:p w:rsidR="00F171CD" w:rsidRPr="00CA7204" w:rsidRDefault="00F171CD">
      <w:pPr>
        <w:tabs>
          <w:tab w:val="left" w:pos="284"/>
        </w:tabs>
        <w:jc w:val="both"/>
        <w:rPr>
          <w:sz w:val="22"/>
          <w:szCs w:val="22"/>
          <w:lang w:val="sr-Latn-ME"/>
        </w:rPr>
      </w:pPr>
      <w:r w:rsidRPr="00CA7204">
        <w:rPr>
          <w:sz w:val="22"/>
          <w:szCs w:val="22"/>
          <w:lang w:val="sr-Latn-ME"/>
        </w:rPr>
        <w:t xml:space="preserve">Klopidogrel i glavni cirkulišući (neaktivni) metabolit se vezuju reverzibilno </w:t>
      </w:r>
      <w:r w:rsidRPr="00CA7204">
        <w:rPr>
          <w:i/>
          <w:sz w:val="22"/>
          <w:szCs w:val="22"/>
          <w:lang w:val="sr-Latn-ME"/>
        </w:rPr>
        <w:t xml:space="preserve">in vitro </w:t>
      </w:r>
      <w:r w:rsidRPr="00CA7204">
        <w:rPr>
          <w:sz w:val="22"/>
          <w:szCs w:val="22"/>
          <w:lang w:val="sr-Latn-ME"/>
        </w:rPr>
        <w:t xml:space="preserve">za proteine u humanoj plazmi (98%, odnosno 94%). Saturacija vezivanja za proteine plazme se ne postiže </w:t>
      </w:r>
      <w:r w:rsidRPr="00CA7204">
        <w:rPr>
          <w:i/>
          <w:sz w:val="22"/>
          <w:szCs w:val="22"/>
          <w:lang w:val="sr-Latn-ME"/>
        </w:rPr>
        <w:t xml:space="preserve">in vitro </w:t>
      </w:r>
      <w:r w:rsidRPr="00CA7204">
        <w:rPr>
          <w:sz w:val="22"/>
          <w:szCs w:val="22"/>
          <w:lang w:val="sr-Latn-ME"/>
        </w:rPr>
        <w:t>u širokom rasponu koncentracija.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Metabolizam</w:t>
      </w:r>
    </w:p>
    <w:p w:rsidR="00F171CD" w:rsidRPr="00CA7204" w:rsidRDefault="00F171CD">
      <w:pPr>
        <w:tabs>
          <w:tab w:val="left" w:pos="284"/>
        </w:tabs>
        <w:jc w:val="both"/>
        <w:rPr>
          <w:sz w:val="22"/>
          <w:szCs w:val="22"/>
          <w:lang w:val="sr-Latn-ME"/>
        </w:rPr>
      </w:pPr>
      <w:r w:rsidRPr="00CA7204">
        <w:rPr>
          <w:sz w:val="22"/>
          <w:szCs w:val="22"/>
          <w:lang w:val="sr-Latn-ME"/>
        </w:rPr>
        <w:t xml:space="preserve">Klopidogrel se ekstenzivno metaboliše u jetri. </w:t>
      </w:r>
      <w:r w:rsidRPr="00CA7204">
        <w:rPr>
          <w:i/>
          <w:sz w:val="22"/>
          <w:szCs w:val="22"/>
          <w:lang w:val="sr-Latn-ME"/>
        </w:rPr>
        <w:t xml:space="preserve">In vitro </w:t>
      </w:r>
      <w:r w:rsidRPr="00CA7204">
        <w:rPr>
          <w:sz w:val="22"/>
          <w:szCs w:val="22"/>
          <w:lang w:val="sr-Latn-ME"/>
        </w:rPr>
        <w:t xml:space="preserve">i </w:t>
      </w:r>
      <w:r w:rsidRPr="00CA7204">
        <w:rPr>
          <w:i/>
          <w:sz w:val="22"/>
          <w:szCs w:val="22"/>
          <w:lang w:val="sr-Latn-ME"/>
        </w:rPr>
        <w:t xml:space="preserve">in vivo, </w:t>
      </w:r>
      <w:r w:rsidRPr="00CA7204">
        <w:rPr>
          <w:sz w:val="22"/>
          <w:szCs w:val="22"/>
          <w:lang w:val="sr-Latn-ME"/>
        </w:rPr>
        <w:t>klopidogrel se metaboliše preko dva metabolička puta: 1) posredovan esterazom dovodi do hidrolize u neaktivan derivat karboksilne kiseline i čini 85% cirkulišućih metabolita; 2) posredovan sa više enzima iz grupe citohroma CYP 450 sistema.</w:t>
      </w:r>
    </w:p>
    <w:p w:rsidR="003176CC" w:rsidRPr="00CA7204" w:rsidRDefault="00F171CD">
      <w:pPr>
        <w:tabs>
          <w:tab w:val="left" w:pos="284"/>
        </w:tabs>
        <w:jc w:val="both"/>
        <w:rPr>
          <w:sz w:val="22"/>
          <w:szCs w:val="22"/>
          <w:lang w:val="sr-Latn-ME"/>
        </w:rPr>
      </w:pPr>
      <w:r w:rsidRPr="00CA7204">
        <w:rPr>
          <w:sz w:val="22"/>
          <w:szCs w:val="22"/>
          <w:lang w:val="sr-Latn-ME"/>
        </w:rPr>
        <w:t>Klopidogrel se najprije metaboliše do 2-okso-klopidogrel</w:t>
      </w:r>
      <w:r w:rsidR="00F12A8F" w:rsidRPr="00CA7204">
        <w:rPr>
          <w:sz w:val="22"/>
          <w:szCs w:val="22"/>
          <w:lang w:val="sr-Latn-ME"/>
        </w:rPr>
        <w:t>a,</w:t>
      </w:r>
      <w:r w:rsidRPr="00CA7204">
        <w:rPr>
          <w:sz w:val="22"/>
          <w:szCs w:val="22"/>
          <w:lang w:val="sr-Latn-ME"/>
        </w:rPr>
        <w:t xml:space="preserve"> intermedijarnog metabolita. Dalji metabolizam 2-okso-klopidogrel intermedijarnog metabolita dovodi do stvaranja aktivnog metabolita, tiol derivata klopidogrela. </w:t>
      </w:r>
      <w:r w:rsidR="003176CC" w:rsidRPr="00CA7204">
        <w:rPr>
          <w:sz w:val="22"/>
          <w:szCs w:val="22"/>
          <w:lang w:val="sr-Latn-ME"/>
        </w:rPr>
        <w:t xml:space="preserve">Aktivni metabolit nastaje uglavnom, putem CYP2C19 uz djelovanje nekoliko drugih CYP enzima, uključujući CYP1A2, CYP2B6 i CYP3A4. Aktivni tiolni derivat, koji je izolovan </w:t>
      </w:r>
      <w:r w:rsidR="003176CC" w:rsidRPr="00CA7204">
        <w:rPr>
          <w:i/>
          <w:sz w:val="22"/>
          <w:szCs w:val="22"/>
          <w:lang w:val="sr-Latn-ME"/>
        </w:rPr>
        <w:t>in vitro</w:t>
      </w:r>
      <w:r w:rsidR="003176CC" w:rsidRPr="00CA7204">
        <w:rPr>
          <w:sz w:val="22"/>
          <w:szCs w:val="22"/>
          <w:lang w:val="sr-Latn-ME"/>
        </w:rPr>
        <w:t>, brzo i ireverzibilno se vezuje za receptore na trombocitima i na taj način inhibira agregaciju trombocita.</w:t>
      </w:r>
    </w:p>
    <w:p w:rsidR="003176CC" w:rsidRPr="00CA7204" w:rsidRDefault="003176CC">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Vrijednost C</w:t>
      </w:r>
      <w:r w:rsidRPr="00CA7204">
        <w:rPr>
          <w:sz w:val="22"/>
          <w:szCs w:val="22"/>
          <w:vertAlign w:val="subscript"/>
          <w:lang w:val="sr-Latn-ME"/>
        </w:rPr>
        <w:t xml:space="preserve">max </w:t>
      </w:r>
      <w:r w:rsidRPr="00CA7204">
        <w:rPr>
          <w:sz w:val="22"/>
          <w:szCs w:val="22"/>
          <w:lang w:val="sr-Latn-ME"/>
        </w:rPr>
        <w:t>aktivnog metabolita je dva puta veća poslije pojedinačne udarne doze od 300 mg klopidogrela, u odnosu na 4 dnevne doze održavanja od po 75 mg. Vrijednost C</w:t>
      </w:r>
      <w:r w:rsidRPr="00CA7204">
        <w:rPr>
          <w:sz w:val="22"/>
          <w:szCs w:val="22"/>
          <w:vertAlign w:val="subscript"/>
          <w:lang w:val="sr-Latn-ME"/>
        </w:rPr>
        <w:t xml:space="preserve">max </w:t>
      </w:r>
      <w:r w:rsidRPr="00CA7204">
        <w:rPr>
          <w:sz w:val="22"/>
          <w:szCs w:val="22"/>
          <w:lang w:val="sr-Latn-ME"/>
        </w:rPr>
        <w:t>se postiže približno 30 do 60 minuta nakon doziranja.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Eliminacija</w:t>
      </w:r>
    </w:p>
    <w:p w:rsidR="00F171CD" w:rsidRPr="00CA7204" w:rsidRDefault="00F171CD">
      <w:pPr>
        <w:tabs>
          <w:tab w:val="left" w:pos="284"/>
        </w:tabs>
        <w:jc w:val="both"/>
        <w:rPr>
          <w:sz w:val="22"/>
          <w:szCs w:val="22"/>
          <w:lang w:val="sr-Latn-ME"/>
        </w:rPr>
      </w:pPr>
      <w:r w:rsidRPr="00CA7204">
        <w:rPr>
          <w:sz w:val="22"/>
          <w:szCs w:val="22"/>
          <w:lang w:val="sr-Latn-ME"/>
        </w:rPr>
        <w:t xml:space="preserve">Nakon oralne doze klopidogrela obilježenog sa </w:t>
      </w:r>
      <w:r w:rsidRPr="00CA7204">
        <w:rPr>
          <w:sz w:val="22"/>
          <w:szCs w:val="22"/>
          <w:vertAlign w:val="superscript"/>
          <w:lang w:val="sr-Latn-ME"/>
        </w:rPr>
        <w:t>14</w:t>
      </w:r>
      <w:r w:rsidRPr="00CA7204">
        <w:rPr>
          <w:sz w:val="22"/>
          <w:szCs w:val="22"/>
          <w:lang w:val="sr-Latn-ME"/>
        </w:rPr>
        <w:t>C kod ljudi se približno 50% doze izluči putem urina i oko 46% putem fecesa, u periodu od 120 sati nakon doziranja. Nakon primjene pojedinačne oralne doze od 75 mg poluvrijeme eliminacije klopidogrela je iznosilo 6 sati. Poluvrijeme eliminacije glavnog, cirkulišućeg, neaktivnog metabolita nakon jednokratne i ponovljene primjene je bilo 8 sati.</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Farmakogenetika</w:t>
      </w:r>
    </w:p>
    <w:p w:rsidR="00F171CD" w:rsidRPr="00CA7204" w:rsidRDefault="00F171CD">
      <w:pPr>
        <w:tabs>
          <w:tab w:val="left" w:pos="284"/>
        </w:tabs>
        <w:jc w:val="both"/>
        <w:rPr>
          <w:sz w:val="22"/>
          <w:szCs w:val="22"/>
          <w:lang w:val="sr-Latn-ME"/>
        </w:rPr>
      </w:pPr>
      <w:r w:rsidRPr="00CA7204">
        <w:rPr>
          <w:sz w:val="22"/>
          <w:szCs w:val="22"/>
          <w:lang w:val="sr-Latn-ME"/>
        </w:rPr>
        <w:t xml:space="preserve">CYP2C19 je uključen u formiranje i aktivnog metabolita i intermedijarnog metabolita (2-okso-klopidogrela). Farmakokinetika i antitrombocitno dejstvo aktivnog metabolita klopidogrela, mjereni u </w:t>
      </w:r>
      <w:r w:rsidRPr="00CA7204">
        <w:rPr>
          <w:i/>
          <w:iCs/>
          <w:sz w:val="22"/>
          <w:szCs w:val="22"/>
          <w:lang w:val="sr-Latn-ME"/>
        </w:rPr>
        <w:t xml:space="preserve">ex vivo </w:t>
      </w:r>
      <w:r w:rsidRPr="00CA7204">
        <w:rPr>
          <w:sz w:val="22"/>
          <w:szCs w:val="22"/>
          <w:lang w:val="sr-Latn-ME"/>
        </w:rPr>
        <w:t>ispitivanjima agregacije trombocita, razlikuju se u zavisnosti od genotipa za enzim CYP2C19.</w:t>
      </w:r>
    </w:p>
    <w:p w:rsidR="00F171CD" w:rsidRPr="00CA7204" w:rsidRDefault="00F171CD">
      <w:pPr>
        <w:tabs>
          <w:tab w:val="left" w:pos="284"/>
        </w:tabs>
        <w:jc w:val="both"/>
        <w:rPr>
          <w:sz w:val="22"/>
          <w:szCs w:val="22"/>
          <w:lang w:val="sr-Latn-ME"/>
        </w:rPr>
      </w:pPr>
      <w:r w:rsidRPr="00CA7204">
        <w:rPr>
          <w:sz w:val="22"/>
          <w:szCs w:val="22"/>
          <w:lang w:val="sr-Latn-ME"/>
        </w:rPr>
        <w:t>CYP2C19*1 alel odgovara potpuno funkcionalnom metabolizmu, dok su CYP2C19*2 i CYP2C19*3 aleli nefunkcionalni. CYP2C19*2 i CYP2C19*3 aleli obuhvataju 85% alela sa smanjenom funkcijom kod bijelaca i 99% kod Azijata. Ostali aleli povezani sa smanjenim metabolizmom uključuju CYP2C19*4, *5, *6, *7 i *8, ali oni su manje zastupljeni u opštoj populaciji. Pacijenti sa statusom slabih metabolizera imaju 2 nefunkcionalna alela kako je definisano u prethodnom tekstu</w:t>
      </w:r>
      <w:r w:rsidR="00451C15" w:rsidRPr="00CA7204">
        <w:rPr>
          <w:sz w:val="22"/>
          <w:szCs w:val="22"/>
          <w:lang w:val="sr-Latn-ME"/>
        </w:rPr>
        <w:t>.</w:t>
      </w:r>
      <w:r w:rsidRPr="00CA7204">
        <w:rPr>
          <w:sz w:val="22"/>
          <w:szCs w:val="22"/>
          <w:lang w:val="sr-Latn-ME"/>
        </w:rPr>
        <w:t xml:space="preserve">  </w:t>
      </w:r>
      <w:r w:rsidR="00451C15" w:rsidRPr="00CA7204">
        <w:rPr>
          <w:sz w:val="22"/>
          <w:szCs w:val="22"/>
          <w:lang w:val="sr-Latn-ME"/>
        </w:rPr>
        <w:t>P</w:t>
      </w:r>
      <w:r w:rsidRPr="00CA7204">
        <w:rPr>
          <w:sz w:val="22"/>
          <w:szCs w:val="22"/>
          <w:lang w:val="sr-Latn-ME"/>
        </w:rPr>
        <w:t xml:space="preserve">rema objavljenim podacima učestalost </w:t>
      </w:r>
      <w:r w:rsidRPr="00CA7204">
        <w:rPr>
          <w:sz w:val="22"/>
          <w:szCs w:val="22"/>
          <w:lang w:val="sr-Latn-ME"/>
        </w:rPr>
        <w:lastRenderedPageBreak/>
        <w:t>iznosi oko 2% kod pripadnika bijele rase, 4% kod pripadnika crne rase i čak 14% za pripadnike žute rase. Dostupni su testovi za određivanje CYP2C19 genotipa pacijenata.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i/>
          <w:sz w:val="22"/>
          <w:szCs w:val="22"/>
          <w:lang w:val="sr-Latn-ME"/>
        </w:rPr>
        <w:t>Cross-over</w:t>
      </w:r>
      <w:r w:rsidRPr="00CA7204">
        <w:rPr>
          <w:sz w:val="22"/>
          <w:szCs w:val="22"/>
          <w:lang w:val="sr-Latn-ME"/>
        </w:rPr>
        <w:t xml:space="preserve"> studija kod 40 zdravih ispitanika, od kojih je po 10 bilo u svakoj grupi </w:t>
      </w:r>
      <w:r w:rsidR="00C75F6B" w:rsidRPr="00CA7204">
        <w:rPr>
          <w:sz w:val="22"/>
          <w:szCs w:val="22"/>
          <w:lang w:val="sr-Latn-ME"/>
        </w:rPr>
        <w:t xml:space="preserve">CYP2C19 metabolizera </w:t>
      </w:r>
      <w:r w:rsidRPr="00CA7204">
        <w:rPr>
          <w:sz w:val="22"/>
          <w:szCs w:val="22"/>
          <w:lang w:val="sr-Latn-ME"/>
        </w:rPr>
        <w:t xml:space="preserve">(ultrabrzi, ekstenzivni, srednji i spori), je </w:t>
      </w:r>
      <w:r w:rsidR="00C75F6B" w:rsidRPr="00CA7204">
        <w:rPr>
          <w:sz w:val="22"/>
          <w:szCs w:val="22"/>
          <w:lang w:val="sr-Latn-ME"/>
        </w:rPr>
        <w:t>procijenila</w:t>
      </w:r>
      <w:r w:rsidRPr="00CA7204">
        <w:rPr>
          <w:sz w:val="22"/>
          <w:szCs w:val="22"/>
          <w:lang w:val="sr-Latn-ME"/>
        </w:rPr>
        <w:t xml:space="preserve"> farmakokinetske i antitrombocitne odgovore primjenom 300 mg, praćeno dozom od 75 mg/dan i 600 mg, praćeno sa 150 mg/dan, sve tokom ukupno 5 dana (ravnotežna koncentracija). Nije bilo suštinske razlike u </w:t>
      </w:r>
      <w:r w:rsidR="00C75F6B" w:rsidRPr="00CA7204">
        <w:rPr>
          <w:sz w:val="22"/>
          <w:szCs w:val="22"/>
          <w:lang w:val="sr-Latn-ME"/>
        </w:rPr>
        <w:t>izložen</w:t>
      </w:r>
      <w:r w:rsidRPr="00CA7204">
        <w:rPr>
          <w:sz w:val="22"/>
          <w:szCs w:val="22"/>
          <w:lang w:val="sr-Latn-ME"/>
        </w:rPr>
        <w:t>osti aktivno</w:t>
      </w:r>
      <w:r w:rsidR="00C75F6B" w:rsidRPr="00CA7204">
        <w:rPr>
          <w:sz w:val="22"/>
          <w:szCs w:val="22"/>
          <w:lang w:val="sr-Latn-ME"/>
        </w:rPr>
        <w:t>m</w:t>
      </w:r>
      <w:r w:rsidRPr="00CA7204">
        <w:rPr>
          <w:sz w:val="22"/>
          <w:szCs w:val="22"/>
          <w:lang w:val="sr-Latn-ME"/>
        </w:rPr>
        <w:t xml:space="preserve"> metabolit</w:t>
      </w:r>
      <w:r w:rsidR="00C75F6B" w:rsidRPr="00CA7204">
        <w:rPr>
          <w:sz w:val="22"/>
          <w:szCs w:val="22"/>
          <w:lang w:val="sr-Latn-ME"/>
        </w:rPr>
        <w:t>u</w:t>
      </w:r>
      <w:r w:rsidRPr="00CA7204">
        <w:rPr>
          <w:sz w:val="22"/>
          <w:szCs w:val="22"/>
          <w:lang w:val="sr-Latn-ME"/>
        </w:rPr>
        <w:t xml:space="preserve"> i prosječne inhibicije agregacije trombocita između ultrabrzih, ekstenzivnih i srednjih metabolizera. Kod sporih metabolizera </w:t>
      </w:r>
      <w:r w:rsidR="00C75F6B" w:rsidRPr="00CA7204">
        <w:rPr>
          <w:sz w:val="22"/>
          <w:szCs w:val="22"/>
          <w:lang w:val="sr-Latn-ME"/>
        </w:rPr>
        <w:t>izloženost</w:t>
      </w:r>
      <w:r w:rsidRPr="00CA7204">
        <w:rPr>
          <w:sz w:val="22"/>
          <w:szCs w:val="22"/>
          <w:lang w:val="sr-Latn-ME"/>
        </w:rPr>
        <w:t xml:space="preserve"> aktivno</w:t>
      </w:r>
      <w:r w:rsidR="00C75F6B" w:rsidRPr="00CA7204">
        <w:rPr>
          <w:sz w:val="22"/>
          <w:szCs w:val="22"/>
          <w:lang w:val="sr-Latn-ME"/>
        </w:rPr>
        <w:t>m</w:t>
      </w:r>
      <w:r w:rsidRPr="00CA7204">
        <w:rPr>
          <w:sz w:val="22"/>
          <w:szCs w:val="22"/>
          <w:lang w:val="sr-Latn-ME"/>
        </w:rPr>
        <w:t xml:space="preserve"> metabolit</w:t>
      </w:r>
      <w:r w:rsidR="00C75F6B" w:rsidRPr="00CA7204">
        <w:rPr>
          <w:sz w:val="22"/>
          <w:szCs w:val="22"/>
          <w:lang w:val="sr-Latn-ME"/>
        </w:rPr>
        <w:t>u</w:t>
      </w:r>
      <w:r w:rsidRPr="00CA7204">
        <w:rPr>
          <w:sz w:val="22"/>
          <w:szCs w:val="22"/>
          <w:lang w:val="sr-Latn-ME"/>
        </w:rPr>
        <w:t xml:space="preserve"> je bila smanjena za 63-71%, u odnosu na ekstenzivne metabolizere. Poslije doznog režima 300 mg/75 mg, antitrombocitni odgovori su bili smanjeni kod sporih metabolizera sa srednjom inhibicijom agregacije trombocita (5 mikroM ADP) od 24% (24 sata) i 37% (5. dan), u poređenju sa inhibicijom od 39% (24 sata) i 58% (5. dan) kod ekstenzivnih, odnosno 37% (24 sata) i 60% (5. dan) kod srednjih metabolizera. Kada su spori metabolizeri dobijali dozni režim 600 mg/150 mg izloženost aktivno</w:t>
      </w:r>
      <w:r w:rsidR="00C75F6B" w:rsidRPr="00CA7204">
        <w:rPr>
          <w:sz w:val="22"/>
          <w:szCs w:val="22"/>
          <w:lang w:val="sr-Latn-ME"/>
        </w:rPr>
        <w:t>m</w:t>
      </w:r>
      <w:r w:rsidRPr="00CA7204">
        <w:rPr>
          <w:sz w:val="22"/>
          <w:szCs w:val="22"/>
          <w:lang w:val="sr-Latn-ME"/>
        </w:rPr>
        <w:t xml:space="preserve"> metabolit</w:t>
      </w:r>
      <w:r w:rsidR="00C75F6B" w:rsidRPr="00CA7204">
        <w:rPr>
          <w:sz w:val="22"/>
          <w:szCs w:val="22"/>
          <w:lang w:val="sr-Latn-ME"/>
        </w:rPr>
        <w:t>u</w:t>
      </w:r>
      <w:r w:rsidRPr="00CA7204">
        <w:rPr>
          <w:sz w:val="22"/>
          <w:szCs w:val="22"/>
          <w:lang w:val="sr-Latn-ME"/>
        </w:rPr>
        <w:t xml:space="preserve"> je bila veća u odnosu na 300 mg/75 mg dozni režim. Dodatno, inhibicija antitrombocitne aktivnosti je bila 32% (24 sata) i 61% (5. dan) i time je bila veća u odnosu na slabe metabolizere koji su dobijali 300 mg/75 mg režim i bili slični drugim grupama CYP2C19 metabolizera koji su dobijali 300 mg/75 mg. Odgovarajući dozni režim za ovu populaciju pacijenata nije utvrđen tokom studija kliničkog ishoda.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skladu sa gore navedenim rezultatima, u meta analizi 6 studija (335 ispitanika koji su liječeni klopidogrelom u stanju ravnotežne koncentracije) pokazano je da je izloženost aktivnom metabolitu bila smanjena za 28% za srednje i 72% za spore metabolizere, dok je inhibicija agregacije trombocita (5 mikroM ADP) bila smanjena sa razlikama u inhibiciji od 5,9% i 21,4%, redom, u odnosu na ekstenzivne metabolizere.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Uticaj CYP2C19 genotipa na klinički ishod kod pacijenata na terapiji klopidogrelom nije evaluiran u prospektivnim, randomizovanim, kontrolisanim studijama. </w:t>
      </w:r>
      <w:r w:rsidR="00432F82" w:rsidRPr="00CA7204">
        <w:rPr>
          <w:sz w:val="22"/>
          <w:szCs w:val="22"/>
          <w:lang w:val="sr-Latn-ME"/>
        </w:rPr>
        <w:t>Međutim, p</w:t>
      </w:r>
      <w:r w:rsidRPr="00CA7204">
        <w:rPr>
          <w:sz w:val="22"/>
          <w:szCs w:val="22"/>
          <w:lang w:val="sr-Latn-ME"/>
        </w:rPr>
        <w:t xml:space="preserve">ostoje retrospektivne analize, u kojima je ovaj efekat </w:t>
      </w:r>
      <w:r w:rsidR="00C75F6B" w:rsidRPr="00CA7204">
        <w:rPr>
          <w:sz w:val="22"/>
          <w:szCs w:val="22"/>
          <w:lang w:val="sr-Latn-ME"/>
        </w:rPr>
        <w:t>procijenjen</w:t>
      </w:r>
      <w:r w:rsidRPr="00CA7204">
        <w:rPr>
          <w:sz w:val="22"/>
          <w:szCs w:val="22"/>
          <w:lang w:val="sr-Latn-ME"/>
        </w:rPr>
        <w:t xml:space="preserve"> kod pacijenata na terapiji klopidogrelom i kod kojih je genotip određen: CURE (n=2721), CHARISMA (n=2428), CLARITY-TIMI 28 (n=227), TRITON-TIMI 38 (n=1477) i ACTIVE-A (n=601), kao i određen broj publikovanih kohortnih studija.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TRITON-TIMI 38 i 3 kohortne studije (Collet, Sibbing, Giusti) kombinovana grupa pacijenata koji su bili ili srednji ili spori metabolizeri je imala veći procenat kardiovaskularnih događaja (smrt, infarkt miokarda i moždani udar) ili trombozu stenta, u odnosu na ekstenzivne metabolizere.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CHARISMA i jednoj kohortnoj studiji (Simon) povećan broj događaja je primijećen samo kod sporih metabolizera u odnosu na ekstenzivne.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CURE, CLARITY, ACTIVE-A i jednoj od kohortnih studija (Trenk) nije primijećeno povećanje broja događaja zasnovano na metaboličkom statusu.</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Nijedna od ovih analiza nije uključivala adekvatan broj ispitanika da bi se mogle utvrditi razlike u ishodu kod sporih metabolizera.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u w:val="single"/>
          <w:lang w:val="sr-Latn-ME"/>
        </w:rPr>
      </w:pPr>
      <w:r w:rsidRPr="00CA7204">
        <w:rPr>
          <w:sz w:val="22"/>
          <w:szCs w:val="22"/>
          <w:u w:val="single"/>
          <w:lang w:val="sr-Latn-ME"/>
        </w:rPr>
        <w:t>Posebne populacije</w:t>
      </w:r>
    </w:p>
    <w:p w:rsidR="00F171CD" w:rsidRPr="00CA7204" w:rsidRDefault="00F171CD">
      <w:pPr>
        <w:tabs>
          <w:tab w:val="left" w:pos="284"/>
        </w:tabs>
        <w:jc w:val="both"/>
        <w:rPr>
          <w:sz w:val="22"/>
          <w:szCs w:val="22"/>
          <w:u w:val="single"/>
          <w:lang w:val="sr-Latn-ME"/>
        </w:rPr>
      </w:pPr>
    </w:p>
    <w:p w:rsidR="00F171CD" w:rsidRPr="00CA7204" w:rsidRDefault="00F171CD">
      <w:pPr>
        <w:tabs>
          <w:tab w:val="left" w:pos="284"/>
        </w:tabs>
        <w:jc w:val="both"/>
        <w:rPr>
          <w:sz w:val="22"/>
          <w:szCs w:val="22"/>
          <w:lang w:val="sr-Latn-ME"/>
        </w:rPr>
      </w:pPr>
      <w:r w:rsidRPr="00CA7204">
        <w:rPr>
          <w:sz w:val="22"/>
          <w:szCs w:val="22"/>
          <w:lang w:val="sr-Latn-ME"/>
        </w:rPr>
        <w:t>Farmakokinetika aktivnog metabolita klopidogrela nije poznata u sljedećim posebnim grupama pacijenata: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t>Oboljenja bubrega</w:t>
      </w:r>
    </w:p>
    <w:p w:rsidR="00F171CD" w:rsidRPr="00CA7204" w:rsidRDefault="00F171CD">
      <w:pPr>
        <w:tabs>
          <w:tab w:val="left" w:pos="284"/>
        </w:tabs>
        <w:jc w:val="both"/>
        <w:rPr>
          <w:sz w:val="22"/>
          <w:szCs w:val="22"/>
          <w:lang w:val="sr-Latn-ME"/>
        </w:rPr>
      </w:pPr>
      <w:r w:rsidRPr="00CA7204">
        <w:rPr>
          <w:sz w:val="22"/>
          <w:szCs w:val="22"/>
          <w:lang w:val="sr-Latn-ME"/>
        </w:rPr>
        <w:t>Nakon primjene ponovljenih doza od 75 mg klopidogrela dnevno inhibicija ADP-om indukovane agregacije trombocita je bila niža (25%) kod ispitanika sa teško narušenom funkcijom bubrega (klirens kreatinina od 5 do 15 ml/min) u poređenju sa zdravim ispitanicima. Međutim, produženje vremena krvarenja bilo je slično onome kod zdravih ispitanika koji su primali 75 mg klopidogrela dnevno. Klinička podnošljivost je bila dobra kod svih pacijenata.</w:t>
      </w:r>
    </w:p>
    <w:p w:rsidR="00F171CD" w:rsidRPr="00CA7204" w:rsidRDefault="00F171CD">
      <w:pPr>
        <w:tabs>
          <w:tab w:val="left" w:pos="284"/>
        </w:tabs>
        <w:jc w:val="both"/>
        <w:rPr>
          <w:sz w:val="22"/>
          <w:szCs w:val="22"/>
          <w:lang w:val="sr-Latn-ME"/>
        </w:rPr>
      </w:pPr>
    </w:p>
    <w:p w:rsidR="00CA7204" w:rsidRDefault="00CA7204">
      <w:pPr>
        <w:tabs>
          <w:tab w:val="left" w:pos="284"/>
        </w:tabs>
        <w:jc w:val="both"/>
        <w:rPr>
          <w:i/>
          <w:sz w:val="22"/>
          <w:szCs w:val="22"/>
          <w:lang w:val="sr-Latn-ME"/>
        </w:rPr>
      </w:pPr>
    </w:p>
    <w:p w:rsidR="00F171CD" w:rsidRPr="00CA7204" w:rsidRDefault="00F171CD">
      <w:pPr>
        <w:tabs>
          <w:tab w:val="left" w:pos="284"/>
        </w:tabs>
        <w:jc w:val="both"/>
        <w:rPr>
          <w:i/>
          <w:sz w:val="22"/>
          <w:szCs w:val="22"/>
          <w:lang w:val="sr-Latn-ME"/>
        </w:rPr>
      </w:pPr>
      <w:r w:rsidRPr="00CA7204">
        <w:rPr>
          <w:i/>
          <w:sz w:val="22"/>
          <w:szCs w:val="22"/>
          <w:lang w:val="sr-Latn-ME"/>
        </w:rPr>
        <w:lastRenderedPageBreak/>
        <w:t>Oboljenja jetre</w:t>
      </w:r>
    </w:p>
    <w:p w:rsidR="00F171CD" w:rsidRPr="00CA7204" w:rsidRDefault="00F171CD">
      <w:pPr>
        <w:tabs>
          <w:tab w:val="left" w:pos="284"/>
        </w:tabs>
        <w:jc w:val="both"/>
        <w:rPr>
          <w:sz w:val="22"/>
          <w:szCs w:val="22"/>
          <w:lang w:val="sr-Latn-ME"/>
        </w:rPr>
      </w:pPr>
      <w:r w:rsidRPr="00CA7204">
        <w:rPr>
          <w:sz w:val="22"/>
          <w:szCs w:val="22"/>
          <w:lang w:val="sr-Latn-ME"/>
        </w:rPr>
        <w:t>Nakon primjene dnevne doze klopidogrela od 75 mg, u periodu od 10 dana, kod pacijenata sa teškim poremećajem funkcije jetre inhibicija ADP-om indukovane agregacije trombocita bila je slična  vrijednostima dobijenim kod zdravih ispitanika koji su primali klopidogrel. Prosječno produženje vremena krvarenja bilo je takođe slično onome kod zdravih ispitanika.</w:t>
      </w:r>
    </w:p>
    <w:p w:rsidR="00F171CD" w:rsidRPr="00CA7204" w:rsidRDefault="00F171CD">
      <w:pPr>
        <w:tabs>
          <w:tab w:val="left" w:pos="284"/>
        </w:tabs>
        <w:jc w:val="both"/>
        <w:rPr>
          <w:sz w:val="22"/>
          <w:szCs w:val="22"/>
          <w:lang w:val="sr-Latn-ME"/>
        </w:rPr>
      </w:pPr>
    </w:p>
    <w:p w:rsidR="00F171CD" w:rsidRPr="00CA7204" w:rsidRDefault="00F171CD">
      <w:pPr>
        <w:tabs>
          <w:tab w:val="left" w:pos="284"/>
        </w:tabs>
        <w:autoSpaceDE w:val="0"/>
        <w:autoSpaceDN w:val="0"/>
        <w:adjustRightInd w:val="0"/>
        <w:jc w:val="both"/>
        <w:rPr>
          <w:sz w:val="22"/>
          <w:szCs w:val="22"/>
          <w:lang w:val="sr-Latn-ME"/>
        </w:rPr>
      </w:pPr>
      <w:r w:rsidRPr="00CA7204">
        <w:rPr>
          <w:i/>
          <w:iCs/>
          <w:sz w:val="22"/>
          <w:szCs w:val="22"/>
          <w:lang w:val="sr-Latn-ME"/>
        </w:rPr>
        <w:t>Rasa</w:t>
      </w:r>
    </w:p>
    <w:p w:rsidR="00F171CD" w:rsidRPr="00CA7204" w:rsidRDefault="00F171CD">
      <w:pPr>
        <w:tabs>
          <w:tab w:val="left" w:pos="284"/>
        </w:tabs>
        <w:jc w:val="both"/>
        <w:rPr>
          <w:sz w:val="22"/>
          <w:szCs w:val="22"/>
          <w:lang w:val="sr-Latn-ME"/>
        </w:rPr>
      </w:pPr>
      <w:r w:rsidRPr="00CA7204">
        <w:rPr>
          <w:sz w:val="22"/>
          <w:szCs w:val="22"/>
          <w:lang w:val="sr-Latn-ME"/>
        </w:rPr>
        <w:t xml:space="preserve">Prevalencija CYP2C19 alela koji dovode do umjerenog i slabog CYP2C19 metabolizma razlikuje se u zavisnosti od rase/etničke grupe (vidjeti Farmakogenetiku). U literaturi su dostupni ograničeni podaci za procjenu kliničkog značaja genotipizacije ovog CYP enzima </w:t>
      </w:r>
      <w:r w:rsidR="00C75F6B" w:rsidRPr="00CA7204">
        <w:rPr>
          <w:sz w:val="22"/>
          <w:szCs w:val="22"/>
          <w:lang w:val="sr-Latn-ME"/>
        </w:rPr>
        <w:t>na</w:t>
      </w:r>
      <w:r w:rsidRPr="00CA7204">
        <w:rPr>
          <w:sz w:val="22"/>
          <w:szCs w:val="22"/>
          <w:lang w:val="sr-Latn-ME"/>
        </w:rPr>
        <w:t xml:space="preserve"> ishode kliničkih slučajeva</w:t>
      </w:r>
      <w:r w:rsidR="00C75F6B" w:rsidRPr="00CA7204">
        <w:rPr>
          <w:sz w:val="22"/>
          <w:szCs w:val="22"/>
          <w:lang w:val="sr-Latn-ME"/>
        </w:rPr>
        <w:t xml:space="preserve"> u populaciji Azijata</w:t>
      </w:r>
      <w:r w:rsidRPr="00CA7204">
        <w:rPr>
          <w:sz w:val="22"/>
          <w:szCs w:val="22"/>
          <w:lang w:val="sr-Latn-ME"/>
        </w:rPr>
        <w:t>.</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5.3.  Pretklinički podaci o bezbjednosti</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pretkliničkim studijama na pacovima i majmunima (</w:t>
      </w:r>
      <w:r w:rsidRPr="00CA7204">
        <w:rPr>
          <w:i/>
          <w:sz w:val="22"/>
          <w:szCs w:val="22"/>
          <w:lang w:val="sr-Latn-ME"/>
        </w:rPr>
        <w:t>baboon)</w:t>
      </w:r>
      <w:r w:rsidRPr="00CA7204">
        <w:rPr>
          <w:sz w:val="22"/>
          <w:szCs w:val="22"/>
          <w:lang w:val="sr-Latn-ME"/>
        </w:rPr>
        <w:t>, najčešće uočavane promjene bile su promjene funkcije jetre. Doze koje su primjenjivane u ovim studijama bile su 25 puta veće od doza primjenjivanih kod ljudi (75 mg/dan), a promjene na jetri su nastale kao posljedica dejstva na hepatičke metaboličke enzime. Kod ljudi nije zabilježeno ovo dejstvo, pri primjeni klopidogrela u terapijskim dozama.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Pri veoma visokim dozama, u studijama koje su izvođene na pacovima i majmunima, klopidogrel je doveo do gastritisa, gastritičnih erozija i/ili povraćanja.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studijama ka</w:t>
      </w:r>
      <w:r w:rsidR="00C75F6B" w:rsidRPr="00CA7204">
        <w:rPr>
          <w:sz w:val="22"/>
          <w:szCs w:val="22"/>
          <w:lang w:val="sr-Latn-ME"/>
        </w:rPr>
        <w:t>ncero</w:t>
      </w:r>
      <w:r w:rsidRPr="00CA7204">
        <w:rPr>
          <w:sz w:val="22"/>
          <w:szCs w:val="22"/>
          <w:lang w:val="sr-Latn-ME"/>
        </w:rPr>
        <w:t>genosti klopidogrel je primjenjivan u dozama do 77 mg/kg u toku 78 ned</w:t>
      </w:r>
      <w:r w:rsidR="00C75F6B" w:rsidRPr="00CA7204">
        <w:rPr>
          <w:sz w:val="22"/>
          <w:szCs w:val="22"/>
          <w:lang w:val="sr-Latn-ME"/>
        </w:rPr>
        <w:t>j</w:t>
      </w:r>
      <w:r w:rsidRPr="00CA7204">
        <w:rPr>
          <w:sz w:val="22"/>
          <w:szCs w:val="22"/>
          <w:lang w:val="sr-Latn-ME"/>
        </w:rPr>
        <w:t>elja (studije na miševima), odnosno 104 ned</w:t>
      </w:r>
      <w:r w:rsidR="00C75F6B" w:rsidRPr="00CA7204">
        <w:rPr>
          <w:sz w:val="22"/>
          <w:szCs w:val="22"/>
          <w:lang w:val="sr-Latn-ME"/>
        </w:rPr>
        <w:t>j</w:t>
      </w:r>
      <w:r w:rsidRPr="00CA7204">
        <w:rPr>
          <w:sz w:val="22"/>
          <w:szCs w:val="22"/>
          <w:lang w:val="sr-Latn-ME"/>
        </w:rPr>
        <w:t>elje (studije na pacovima) i nije potvrđen ka</w:t>
      </w:r>
      <w:r w:rsidR="00C75F6B" w:rsidRPr="00CA7204">
        <w:rPr>
          <w:sz w:val="22"/>
          <w:szCs w:val="22"/>
          <w:lang w:val="sr-Latn-ME"/>
        </w:rPr>
        <w:t>ncero</w:t>
      </w:r>
      <w:r w:rsidRPr="00CA7204">
        <w:rPr>
          <w:sz w:val="22"/>
          <w:szCs w:val="22"/>
          <w:lang w:val="sr-Latn-ME"/>
        </w:rPr>
        <w:t>geni potencijal (doze su bile 25 puta veće od terapijskih doza klopidogrela kod ljudi).</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 xml:space="preserve">Klopidogrel je ispitivan u brojnim </w:t>
      </w:r>
      <w:r w:rsidRPr="00CA7204">
        <w:rPr>
          <w:i/>
          <w:sz w:val="22"/>
          <w:szCs w:val="22"/>
          <w:lang w:val="sr-Latn-ME"/>
        </w:rPr>
        <w:t xml:space="preserve">in vitro </w:t>
      </w:r>
      <w:r w:rsidRPr="00CA7204">
        <w:rPr>
          <w:sz w:val="22"/>
          <w:szCs w:val="22"/>
          <w:lang w:val="sr-Latn-ME"/>
        </w:rPr>
        <w:t xml:space="preserve">i </w:t>
      </w:r>
      <w:r w:rsidRPr="00CA7204">
        <w:rPr>
          <w:i/>
          <w:sz w:val="22"/>
          <w:szCs w:val="22"/>
          <w:lang w:val="sr-Latn-ME"/>
        </w:rPr>
        <w:t xml:space="preserve">in vivo </w:t>
      </w:r>
      <w:r w:rsidRPr="00CA7204">
        <w:rPr>
          <w:sz w:val="22"/>
          <w:szCs w:val="22"/>
          <w:lang w:val="sr-Latn-ME"/>
        </w:rPr>
        <w:t>studijama genotoksičnosti i nije pokaza</w:t>
      </w:r>
      <w:r w:rsidR="00C75F6B" w:rsidRPr="00CA7204">
        <w:rPr>
          <w:sz w:val="22"/>
          <w:szCs w:val="22"/>
          <w:lang w:val="sr-Latn-ME"/>
        </w:rPr>
        <w:t>o</w:t>
      </w:r>
      <w:r w:rsidRPr="00CA7204">
        <w:rPr>
          <w:sz w:val="22"/>
          <w:szCs w:val="22"/>
          <w:lang w:val="sr-Latn-ME"/>
        </w:rPr>
        <w:t xml:space="preserve"> genotoksični potencijal.</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U studijama na životinjama klopidogrel nije imao uticaj na fertilitet kod pacova (ni kod mužjaka ni kod ženki), a nije imao ni teratogeni potencijal kod pacova i kunića. Kada je klopidogrel davan ženkama pacova u periodu dojenja došlo je do usporenog rasta potomstva. Specifične farmakokinetičke studije sa klopidogrelom obilježenim radioaktivnim ligandom su pokazale da se klopidogrel i metaboliti izlučuju putem mlijeka. Zbog toga se ne može isključiti direktni uticaj (slaba toksičnost) ili indirektni uticaj (smanjena palatabilnost).</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6.     FARMACEUTSKI PODACI</w:t>
      </w:r>
    </w:p>
    <w:p w:rsidR="00F171CD" w:rsidRPr="00CA7204" w:rsidRDefault="00F171CD">
      <w:pPr>
        <w:tabs>
          <w:tab w:val="left" w:pos="284"/>
        </w:tabs>
        <w:jc w:val="both"/>
        <w:rPr>
          <w:b/>
          <w:bCs/>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6.1.  Lista pomoćnih supstanci (ekscipijenasa)</w:t>
      </w:r>
    </w:p>
    <w:p w:rsidR="00F171CD" w:rsidRPr="00CA7204" w:rsidRDefault="00F171CD">
      <w:pPr>
        <w:tabs>
          <w:tab w:val="left" w:pos="284"/>
        </w:tabs>
        <w:jc w:val="both"/>
        <w:rPr>
          <w:i/>
          <w:sz w:val="22"/>
          <w:szCs w:val="22"/>
          <w:lang w:val="sr-Latn-ME"/>
        </w:rPr>
      </w:pPr>
    </w:p>
    <w:p w:rsidR="00F171CD" w:rsidRPr="00CA7204" w:rsidRDefault="00F171CD">
      <w:pPr>
        <w:tabs>
          <w:tab w:val="left" w:pos="284"/>
        </w:tabs>
        <w:jc w:val="both"/>
        <w:rPr>
          <w:i/>
          <w:iCs/>
          <w:sz w:val="22"/>
          <w:szCs w:val="22"/>
          <w:u w:val="single"/>
          <w:lang w:val="sr-Latn-ME"/>
        </w:rPr>
      </w:pPr>
      <w:r w:rsidRPr="00CA7204">
        <w:rPr>
          <w:i/>
          <w:iCs/>
          <w:sz w:val="22"/>
          <w:szCs w:val="22"/>
          <w:u w:val="single"/>
          <w:lang w:val="sr-Latn-ME"/>
        </w:rPr>
        <w:t>Jezgro</w:t>
      </w:r>
    </w:p>
    <w:p w:rsidR="00F171CD" w:rsidRPr="00CA7204" w:rsidRDefault="00F171CD">
      <w:pPr>
        <w:tabs>
          <w:tab w:val="left" w:pos="284"/>
        </w:tabs>
        <w:jc w:val="both"/>
        <w:rPr>
          <w:iCs/>
          <w:sz w:val="22"/>
          <w:szCs w:val="22"/>
          <w:lang w:val="sr-Latn-ME"/>
        </w:rPr>
      </w:pPr>
      <w:r w:rsidRPr="00CA7204">
        <w:rPr>
          <w:iCs/>
          <w:sz w:val="22"/>
          <w:szCs w:val="22"/>
          <w:lang w:val="sr-Latn-ME"/>
        </w:rPr>
        <w:t>Laktoza</w:t>
      </w:r>
    </w:p>
    <w:p w:rsidR="00F171CD" w:rsidRPr="00CA7204" w:rsidRDefault="00F171CD">
      <w:pPr>
        <w:tabs>
          <w:tab w:val="left" w:pos="284"/>
        </w:tabs>
        <w:jc w:val="both"/>
        <w:rPr>
          <w:iCs/>
          <w:sz w:val="22"/>
          <w:szCs w:val="22"/>
          <w:lang w:val="sr-Latn-ME"/>
        </w:rPr>
      </w:pPr>
      <w:r w:rsidRPr="00CA7204">
        <w:rPr>
          <w:iCs/>
          <w:sz w:val="22"/>
          <w:szCs w:val="22"/>
          <w:lang w:val="sr-Latn-ME"/>
        </w:rPr>
        <w:t>Celuloza, mikrokristalna</w:t>
      </w:r>
    </w:p>
    <w:p w:rsidR="00F171CD" w:rsidRPr="00CA7204" w:rsidRDefault="00F171CD">
      <w:pPr>
        <w:tabs>
          <w:tab w:val="left" w:pos="284"/>
        </w:tabs>
        <w:jc w:val="both"/>
        <w:rPr>
          <w:iCs/>
          <w:sz w:val="22"/>
          <w:szCs w:val="22"/>
          <w:lang w:val="sr-Latn-ME"/>
        </w:rPr>
      </w:pPr>
      <w:r w:rsidRPr="00CA7204">
        <w:rPr>
          <w:iCs/>
          <w:sz w:val="22"/>
          <w:szCs w:val="22"/>
          <w:lang w:val="sr-Latn-ME"/>
        </w:rPr>
        <w:t>Skrob, preželatinizovan</w:t>
      </w:r>
    </w:p>
    <w:p w:rsidR="00F171CD" w:rsidRPr="00CA7204" w:rsidRDefault="00F171CD">
      <w:pPr>
        <w:tabs>
          <w:tab w:val="left" w:pos="284"/>
        </w:tabs>
        <w:jc w:val="both"/>
        <w:rPr>
          <w:iCs/>
          <w:sz w:val="22"/>
          <w:szCs w:val="22"/>
          <w:lang w:val="sr-Latn-ME"/>
        </w:rPr>
      </w:pPr>
      <w:r w:rsidRPr="00CA7204">
        <w:rPr>
          <w:iCs/>
          <w:sz w:val="22"/>
          <w:szCs w:val="22"/>
          <w:lang w:val="sr-Latn-ME"/>
        </w:rPr>
        <w:t>Makrogol 6000</w:t>
      </w:r>
    </w:p>
    <w:p w:rsidR="00F171CD" w:rsidRPr="00CA7204" w:rsidRDefault="00F171CD">
      <w:pPr>
        <w:tabs>
          <w:tab w:val="left" w:pos="284"/>
        </w:tabs>
        <w:jc w:val="both"/>
        <w:rPr>
          <w:iCs/>
          <w:sz w:val="22"/>
          <w:szCs w:val="22"/>
          <w:lang w:val="sr-Latn-ME"/>
        </w:rPr>
      </w:pPr>
      <w:r w:rsidRPr="00CA7204">
        <w:rPr>
          <w:iCs/>
          <w:sz w:val="22"/>
          <w:szCs w:val="22"/>
          <w:lang w:val="sr-Latn-ME"/>
        </w:rPr>
        <w:t>Ricinusovo ulje, hidrogenizovano</w:t>
      </w:r>
    </w:p>
    <w:p w:rsidR="00F171CD" w:rsidRPr="00CA7204" w:rsidRDefault="00F171CD">
      <w:pPr>
        <w:tabs>
          <w:tab w:val="left" w:pos="284"/>
        </w:tabs>
        <w:jc w:val="both"/>
        <w:rPr>
          <w:i/>
          <w:iCs/>
          <w:sz w:val="22"/>
          <w:szCs w:val="22"/>
          <w:u w:val="single"/>
          <w:lang w:val="sr-Latn-ME"/>
        </w:rPr>
      </w:pPr>
    </w:p>
    <w:p w:rsidR="00F171CD" w:rsidRPr="00CA7204" w:rsidRDefault="00F171CD">
      <w:pPr>
        <w:tabs>
          <w:tab w:val="left" w:pos="284"/>
        </w:tabs>
        <w:jc w:val="both"/>
        <w:rPr>
          <w:i/>
          <w:iCs/>
          <w:sz w:val="22"/>
          <w:szCs w:val="22"/>
          <w:u w:val="single"/>
          <w:lang w:val="sr-Latn-ME"/>
        </w:rPr>
      </w:pPr>
      <w:r w:rsidRPr="00CA7204">
        <w:rPr>
          <w:i/>
          <w:iCs/>
          <w:sz w:val="22"/>
          <w:szCs w:val="22"/>
          <w:u w:val="single"/>
          <w:lang w:val="sr-Latn-ME"/>
        </w:rPr>
        <w:t>Film omotač</w:t>
      </w:r>
    </w:p>
    <w:p w:rsidR="00F171CD" w:rsidRPr="00CA7204" w:rsidRDefault="00F171CD">
      <w:pPr>
        <w:tabs>
          <w:tab w:val="left" w:pos="284"/>
        </w:tabs>
        <w:jc w:val="both"/>
        <w:rPr>
          <w:iCs/>
          <w:sz w:val="22"/>
          <w:szCs w:val="22"/>
          <w:lang w:val="sr-Latn-ME"/>
        </w:rPr>
      </w:pPr>
      <w:r w:rsidRPr="00CA7204">
        <w:rPr>
          <w:iCs/>
          <w:sz w:val="22"/>
          <w:szCs w:val="22"/>
          <w:lang w:val="sr-Latn-ME"/>
        </w:rPr>
        <w:t>Hipromeloza</w:t>
      </w:r>
      <w:r w:rsidR="00114D0D" w:rsidRPr="00CA7204">
        <w:rPr>
          <w:iCs/>
          <w:sz w:val="22"/>
          <w:szCs w:val="22"/>
          <w:lang w:val="sr-Latn-ME"/>
        </w:rPr>
        <w:t xml:space="preserve"> (E464)</w:t>
      </w:r>
    </w:p>
    <w:p w:rsidR="00F171CD" w:rsidRPr="00CA7204" w:rsidRDefault="00F171CD">
      <w:pPr>
        <w:tabs>
          <w:tab w:val="left" w:pos="284"/>
        </w:tabs>
        <w:jc w:val="both"/>
        <w:rPr>
          <w:iCs/>
          <w:sz w:val="22"/>
          <w:szCs w:val="22"/>
          <w:lang w:val="sr-Latn-ME"/>
        </w:rPr>
      </w:pPr>
      <w:r w:rsidRPr="00CA7204">
        <w:rPr>
          <w:iCs/>
          <w:sz w:val="22"/>
          <w:szCs w:val="22"/>
          <w:lang w:val="sr-Latn-ME"/>
        </w:rPr>
        <w:t>Titan dioksid (E171)</w:t>
      </w:r>
    </w:p>
    <w:p w:rsidR="00F171CD" w:rsidRPr="00CA7204" w:rsidRDefault="00F171CD">
      <w:pPr>
        <w:tabs>
          <w:tab w:val="left" w:pos="284"/>
        </w:tabs>
        <w:jc w:val="both"/>
        <w:rPr>
          <w:iCs/>
          <w:sz w:val="22"/>
          <w:szCs w:val="22"/>
          <w:lang w:val="sr-Latn-ME"/>
        </w:rPr>
      </w:pPr>
      <w:r w:rsidRPr="00CA7204">
        <w:rPr>
          <w:iCs/>
          <w:sz w:val="22"/>
          <w:szCs w:val="22"/>
          <w:lang w:val="sr-Latn-ME"/>
        </w:rPr>
        <w:t>Gvožđe oksid, crveni (E172)</w:t>
      </w:r>
    </w:p>
    <w:p w:rsidR="00F171CD" w:rsidRPr="00CA7204" w:rsidRDefault="00F171CD">
      <w:pPr>
        <w:tabs>
          <w:tab w:val="left" w:pos="284"/>
        </w:tabs>
        <w:jc w:val="both"/>
        <w:rPr>
          <w:iCs/>
          <w:sz w:val="22"/>
          <w:szCs w:val="22"/>
          <w:lang w:val="sr-Latn-ME"/>
        </w:rPr>
      </w:pPr>
      <w:r w:rsidRPr="00CA7204">
        <w:rPr>
          <w:iCs/>
          <w:sz w:val="22"/>
          <w:szCs w:val="22"/>
          <w:lang w:val="sr-Latn-ME"/>
        </w:rPr>
        <w:t>Talk</w:t>
      </w:r>
    </w:p>
    <w:p w:rsidR="00F171CD" w:rsidRPr="00CA7204" w:rsidRDefault="00F171CD">
      <w:pPr>
        <w:tabs>
          <w:tab w:val="left" w:pos="284"/>
        </w:tabs>
        <w:jc w:val="both"/>
        <w:rPr>
          <w:iCs/>
          <w:sz w:val="22"/>
          <w:szCs w:val="22"/>
          <w:lang w:val="sr-Latn-ME"/>
        </w:rPr>
      </w:pPr>
      <w:r w:rsidRPr="00CA7204">
        <w:rPr>
          <w:iCs/>
          <w:sz w:val="22"/>
          <w:szCs w:val="22"/>
          <w:lang w:val="sr-Latn-ME"/>
        </w:rPr>
        <w:t>Propilen</w:t>
      </w:r>
      <w:r w:rsidR="00114D0D" w:rsidRPr="00CA7204">
        <w:rPr>
          <w:iCs/>
          <w:sz w:val="22"/>
          <w:szCs w:val="22"/>
          <w:lang w:val="sr-Latn-ME"/>
        </w:rPr>
        <w:t xml:space="preserve"> </w:t>
      </w:r>
      <w:r w:rsidRPr="00CA7204">
        <w:rPr>
          <w:iCs/>
          <w:sz w:val="22"/>
          <w:szCs w:val="22"/>
          <w:lang w:val="sr-Latn-ME"/>
        </w:rPr>
        <w:t>glikol</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lastRenderedPageBreak/>
        <w:t>6.2.  Inkompatibilnosti</w:t>
      </w:r>
    </w:p>
    <w:p w:rsidR="00F171CD" w:rsidRPr="00CA7204" w:rsidRDefault="00F171CD">
      <w:pPr>
        <w:tabs>
          <w:tab w:val="left" w:pos="284"/>
        </w:tabs>
        <w:jc w:val="both"/>
        <w:rPr>
          <w:sz w:val="22"/>
          <w:szCs w:val="22"/>
          <w:lang w:val="sr-Latn-ME"/>
        </w:rPr>
      </w:pPr>
    </w:p>
    <w:p w:rsidR="00F171CD" w:rsidRPr="00CA7204" w:rsidRDefault="00432F82">
      <w:pPr>
        <w:tabs>
          <w:tab w:val="left" w:pos="284"/>
        </w:tabs>
        <w:jc w:val="both"/>
        <w:rPr>
          <w:sz w:val="22"/>
          <w:szCs w:val="22"/>
          <w:lang w:val="sr-Latn-ME"/>
        </w:rPr>
      </w:pPr>
      <w:r w:rsidRPr="00CA7204">
        <w:rPr>
          <w:sz w:val="22"/>
          <w:szCs w:val="22"/>
          <w:lang w:val="sr-Latn-ME"/>
        </w:rPr>
        <w:t>N</w:t>
      </w:r>
      <w:r w:rsidR="00114D0D" w:rsidRPr="00CA7204">
        <w:rPr>
          <w:sz w:val="22"/>
          <w:szCs w:val="22"/>
          <w:lang w:val="sr-Latn-ME"/>
        </w:rPr>
        <w:t>ije primjenljivo.</w:t>
      </w:r>
    </w:p>
    <w:p w:rsidR="00114D0D" w:rsidRPr="00CA7204" w:rsidRDefault="00114D0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6.3.  Rok upotrebe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r w:rsidRPr="00CA7204">
        <w:rPr>
          <w:sz w:val="22"/>
          <w:szCs w:val="22"/>
          <w:lang w:val="sr-Latn-ME"/>
        </w:rPr>
        <w:t>3 godine.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6.4.  Posebne mjere opreza pri čuvanju lijeka</w:t>
      </w:r>
    </w:p>
    <w:p w:rsidR="00F171CD" w:rsidRPr="00CA7204" w:rsidRDefault="00F171CD">
      <w:pPr>
        <w:tabs>
          <w:tab w:val="left" w:pos="284"/>
        </w:tabs>
        <w:jc w:val="both"/>
        <w:rPr>
          <w:sz w:val="22"/>
          <w:szCs w:val="22"/>
          <w:lang w:val="sr-Latn-ME"/>
        </w:rPr>
      </w:pPr>
    </w:p>
    <w:p w:rsidR="00F171CD" w:rsidRPr="00CA7204" w:rsidRDefault="00F171CD">
      <w:pPr>
        <w:jc w:val="both"/>
        <w:rPr>
          <w:sz w:val="22"/>
          <w:szCs w:val="22"/>
          <w:lang w:val="sr-Latn-ME" w:eastAsia="sl-SI"/>
        </w:rPr>
      </w:pPr>
      <w:r w:rsidRPr="00CA7204">
        <w:rPr>
          <w:sz w:val="22"/>
          <w:szCs w:val="22"/>
          <w:lang w:val="sr-Latn-ME" w:eastAsia="sl-SI"/>
        </w:rPr>
        <w:t xml:space="preserve">Lijek čuvajte u originalnom pakovanju zaštićeno od </w:t>
      </w:r>
      <w:r w:rsidR="00114D0D" w:rsidRPr="00CA7204">
        <w:rPr>
          <w:sz w:val="22"/>
          <w:szCs w:val="22"/>
          <w:lang w:val="sr-Latn-ME" w:eastAsia="sl-SI"/>
        </w:rPr>
        <w:t xml:space="preserve">svjetlosti i </w:t>
      </w:r>
      <w:r w:rsidRPr="00CA7204">
        <w:rPr>
          <w:sz w:val="22"/>
          <w:szCs w:val="22"/>
          <w:lang w:val="sr-Latn-ME" w:eastAsia="sl-SI"/>
        </w:rPr>
        <w:t>vlage.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bCs/>
          <w:sz w:val="22"/>
          <w:szCs w:val="22"/>
          <w:lang w:val="sr-Latn-ME"/>
        </w:rPr>
      </w:pPr>
      <w:r w:rsidRPr="00CA7204">
        <w:rPr>
          <w:b/>
          <w:bCs/>
          <w:sz w:val="22"/>
          <w:szCs w:val="22"/>
          <w:lang w:val="sr-Latn-ME"/>
        </w:rPr>
        <w:t xml:space="preserve">6.5.  Vrsta i sadržaj pakovanja </w:t>
      </w:r>
    </w:p>
    <w:p w:rsidR="00F171CD" w:rsidRPr="00CA7204" w:rsidRDefault="00F171CD">
      <w:pPr>
        <w:tabs>
          <w:tab w:val="left" w:pos="284"/>
        </w:tabs>
        <w:jc w:val="both"/>
        <w:rPr>
          <w:i/>
          <w:sz w:val="22"/>
          <w:szCs w:val="22"/>
          <w:lang w:val="sr-Latn-ME"/>
        </w:rPr>
      </w:pPr>
    </w:p>
    <w:p w:rsidR="00F171CD" w:rsidRPr="00CA7204" w:rsidRDefault="00F171CD">
      <w:pPr>
        <w:numPr>
          <w:ilvl w:val="12"/>
          <w:numId w:val="0"/>
        </w:numPr>
        <w:tabs>
          <w:tab w:val="left" w:pos="8505"/>
        </w:tabs>
        <w:ind w:right="-2"/>
        <w:jc w:val="both"/>
        <w:rPr>
          <w:sz w:val="22"/>
          <w:szCs w:val="22"/>
          <w:lang w:val="sr-Latn-ME" w:eastAsia="sl-SI"/>
        </w:rPr>
      </w:pPr>
      <w:r w:rsidRPr="00CA7204">
        <w:rPr>
          <w:sz w:val="22"/>
          <w:szCs w:val="22"/>
          <w:lang w:val="sr-Latn-ME" w:eastAsia="sl-SI"/>
        </w:rPr>
        <w:t>Blister (</w:t>
      </w:r>
      <w:r w:rsidRPr="00CA7204">
        <w:rPr>
          <w:sz w:val="22"/>
          <w:szCs w:val="22"/>
          <w:lang w:val="sr-Latn-ME" w:eastAsia="en-GB"/>
        </w:rPr>
        <w:t>OPA/Al/PVC//Al</w:t>
      </w:r>
      <w:r w:rsidRPr="00CA7204">
        <w:rPr>
          <w:sz w:val="22"/>
          <w:szCs w:val="22"/>
          <w:lang w:val="sr-Latn-ME" w:eastAsia="sl-SI"/>
        </w:rPr>
        <w:t>): 28 film tableta (4 blistera</w:t>
      </w:r>
      <w:r w:rsidR="008B3DF3" w:rsidRPr="00CA7204">
        <w:rPr>
          <w:sz w:val="22"/>
          <w:szCs w:val="22"/>
          <w:lang w:val="sr-Latn-ME" w:eastAsia="sl-SI"/>
        </w:rPr>
        <w:t xml:space="preserve"> sa</w:t>
      </w:r>
      <w:r w:rsidRPr="00CA7204">
        <w:rPr>
          <w:sz w:val="22"/>
          <w:szCs w:val="22"/>
          <w:lang w:val="sr-Latn-ME" w:eastAsia="sl-SI"/>
        </w:rPr>
        <w:t xml:space="preserve"> po 7 </w:t>
      </w:r>
      <w:r w:rsidR="008B3DF3" w:rsidRPr="00CA7204">
        <w:rPr>
          <w:sz w:val="22"/>
          <w:szCs w:val="22"/>
          <w:lang w:val="sr-Latn-ME" w:eastAsia="sl-SI"/>
        </w:rPr>
        <w:t xml:space="preserve">film </w:t>
      </w:r>
      <w:r w:rsidRPr="00CA7204">
        <w:rPr>
          <w:sz w:val="22"/>
          <w:szCs w:val="22"/>
          <w:lang w:val="sr-Latn-ME" w:eastAsia="sl-SI"/>
        </w:rPr>
        <w:t>tableta).</w:t>
      </w:r>
    </w:p>
    <w:p w:rsidR="00F171CD" w:rsidRPr="00CA7204" w:rsidRDefault="00F171CD">
      <w:pPr>
        <w:tabs>
          <w:tab w:val="left" w:pos="284"/>
        </w:tabs>
        <w:jc w:val="both"/>
        <w:rPr>
          <w:sz w:val="22"/>
          <w:szCs w:val="22"/>
          <w:lang w:val="sr-Latn-ME"/>
        </w:rPr>
      </w:pPr>
    </w:p>
    <w:p w:rsidR="00F171CD" w:rsidRPr="00CA7204" w:rsidRDefault="00F171CD">
      <w:pPr>
        <w:tabs>
          <w:tab w:val="left" w:pos="284"/>
        </w:tabs>
        <w:ind w:right="140"/>
        <w:jc w:val="both"/>
        <w:rPr>
          <w:b/>
          <w:bCs/>
          <w:sz w:val="22"/>
          <w:szCs w:val="22"/>
          <w:lang w:val="sr-Latn-ME"/>
        </w:rPr>
      </w:pPr>
      <w:r w:rsidRPr="00CA7204">
        <w:rPr>
          <w:b/>
          <w:bCs/>
          <w:sz w:val="22"/>
          <w:szCs w:val="22"/>
          <w:lang w:val="sr-Latn-ME"/>
        </w:rPr>
        <w:t>6.6.  Posebne mjere opreza pri odlaganju materijala koji treba odbaciti nakon primjene lijeka (i druga uputstva za rukovanje lijekom)</w:t>
      </w:r>
    </w:p>
    <w:p w:rsidR="00F171CD" w:rsidRPr="00CA7204" w:rsidRDefault="00F171CD">
      <w:pPr>
        <w:tabs>
          <w:tab w:val="left" w:pos="284"/>
        </w:tabs>
        <w:jc w:val="both"/>
        <w:rPr>
          <w:sz w:val="22"/>
          <w:szCs w:val="22"/>
          <w:lang w:val="sr-Latn-ME"/>
        </w:rPr>
      </w:pPr>
    </w:p>
    <w:p w:rsidR="00F171CD" w:rsidRPr="00CA7204" w:rsidRDefault="00F171CD">
      <w:pPr>
        <w:ind w:right="-483"/>
        <w:jc w:val="both"/>
        <w:rPr>
          <w:sz w:val="22"/>
          <w:szCs w:val="22"/>
          <w:lang w:val="sr-Latn-ME" w:eastAsia="sl-SI"/>
        </w:rPr>
      </w:pPr>
      <w:r w:rsidRPr="00CA7204">
        <w:rPr>
          <w:sz w:val="22"/>
          <w:szCs w:val="22"/>
          <w:lang w:val="sr-Latn-ME" w:eastAsia="sl-SI"/>
        </w:rPr>
        <w:t>Neupotrijebljeni lijek se uništava u skladu sa važećim propisima.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7.     NOSILAC DOZVOLE</w:t>
      </w:r>
    </w:p>
    <w:p w:rsidR="00F171CD" w:rsidRPr="00CA7204" w:rsidRDefault="00F171CD">
      <w:pPr>
        <w:widowControl w:val="0"/>
        <w:tabs>
          <w:tab w:val="left" w:pos="284"/>
          <w:tab w:val="center" w:pos="4536"/>
          <w:tab w:val="right" w:pos="9072"/>
        </w:tabs>
        <w:jc w:val="both"/>
        <w:rPr>
          <w:bCs/>
          <w:sz w:val="22"/>
          <w:szCs w:val="22"/>
          <w:lang w:val="sr-Latn-ME"/>
        </w:rPr>
      </w:pPr>
    </w:p>
    <w:p w:rsidR="00F171CD" w:rsidRPr="00CA7204" w:rsidRDefault="00F171CD">
      <w:pPr>
        <w:autoSpaceDE w:val="0"/>
        <w:autoSpaceDN w:val="0"/>
        <w:adjustRightInd w:val="0"/>
        <w:jc w:val="both"/>
        <w:rPr>
          <w:sz w:val="22"/>
          <w:szCs w:val="22"/>
          <w:lang w:val="sr-Latn-ME" w:eastAsia="sl-SI"/>
        </w:rPr>
      </w:pPr>
      <w:r w:rsidRPr="00CA7204">
        <w:rPr>
          <w:sz w:val="22"/>
          <w:szCs w:val="22"/>
          <w:lang w:val="sr-Latn-ME" w:eastAsia="sl-SI"/>
        </w:rPr>
        <w:t>D.S.D. "KRKA, d. d., Novo mesto" - predstavništvo Podgorica</w:t>
      </w:r>
    </w:p>
    <w:p w:rsidR="00F171CD" w:rsidRPr="00CA7204" w:rsidRDefault="00F171CD">
      <w:pPr>
        <w:autoSpaceDE w:val="0"/>
        <w:autoSpaceDN w:val="0"/>
        <w:adjustRightInd w:val="0"/>
        <w:jc w:val="both"/>
        <w:rPr>
          <w:sz w:val="22"/>
          <w:szCs w:val="22"/>
          <w:lang w:val="sr-Latn-ME" w:eastAsia="sl-SI"/>
        </w:rPr>
      </w:pPr>
      <w:r w:rsidRPr="00CA7204">
        <w:rPr>
          <w:sz w:val="22"/>
          <w:szCs w:val="22"/>
          <w:lang w:val="sr-Latn-ME" w:eastAsia="sl-SI"/>
        </w:rPr>
        <w:t>Svetlane Kane Radević br. 3, 81000 Podgorica, Crna Gora</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8.     BROJ DOZVOLE ZA STAVLJANJE LEKA U PROMET</w:t>
      </w:r>
    </w:p>
    <w:p w:rsidR="00F171CD" w:rsidRPr="00CA7204" w:rsidRDefault="00F171CD">
      <w:pPr>
        <w:widowControl w:val="0"/>
        <w:tabs>
          <w:tab w:val="left" w:pos="284"/>
          <w:tab w:val="center" w:pos="4536"/>
          <w:tab w:val="right" w:pos="9072"/>
        </w:tabs>
        <w:jc w:val="both"/>
        <w:rPr>
          <w:sz w:val="22"/>
          <w:szCs w:val="22"/>
          <w:lang w:val="sr-Latn-ME"/>
        </w:rPr>
      </w:pPr>
    </w:p>
    <w:p w:rsidR="00F171CD" w:rsidRDefault="00CA7204">
      <w:pPr>
        <w:tabs>
          <w:tab w:val="left" w:pos="284"/>
        </w:tabs>
        <w:jc w:val="both"/>
        <w:rPr>
          <w:rFonts w:ascii="TimesNewRoman" w:hAnsi="TimesNewRoman" w:cs="TimesNewRoman"/>
          <w:sz w:val="22"/>
          <w:szCs w:val="22"/>
          <w:lang w:val="sr-Latn-ME" w:eastAsia="sl-SI"/>
        </w:rPr>
      </w:pPr>
      <w:r>
        <w:rPr>
          <w:rFonts w:ascii="TimesNewRoman" w:hAnsi="TimesNewRoman" w:cs="TimesNewRoman"/>
          <w:sz w:val="22"/>
          <w:szCs w:val="22"/>
          <w:lang w:val="sr-Latn-ME" w:eastAsia="sl-SI"/>
        </w:rPr>
        <w:t>2030/23/589 - 1433</w:t>
      </w:r>
    </w:p>
    <w:p w:rsidR="00CA7204" w:rsidRPr="00CA7204" w:rsidRDefault="00CA7204">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 xml:space="preserve">9.  </w:t>
      </w:r>
      <w:r w:rsidRPr="00CA7204">
        <w:rPr>
          <w:b/>
          <w:sz w:val="22"/>
          <w:szCs w:val="22"/>
          <w:lang w:val="sr-Latn-ME"/>
        </w:rPr>
        <w:tab/>
        <w:t xml:space="preserve">   DATUM PRVE DOZVOLE/OBNOVE DOZVOLE ZA STAVLJANJE LIJEKA U PROMET</w:t>
      </w:r>
    </w:p>
    <w:p w:rsidR="00F171CD" w:rsidRPr="00CA7204" w:rsidRDefault="00F171CD">
      <w:pPr>
        <w:widowControl w:val="0"/>
        <w:tabs>
          <w:tab w:val="left" w:pos="284"/>
          <w:tab w:val="center" w:pos="4536"/>
          <w:tab w:val="right" w:pos="9072"/>
        </w:tabs>
        <w:jc w:val="both"/>
        <w:rPr>
          <w:sz w:val="22"/>
          <w:szCs w:val="22"/>
          <w:lang w:val="sr-Latn-ME"/>
        </w:rPr>
      </w:pPr>
    </w:p>
    <w:p w:rsidR="00F171CD" w:rsidRPr="00CA7204" w:rsidRDefault="008B3DF3">
      <w:pPr>
        <w:ind w:right="-483"/>
        <w:jc w:val="both"/>
        <w:rPr>
          <w:sz w:val="22"/>
          <w:szCs w:val="22"/>
          <w:lang w:val="sr-Latn-ME" w:eastAsia="hr-HR"/>
        </w:rPr>
      </w:pPr>
      <w:r w:rsidRPr="00CA7204">
        <w:rPr>
          <w:sz w:val="22"/>
          <w:szCs w:val="22"/>
          <w:lang w:val="sr-Latn-ME" w:eastAsia="hr-HR"/>
        </w:rPr>
        <w:t>Datum prve dozvole:</w:t>
      </w:r>
      <w:r w:rsidR="00CA7204" w:rsidRPr="00CA7204">
        <w:t xml:space="preserve"> </w:t>
      </w:r>
      <w:r w:rsidR="00CA7204" w:rsidRPr="00CA7204">
        <w:rPr>
          <w:sz w:val="22"/>
          <w:szCs w:val="22"/>
          <w:lang w:val="sr-Latn-ME" w:eastAsia="hr-HR"/>
        </w:rPr>
        <w:t>03.10.2011. godine</w:t>
      </w:r>
    </w:p>
    <w:p w:rsidR="008B3DF3" w:rsidRPr="00CA7204" w:rsidRDefault="008B3DF3">
      <w:pPr>
        <w:ind w:right="-483"/>
        <w:jc w:val="both"/>
        <w:rPr>
          <w:sz w:val="22"/>
          <w:szCs w:val="22"/>
          <w:lang w:val="sr-Latn-ME"/>
        </w:rPr>
      </w:pPr>
      <w:r w:rsidRPr="00CA7204">
        <w:rPr>
          <w:sz w:val="22"/>
          <w:szCs w:val="22"/>
          <w:lang w:val="sr-Latn-ME" w:eastAsia="hr-HR"/>
        </w:rPr>
        <w:t>Datum poslednje obnove dozvole:</w:t>
      </w:r>
      <w:r w:rsidR="00CA7204" w:rsidRPr="00CA7204">
        <w:t xml:space="preserve"> </w:t>
      </w:r>
      <w:r w:rsidR="00CA7204" w:rsidRPr="00CA7204">
        <w:rPr>
          <w:sz w:val="22"/>
          <w:szCs w:val="22"/>
          <w:lang w:val="sr-Latn-ME" w:eastAsia="hr-HR"/>
        </w:rPr>
        <w:t>08.02.2023. godine</w:t>
      </w: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sz w:val="22"/>
          <w:szCs w:val="22"/>
          <w:lang w:val="sr-Latn-ME"/>
        </w:rPr>
      </w:pPr>
    </w:p>
    <w:p w:rsidR="00F171CD" w:rsidRPr="00CA7204" w:rsidRDefault="00F171CD">
      <w:pPr>
        <w:tabs>
          <w:tab w:val="left" w:pos="284"/>
        </w:tabs>
        <w:jc w:val="both"/>
        <w:rPr>
          <w:b/>
          <w:sz w:val="22"/>
          <w:szCs w:val="22"/>
          <w:lang w:val="sr-Latn-ME"/>
        </w:rPr>
      </w:pPr>
      <w:r w:rsidRPr="00CA7204">
        <w:rPr>
          <w:b/>
          <w:sz w:val="22"/>
          <w:szCs w:val="22"/>
          <w:lang w:val="sr-Latn-ME"/>
        </w:rPr>
        <w:t>10.    DATUM REVIZIJE TEKSTA</w:t>
      </w:r>
    </w:p>
    <w:p w:rsidR="00F171CD" w:rsidRPr="00CA7204" w:rsidRDefault="00F171CD">
      <w:pPr>
        <w:tabs>
          <w:tab w:val="left" w:pos="284"/>
        </w:tabs>
        <w:jc w:val="both"/>
        <w:rPr>
          <w:sz w:val="22"/>
          <w:szCs w:val="22"/>
          <w:lang w:val="sr-Latn-ME"/>
        </w:rPr>
      </w:pPr>
    </w:p>
    <w:p w:rsidR="00F171CD" w:rsidRPr="00CA7204" w:rsidRDefault="00CA7204">
      <w:pPr>
        <w:tabs>
          <w:tab w:val="left" w:pos="284"/>
        </w:tabs>
        <w:jc w:val="both"/>
        <w:rPr>
          <w:bCs/>
          <w:sz w:val="22"/>
          <w:szCs w:val="22"/>
          <w:lang w:val="sr-Latn-ME"/>
        </w:rPr>
      </w:pPr>
      <w:r>
        <w:rPr>
          <w:bCs/>
          <w:sz w:val="22"/>
          <w:szCs w:val="22"/>
          <w:lang w:val="sr-Latn-ME"/>
        </w:rPr>
        <w:t>Februar, 2023. godine</w:t>
      </w:r>
      <w:bookmarkStart w:id="1" w:name="_GoBack"/>
      <w:bookmarkEnd w:id="1"/>
    </w:p>
    <w:p w:rsidR="00F171CD" w:rsidRPr="00CA7204" w:rsidRDefault="00F171CD">
      <w:pPr>
        <w:jc w:val="both"/>
        <w:rPr>
          <w:sz w:val="22"/>
          <w:szCs w:val="22"/>
          <w:lang w:val="sr-Latn-ME" w:eastAsia="sl-SI"/>
        </w:rPr>
      </w:pPr>
    </w:p>
    <w:p w:rsidR="00E73DCA" w:rsidRPr="00CA7204" w:rsidRDefault="00E73DCA">
      <w:pPr>
        <w:rPr>
          <w:sz w:val="22"/>
          <w:szCs w:val="22"/>
        </w:rPr>
      </w:pPr>
    </w:p>
    <w:sectPr w:rsidR="00E73DCA" w:rsidRPr="00CA7204" w:rsidSect="00F2401E">
      <w:footerReference w:type="default" r:id="rId9"/>
      <w:pgSz w:w="11901" w:h="16840" w:code="184"/>
      <w:pgMar w:top="1134" w:right="1269" w:bottom="1440" w:left="1276"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CA4" w:rsidRDefault="00375CA4" w:rsidP="00B52C19">
      <w:r>
        <w:separator/>
      </w:r>
    </w:p>
  </w:endnote>
  <w:endnote w:type="continuationSeparator" w:id="0">
    <w:p w:rsidR="00375CA4" w:rsidRDefault="00375CA4" w:rsidP="00B5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auto"/>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0D" w:rsidRPr="00F2401E" w:rsidRDefault="00114D0D" w:rsidP="00F2401E">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A7204">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A7204">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CA4" w:rsidRDefault="00375CA4" w:rsidP="00B52C19">
      <w:r>
        <w:separator/>
      </w:r>
    </w:p>
  </w:footnote>
  <w:footnote w:type="continuationSeparator" w:id="0">
    <w:p w:rsidR="00375CA4" w:rsidRDefault="00375CA4" w:rsidP="00B52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2F9D22"/>
    <w:multiLevelType w:val="hybridMultilevel"/>
    <w:tmpl w:val="8F12E9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C1A7C"/>
    <w:multiLevelType w:val="multilevel"/>
    <w:tmpl w:val="DCE0267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1F47A5"/>
    <w:multiLevelType w:val="hybridMultilevel"/>
    <w:tmpl w:val="F298469A"/>
    <w:lvl w:ilvl="0" w:tplc="A1863B12">
      <w:start w:val="1"/>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64B5F"/>
    <w:multiLevelType w:val="hybridMultilevel"/>
    <w:tmpl w:val="8FD2EFB2"/>
    <w:lvl w:ilvl="0" w:tplc="0D3E7F52">
      <w:start w:val="1"/>
      <w:numFmt w:val="bullet"/>
      <w:lvlText w:val="-"/>
      <w:lvlJc w:val="left"/>
      <w:pPr>
        <w:tabs>
          <w:tab w:val="num" w:pos="568"/>
        </w:tabs>
        <w:ind w:left="568"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A7EA8"/>
    <w:multiLevelType w:val="hybridMultilevel"/>
    <w:tmpl w:val="929AC98A"/>
    <w:lvl w:ilvl="0" w:tplc="A1863B12">
      <w:start w:val="1"/>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B4403"/>
    <w:multiLevelType w:val="hybridMultilevel"/>
    <w:tmpl w:val="C9FECA26"/>
    <w:lvl w:ilvl="0" w:tplc="8FB22532">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C62C0D"/>
    <w:multiLevelType w:val="hybridMultilevel"/>
    <w:tmpl w:val="6B32F2F4"/>
    <w:lvl w:ilvl="0" w:tplc="A1863B12">
      <w:start w:val="1"/>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4B644A4"/>
    <w:multiLevelType w:val="hybridMultilevel"/>
    <w:tmpl w:val="B7E8EC86"/>
    <w:lvl w:ilvl="0" w:tplc="04090001">
      <w:start w:val="1"/>
      <w:numFmt w:val="bullet"/>
      <w:lvlText w:val=""/>
      <w:lvlJc w:val="left"/>
      <w:pPr>
        <w:ind w:left="360" w:hanging="360"/>
      </w:pPr>
      <w:rPr>
        <w:rFonts w:ascii="Symbol" w:hAnsi="Symbol" w:hint="default"/>
      </w:rPr>
    </w:lvl>
    <w:lvl w:ilvl="1" w:tplc="512C57C0">
      <w:start w:val="1"/>
      <w:numFmt w:val="bullet"/>
      <w:lvlText w:val="-"/>
      <w:lvlJc w:val="left"/>
      <w:pPr>
        <w:ind w:left="1058" w:hanging="360"/>
      </w:pPr>
      <w:rPr>
        <w:rFonts w:ascii="Times New Roman" w:hAnsi="Times New Roman" w:cs="Times New Roman" w:hint="default"/>
      </w:rPr>
    </w:lvl>
    <w:lvl w:ilvl="2" w:tplc="4E22BDB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FE20F0"/>
    <w:multiLevelType w:val="hybridMultilevel"/>
    <w:tmpl w:val="BF187E04"/>
    <w:lvl w:ilvl="0" w:tplc="0D3E7F52">
      <w:start w:val="1"/>
      <w:numFmt w:val="bullet"/>
      <w:lvlText w:val="-"/>
      <w:lvlJc w:val="left"/>
      <w:pPr>
        <w:tabs>
          <w:tab w:val="num" w:pos="628"/>
        </w:tabs>
        <w:ind w:left="628" w:hanging="567"/>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F536B9"/>
    <w:multiLevelType w:val="hybridMultilevel"/>
    <w:tmpl w:val="1BC23166"/>
    <w:lvl w:ilvl="0" w:tplc="A1863B12">
      <w:start w:val="1"/>
      <w:numFmt w:val="bullet"/>
      <w:lvlText w:val="-"/>
      <w:lvlJc w:val="left"/>
      <w:pPr>
        <w:tabs>
          <w:tab w:val="num" w:pos="567"/>
        </w:tabs>
        <w:ind w:left="567" w:hanging="567"/>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003C9"/>
    <w:multiLevelType w:val="hybridMultilevel"/>
    <w:tmpl w:val="CFD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652473"/>
    <w:multiLevelType w:val="hybridMultilevel"/>
    <w:tmpl w:val="F34432E4"/>
    <w:lvl w:ilvl="0" w:tplc="A1863B12">
      <w:start w:val="1"/>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8B4268"/>
    <w:multiLevelType w:val="hybridMultilevel"/>
    <w:tmpl w:val="8B8A9C92"/>
    <w:lvl w:ilvl="0" w:tplc="8FB22532">
      <w:numFmt w:val="bullet"/>
      <w:lvlText w:val="-"/>
      <w:lvlJc w:val="left"/>
      <w:pPr>
        <w:ind w:left="360" w:hanging="360"/>
      </w:pPr>
      <w:rPr>
        <w:rFonts w:ascii="Times New Roman" w:eastAsia="Times New Roman" w:hAnsi="Times New Roman" w:cs="Times New Roman" w:hint="default"/>
      </w:rPr>
    </w:lvl>
    <w:lvl w:ilvl="1" w:tplc="512C57C0">
      <w:start w:val="1"/>
      <w:numFmt w:val="bullet"/>
      <w:lvlText w:val="-"/>
      <w:lvlJc w:val="left"/>
      <w:pPr>
        <w:ind w:left="1058"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AE76E9"/>
    <w:multiLevelType w:val="hybridMultilevel"/>
    <w:tmpl w:val="115A0034"/>
    <w:lvl w:ilvl="0" w:tplc="8FB22532">
      <w:numFmt w:val="bullet"/>
      <w:lvlText w:val="-"/>
      <w:lvlJc w:val="left"/>
      <w:pPr>
        <w:ind w:left="360" w:hanging="360"/>
      </w:pPr>
      <w:rPr>
        <w:rFonts w:ascii="Times New Roman" w:eastAsia="Times New Roman" w:hAnsi="Times New Roman" w:cs="Times New Roman" w:hint="default"/>
      </w:rPr>
    </w:lvl>
    <w:lvl w:ilvl="1" w:tplc="512C57C0">
      <w:start w:val="1"/>
      <w:numFmt w:val="bullet"/>
      <w:lvlText w:val="-"/>
      <w:lvlJc w:val="left"/>
      <w:pPr>
        <w:ind w:left="1058"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5D2868"/>
    <w:multiLevelType w:val="hybridMultilevel"/>
    <w:tmpl w:val="C41289C8"/>
    <w:lvl w:ilvl="0" w:tplc="8FB2253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10F48D7"/>
    <w:multiLevelType w:val="hybridMultilevel"/>
    <w:tmpl w:val="6BA2C3CA"/>
    <w:lvl w:ilvl="0" w:tplc="BC5E0D68">
      <w:numFmt w:val="bullet"/>
      <w:lvlText w:val="o"/>
      <w:lvlJc w:val="left"/>
      <w:pPr>
        <w:ind w:left="1311" w:hanging="361"/>
      </w:pPr>
      <w:rPr>
        <w:rFonts w:ascii="Courier New" w:eastAsia="Courier New" w:hAnsi="Courier New" w:cs="Courier New" w:hint="default"/>
        <w:w w:val="100"/>
        <w:sz w:val="22"/>
        <w:szCs w:val="22"/>
      </w:rPr>
    </w:lvl>
    <w:lvl w:ilvl="1" w:tplc="B9A47D46">
      <w:numFmt w:val="bullet"/>
      <w:lvlText w:val="•"/>
      <w:lvlJc w:val="left"/>
      <w:pPr>
        <w:ind w:left="2152" w:hanging="361"/>
      </w:pPr>
      <w:rPr>
        <w:rFonts w:hint="default"/>
      </w:rPr>
    </w:lvl>
    <w:lvl w:ilvl="2" w:tplc="68C25350">
      <w:numFmt w:val="bullet"/>
      <w:lvlText w:val="•"/>
      <w:lvlJc w:val="left"/>
      <w:pPr>
        <w:ind w:left="2985" w:hanging="361"/>
      </w:pPr>
      <w:rPr>
        <w:rFonts w:hint="default"/>
      </w:rPr>
    </w:lvl>
    <w:lvl w:ilvl="3" w:tplc="B63EDF06">
      <w:numFmt w:val="bullet"/>
      <w:lvlText w:val="•"/>
      <w:lvlJc w:val="left"/>
      <w:pPr>
        <w:ind w:left="3817" w:hanging="361"/>
      </w:pPr>
      <w:rPr>
        <w:rFonts w:hint="default"/>
      </w:rPr>
    </w:lvl>
    <w:lvl w:ilvl="4" w:tplc="68CCE308">
      <w:numFmt w:val="bullet"/>
      <w:lvlText w:val="•"/>
      <w:lvlJc w:val="left"/>
      <w:pPr>
        <w:ind w:left="4650" w:hanging="361"/>
      </w:pPr>
      <w:rPr>
        <w:rFonts w:hint="default"/>
      </w:rPr>
    </w:lvl>
    <w:lvl w:ilvl="5" w:tplc="409E7CBC">
      <w:numFmt w:val="bullet"/>
      <w:lvlText w:val="•"/>
      <w:lvlJc w:val="left"/>
      <w:pPr>
        <w:ind w:left="5483" w:hanging="361"/>
      </w:pPr>
      <w:rPr>
        <w:rFonts w:hint="default"/>
      </w:rPr>
    </w:lvl>
    <w:lvl w:ilvl="6" w:tplc="9A5AE298">
      <w:numFmt w:val="bullet"/>
      <w:lvlText w:val="•"/>
      <w:lvlJc w:val="left"/>
      <w:pPr>
        <w:ind w:left="6315" w:hanging="361"/>
      </w:pPr>
      <w:rPr>
        <w:rFonts w:hint="default"/>
      </w:rPr>
    </w:lvl>
    <w:lvl w:ilvl="7" w:tplc="5C36EEA8">
      <w:numFmt w:val="bullet"/>
      <w:lvlText w:val="•"/>
      <w:lvlJc w:val="left"/>
      <w:pPr>
        <w:ind w:left="7148" w:hanging="361"/>
      </w:pPr>
      <w:rPr>
        <w:rFonts w:hint="default"/>
      </w:rPr>
    </w:lvl>
    <w:lvl w:ilvl="8" w:tplc="49EC50F0">
      <w:numFmt w:val="bullet"/>
      <w:lvlText w:val="•"/>
      <w:lvlJc w:val="left"/>
      <w:pPr>
        <w:ind w:left="7981" w:hanging="361"/>
      </w:pPr>
      <w:rPr>
        <w:rFonts w:hint="default"/>
      </w:rPr>
    </w:lvl>
  </w:abstractNum>
  <w:abstractNum w:abstractNumId="20" w15:restartNumberingAfterBreak="0">
    <w:nsid w:val="32B4504B"/>
    <w:multiLevelType w:val="multilevel"/>
    <w:tmpl w:val="455E8864"/>
    <w:lvl w:ilvl="0">
      <w:start w:val="1"/>
      <w:numFmt w:val="bullet"/>
      <w:lvlText w:val=""/>
      <w:lvlJc w:val="left"/>
      <w:pPr>
        <w:tabs>
          <w:tab w:val="num" w:pos="567"/>
        </w:tabs>
        <w:ind w:left="567" w:hanging="567"/>
      </w:pPr>
      <w:rPr>
        <w:rFonts w:ascii="Symbol" w:hAnsi="Symbol"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040B3"/>
    <w:multiLevelType w:val="hybridMultilevel"/>
    <w:tmpl w:val="3C9A3A94"/>
    <w:lvl w:ilvl="0" w:tplc="A2285D2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054DF"/>
    <w:multiLevelType w:val="hybridMultilevel"/>
    <w:tmpl w:val="84B0E34A"/>
    <w:lvl w:ilvl="0" w:tplc="4784033E">
      <w:numFmt w:val="bullet"/>
      <w:lvlText w:val=""/>
      <w:lvlJc w:val="left"/>
      <w:pPr>
        <w:ind w:left="797" w:hanging="567"/>
      </w:pPr>
      <w:rPr>
        <w:rFonts w:ascii="Symbol" w:eastAsia="Symbol" w:hAnsi="Symbol" w:cs="Symbol" w:hint="default"/>
        <w:w w:val="100"/>
        <w:sz w:val="22"/>
        <w:szCs w:val="22"/>
      </w:rPr>
    </w:lvl>
    <w:lvl w:ilvl="1" w:tplc="B9EAD2AA">
      <w:numFmt w:val="bullet"/>
      <w:lvlText w:val="-"/>
      <w:lvlJc w:val="left"/>
      <w:pPr>
        <w:ind w:left="951" w:hanging="360"/>
      </w:pPr>
      <w:rPr>
        <w:rFonts w:hint="default"/>
        <w:w w:val="100"/>
      </w:rPr>
    </w:lvl>
    <w:lvl w:ilvl="2" w:tplc="650C0F14">
      <w:numFmt w:val="bullet"/>
      <w:lvlText w:val="•"/>
      <w:lvlJc w:val="left"/>
      <w:pPr>
        <w:ind w:left="1320" w:hanging="360"/>
      </w:pPr>
      <w:rPr>
        <w:rFonts w:hint="default"/>
      </w:rPr>
    </w:lvl>
    <w:lvl w:ilvl="3" w:tplc="D9EE0BEE">
      <w:numFmt w:val="bullet"/>
      <w:lvlText w:val="•"/>
      <w:lvlJc w:val="left"/>
      <w:pPr>
        <w:ind w:left="1520" w:hanging="360"/>
      </w:pPr>
      <w:rPr>
        <w:rFonts w:hint="default"/>
      </w:rPr>
    </w:lvl>
    <w:lvl w:ilvl="4" w:tplc="02860A70">
      <w:numFmt w:val="bullet"/>
      <w:lvlText w:val="•"/>
      <w:lvlJc w:val="left"/>
      <w:pPr>
        <w:ind w:left="2680" w:hanging="360"/>
      </w:pPr>
      <w:rPr>
        <w:rFonts w:hint="default"/>
      </w:rPr>
    </w:lvl>
    <w:lvl w:ilvl="5" w:tplc="D32600C8">
      <w:numFmt w:val="bullet"/>
      <w:lvlText w:val="•"/>
      <w:lvlJc w:val="left"/>
      <w:pPr>
        <w:ind w:left="3841" w:hanging="360"/>
      </w:pPr>
      <w:rPr>
        <w:rFonts w:hint="default"/>
      </w:rPr>
    </w:lvl>
    <w:lvl w:ilvl="6" w:tplc="34EA6E32">
      <w:numFmt w:val="bullet"/>
      <w:lvlText w:val="•"/>
      <w:lvlJc w:val="left"/>
      <w:pPr>
        <w:ind w:left="5002" w:hanging="360"/>
      </w:pPr>
      <w:rPr>
        <w:rFonts w:hint="default"/>
      </w:rPr>
    </w:lvl>
    <w:lvl w:ilvl="7" w:tplc="E548AB94">
      <w:numFmt w:val="bullet"/>
      <w:lvlText w:val="•"/>
      <w:lvlJc w:val="left"/>
      <w:pPr>
        <w:ind w:left="6163" w:hanging="360"/>
      </w:pPr>
      <w:rPr>
        <w:rFonts w:hint="default"/>
      </w:rPr>
    </w:lvl>
    <w:lvl w:ilvl="8" w:tplc="F3EE80A2">
      <w:numFmt w:val="bullet"/>
      <w:lvlText w:val="•"/>
      <w:lvlJc w:val="left"/>
      <w:pPr>
        <w:ind w:left="7324" w:hanging="360"/>
      </w:pPr>
      <w:rPr>
        <w:rFonts w:hint="default"/>
      </w:rPr>
    </w:lvl>
  </w:abstractNum>
  <w:abstractNum w:abstractNumId="26" w15:restartNumberingAfterBreak="0">
    <w:nsid w:val="51F5B55D"/>
    <w:multiLevelType w:val="hybridMultilevel"/>
    <w:tmpl w:val="73FEAF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BF499D"/>
    <w:multiLevelType w:val="hybridMultilevel"/>
    <w:tmpl w:val="D21E88FE"/>
    <w:lvl w:ilvl="0" w:tplc="F164413A">
      <w:start w:val="4"/>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7B149BD"/>
    <w:multiLevelType w:val="multilevel"/>
    <w:tmpl w:val="498293EA"/>
    <w:lvl w:ilvl="0">
      <w:start w:val="1"/>
      <w:numFmt w:val="bullet"/>
      <w:lvlText w:val=""/>
      <w:lvlJc w:val="left"/>
      <w:pPr>
        <w:tabs>
          <w:tab w:val="num" w:pos="567"/>
        </w:tabs>
        <w:ind w:left="567" w:hanging="567"/>
      </w:pPr>
      <w:rPr>
        <w:rFonts w:ascii="Symbol" w:hAnsi="Symbol"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390983"/>
    <w:multiLevelType w:val="multilevel"/>
    <w:tmpl w:val="3FA4F0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FF22FF"/>
    <w:multiLevelType w:val="hybridMultilevel"/>
    <w:tmpl w:val="A988394E"/>
    <w:lvl w:ilvl="0" w:tplc="8FB2253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87CA6"/>
    <w:multiLevelType w:val="hybridMultilevel"/>
    <w:tmpl w:val="F886D56E"/>
    <w:lvl w:ilvl="0" w:tplc="0554EA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8F52FE"/>
    <w:multiLevelType w:val="hybridMultilevel"/>
    <w:tmpl w:val="1E2034F4"/>
    <w:lvl w:ilvl="0" w:tplc="A1863B12">
      <w:start w:val="1"/>
      <w:numFmt w:val="bullet"/>
      <w:lvlText w:val="-"/>
      <w:lvlJc w:val="left"/>
      <w:pPr>
        <w:tabs>
          <w:tab w:val="num" w:pos="567"/>
        </w:tabs>
        <w:ind w:left="567" w:hanging="567"/>
      </w:pPr>
      <w:rPr>
        <w:rFonts w:ascii="Times New Roman" w:eastAsia="Times New Roman" w:hAnsi="Times New Roman" w:hint="default"/>
      </w:rPr>
    </w:lvl>
    <w:lvl w:ilvl="1" w:tplc="6DDAA678">
      <w:start w:val="1"/>
      <w:numFmt w:val="bullet"/>
      <w:lvlText w:val="o"/>
      <w:lvlJc w:val="left"/>
      <w:pPr>
        <w:tabs>
          <w:tab w:val="num" w:pos="1134"/>
        </w:tabs>
        <w:ind w:left="1134" w:hanging="567"/>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27E78"/>
    <w:multiLevelType w:val="hybridMultilevel"/>
    <w:tmpl w:val="0B0E77C2"/>
    <w:lvl w:ilvl="0" w:tplc="8FB22532">
      <w:numFmt w:val="bullet"/>
      <w:lvlText w:val="-"/>
      <w:lvlJc w:val="left"/>
      <w:pPr>
        <w:ind w:left="360" w:hanging="360"/>
      </w:pPr>
      <w:rPr>
        <w:rFonts w:ascii="Times New Roman" w:eastAsia="Times New Roman" w:hAnsi="Times New Roman" w:cs="Times New Roman" w:hint="default"/>
      </w:rPr>
    </w:lvl>
    <w:lvl w:ilvl="1" w:tplc="512C57C0">
      <w:start w:val="1"/>
      <w:numFmt w:val="bullet"/>
      <w:lvlText w:val="-"/>
      <w:lvlJc w:val="left"/>
      <w:pPr>
        <w:ind w:left="1058"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2"/>
  </w:num>
  <w:num w:numId="3">
    <w:abstractNumId w:val="8"/>
  </w:num>
  <w:num w:numId="4">
    <w:abstractNumId w:val="1"/>
    <w:lvlOverride w:ilvl="0">
      <w:lvl w:ilvl="0">
        <w:start w:val="1"/>
        <w:numFmt w:val="bullet"/>
        <w:lvlText w:val="-"/>
        <w:legacy w:legacy="1" w:legacySpace="0" w:legacyIndent="360"/>
        <w:lvlJc w:val="left"/>
        <w:pPr>
          <w:ind w:left="360" w:hanging="360"/>
        </w:pPr>
      </w:lvl>
    </w:lvlOverride>
  </w:num>
  <w:num w:numId="5">
    <w:abstractNumId w:val="30"/>
  </w:num>
  <w:num w:numId="6">
    <w:abstractNumId w:val="32"/>
  </w:num>
  <w:num w:numId="7">
    <w:abstractNumId w:val="21"/>
  </w:num>
  <w:num w:numId="8">
    <w:abstractNumId w:val="27"/>
  </w:num>
  <w:num w:numId="9">
    <w:abstractNumId w:val="14"/>
  </w:num>
  <w:num w:numId="10">
    <w:abstractNumId w:val="22"/>
  </w:num>
  <w:num w:numId="11">
    <w:abstractNumId w:val="11"/>
  </w:num>
  <w:num w:numId="12">
    <w:abstractNumId w:val="35"/>
  </w:num>
  <w:num w:numId="13">
    <w:abstractNumId w:val="10"/>
  </w:num>
  <w:num w:numId="14">
    <w:abstractNumId w:val="4"/>
  </w:num>
  <w:num w:numId="15">
    <w:abstractNumId w:val="5"/>
  </w:num>
  <w:num w:numId="16">
    <w:abstractNumId w:val="3"/>
  </w:num>
  <w:num w:numId="17">
    <w:abstractNumId w:val="7"/>
  </w:num>
  <w:num w:numId="18">
    <w:abstractNumId w:val="15"/>
  </w:num>
  <w:num w:numId="19">
    <w:abstractNumId w:val="2"/>
  </w:num>
  <w:num w:numId="20">
    <w:abstractNumId w:val="31"/>
  </w:num>
  <w:num w:numId="21">
    <w:abstractNumId w:val="20"/>
  </w:num>
  <w:num w:numId="22">
    <w:abstractNumId w:val="29"/>
  </w:num>
  <w:num w:numId="23">
    <w:abstractNumId w:val="34"/>
  </w:num>
  <w:num w:numId="24">
    <w:abstractNumId w:val="26"/>
  </w:num>
  <w:num w:numId="25">
    <w:abstractNumId w:val="0"/>
  </w:num>
  <w:num w:numId="26">
    <w:abstractNumId w:val="13"/>
  </w:num>
  <w:num w:numId="27">
    <w:abstractNumId w:val="9"/>
  </w:num>
  <w:num w:numId="28">
    <w:abstractNumId w:val="6"/>
  </w:num>
  <w:num w:numId="29">
    <w:abstractNumId w:val="16"/>
  </w:num>
  <w:num w:numId="30">
    <w:abstractNumId w:val="24"/>
  </w:num>
  <w:num w:numId="31">
    <w:abstractNumId w:val="28"/>
  </w:num>
  <w:num w:numId="32">
    <w:abstractNumId w:val="17"/>
  </w:num>
  <w:num w:numId="33">
    <w:abstractNumId w:val="36"/>
  </w:num>
  <w:num w:numId="34">
    <w:abstractNumId w:val="33"/>
  </w:num>
  <w:num w:numId="35">
    <w:abstractNumId w:val="18"/>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7D"/>
    <w:rsid w:val="00013186"/>
    <w:rsid w:val="00083032"/>
    <w:rsid w:val="000831AD"/>
    <w:rsid w:val="00097268"/>
    <w:rsid w:val="000A2A1D"/>
    <w:rsid w:val="001144D3"/>
    <w:rsid w:val="00114D0D"/>
    <w:rsid w:val="00145898"/>
    <w:rsid w:val="001A317E"/>
    <w:rsid w:val="001A3D6C"/>
    <w:rsid w:val="001A6E3A"/>
    <w:rsid w:val="001D03BF"/>
    <w:rsid w:val="001E4673"/>
    <w:rsid w:val="001E6233"/>
    <w:rsid w:val="00211656"/>
    <w:rsid w:val="0021654C"/>
    <w:rsid w:val="00222569"/>
    <w:rsid w:val="0023214A"/>
    <w:rsid w:val="002325BC"/>
    <w:rsid w:val="002A023B"/>
    <w:rsid w:val="002C35FD"/>
    <w:rsid w:val="002E7D32"/>
    <w:rsid w:val="003176CC"/>
    <w:rsid w:val="00321DF1"/>
    <w:rsid w:val="00331B83"/>
    <w:rsid w:val="0037570E"/>
    <w:rsid w:val="00375CA4"/>
    <w:rsid w:val="00390F03"/>
    <w:rsid w:val="004313CC"/>
    <w:rsid w:val="00432F82"/>
    <w:rsid w:val="00451C15"/>
    <w:rsid w:val="00453F66"/>
    <w:rsid w:val="00481A6B"/>
    <w:rsid w:val="004D1AAA"/>
    <w:rsid w:val="004D50B5"/>
    <w:rsid w:val="004E60EA"/>
    <w:rsid w:val="00517B37"/>
    <w:rsid w:val="00533D65"/>
    <w:rsid w:val="00585824"/>
    <w:rsid w:val="005A2033"/>
    <w:rsid w:val="005F5B0C"/>
    <w:rsid w:val="00607523"/>
    <w:rsid w:val="00620355"/>
    <w:rsid w:val="006E1E76"/>
    <w:rsid w:val="006E47ED"/>
    <w:rsid w:val="006E49F5"/>
    <w:rsid w:val="00720A62"/>
    <w:rsid w:val="00734024"/>
    <w:rsid w:val="007359A2"/>
    <w:rsid w:val="00786815"/>
    <w:rsid w:val="007D1DDD"/>
    <w:rsid w:val="00890D50"/>
    <w:rsid w:val="008920BB"/>
    <w:rsid w:val="008B3DF3"/>
    <w:rsid w:val="008E64A4"/>
    <w:rsid w:val="0093118C"/>
    <w:rsid w:val="00932A58"/>
    <w:rsid w:val="00992655"/>
    <w:rsid w:val="009B553B"/>
    <w:rsid w:val="009D2D73"/>
    <w:rsid w:val="009F37C2"/>
    <w:rsid w:val="00A267FC"/>
    <w:rsid w:val="00A273A1"/>
    <w:rsid w:val="00A40D04"/>
    <w:rsid w:val="00A7111D"/>
    <w:rsid w:val="00AA333F"/>
    <w:rsid w:val="00AB2AC0"/>
    <w:rsid w:val="00B16E7D"/>
    <w:rsid w:val="00B20C7B"/>
    <w:rsid w:val="00B52C19"/>
    <w:rsid w:val="00B645DF"/>
    <w:rsid w:val="00B92422"/>
    <w:rsid w:val="00BD616A"/>
    <w:rsid w:val="00BF7203"/>
    <w:rsid w:val="00C02689"/>
    <w:rsid w:val="00C31648"/>
    <w:rsid w:val="00C330EE"/>
    <w:rsid w:val="00C67C0D"/>
    <w:rsid w:val="00C75F6B"/>
    <w:rsid w:val="00CA7204"/>
    <w:rsid w:val="00CF325C"/>
    <w:rsid w:val="00CF6BC2"/>
    <w:rsid w:val="00D248C8"/>
    <w:rsid w:val="00D36A2B"/>
    <w:rsid w:val="00D42407"/>
    <w:rsid w:val="00DA3273"/>
    <w:rsid w:val="00DB278E"/>
    <w:rsid w:val="00DD053F"/>
    <w:rsid w:val="00DE73F8"/>
    <w:rsid w:val="00DF39EC"/>
    <w:rsid w:val="00E02D19"/>
    <w:rsid w:val="00E5456C"/>
    <w:rsid w:val="00E617AD"/>
    <w:rsid w:val="00E73DCA"/>
    <w:rsid w:val="00E935E7"/>
    <w:rsid w:val="00EC5247"/>
    <w:rsid w:val="00F12A8F"/>
    <w:rsid w:val="00F164AA"/>
    <w:rsid w:val="00F171CD"/>
    <w:rsid w:val="00F2401E"/>
    <w:rsid w:val="00F46A66"/>
    <w:rsid w:val="00FB65DC"/>
    <w:rsid w:val="00FC2FEE"/>
    <w:rsid w:val="00FE1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062B1"/>
  <w15:chartTrackingRefBased/>
  <w15:docId w15:val="{B20D648E-48D7-49E8-9D8C-D5634378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171CD"/>
    <w:pPr>
      <w:keepNext/>
      <w:spacing w:before="240" w:after="60"/>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F171CD"/>
    <w:pPr>
      <w:keepNext/>
      <w:tabs>
        <w:tab w:val="left" w:pos="4300"/>
        <w:tab w:val="left" w:pos="5940"/>
        <w:tab w:val="left" w:pos="8180"/>
      </w:tabs>
      <w:spacing w:line="360" w:lineRule="atLeast"/>
      <w:outlineLvl w:val="1"/>
    </w:pPr>
    <w:rPr>
      <w:b/>
      <w:szCs w:val="20"/>
      <w:u w:val="single"/>
      <w:lang w:eastAsia="sl-SI"/>
    </w:rPr>
  </w:style>
  <w:style w:type="paragraph" w:styleId="Heading3">
    <w:name w:val="heading 3"/>
    <w:basedOn w:val="Normal"/>
    <w:next w:val="Normal"/>
    <w:link w:val="Heading3Char"/>
    <w:qFormat/>
    <w:rsid w:val="00F171CD"/>
    <w:pPr>
      <w:keepNext/>
      <w:tabs>
        <w:tab w:val="decimal" w:pos="6760"/>
      </w:tabs>
      <w:spacing w:line="480" w:lineRule="atLeast"/>
      <w:outlineLvl w:val="2"/>
    </w:pPr>
    <w:rPr>
      <w:b/>
      <w:szCs w:val="20"/>
      <w:lang w:eastAsia="sl-SI"/>
    </w:rPr>
  </w:style>
  <w:style w:type="paragraph" w:styleId="Heading4">
    <w:name w:val="heading 4"/>
    <w:basedOn w:val="Normal"/>
    <w:next w:val="Normal"/>
    <w:link w:val="Heading4Char"/>
    <w:qFormat/>
    <w:rsid w:val="00F171CD"/>
    <w:pPr>
      <w:keepNext/>
      <w:spacing w:before="240" w:after="60"/>
      <w:outlineLvl w:val="3"/>
    </w:pPr>
    <w:rPr>
      <w:b/>
      <w:bCs/>
      <w:sz w:val="28"/>
      <w:szCs w:val="28"/>
      <w:lang w:val="sl-SI" w:eastAsia="sl-SI"/>
    </w:rPr>
  </w:style>
  <w:style w:type="paragraph" w:styleId="Heading5">
    <w:name w:val="heading 5"/>
    <w:basedOn w:val="Normal"/>
    <w:next w:val="Normal"/>
    <w:link w:val="Heading5Char"/>
    <w:qFormat/>
    <w:rsid w:val="00F171CD"/>
    <w:pPr>
      <w:spacing w:before="240" w:after="60"/>
      <w:outlineLvl w:val="4"/>
    </w:pPr>
    <w:rPr>
      <w:rFonts w:ascii="Calibri" w:hAnsi="Calibri"/>
      <w:b/>
      <w:bCs/>
      <w:i/>
      <w:iCs/>
      <w:sz w:val="26"/>
      <w:szCs w:val="26"/>
      <w:lang w:val="sl-SI" w:eastAsia="sl-SI"/>
    </w:rPr>
  </w:style>
  <w:style w:type="paragraph" w:styleId="Heading6">
    <w:name w:val="heading 6"/>
    <w:basedOn w:val="Normal"/>
    <w:next w:val="Normal"/>
    <w:link w:val="Heading6Char"/>
    <w:qFormat/>
    <w:rsid w:val="00F171CD"/>
    <w:pPr>
      <w:keepNext/>
      <w:keepLines/>
      <w:tabs>
        <w:tab w:val="right" w:pos="4536"/>
        <w:tab w:val="left" w:pos="5180"/>
        <w:tab w:val="left" w:pos="5380"/>
        <w:tab w:val="left" w:pos="8222"/>
      </w:tabs>
      <w:outlineLvl w:val="5"/>
    </w:pPr>
    <w:rPr>
      <w:b/>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C19"/>
    <w:pPr>
      <w:tabs>
        <w:tab w:val="center" w:pos="4536"/>
        <w:tab w:val="right" w:pos="9072"/>
      </w:tabs>
    </w:pPr>
  </w:style>
  <w:style w:type="character" w:customStyle="1" w:styleId="HeaderChar">
    <w:name w:val="Header Char"/>
    <w:link w:val="Header"/>
    <w:rsid w:val="00B52C19"/>
    <w:rPr>
      <w:sz w:val="24"/>
      <w:szCs w:val="24"/>
      <w:lang w:val="en-US" w:eastAsia="en-US"/>
    </w:rPr>
  </w:style>
  <w:style w:type="paragraph" w:styleId="Footer">
    <w:name w:val="footer"/>
    <w:basedOn w:val="Normal"/>
    <w:link w:val="FooterChar"/>
    <w:rsid w:val="00B52C19"/>
    <w:pPr>
      <w:tabs>
        <w:tab w:val="center" w:pos="4536"/>
        <w:tab w:val="right" w:pos="9072"/>
      </w:tabs>
    </w:pPr>
  </w:style>
  <w:style w:type="character" w:customStyle="1" w:styleId="FooterChar">
    <w:name w:val="Footer Char"/>
    <w:link w:val="Footer"/>
    <w:rsid w:val="00B52C19"/>
    <w:rPr>
      <w:sz w:val="24"/>
      <w:szCs w:val="24"/>
      <w:lang w:val="en-US" w:eastAsia="en-US"/>
    </w:rPr>
  </w:style>
  <w:style w:type="character" w:customStyle="1" w:styleId="Heading1Char">
    <w:name w:val="Heading 1 Char"/>
    <w:link w:val="Heading1"/>
    <w:rsid w:val="00F171CD"/>
    <w:rPr>
      <w:rFonts w:ascii="Arial" w:hAnsi="Arial" w:cs="Arial"/>
      <w:b/>
      <w:bCs/>
      <w:kern w:val="32"/>
      <w:sz w:val="32"/>
      <w:szCs w:val="32"/>
    </w:rPr>
  </w:style>
  <w:style w:type="character" w:customStyle="1" w:styleId="Heading2Char">
    <w:name w:val="Heading 2 Char"/>
    <w:link w:val="Heading2"/>
    <w:rsid w:val="00F171CD"/>
    <w:rPr>
      <w:b/>
      <w:sz w:val="24"/>
      <w:u w:val="single"/>
      <w:lang w:val="en-US"/>
    </w:rPr>
  </w:style>
  <w:style w:type="character" w:customStyle="1" w:styleId="Heading3Char">
    <w:name w:val="Heading 3 Char"/>
    <w:link w:val="Heading3"/>
    <w:rsid w:val="00F171CD"/>
    <w:rPr>
      <w:b/>
      <w:sz w:val="24"/>
      <w:lang w:val="en-US"/>
    </w:rPr>
  </w:style>
  <w:style w:type="character" w:customStyle="1" w:styleId="Heading4Char">
    <w:name w:val="Heading 4 Char"/>
    <w:link w:val="Heading4"/>
    <w:rsid w:val="00F171CD"/>
    <w:rPr>
      <w:b/>
      <w:bCs/>
      <w:sz w:val="28"/>
      <w:szCs w:val="28"/>
    </w:rPr>
  </w:style>
  <w:style w:type="character" w:customStyle="1" w:styleId="Heading5Char">
    <w:name w:val="Heading 5 Char"/>
    <w:link w:val="Heading5"/>
    <w:rsid w:val="00F171CD"/>
    <w:rPr>
      <w:rFonts w:ascii="Calibri" w:hAnsi="Calibri"/>
      <w:b/>
      <w:bCs/>
      <w:i/>
      <w:iCs/>
      <w:sz w:val="26"/>
      <w:szCs w:val="26"/>
    </w:rPr>
  </w:style>
  <w:style w:type="character" w:customStyle="1" w:styleId="Heading6Char">
    <w:name w:val="Heading 6 Char"/>
    <w:link w:val="Heading6"/>
    <w:rsid w:val="00F171CD"/>
    <w:rPr>
      <w:b/>
      <w:sz w:val="24"/>
      <w:lang w:val="en-US"/>
    </w:rPr>
  </w:style>
  <w:style w:type="numbering" w:customStyle="1" w:styleId="Brezseznama1">
    <w:name w:val="Brez seznama1"/>
    <w:next w:val="NoList"/>
    <w:semiHidden/>
    <w:rsid w:val="00F171CD"/>
  </w:style>
  <w:style w:type="table" w:styleId="TableGrid">
    <w:name w:val="Table Grid"/>
    <w:basedOn w:val="TableNormal"/>
    <w:rsid w:val="00F1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F171CD"/>
  </w:style>
  <w:style w:type="character" w:styleId="Hyperlink">
    <w:name w:val="Hyperlink"/>
    <w:rsid w:val="00F171CD"/>
    <w:rPr>
      <w:rFonts w:ascii="Times New Roman" w:hAnsi="Times New Roman"/>
      <w:color w:val="auto"/>
      <w:sz w:val="24"/>
      <w:szCs w:val="24"/>
      <w:u w:val="single"/>
      <w:lang w:val="en-US"/>
    </w:rPr>
  </w:style>
  <w:style w:type="character" w:styleId="FollowedHyperlink">
    <w:name w:val="FollowedHyperlink"/>
    <w:rsid w:val="00F171CD"/>
    <w:rPr>
      <w:color w:val="800080"/>
      <w:u w:val="single"/>
    </w:rPr>
  </w:style>
  <w:style w:type="paragraph" w:styleId="PlainText">
    <w:name w:val="Plain Text"/>
    <w:basedOn w:val="Normal"/>
    <w:link w:val="PlainTextChar"/>
    <w:rsid w:val="00F171CD"/>
    <w:rPr>
      <w:rFonts w:ascii="Courier New" w:hAnsi="Courier New"/>
      <w:sz w:val="20"/>
      <w:szCs w:val="20"/>
      <w:lang w:val="en-GB" w:eastAsia="sl-SI"/>
    </w:rPr>
  </w:style>
  <w:style w:type="character" w:customStyle="1" w:styleId="PlainTextChar">
    <w:name w:val="Plain Text Char"/>
    <w:link w:val="PlainText"/>
    <w:rsid w:val="00F171CD"/>
    <w:rPr>
      <w:rFonts w:ascii="Courier New" w:hAnsi="Courier New"/>
      <w:lang w:val="en-GB"/>
    </w:rPr>
  </w:style>
  <w:style w:type="paragraph" w:styleId="Caption">
    <w:name w:val="caption"/>
    <w:basedOn w:val="Normal"/>
    <w:next w:val="Normal"/>
    <w:qFormat/>
    <w:rsid w:val="00F171CD"/>
    <w:pPr>
      <w:jc w:val="both"/>
    </w:pPr>
    <w:rPr>
      <w:szCs w:val="20"/>
      <w:lang w:val="en-GB" w:eastAsia="sl-SI"/>
    </w:rPr>
  </w:style>
  <w:style w:type="paragraph" w:customStyle="1" w:styleId="Naslov1">
    <w:name w:val="Naslov1"/>
    <w:basedOn w:val="Heading1"/>
    <w:rsid w:val="00F171CD"/>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F171CD"/>
    <w:pPr>
      <w:spacing w:before="120"/>
    </w:pPr>
    <w:rPr>
      <w:b/>
      <w:bCs/>
      <w:i/>
      <w:iCs/>
      <w:szCs w:val="28"/>
      <w:lang w:val="sl-SI" w:eastAsia="sl-SI"/>
    </w:rPr>
  </w:style>
  <w:style w:type="paragraph" w:styleId="BodyText">
    <w:name w:val="Body Text"/>
    <w:basedOn w:val="Normal"/>
    <w:link w:val="BodyTextChar"/>
    <w:rsid w:val="00F171CD"/>
    <w:pPr>
      <w:numPr>
        <w:ilvl w:val="12"/>
      </w:numPr>
      <w:tabs>
        <w:tab w:val="left" w:pos="8505"/>
      </w:tabs>
      <w:ind w:right="-2"/>
    </w:pPr>
    <w:rPr>
      <w:sz w:val="22"/>
      <w:szCs w:val="20"/>
      <w:lang w:val="sl-SI" w:eastAsia="sl-SI"/>
    </w:rPr>
  </w:style>
  <w:style w:type="character" w:customStyle="1" w:styleId="BodyTextChar">
    <w:name w:val="Body Text Char"/>
    <w:link w:val="BodyText"/>
    <w:rsid w:val="00F171CD"/>
    <w:rPr>
      <w:sz w:val="22"/>
    </w:rPr>
  </w:style>
  <w:style w:type="paragraph" w:styleId="BodyText2">
    <w:name w:val="Body Text 2"/>
    <w:basedOn w:val="Normal"/>
    <w:link w:val="BodyText2Char"/>
    <w:rsid w:val="00F171CD"/>
    <w:pPr>
      <w:spacing w:after="120" w:line="480" w:lineRule="auto"/>
    </w:pPr>
    <w:rPr>
      <w:szCs w:val="20"/>
      <w:lang w:val="sl-SI" w:eastAsia="sl-SI"/>
    </w:rPr>
  </w:style>
  <w:style w:type="character" w:customStyle="1" w:styleId="BodyText2Char">
    <w:name w:val="Body Text 2 Char"/>
    <w:link w:val="BodyText2"/>
    <w:rsid w:val="00F171CD"/>
    <w:rPr>
      <w:sz w:val="24"/>
    </w:rPr>
  </w:style>
  <w:style w:type="paragraph" w:customStyle="1" w:styleId="EMEAEnBodyText">
    <w:name w:val="EMEA En Body Text"/>
    <w:basedOn w:val="Normal"/>
    <w:rsid w:val="00F171CD"/>
    <w:pPr>
      <w:spacing w:before="120" w:after="120"/>
      <w:jc w:val="both"/>
    </w:pPr>
    <w:rPr>
      <w:sz w:val="22"/>
      <w:szCs w:val="20"/>
    </w:rPr>
  </w:style>
  <w:style w:type="paragraph" w:customStyle="1" w:styleId="Default">
    <w:name w:val="Default"/>
    <w:rsid w:val="00F171CD"/>
    <w:pPr>
      <w:autoSpaceDE w:val="0"/>
      <w:autoSpaceDN w:val="0"/>
      <w:adjustRightInd w:val="0"/>
    </w:pPr>
    <w:rPr>
      <w:color w:val="000000"/>
      <w:sz w:val="24"/>
      <w:szCs w:val="24"/>
    </w:rPr>
  </w:style>
  <w:style w:type="paragraph" w:customStyle="1" w:styleId="naslovSmPC-a">
    <w:name w:val="naslov SmPC-a"/>
    <w:basedOn w:val="Normal"/>
    <w:rsid w:val="00F171CD"/>
    <w:pPr>
      <w:spacing w:before="240" w:after="120" w:line="360" w:lineRule="atLeast"/>
    </w:pPr>
    <w:rPr>
      <w:rFonts w:ascii="Arial" w:hAnsi="Arial"/>
      <w:b/>
      <w:szCs w:val="20"/>
      <w:lang w:val="en-GB"/>
    </w:rPr>
  </w:style>
  <w:style w:type="paragraph" w:customStyle="1" w:styleId="Style2">
    <w:name w:val="Style2"/>
    <w:basedOn w:val="Normal"/>
    <w:rsid w:val="00F171CD"/>
    <w:pPr>
      <w:spacing w:line="360" w:lineRule="atLeast"/>
      <w:ind w:left="567"/>
      <w:jc w:val="both"/>
    </w:pPr>
    <w:rPr>
      <w:rFonts w:ascii="Arial" w:hAnsi="Arial"/>
      <w:szCs w:val="20"/>
      <w:lang w:val="hr-HR"/>
    </w:rPr>
  </w:style>
  <w:style w:type="paragraph" w:styleId="BodyTextIndent2">
    <w:name w:val="Body Text Indent 2"/>
    <w:basedOn w:val="Normal"/>
    <w:link w:val="BodyTextIndent2Char"/>
    <w:rsid w:val="00F171CD"/>
    <w:pPr>
      <w:spacing w:after="120" w:line="480" w:lineRule="auto"/>
      <w:ind w:left="283"/>
    </w:pPr>
    <w:rPr>
      <w:szCs w:val="20"/>
      <w:lang w:val="sl-SI" w:eastAsia="sl-SI"/>
    </w:rPr>
  </w:style>
  <w:style w:type="character" w:customStyle="1" w:styleId="BodyTextIndent2Char">
    <w:name w:val="Body Text Indent 2 Char"/>
    <w:link w:val="BodyTextIndent2"/>
    <w:rsid w:val="00F171CD"/>
    <w:rPr>
      <w:sz w:val="24"/>
    </w:rPr>
  </w:style>
  <w:style w:type="paragraph" w:styleId="BalloonText">
    <w:name w:val="Balloon Text"/>
    <w:basedOn w:val="Normal"/>
    <w:link w:val="BalloonTextChar"/>
    <w:rsid w:val="00F171CD"/>
    <w:rPr>
      <w:rFonts w:ascii="Segoe UI" w:hAnsi="Segoe UI" w:cs="Segoe UI"/>
      <w:sz w:val="18"/>
      <w:szCs w:val="18"/>
      <w:lang w:val="sl-SI" w:eastAsia="sl-SI"/>
    </w:rPr>
  </w:style>
  <w:style w:type="character" w:customStyle="1" w:styleId="BalloonTextChar">
    <w:name w:val="Balloon Text Char"/>
    <w:link w:val="BalloonText"/>
    <w:rsid w:val="00F171CD"/>
    <w:rPr>
      <w:rFonts w:ascii="Segoe UI" w:hAnsi="Segoe UI" w:cs="Segoe UI"/>
      <w:sz w:val="18"/>
      <w:szCs w:val="18"/>
    </w:rPr>
  </w:style>
  <w:style w:type="paragraph" w:styleId="NoSpacing">
    <w:name w:val="No Spacing"/>
    <w:uiPriority w:val="1"/>
    <w:qFormat/>
    <w:rsid w:val="00F171C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21</Pages>
  <Words>10220</Words>
  <Characters>58256</Characters>
  <Application>Microsoft Office Word</Application>
  <DocSecurity>0</DocSecurity>
  <Lines>485</Lines>
  <Paragraphs>136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68340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Gordana Boljević</cp:lastModifiedBy>
  <cp:revision>5</cp:revision>
  <dcterms:created xsi:type="dcterms:W3CDTF">2023-02-03T12:02:00Z</dcterms:created>
  <dcterms:modified xsi:type="dcterms:W3CDTF">2023-02-08T11:27:00Z</dcterms:modified>
</cp:coreProperties>
</file>