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Default="001A5518" w:rsidP="001A5518">
      <w:pPr>
        <w:rPr>
          <w:b/>
          <w:bCs/>
          <w:i/>
          <w:iCs/>
          <w:sz w:val="22"/>
          <w:szCs w:val="22"/>
          <w:u w:val="single"/>
        </w:rPr>
      </w:pPr>
    </w:p>
    <w:p w:rsidR="00F91C7B" w:rsidRPr="00786071" w:rsidRDefault="00F91C7B" w:rsidP="001A5518">
      <w:pPr>
        <w:rPr>
          <w:b/>
          <w:bCs/>
          <w:i/>
          <w:iCs/>
          <w:sz w:val="22"/>
          <w:szCs w:val="22"/>
          <w:u w:val="single"/>
        </w:rPr>
      </w:pPr>
    </w:p>
    <w:p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rsidR="00C37FD7" w:rsidRPr="00786071" w:rsidRDefault="00C37FD7" w:rsidP="00F5167F">
      <w:pPr>
        <w:tabs>
          <w:tab w:val="left" w:pos="540"/>
          <w:tab w:val="left" w:pos="569"/>
        </w:tabs>
        <w:rPr>
          <w:bCs/>
          <w:sz w:val="22"/>
          <w:szCs w:val="22"/>
        </w:rPr>
      </w:pPr>
    </w:p>
    <w:p w:rsidR="00C91645" w:rsidRDefault="00C91645" w:rsidP="00F5167F">
      <w:pPr>
        <w:tabs>
          <w:tab w:val="left" w:pos="540"/>
          <w:tab w:val="left" w:pos="569"/>
        </w:tabs>
        <w:rPr>
          <w:b/>
          <w:bCs/>
          <w:sz w:val="22"/>
          <w:szCs w:val="22"/>
        </w:rPr>
      </w:pPr>
    </w:p>
    <w:p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rsidR="00EC2532" w:rsidRPr="00786071" w:rsidRDefault="00EC2532">
      <w:pPr>
        <w:rPr>
          <w:sz w:val="22"/>
          <w:szCs w:val="22"/>
          <w:lang w:val="pl-PL"/>
        </w:rPr>
      </w:pPr>
    </w:p>
    <w:p w:rsidR="007105A7" w:rsidRPr="007105A7" w:rsidRDefault="007105A7" w:rsidP="007105A7">
      <w:pPr>
        <w:rPr>
          <w:iCs/>
          <w:sz w:val="22"/>
          <w:szCs w:val="22"/>
          <w:lang w:val="sr-Latn-ME"/>
        </w:rPr>
      </w:pPr>
      <w:r w:rsidRPr="007105A7">
        <w:rPr>
          <w:iCs/>
          <w:sz w:val="22"/>
          <w:szCs w:val="22"/>
          <w:lang w:val="sr-Latn-ME"/>
        </w:rPr>
        <w:t>Sunitinib Pliva</w:t>
      </w:r>
      <w:r w:rsidR="0094128E">
        <w:rPr>
          <w:iCs/>
          <w:sz w:val="22"/>
          <w:szCs w:val="22"/>
          <w:lang w:val="sr-Latn-ME"/>
        </w:rPr>
        <w:t>,</w:t>
      </w:r>
      <w:r w:rsidRPr="007105A7">
        <w:rPr>
          <w:iCs/>
          <w:sz w:val="22"/>
          <w:szCs w:val="22"/>
          <w:lang w:val="sr-Latn-ME"/>
        </w:rPr>
        <w:t xml:space="preserve"> 12,5 mg</w:t>
      </w:r>
      <w:r w:rsidR="0094128E">
        <w:rPr>
          <w:iCs/>
          <w:sz w:val="22"/>
          <w:szCs w:val="22"/>
          <w:lang w:val="sr-Latn-ME"/>
        </w:rPr>
        <w:t>,</w:t>
      </w:r>
      <w:r w:rsidRPr="007105A7">
        <w:rPr>
          <w:iCs/>
          <w:sz w:val="22"/>
          <w:szCs w:val="22"/>
          <w:lang w:val="sr-Latn-ME"/>
        </w:rPr>
        <w:t xml:space="preserve"> kapsula, tvrda </w:t>
      </w:r>
    </w:p>
    <w:p w:rsidR="007105A7" w:rsidRPr="007105A7" w:rsidRDefault="007105A7" w:rsidP="007105A7">
      <w:pPr>
        <w:rPr>
          <w:iCs/>
          <w:sz w:val="22"/>
          <w:szCs w:val="22"/>
          <w:lang w:val="sr-Latn-ME"/>
        </w:rPr>
      </w:pPr>
      <w:r w:rsidRPr="007105A7">
        <w:rPr>
          <w:iCs/>
          <w:sz w:val="22"/>
          <w:szCs w:val="22"/>
          <w:lang w:val="sr-Latn-ME"/>
        </w:rPr>
        <w:t>Sunitinib Pliva</w:t>
      </w:r>
      <w:r w:rsidR="0094128E">
        <w:rPr>
          <w:iCs/>
          <w:sz w:val="22"/>
          <w:szCs w:val="22"/>
          <w:lang w:val="sr-Latn-ME"/>
        </w:rPr>
        <w:t>,</w:t>
      </w:r>
      <w:r w:rsidRPr="007105A7">
        <w:rPr>
          <w:iCs/>
          <w:sz w:val="22"/>
          <w:szCs w:val="22"/>
          <w:lang w:val="sr-Latn-ME"/>
        </w:rPr>
        <w:t xml:space="preserve"> 25 mg</w:t>
      </w:r>
      <w:r w:rsidR="0094128E">
        <w:rPr>
          <w:iCs/>
          <w:sz w:val="22"/>
          <w:szCs w:val="22"/>
          <w:lang w:val="sr-Latn-ME"/>
        </w:rPr>
        <w:t>,</w:t>
      </w:r>
      <w:r w:rsidRPr="007105A7">
        <w:rPr>
          <w:iCs/>
          <w:sz w:val="22"/>
          <w:szCs w:val="22"/>
          <w:lang w:val="sr-Latn-ME"/>
        </w:rPr>
        <w:t xml:space="preserve"> kapsula, tvrda </w:t>
      </w:r>
    </w:p>
    <w:p w:rsidR="007105A7" w:rsidRPr="007105A7" w:rsidRDefault="007105A7" w:rsidP="007105A7">
      <w:pPr>
        <w:rPr>
          <w:iCs/>
          <w:sz w:val="22"/>
          <w:szCs w:val="22"/>
          <w:lang w:val="sr-Latn-ME"/>
        </w:rPr>
      </w:pPr>
      <w:r w:rsidRPr="007105A7">
        <w:rPr>
          <w:iCs/>
          <w:sz w:val="22"/>
          <w:szCs w:val="22"/>
          <w:lang w:val="sr-Latn-ME"/>
        </w:rPr>
        <w:t>Sunitinib Pliva</w:t>
      </w:r>
      <w:r w:rsidR="0094128E">
        <w:rPr>
          <w:iCs/>
          <w:sz w:val="22"/>
          <w:szCs w:val="22"/>
          <w:lang w:val="sr-Latn-ME"/>
        </w:rPr>
        <w:t>,</w:t>
      </w:r>
      <w:r w:rsidRPr="007105A7">
        <w:rPr>
          <w:iCs/>
          <w:sz w:val="22"/>
          <w:szCs w:val="22"/>
          <w:lang w:val="sr-Latn-ME"/>
        </w:rPr>
        <w:t xml:space="preserve"> 50 mg</w:t>
      </w:r>
      <w:r w:rsidR="0094128E">
        <w:rPr>
          <w:iCs/>
          <w:sz w:val="22"/>
          <w:szCs w:val="22"/>
          <w:lang w:val="sr-Latn-ME"/>
        </w:rPr>
        <w:t>,</w:t>
      </w:r>
      <w:r w:rsidRPr="007105A7">
        <w:rPr>
          <w:iCs/>
          <w:sz w:val="22"/>
          <w:szCs w:val="22"/>
          <w:lang w:val="sr-Latn-ME"/>
        </w:rPr>
        <w:t xml:space="preserve"> kapsula, tvrda</w:t>
      </w:r>
    </w:p>
    <w:p w:rsidR="007105A7" w:rsidRPr="007105A7" w:rsidRDefault="007105A7" w:rsidP="007105A7">
      <w:pPr>
        <w:rPr>
          <w:iCs/>
          <w:sz w:val="22"/>
          <w:szCs w:val="22"/>
          <w:lang w:val="sr-Latn-ME"/>
        </w:rPr>
      </w:pPr>
    </w:p>
    <w:p w:rsidR="006D20A5" w:rsidRPr="007105A7" w:rsidRDefault="007105A7" w:rsidP="007105A7">
      <w:pPr>
        <w:rPr>
          <w:bCs/>
          <w:sz w:val="22"/>
          <w:szCs w:val="22"/>
          <w:lang w:val="sv-SE"/>
        </w:rPr>
      </w:pPr>
      <w:r w:rsidRPr="007105A7">
        <w:rPr>
          <w:iCs/>
          <w:sz w:val="22"/>
          <w:szCs w:val="22"/>
          <w:lang w:val="sr-Latn-ME"/>
        </w:rPr>
        <w:t>INN: sunitinib</w:t>
      </w:r>
    </w:p>
    <w:p w:rsidR="00530BD7" w:rsidRPr="00786071" w:rsidRDefault="00530BD7">
      <w:pPr>
        <w:rPr>
          <w:bCs/>
          <w:sz w:val="22"/>
          <w:szCs w:val="22"/>
          <w:lang w:val="sv-SE"/>
        </w:rPr>
      </w:pPr>
    </w:p>
    <w:p w:rsidR="00411B4B" w:rsidRPr="00786071"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rsidR="005A0B2E" w:rsidRPr="00786071" w:rsidRDefault="005A0B2E">
      <w:pPr>
        <w:rPr>
          <w:sz w:val="22"/>
          <w:szCs w:val="22"/>
          <w:lang w:val="sr-Latn-CS"/>
        </w:rPr>
      </w:pPr>
    </w:p>
    <w:p w:rsidR="007105A7" w:rsidRPr="007105A7" w:rsidRDefault="007105A7" w:rsidP="007105A7">
      <w:pPr>
        <w:rPr>
          <w:sz w:val="22"/>
          <w:szCs w:val="22"/>
        </w:rPr>
      </w:pPr>
      <w:r w:rsidRPr="007105A7">
        <w:rPr>
          <w:sz w:val="22"/>
          <w:szCs w:val="22"/>
          <w:u w:val="single"/>
        </w:rPr>
        <w:t>Sunitinib Pliva 12,5 mg kapsula, tvrda</w:t>
      </w:r>
    </w:p>
    <w:p w:rsidR="007105A7" w:rsidRPr="007105A7" w:rsidRDefault="007105A7" w:rsidP="007105A7">
      <w:pPr>
        <w:rPr>
          <w:sz w:val="22"/>
          <w:szCs w:val="22"/>
        </w:rPr>
      </w:pPr>
      <w:r w:rsidRPr="007105A7">
        <w:rPr>
          <w:sz w:val="22"/>
          <w:szCs w:val="22"/>
        </w:rPr>
        <w:t>Jedna kapsula sadrži 12,5 mg sunitiniba.</w:t>
      </w:r>
    </w:p>
    <w:p w:rsidR="007105A7" w:rsidRPr="007105A7" w:rsidRDefault="007105A7" w:rsidP="007105A7">
      <w:pPr>
        <w:rPr>
          <w:sz w:val="22"/>
          <w:szCs w:val="22"/>
        </w:rPr>
      </w:pPr>
    </w:p>
    <w:p w:rsidR="007105A7" w:rsidRPr="007105A7" w:rsidRDefault="007105A7" w:rsidP="007105A7">
      <w:pPr>
        <w:rPr>
          <w:sz w:val="22"/>
          <w:szCs w:val="22"/>
        </w:rPr>
      </w:pPr>
      <w:r w:rsidRPr="007105A7">
        <w:rPr>
          <w:sz w:val="22"/>
          <w:szCs w:val="22"/>
          <w:u w:val="single"/>
        </w:rPr>
        <w:t>Sunitinib Pliva 25 mg kapsula, tvrda</w:t>
      </w:r>
    </w:p>
    <w:p w:rsidR="007105A7" w:rsidRPr="007105A7" w:rsidRDefault="007105A7" w:rsidP="007105A7">
      <w:pPr>
        <w:rPr>
          <w:sz w:val="22"/>
          <w:szCs w:val="22"/>
        </w:rPr>
      </w:pPr>
      <w:r w:rsidRPr="007105A7">
        <w:rPr>
          <w:sz w:val="22"/>
          <w:szCs w:val="22"/>
        </w:rPr>
        <w:t>Jedna kapsula sadrži 25 mg sunitiniba.</w:t>
      </w:r>
    </w:p>
    <w:p w:rsidR="007105A7" w:rsidRPr="007105A7" w:rsidRDefault="007105A7" w:rsidP="007105A7">
      <w:pPr>
        <w:rPr>
          <w:sz w:val="22"/>
          <w:szCs w:val="22"/>
        </w:rPr>
      </w:pPr>
    </w:p>
    <w:p w:rsidR="007105A7" w:rsidRPr="007105A7" w:rsidRDefault="007105A7" w:rsidP="007105A7">
      <w:pPr>
        <w:rPr>
          <w:sz w:val="22"/>
          <w:szCs w:val="22"/>
        </w:rPr>
      </w:pPr>
      <w:r w:rsidRPr="007105A7">
        <w:rPr>
          <w:sz w:val="22"/>
          <w:szCs w:val="22"/>
          <w:u w:val="single"/>
        </w:rPr>
        <w:t>Sunitinib Pliva 50 mg kapsula, tvrda</w:t>
      </w:r>
    </w:p>
    <w:p w:rsidR="007105A7" w:rsidRPr="007105A7" w:rsidRDefault="007105A7" w:rsidP="007105A7">
      <w:pPr>
        <w:rPr>
          <w:sz w:val="22"/>
          <w:szCs w:val="22"/>
        </w:rPr>
      </w:pPr>
      <w:r w:rsidRPr="007105A7">
        <w:rPr>
          <w:sz w:val="22"/>
          <w:szCs w:val="22"/>
        </w:rPr>
        <w:t>Jedna kapsula sadrži 50 mg sunitiniba.</w:t>
      </w:r>
    </w:p>
    <w:p w:rsidR="007105A7" w:rsidRDefault="007105A7">
      <w:pPr>
        <w:rPr>
          <w:sz w:val="22"/>
          <w:szCs w:val="22"/>
          <w:lang w:val="sr-Latn-CS"/>
        </w:rPr>
      </w:pPr>
    </w:p>
    <w:p w:rsidR="0003793F" w:rsidRPr="00786071" w:rsidRDefault="0003793F">
      <w:pPr>
        <w:rPr>
          <w:sz w:val="22"/>
          <w:szCs w:val="22"/>
          <w:lang w:val="sr-Latn-CS"/>
        </w:rPr>
      </w:pPr>
      <w:r w:rsidRPr="00786071">
        <w:rPr>
          <w:sz w:val="22"/>
          <w:szCs w:val="22"/>
          <w:lang w:val="sr-Latn-CS"/>
        </w:rPr>
        <w:t>Za spisak svih ekscipijenasa, pogledati dio 6.1.</w:t>
      </w:r>
    </w:p>
    <w:p w:rsidR="00C37FD7" w:rsidRPr="00786071" w:rsidRDefault="00C37FD7">
      <w:pPr>
        <w:rPr>
          <w:sz w:val="22"/>
          <w:szCs w:val="22"/>
          <w:lang w:val="sr-Latn-CS"/>
        </w:rPr>
      </w:pPr>
    </w:p>
    <w:p w:rsidR="00411B4B" w:rsidRPr="00786071"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rsidR="00411B4B" w:rsidRPr="00786071" w:rsidRDefault="00411B4B">
      <w:pPr>
        <w:rPr>
          <w:bCs/>
          <w:sz w:val="22"/>
          <w:szCs w:val="22"/>
          <w:lang w:val="sr-Latn-CS"/>
        </w:rPr>
      </w:pPr>
    </w:p>
    <w:p w:rsidR="007105A7" w:rsidRDefault="007105A7" w:rsidP="007105A7">
      <w:pPr>
        <w:jc w:val="both"/>
        <w:rPr>
          <w:bCs/>
          <w:sz w:val="22"/>
          <w:szCs w:val="22"/>
        </w:rPr>
      </w:pPr>
      <w:r w:rsidRPr="007105A7">
        <w:rPr>
          <w:bCs/>
          <w:sz w:val="22"/>
          <w:szCs w:val="22"/>
        </w:rPr>
        <w:t>Kapsula, tvrda.</w:t>
      </w:r>
    </w:p>
    <w:p w:rsidR="00C91645" w:rsidRPr="007105A7" w:rsidRDefault="00C91645" w:rsidP="007105A7">
      <w:pPr>
        <w:jc w:val="both"/>
        <w:rPr>
          <w:bCs/>
          <w:sz w:val="22"/>
          <w:szCs w:val="22"/>
        </w:rPr>
      </w:pPr>
    </w:p>
    <w:p w:rsidR="007105A7" w:rsidRPr="007105A7" w:rsidRDefault="007105A7" w:rsidP="007105A7">
      <w:pPr>
        <w:jc w:val="both"/>
        <w:rPr>
          <w:bCs/>
          <w:sz w:val="22"/>
          <w:szCs w:val="22"/>
        </w:rPr>
      </w:pPr>
      <w:r w:rsidRPr="007105A7">
        <w:rPr>
          <w:bCs/>
          <w:sz w:val="22"/>
          <w:szCs w:val="22"/>
          <w:u w:val="single"/>
        </w:rPr>
        <w:t>Sunitinib Pliva 12,5 mg kapsula, tvrda</w:t>
      </w:r>
    </w:p>
    <w:p w:rsidR="007105A7" w:rsidRPr="007105A7" w:rsidRDefault="007105A7" w:rsidP="007105A7">
      <w:pPr>
        <w:jc w:val="both"/>
        <w:rPr>
          <w:bCs/>
          <w:sz w:val="22"/>
          <w:szCs w:val="22"/>
        </w:rPr>
      </w:pPr>
      <w:r w:rsidRPr="007105A7">
        <w:rPr>
          <w:bCs/>
          <w:sz w:val="22"/>
          <w:szCs w:val="22"/>
        </w:rPr>
        <w:t>Tvrde želatinske kapsule sa srednje narandžastom neprozirnom kapicom i srednje narandžastim neprozirnim tijelom. Na kapici je crnom bojom otisnuta oznaka „12.5“. Svaka kapsula veličine 4 (ukupna dužina zatvorene kapsule približno 14,2 mm) sadrži narandžasti granulirani prašak.</w:t>
      </w:r>
    </w:p>
    <w:p w:rsidR="007105A7" w:rsidRPr="007105A7" w:rsidRDefault="007105A7" w:rsidP="007105A7">
      <w:pPr>
        <w:jc w:val="both"/>
        <w:rPr>
          <w:bCs/>
          <w:sz w:val="22"/>
          <w:szCs w:val="22"/>
        </w:rPr>
      </w:pPr>
    </w:p>
    <w:p w:rsidR="007105A7" w:rsidRPr="007105A7" w:rsidRDefault="007105A7" w:rsidP="007105A7">
      <w:pPr>
        <w:jc w:val="both"/>
        <w:rPr>
          <w:bCs/>
          <w:sz w:val="22"/>
          <w:szCs w:val="22"/>
        </w:rPr>
      </w:pPr>
      <w:r w:rsidRPr="007105A7">
        <w:rPr>
          <w:bCs/>
          <w:sz w:val="22"/>
          <w:szCs w:val="22"/>
          <w:u w:val="single"/>
        </w:rPr>
        <w:t>Sunitinib Pliva 25 mg kapsula, tvrda</w:t>
      </w:r>
    </w:p>
    <w:p w:rsidR="007105A7" w:rsidRPr="007105A7" w:rsidRDefault="007105A7" w:rsidP="007105A7">
      <w:pPr>
        <w:jc w:val="both"/>
        <w:rPr>
          <w:bCs/>
          <w:sz w:val="22"/>
          <w:szCs w:val="22"/>
        </w:rPr>
      </w:pPr>
      <w:r w:rsidRPr="007105A7">
        <w:rPr>
          <w:bCs/>
          <w:sz w:val="22"/>
          <w:szCs w:val="22"/>
        </w:rPr>
        <w:t>Tvrde želatinske kapsule sa svijetlo narandžastom neprozirnom kapicom i srednje narandžastim neprozirnim tijelom. Na kapici je crnom bojom otisnuta oznaka „25“. Svaka kapsula veličine 3 (ukupna dužina zatvorene kapsule približno 15,8 mm) sadrži narandžasti granulirani prašak.</w:t>
      </w:r>
    </w:p>
    <w:p w:rsidR="007105A7" w:rsidRPr="007105A7" w:rsidRDefault="007105A7" w:rsidP="007105A7">
      <w:pPr>
        <w:jc w:val="both"/>
        <w:rPr>
          <w:bCs/>
          <w:sz w:val="22"/>
          <w:szCs w:val="22"/>
        </w:rPr>
      </w:pPr>
    </w:p>
    <w:p w:rsidR="007105A7" w:rsidRPr="007105A7" w:rsidRDefault="007105A7" w:rsidP="007105A7">
      <w:pPr>
        <w:jc w:val="both"/>
        <w:rPr>
          <w:bCs/>
          <w:sz w:val="22"/>
          <w:szCs w:val="22"/>
        </w:rPr>
      </w:pPr>
      <w:r w:rsidRPr="007105A7">
        <w:rPr>
          <w:bCs/>
          <w:sz w:val="22"/>
          <w:szCs w:val="22"/>
          <w:u w:val="single"/>
        </w:rPr>
        <w:t>Sunitinib Pliva 50 mg kapsula, tvrda</w:t>
      </w:r>
    </w:p>
    <w:p w:rsidR="007105A7" w:rsidRPr="007105A7" w:rsidRDefault="007105A7" w:rsidP="007105A7">
      <w:pPr>
        <w:jc w:val="both"/>
        <w:rPr>
          <w:bCs/>
          <w:sz w:val="22"/>
          <w:szCs w:val="22"/>
        </w:rPr>
      </w:pPr>
      <w:r w:rsidRPr="007105A7">
        <w:rPr>
          <w:bCs/>
          <w:sz w:val="22"/>
          <w:szCs w:val="22"/>
        </w:rPr>
        <w:t>Tvrde želatinske kapsule sa svijetlo narandžastom neprozirnom kapicom i svijetlo narandžastim neprozirnim tijelom. Na kapici je crnom bojom otisnuta oznaka „50“. Svaka kapsula veličine 2 (ukupna dužina zatvorene kapsule približno 17,6 mm) sadrži narandžasti granulirani prašak.</w:t>
      </w:r>
    </w:p>
    <w:p w:rsidR="00EC2532" w:rsidRPr="00786071" w:rsidRDefault="00EC2532">
      <w:pPr>
        <w:rPr>
          <w:bCs/>
          <w:sz w:val="22"/>
          <w:szCs w:val="22"/>
          <w:lang w:val="sr-Latn-CS"/>
        </w:rPr>
      </w:pPr>
    </w:p>
    <w:p w:rsidR="00411B4B" w:rsidRPr="00786071" w:rsidRDefault="00411B4B" w:rsidP="00F5167F">
      <w:pPr>
        <w:tabs>
          <w:tab w:val="left" w:pos="540"/>
          <w:tab w:val="left" w:pos="569"/>
        </w:tabs>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rsidR="00CD6F02" w:rsidRPr="00786071" w:rsidRDefault="00CD6F02" w:rsidP="00480FB1">
      <w:pPr>
        <w:tabs>
          <w:tab w:val="left" w:pos="540"/>
          <w:tab w:val="left" w:pos="569"/>
        </w:tabs>
        <w:rPr>
          <w:bCs/>
          <w:sz w:val="22"/>
          <w:szCs w:val="22"/>
        </w:rPr>
      </w:pPr>
    </w:p>
    <w:p w:rsidR="00411B4B" w:rsidRDefault="00411B4B" w:rsidP="00480FB1">
      <w:pPr>
        <w:tabs>
          <w:tab w:val="left" w:pos="540"/>
          <w:tab w:val="left" w:pos="569"/>
        </w:tabs>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rsidR="007105A7" w:rsidRPr="00786071" w:rsidRDefault="007105A7" w:rsidP="00480FB1">
      <w:pPr>
        <w:tabs>
          <w:tab w:val="left" w:pos="540"/>
          <w:tab w:val="left" w:pos="569"/>
        </w:tabs>
        <w:rPr>
          <w:b/>
          <w:bCs/>
          <w:sz w:val="22"/>
          <w:szCs w:val="22"/>
        </w:rPr>
      </w:pPr>
    </w:p>
    <w:p w:rsidR="007105A7" w:rsidRPr="007105A7" w:rsidRDefault="007105A7" w:rsidP="007105A7">
      <w:pPr>
        <w:tabs>
          <w:tab w:val="left" w:pos="540"/>
          <w:tab w:val="left" w:pos="569"/>
        </w:tabs>
        <w:rPr>
          <w:bCs/>
          <w:sz w:val="22"/>
          <w:szCs w:val="22"/>
        </w:rPr>
      </w:pPr>
      <w:r w:rsidRPr="007105A7">
        <w:rPr>
          <w:bCs/>
          <w:sz w:val="22"/>
          <w:szCs w:val="22"/>
          <w:u w:val="single"/>
        </w:rPr>
        <w:t>Gastrointestinalni stromalni tumori (GIST)</w:t>
      </w:r>
    </w:p>
    <w:p w:rsidR="007105A7" w:rsidRDefault="007105A7" w:rsidP="007105A7">
      <w:pPr>
        <w:tabs>
          <w:tab w:val="left" w:pos="540"/>
          <w:tab w:val="left" w:pos="569"/>
        </w:tabs>
        <w:jc w:val="both"/>
        <w:rPr>
          <w:bCs/>
          <w:sz w:val="22"/>
          <w:szCs w:val="22"/>
        </w:rPr>
      </w:pPr>
      <w:r w:rsidRPr="007105A7">
        <w:rPr>
          <w:bCs/>
          <w:sz w:val="22"/>
          <w:szCs w:val="22"/>
        </w:rPr>
        <w:t>Lijek Sunitinib Pliva je indikovan za liječenje neoperabilnih i/ili metastatskih malignih gastrointestinalnih tumora strome (GIST) kod odraslih pacijenata poslije njihovog neuspješnog liječenja imatinibom, usljed rezistencije ili intolerancije na njega.</w:t>
      </w:r>
    </w:p>
    <w:p w:rsidR="007105A7" w:rsidRPr="007105A7" w:rsidRDefault="007105A7" w:rsidP="007105A7">
      <w:pPr>
        <w:tabs>
          <w:tab w:val="left" w:pos="540"/>
          <w:tab w:val="left" w:pos="569"/>
        </w:tabs>
        <w:jc w:val="both"/>
        <w:rPr>
          <w:bCs/>
          <w:sz w:val="22"/>
          <w:szCs w:val="22"/>
        </w:rPr>
      </w:pPr>
    </w:p>
    <w:p w:rsidR="00C91645" w:rsidRDefault="00C91645" w:rsidP="007105A7">
      <w:pPr>
        <w:tabs>
          <w:tab w:val="left" w:pos="540"/>
          <w:tab w:val="left" w:pos="569"/>
        </w:tabs>
        <w:jc w:val="both"/>
        <w:rPr>
          <w:bCs/>
          <w:sz w:val="22"/>
          <w:szCs w:val="22"/>
          <w:u w:val="single"/>
        </w:rPr>
      </w:pPr>
    </w:p>
    <w:p w:rsidR="00C91645" w:rsidRDefault="00C91645" w:rsidP="007105A7">
      <w:pPr>
        <w:tabs>
          <w:tab w:val="left" w:pos="540"/>
          <w:tab w:val="left" w:pos="569"/>
        </w:tabs>
        <w:jc w:val="both"/>
        <w:rPr>
          <w:bCs/>
          <w:sz w:val="22"/>
          <w:szCs w:val="22"/>
          <w:u w:val="single"/>
        </w:rPr>
      </w:pPr>
    </w:p>
    <w:p w:rsidR="007105A7" w:rsidRPr="007105A7" w:rsidRDefault="007105A7" w:rsidP="007105A7">
      <w:pPr>
        <w:tabs>
          <w:tab w:val="left" w:pos="540"/>
          <w:tab w:val="left" w:pos="569"/>
        </w:tabs>
        <w:jc w:val="both"/>
        <w:rPr>
          <w:bCs/>
          <w:sz w:val="22"/>
          <w:szCs w:val="22"/>
        </w:rPr>
      </w:pPr>
      <w:r w:rsidRPr="007105A7">
        <w:rPr>
          <w:bCs/>
          <w:sz w:val="22"/>
          <w:szCs w:val="22"/>
          <w:u w:val="single"/>
        </w:rPr>
        <w:lastRenderedPageBreak/>
        <w:t>Metastatski karcinomi bubrežnih ćelija (MRCC)</w:t>
      </w:r>
    </w:p>
    <w:p w:rsidR="007105A7" w:rsidRPr="007105A7" w:rsidRDefault="007105A7" w:rsidP="007105A7">
      <w:pPr>
        <w:tabs>
          <w:tab w:val="left" w:pos="540"/>
          <w:tab w:val="left" w:pos="569"/>
        </w:tabs>
        <w:jc w:val="both"/>
        <w:rPr>
          <w:bCs/>
          <w:sz w:val="22"/>
          <w:szCs w:val="22"/>
        </w:rPr>
      </w:pPr>
      <w:r w:rsidRPr="007105A7">
        <w:rPr>
          <w:bCs/>
          <w:sz w:val="22"/>
          <w:szCs w:val="22"/>
        </w:rPr>
        <w:t>Lijek Sunitinib Pliva je indikovan za liječenje uznapredovalog/metastatskog karcinoma bubrežnih ćelija (MRCC) kod odraslih pacijenata.</w:t>
      </w:r>
    </w:p>
    <w:p w:rsidR="007105A7" w:rsidRPr="007105A7" w:rsidRDefault="007105A7" w:rsidP="007105A7">
      <w:pPr>
        <w:tabs>
          <w:tab w:val="left" w:pos="540"/>
          <w:tab w:val="left" w:pos="569"/>
        </w:tabs>
        <w:jc w:val="both"/>
        <w:rPr>
          <w:bCs/>
          <w:sz w:val="22"/>
          <w:szCs w:val="22"/>
        </w:rPr>
      </w:pPr>
    </w:p>
    <w:p w:rsidR="007105A7" w:rsidRDefault="007105A7" w:rsidP="007105A7">
      <w:pPr>
        <w:tabs>
          <w:tab w:val="left" w:pos="540"/>
          <w:tab w:val="left" w:pos="569"/>
        </w:tabs>
        <w:jc w:val="both"/>
        <w:rPr>
          <w:bCs/>
          <w:sz w:val="22"/>
          <w:szCs w:val="22"/>
        </w:rPr>
      </w:pPr>
      <w:r w:rsidRPr="007105A7">
        <w:rPr>
          <w:bCs/>
          <w:sz w:val="22"/>
          <w:szCs w:val="22"/>
          <w:u w:val="single"/>
        </w:rPr>
        <w:t xml:space="preserve">Neuroendokrini tumori pankreasa (engl. </w:t>
      </w:r>
      <w:r w:rsidRPr="007105A7">
        <w:rPr>
          <w:bCs/>
          <w:i/>
          <w:sz w:val="22"/>
          <w:szCs w:val="22"/>
          <w:u w:val="single"/>
        </w:rPr>
        <w:t>pancreatic neuroendocrine tumours</w:t>
      </w:r>
      <w:r w:rsidRPr="007105A7">
        <w:rPr>
          <w:bCs/>
          <w:sz w:val="22"/>
          <w:szCs w:val="22"/>
          <w:u w:val="single"/>
        </w:rPr>
        <w:t>, pNET)</w:t>
      </w:r>
      <w:r>
        <w:rPr>
          <w:bCs/>
          <w:sz w:val="22"/>
          <w:szCs w:val="22"/>
        </w:rPr>
        <w:t xml:space="preserve"> </w:t>
      </w:r>
    </w:p>
    <w:p w:rsidR="007105A7" w:rsidRPr="007105A7" w:rsidRDefault="007105A7" w:rsidP="007105A7">
      <w:pPr>
        <w:tabs>
          <w:tab w:val="left" w:pos="540"/>
          <w:tab w:val="left" w:pos="569"/>
        </w:tabs>
        <w:jc w:val="both"/>
        <w:rPr>
          <w:bCs/>
          <w:sz w:val="22"/>
          <w:szCs w:val="22"/>
        </w:rPr>
      </w:pPr>
      <w:r w:rsidRPr="007105A7">
        <w:rPr>
          <w:bCs/>
          <w:sz w:val="22"/>
          <w:szCs w:val="22"/>
        </w:rPr>
        <w:t>Lijek Sunitinib Pliva je indikovan za liječenje neoperabilnih ili metastatskih, dobro diferenciranih</w:t>
      </w:r>
      <w:r>
        <w:rPr>
          <w:bCs/>
          <w:sz w:val="22"/>
          <w:szCs w:val="22"/>
        </w:rPr>
        <w:t xml:space="preserve"> </w:t>
      </w:r>
      <w:r w:rsidRPr="007105A7">
        <w:rPr>
          <w:bCs/>
          <w:sz w:val="22"/>
          <w:szCs w:val="22"/>
        </w:rPr>
        <w:t>neuroendokrinih tumora pankreasa (pNET) kod odraslih pacijenata sa progresijom bolesti.</w:t>
      </w:r>
    </w:p>
    <w:p w:rsidR="00411B4B" w:rsidRPr="00786071" w:rsidRDefault="00411B4B" w:rsidP="007105A7">
      <w:pPr>
        <w:tabs>
          <w:tab w:val="left" w:pos="540"/>
          <w:tab w:val="left" w:pos="569"/>
        </w:tabs>
        <w:jc w:val="both"/>
        <w:rPr>
          <w:bCs/>
          <w:sz w:val="22"/>
          <w:szCs w:val="22"/>
        </w:rPr>
      </w:pPr>
    </w:p>
    <w:p w:rsidR="00411B4B" w:rsidRPr="00786071" w:rsidRDefault="00411B4B" w:rsidP="00480FB1">
      <w:pPr>
        <w:tabs>
          <w:tab w:val="left" w:pos="540"/>
          <w:tab w:val="left" w:pos="569"/>
        </w:tabs>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rsidR="0072020E" w:rsidRPr="00786071" w:rsidRDefault="0072020E" w:rsidP="00480FB1">
      <w:pPr>
        <w:tabs>
          <w:tab w:val="left" w:pos="540"/>
          <w:tab w:val="left" w:pos="569"/>
        </w:tabs>
        <w:rPr>
          <w:bCs/>
          <w:sz w:val="22"/>
          <w:szCs w:val="22"/>
        </w:rPr>
      </w:pPr>
    </w:p>
    <w:p w:rsidR="007A20D4" w:rsidRPr="007A20D4" w:rsidRDefault="007A20D4" w:rsidP="007A20D4">
      <w:pPr>
        <w:tabs>
          <w:tab w:val="left" w:pos="540"/>
          <w:tab w:val="left" w:pos="569"/>
        </w:tabs>
        <w:jc w:val="both"/>
        <w:rPr>
          <w:bCs/>
          <w:sz w:val="22"/>
          <w:szCs w:val="22"/>
        </w:rPr>
      </w:pPr>
      <w:r w:rsidRPr="007A20D4">
        <w:rPr>
          <w:bCs/>
          <w:sz w:val="22"/>
          <w:szCs w:val="22"/>
        </w:rPr>
        <w:t>Terapiju lijekom Sunitinib Pliva treba da započne ljekar koji ima iskustva u primjeni citotoksičnih ljekova.</w:t>
      </w:r>
    </w:p>
    <w:p w:rsidR="007A20D4" w:rsidRPr="007A20D4" w:rsidRDefault="007A20D4" w:rsidP="007A20D4">
      <w:pPr>
        <w:tabs>
          <w:tab w:val="left" w:pos="540"/>
          <w:tab w:val="left" w:pos="569"/>
        </w:tabs>
        <w:jc w:val="both"/>
        <w:rPr>
          <w:bCs/>
          <w:sz w:val="22"/>
          <w:szCs w:val="22"/>
        </w:rPr>
      </w:pPr>
    </w:p>
    <w:p w:rsidR="007A20D4" w:rsidRPr="007A20D4" w:rsidRDefault="007A20D4" w:rsidP="007A20D4">
      <w:pPr>
        <w:tabs>
          <w:tab w:val="left" w:pos="540"/>
          <w:tab w:val="left" w:pos="569"/>
        </w:tabs>
        <w:jc w:val="both"/>
        <w:rPr>
          <w:bCs/>
          <w:sz w:val="22"/>
          <w:szCs w:val="22"/>
          <w:u w:val="single"/>
        </w:rPr>
      </w:pPr>
      <w:r w:rsidRPr="007A20D4">
        <w:rPr>
          <w:bCs/>
          <w:sz w:val="22"/>
          <w:szCs w:val="22"/>
          <w:u w:val="single"/>
        </w:rPr>
        <w:t>Doziranje</w:t>
      </w:r>
    </w:p>
    <w:p w:rsidR="007A20D4" w:rsidRPr="007A20D4" w:rsidRDefault="007A20D4" w:rsidP="007A20D4">
      <w:pPr>
        <w:tabs>
          <w:tab w:val="left" w:pos="540"/>
          <w:tab w:val="left" w:pos="569"/>
        </w:tabs>
        <w:jc w:val="both"/>
        <w:rPr>
          <w:bCs/>
          <w:sz w:val="22"/>
          <w:szCs w:val="22"/>
        </w:rPr>
      </w:pPr>
      <w:r w:rsidRPr="007A20D4">
        <w:rPr>
          <w:bCs/>
          <w:sz w:val="22"/>
          <w:szCs w:val="22"/>
        </w:rPr>
        <w:t>Preporučena doza lijeka Sunitinib Pliva za liječenje GIST i MRCC je pojedinačna oralna doza od 50 mg dnevno, tokom četiri uzastopne nedjelje, nakon čega slijedi dvonedjeljni period odmora (režim 4/2), da bi se postigao kompletni ciklus od 6 nedjelja.</w:t>
      </w:r>
    </w:p>
    <w:p w:rsidR="00354CB8" w:rsidRPr="00354CB8" w:rsidRDefault="007A20D4" w:rsidP="00354CB8">
      <w:pPr>
        <w:tabs>
          <w:tab w:val="left" w:pos="540"/>
          <w:tab w:val="left" w:pos="569"/>
        </w:tabs>
        <w:jc w:val="both"/>
        <w:rPr>
          <w:bCs/>
          <w:sz w:val="22"/>
          <w:szCs w:val="22"/>
        </w:rPr>
      </w:pPr>
      <w:r w:rsidRPr="007A20D4">
        <w:rPr>
          <w:bCs/>
          <w:sz w:val="22"/>
          <w:szCs w:val="22"/>
        </w:rPr>
        <w:t>Preporučena doza lijeka Sunitinib Pliva za liječenje pNET je oralna doza od 37,5 mg dnevno, bez planiranog</w:t>
      </w:r>
      <w:r w:rsidR="00354CB8">
        <w:rPr>
          <w:bCs/>
          <w:sz w:val="22"/>
          <w:szCs w:val="22"/>
        </w:rPr>
        <w:t xml:space="preserve"> </w:t>
      </w:r>
      <w:r w:rsidR="00354CB8" w:rsidRPr="00354CB8">
        <w:rPr>
          <w:bCs/>
          <w:sz w:val="22"/>
          <w:szCs w:val="22"/>
        </w:rPr>
        <w:t>perioda odmora.</w:t>
      </w:r>
    </w:p>
    <w:p w:rsidR="007A20D4" w:rsidRPr="007A20D4" w:rsidRDefault="007A20D4" w:rsidP="007A20D4">
      <w:pPr>
        <w:tabs>
          <w:tab w:val="left" w:pos="540"/>
          <w:tab w:val="left" w:pos="569"/>
        </w:tabs>
        <w:jc w:val="both"/>
        <w:rPr>
          <w:bCs/>
          <w:sz w:val="22"/>
          <w:szCs w:val="22"/>
        </w:rPr>
      </w:pPr>
    </w:p>
    <w:p w:rsidR="007A20D4" w:rsidRPr="007A20D4" w:rsidRDefault="007A20D4" w:rsidP="007A20D4">
      <w:pPr>
        <w:tabs>
          <w:tab w:val="left" w:pos="540"/>
          <w:tab w:val="left" w:pos="569"/>
        </w:tabs>
        <w:jc w:val="both"/>
        <w:rPr>
          <w:bCs/>
          <w:i/>
          <w:sz w:val="22"/>
          <w:szCs w:val="22"/>
          <w:u w:val="single"/>
        </w:rPr>
      </w:pPr>
      <w:r w:rsidRPr="007A20D4">
        <w:rPr>
          <w:bCs/>
          <w:i/>
          <w:sz w:val="22"/>
          <w:szCs w:val="22"/>
          <w:u w:val="single"/>
        </w:rPr>
        <w:t>Podešavanje doza</w:t>
      </w:r>
    </w:p>
    <w:p w:rsidR="007A20D4" w:rsidRPr="007A20D4" w:rsidRDefault="007A20D4" w:rsidP="007A20D4">
      <w:pPr>
        <w:tabs>
          <w:tab w:val="left" w:pos="540"/>
          <w:tab w:val="left" w:pos="569"/>
        </w:tabs>
        <w:jc w:val="both"/>
        <w:rPr>
          <w:bCs/>
          <w:i/>
          <w:sz w:val="22"/>
          <w:szCs w:val="22"/>
        </w:rPr>
      </w:pPr>
    </w:p>
    <w:p w:rsidR="007A20D4" w:rsidRPr="007A20D4" w:rsidRDefault="007A20D4" w:rsidP="007A20D4">
      <w:pPr>
        <w:tabs>
          <w:tab w:val="left" w:pos="540"/>
          <w:tab w:val="left" w:pos="569"/>
        </w:tabs>
        <w:jc w:val="both"/>
        <w:rPr>
          <w:bCs/>
          <w:i/>
          <w:sz w:val="22"/>
          <w:szCs w:val="22"/>
        </w:rPr>
      </w:pPr>
      <w:r w:rsidRPr="007A20D4">
        <w:rPr>
          <w:bCs/>
          <w:i/>
          <w:sz w:val="22"/>
          <w:szCs w:val="22"/>
        </w:rPr>
        <w:t>Bezbjednost i podnošljivost</w:t>
      </w:r>
    </w:p>
    <w:p w:rsidR="007A20D4" w:rsidRPr="007A20D4" w:rsidRDefault="007A20D4" w:rsidP="007A20D4">
      <w:pPr>
        <w:tabs>
          <w:tab w:val="left" w:pos="540"/>
          <w:tab w:val="left" w:pos="569"/>
        </w:tabs>
        <w:jc w:val="both"/>
        <w:rPr>
          <w:bCs/>
          <w:sz w:val="22"/>
          <w:szCs w:val="22"/>
          <w:lang w:val="sr-Latn-ME"/>
        </w:rPr>
      </w:pPr>
      <w:r w:rsidRPr="007A20D4">
        <w:rPr>
          <w:bCs/>
          <w:sz w:val="22"/>
          <w:szCs w:val="22"/>
        </w:rPr>
        <w:t xml:space="preserve">Za liječenje GIST i MRCC, prilagođavanje doziranja se može postići dozama od po 12,5 mg na osnovu individualne bezbjednosti i podnošljivosti. </w:t>
      </w:r>
      <w:r w:rsidRPr="007A20D4">
        <w:rPr>
          <w:bCs/>
          <w:sz w:val="22"/>
          <w:szCs w:val="22"/>
          <w:lang w:val="sr-Latn-ME"/>
        </w:rPr>
        <w:t>Dnevna doza ne smije biti veća od 75 mg, niti manja od 25 mg.</w:t>
      </w:r>
    </w:p>
    <w:p w:rsidR="007A20D4" w:rsidRPr="007A20D4" w:rsidRDefault="007A20D4" w:rsidP="007A20D4">
      <w:pPr>
        <w:tabs>
          <w:tab w:val="left" w:pos="540"/>
          <w:tab w:val="left" w:pos="569"/>
        </w:tabs>
        <w:jc w:val="both"/>
        <w:rPr>
          <w:bCs/>
          <w:sz w:val="22"/>
          <w:szCs w:val="22"/>
        </w:rPr>
      </w:pPr>
      <w:r w:rsidRPr="007A20D4">
        <w:rPr>
          <w:bCs/>
          <w:sz w:val="22"/>
          <w:szCs w:val="22"/>
        </w:rPr>
        <w:t>Za liječenje pNET, prilagođavanje doziranja se može postići dozama od po 12,5 mg, na osnovu individualne bezbjednosti i podnošljivosti. Najveća doza primijenjena u pNET studiji faze III iznosila je 50 mg dnevno.</w:t>
      </w:r>
    </w:p>
    <w:p w:rsidR="007A20D4" w:rsidRPr="007A20D4" w:rsidRDefault="007A20D4" w:rsidP="007A20D4">
      <w:pPr>
        <w:tabs>
          <w:tab w:val="left" w:pos="540"/>
          <w:tab w:val="left" w:pos="569"/>
        </w:tabs>
        <w:jc w:val="both"/>
        <w:rPr>
          <w:bCs/>
          <w:sz w:val="22"/>
          <w:szCs w:val="22"/>
        </w:rPr>
      </w:pPr>
    </w:p>
    <w:p w:rsidR="007A20D4" w:rsidRPr="007A20D4" w:rsidRDefault="007A20D4" w:rsidP="007A20D4">
      <w:pPr>
        <w:tabs>
          <w:tab w:val="left" w:pos="540"/>
          <w:tab w:val="left" w:pos="569"/>
        </w:tabs>
        <w:jc w:val="both"/>
        <w:rPr>
          <w:bCs/>
          <w:sz w:val="22"/>
          <w:szCs w:val="22"/>
          <w:lang w:val="sr-Latn-ME"/>
        </w:rPr>
      </w:pPr>
      <w:r w:rsidRPr="007A20D4">
        <w:rPr>
          <w:bCs/>
          <w:sz w:val="22"/>
          <w:szCs w:val="22"/>
          <w:lang w:val="sr-Latn-ME"/>
        </w:rPr>
        <w:t>U zavisnosti od  individualne bezbjednost i podnošljivost, možda će biti potrebni privremeni prekidi doziranja.</w:t>
      </w:r>
    </w:p>
    <w:p w:rsidR="007A20D4" w:rsidRPr="007A20D4" w:rsidRDefault="007A20D4" w:rsidP="007A20D4">
      <w:pPr>
        <w:tabs>
          <w:tab w:val="left" w:pos="540"/>
          <w:tab w:val="left" w:pos="569"/>
        </w:tabs>
        <w:jc w:val="both"/>
        <w:rPr>
          <w:bCs/>
          <w:sz w:val="22"/>
          <w:szCs w:val="22"/>
        </w:rPr>
      </w:pPr>
    </w:p>
    <w:p w:rsidR="007A20D4" w:rsidRPr="007A20D4" w:rsidRDefault="007A20D4" w:rsidP="007A20D4">
      <w:pPr>
        <w:tabs>
          <w:tab w:val="left" w:pos="540"/>
          <w:tab w:val="left" w:pos="569"/>
        </w:tabs>
        <w:jc w:val="both"/>
        <w:rPr>
          <w:bCs/>
          <w:i/>
          <w:sz w:val="22"/>
          <w:szCs w:val="22"/>
        </w:rPr>
      </w:pPr>
      <w:r w:rsidRPr="007A20D4">
        <w:rPr>
          <w:bCs/>
          <w:i/>
          <w:sz w:val="22"/>
          <w:szCs w:val="22"/>
        </w:rPr>
        <w:t>Inhibitori/induktori CYP3A4</w:t>
      </w:r>
    </w:p>
    <w:p w:rsidR="007A20D4" w:rsidRDefault="007A20D4" w:rsidP="007A20D4">
      <w:pPr>
        <w:tabs>
          <w:tab w:val="left" w:pos="540"/>
          <w:tab w:val="left" w:pos="569"/>
        </w:tabs>
        <w:jc w:val="both"/>
        <w:rPr>
          <w:bCs/>
          <w:sz w:val="22"/>
          <w:szCs w:val="22"/>
        </w:rPr>
      </w:pPr>
      <w:r w:rsidRPr="007A20D4">
        <w:rPr>
          <w:bCs/>
          <w:sz w:val="22"/>
          <w:szCs w:val="22"/>
        </w:rPr>
        <w:t>Treba izbjegavati istovremenu primjenu sunitiniba sa snažnim induktorima CYP3A4, kao što je rifampicin (vidjeti djelove 4.4 i 4.5). Ukoliko to nije moguće, može biti potrebno da se doza sunitiniba povećava postepeno u dozama od po 12,5 mg (do 87,5 mg dnevno za liječenje GIST i MRCC, ili 62,5 mg dnevno za liječenje pNET), na osnovu pažljivog praćenja podnošljivosti lijeka.</w:t>
      </w:r>
    </w:p>
    <w:p w:rsidR="007A20D4" w:rsidRDefault="007A20D4" w:rsidP="007A20D4">
      <w:pPr>
        <w:tabs>
          <w:tab w:val="left" w:pos="540"/>
          <w:tab w:val="left" w:pos="569"/>
        </w:tabs>
        <w:jc w:val="both"/>
        <w:rPr>
          <w:bCs/>
          <w:sz w:val="22"/>
          <w:szCs w:val="22"/>
        </w:rPr>
      </w:pPr>
    </w:p>
    <w:p w:rsidR="00B33BE3" w:rsidRPr="00B33BE3" w:rsidRDefault="00B33BE3" w:rsidP="00B33BE3">
      <w:pPr>
        <w:tabs>
          <w:tab w:val="left" w:pos="540"/>
          <w:tab w:val="left" w:pos="569"/>
        </w:tabs>
        <w:jc w:val="both"/>
        <w:rPr>
          <w:bCs/>
          <w:sz w:val="22"/>
          <w:szCs w:val="22"/>
        </w:rPr>
      </w:pPr>
      <w:r w:rsidRPr="00B33BE3">
        <w:rPr>
          <w:bCs/>
          <w:sz w:val="22"/>
          <w:szCs w:val="22"/>
        </w:rPr>
        <w:t>Treba izbjegavati istovremenu primjenu sunitiniba sa snažnim inhibitorima CYP3A4, kao što je ketokonazol (vidjeti djelove 4.4 i 4.5). Ukoliko to nije moguće, može biti potrebno da se doza sunitiniba smanji na minimalnu dozu od 37,5 mg dnevno za liječenje GIST i MRCC, ili 25 mg dnevno za liječenje pNET, na osnovu pažljivog praćenja podnošljivosti lijeka.</w:t>
      </w:r>
    </w:p>
    <w:p w:rsidR="00B33BE3" w:rsidRPr="00B33BE3" w:rsidRDefault="00B33BE3" w:rsidP="00B33BE3">
      <w:pPr>
        <w:tabs>
          <w:tab w:val="left" w:pos="540"/>
          <w:tab w:val="left" w:pos="569"/>
        </w:tabs>
        <w:jc w:val="both"/>
        <w:rPr>
          <w:bCs/>
          <w:sz w:val="22"/>
          <w:szCs w:val="22"/>
        </w:rPr>
      </w:pPr>
    </w:p>
    <w:p w:rsidR="00B33BE3" w:rsidRPr="00B33BE3" w:rsidRDefault="00B33BE3" w:rsidP="00B33BE3">
      <w:pPr>
        <w:tabs>
          <w:tab w:val="left" w:pos="540"/>
          <w:tab w:val="left" w:pos="569"/>
        </w:tabs>
        <w:jc w:val="both"/>
        <w:rPr>
          <w:bCs/>
          <w:sz w:val="22"/>
          <w:szCs w:val="22"/>
          <w:lang w:val="sr-Latn-ME"/>
        </w:rPr>
      </w:pPr>
      <w:r w:rsidRPr="00B33BE3">
        <w:rPr>
          <w:bCs/>
          <w:sz w:val="22"/>
          <w:szCs w:val="22"/>
          <w:lang w:val="sr-Latn-ME"/>
        </w:rPr>
        <w:t>Treba razmotriti izbor alternativnog lijeka za istovremenu primjenu, a koji nema ili ima minimalan potencijal za indukciju ili inhibiciju CYP3A4.</w:t>
      </w:r>
    </w:p>
    <w:p w:rsidR="00B33BE3" w:rsidRPr="00B33BE3" w:rsidRDefault="00B33BE3" w:rsidP="00B33BE3">
      <w:pPr>
        <w:tabs>
          <w:tab w:val="left" w:pos="540"/>
          <w:tab w:val="left" w:pos="569"/>
        </w:tabs>
        <w:jc w:val="both"/>
        <w:rPr>
          <w:bCs/>
          <w:sz w:val="22"/>
          <w:szCs w:val="22"/>
        </w:rPr>
      </w:pPr>
    </w:p>
    <w:p w:rsidR="00B33BE3" w:rsidRDefault="00B33BE3" w:rsidP="00B33BE3">
      <w:pPr>
        <w:tabs>
          <w:tab w:val="left" w:pos="540"/>
          <w:tab w:val="left" w:pos="569"/>
        </w:tabs>
        <w:jc w:val="both"/>
        <w:rPr>
          <w:bCs/>
          <w:sz w:val="22"/>
          <w:szCs w:val="22"/>
          <w:u w:val="single"/>
        </w:rPr>
      </w:pPr>
      <w:r w:rsidRPr="00B33BE3">
        <w:rPr>
          <w:bCs/>
          <w:sz w:val="22"/>
          <w:szCs w:val="22"/>
          <w:u w:val="single"/>
        </w:rPr>
        <w:t>Posebne populacije</w:t>
      </w:r>
    </w:p>
    <w:p w:rsidR="00B33BE3" w:rsidRPr="00B33BE3" w:rsidRDefault="00B33BE3" w:rsidP="00B33BE3">
      <w:pPr>
        <w:tabs>
          <w:tab w:val="left" w:pos="540"/>
          <w:tab w:val="left" w:pos="569"/>
        </w:tabs>
        <w:jc w:val="both"/>
        <w:rPr>
          <w:bCs/>
          <w:sz w:val="22"/>
          <w:szCs w:val="22"/>
        </w:rPr>
      </w:pPr>
    </w:p>
    <w:p w:rsidR="00B33BE3" w:rsidRPr="00B33BE3" w:rsidRDefault="00B33BE3" w:rsidP="00B33BE3">
      <w:pPr>
        <w:tabs>
          <w:tab w:val="left" w:pos="540"/>
          <w:tab w:val="left" w:pos="569"/>
        </w:tabs>
        <w:jc w:val="both"/>
        <w:rPr>
          <w:bCs/>
          <w:i/>
          <w:sz w:val="22"/>
          <w:szCs w:val="22"/>
        </w:rPr>
      </w:pPr>
      <w:r w:rsidRPr="00B33BE3">
        <w:rPr>
          <w:bCs/>
          <w:i/>
          <w:sz w:val="22"/>
          <w:szCs w:val="22"/>
          <w:u w:val="single"/>
        </w:rPr>
        <w:t>Pedijatrijska populacija</w:t>
      </w:r>
    </w:p>
    <w:p w:rsidR="00B33BE3" w:rsidRPr="00B33BE3" w:rsidRDefault="00B33BE3" w:rsidP="00B33BE3">
      <w:pPr>
        <w:tabs>
          <w:tab w:val="left" w:pos="540"/>
          <w:tab w:val="left" w:pos="569"/>
        </w:tabs>
        <w:jc w:val="both"/>
        <w:rPr>
          <w:bCs/>
          <w:sz w:val="22"/>
          <w:szCs w:val="22"/>
        </w:rPr>
      </w:pPr>
      <w:r w:rsidRPr="00B33BE3">
        <w:rPr>
          <w:bCs/>
          <w:sz w:val="22"/>
          <w:szCs w:val="22"/>
        </w:rPr>
        <w:t>Bezbjednost i efikasnost lijeka Sunitinib Pliva kod pacijenata uzrasta do 18 godina nije utvrđena.</w:t>
      </w:r>
    </w:p>
    <w:p w:rsidR="00B33BE3" w:rsidRPr="00B33BE3" w:rsidRDefault="00B33BE3" w:rsidP="00B33BE3">
      <w:pPr>
        <w:tabs>
          <w:tab w:val="left" w:pos="540"/>
          <w:tab w:val="left" w:pos="569"/>
        </w:tabs>
        <w:jc w:val="both"/>
        <w:rPr>
          <w:bCs/>
          <w:sz w:val="22"/>
          <w:szCs w:val="22"/>
        </w:rPr>
      </w:pPr>
      <w:r w:rsidRPr="00B33BE3">
        <w:rPr>
          <w:bCs/>
          <w:sz w:val="22"/>
          <w:szCs w:val="22"/>
        </w:rPr>
        <w:t>Trenutno dostupni podaci su opisani u d</w:t>
      </w:r>
      <w:r w:rsidR="00354CB8">
        <w:rPr>
          <w:bCs/>
          <w:sz w:val="22"/>
          <w:szCs w:val="22"/>
        </w:rPr>
        <w:t>i</w:t>
      </w:r>
      <w:r w:rsidRPr="00B33BE3">
        <w:rPr>
          <w:bCs/>
          <w:sz w:val="22"/>
          <w:szCs w:val="22"/>
        </w:rPr>
        <w:t>jelovima 4.8, 5.1 i 5.2, međutim, nije moguće dati preporuku o</w:t>
      </w:r>
    </w:p>
    <w:p w:rsidR="00B33BE3" w:rsidRDefault="00B33BE3" w:rsidP="00B33BE3">
      <w:pPr>
        <w:tabs>
          <w:tab w:val="left" w:pos="540"/>
          <w:tab w:val="left" w:pos="569"/>
        </w:tabs>
        <w:jc w:val="both"/>
        <w:rPr>
          <w:bCs/>
          <w:sz w:val="22"/>
          <w:szCs w:val="22"/>
        </w:rPr>
      </w:pPr>
      <w:r w:rsidRPr="00B33BE3">
        <w:rPr>
          <w:bCs/>
          <w:sz w:val="22"/>
          <w:szCs w:val="22"/>
        </w:rPr>
        <w:t>doziranju.</w:t>
      </w:r>
    </w:p>
    <w:p w:rsidR="00B33BE3" w:rsidRPr="00B33BE3" w:rsidRDefault="00B33BE3" w:rsidP="00B33BE3">
      <w:pPr>
        <w:tabs>
          <w:tab w:val="left" w:pos="540"/>
          <w:tab w:val="left" w:pos="569"/>
        </w:tabs>
        <w:jc w:val="both"/>
        <w:rPr>
          <w:bCs/>
          <w:sz w:val="22"/>
          <w:szCs w:val="22"/>
        </w:rPr>
      </w:pPr>
    </w:p>
    <w:p w:rsidR="00C91645" w:rsidRDefault="00C91645" w:rsidP="00B33BE3">
      <w:pPr>
        <w:tabs>
          <w:tab w:val="left" w:pos="540"/>
          <w:tab w:val="left" w:pos="569"/>
        </w:tabs>
        <w:jc w:val="both"/>
        <w:rPr>
          <w:bCs/>
          <w:i/>
          <w:sz w:val="22"/>
          <w:szCs w:val="22"/>
          <w:u w:val="single"/>
        </w:rPr>
      </w:pPr>
    </w:p>
    <w:p w:rsidR="00386214" w:rsidRDefault="00386214" w:rsidP="00B33BE3">
      <w:pPr>
        <w:tabs>
          <w:tab w:val="left" w:pos="540"/>
          <w:tab w:val="left" w:pos="569"/>
        </w:tabs>
        <w:jc w:val="both"/>
        <w:rPr>
          <w:bCs/>
          <w:i/>
          <w:sz w:val="22"/>
          <w:szCs w:val="22"/>
          <w:u w:val="single"/>
        </w:rPr>
      </w:pPr>
    </w:p>
    <w:p w:rsidR="00386214" w:rsidRDefault="00386214" w:rsidP="00B33BE3">
      <w:pPr>
        <w:tabs>
          <w:tab w:val="left" w:pos="540"/>
          <w:tab w:val="left" w:pos="569"/>
        </w:tabs>
        <w:jc w:val="both"/>
        <w:rPr>
          <w:bCs/>
          <w:i/>
          <w:sz w:val="22"/>
          <w:szCs w:val="22"/>
          <w:u w:val="single"/>
        </w:rPr>
      </w:pPr>
    </w:p>
    <w:p w:rsidR="00B33BE3" w:rsidRPr="00B33BE3" w:rsidRDefault="00B33BE3" w:rsidP="00B33BE3">
      <w:pPr>
        <w:tabs>
          <w:tab w:val="left" w:pos="540"/>
          <w:tab w:val="left" w:pos="569"/>
        </w:tabs>
        <w:jc w:val="both"/>
        <w:rPr>
          <w:bCs/>
          <w:i/>
          <w:sz w:val="22"/>
          <w:szCs w:val="22"/>
        </w:rPr>
      </w:pPr>
      <w:r w:rsidRPr="00B33BE3">
        <w:rPr>
          <w:bCs/>
          <w:i/>
          <w:sz w:val="22"/>
          <w:szCs w:val="22"/>
          <w:u w:val="single"/>
        </w:rPr>
        <w:lastRenderedPageBreak/>
        <w:t>Starije osobe</w:t>
      </w:r>
    </w:p>
    <w:p w:rsidR="00B33BE3" w:rsidRDefault="00B33BE3" w:rsidP="00B33BE3">
      <w:pPr>
        <w:tabs>
          <w:tab w:val="left" w:pos="540"/>
          <w:tab w:val="left" w:pos="569"/>
        </w:tabs>
        <w:jc w:val="both"/>
        <w:rPr>
          <w:bCs/>
          <w:sz w:val="22"/>
          <w:szCs w:val="22"/>
        </w:rPr>
      </w:pPr>
      <w:r w:rsidRPr="00B33BE3">
        <w:rPr>
          <w:bCs/>
          <w:sz w:val="22"/>
          <w:szCs w:val="22"/>
        </w:rPr>
        <w:t>Približno jedna trećina ukupnog broja pacijenata u kliničkim studijama koji su liječeni sunitinibom imala je 65 ili više godina. Nisu zapaženu značajnu razliku u bezbjednosti i efikasnosti lijeka između mlađih i starijih pacijenata.</w:t>
      </w:r>
    </w:p>
    <w:p w:rsidR="00B33BE3" w:rsidRPr="00B33BE3" w:rsidRDefault="00B33BE3" w:rsidP="00B33BE3">
      <w:pPr>
        <w:tabs>
          <w:tab w:val="left" w:pos="540"/>
          <w:tab w:val="left" w:pos="569"/>
        </w:tabs>
        <w:jc w:val="both"/>
        <w:rPr>
          <w:bCs/>
          <w:sz w:val="22"/>
          <w:szCs w:val="22"/>
        </w:rPr>
      </w:pPr>
    </w:p>
    <w:p w:rsidR="00B33BE3" w:rsidRPr="00B33BE3" w:rsidRDefault="00B33BE3" w:rsidP="00B33BE3">
      <w:pPr>
        <w:tabs>
          <w:tab w:val="left" w:pos="540"/>
          <w:tab w:val="left" w:pos="569"/>
        </w:tabs>
        <w:jc w:val="both"/>
        <w:rPr>
          <w:bCs/>
          <w:i/>
          <w:sz w:val="22"/>
          <w:szCs w:val="22"/>
        </w:rPr>
      </w:pPr>
      <w:r w:rsidRPr="00B33BE3">
        <w:rPr>
          <w:bCs/>
          <w:i/>
          <w:sz w:val="22"/>
          <w:szCs w:val="22"/>
          <w:u w:val="single"/>
        </w:rPr>
        <w:t>Oštećenje funkcije jetre</w:t>
      </w:r>
    </w:p>
    <w:p w:rsidR="00B33BE3" w:rsidRDefault="00B33BE3" w:rsidP="00B33BE3">
      <w:pPr>
        <w:tabs>
          <w:tab w:val="left" w:pos="540"/>
          <w:tab w:val="left" w:pos="569"/>
        </w:tabs>
        <w:jc w:val="both"/>
        <w:rPr>
          <w:bCs/>
          <w:sz w:val="22"/>
          <w:szCs w:val="22"/>
        </w:rPr>
      </w:pPr>
      <w:r w:rsidRPr="00B33BE3">
        <w:rPr>
          <w:bCs/>
          <w:sz w:val="22"/>
          <w:szCs w:val="22"/>
        </w:rPr>
        <w:t>Ne preporučuje se prilagođavanje početne doze sunitiniba kod pacijenata sa blagim ili umjerenim oštećenjem funkcije jetre (</w:t>
      </w:r>
      <w:r w:rsidRPr="00B33BE3">
        <w:rPr>
          <w:bCs/>
          <w:i/>
          <w:sz w:val="22"/>
          <w:szCs w:val="22"/>
        </w:rPr>
        <w:t xml:space="preserve">Child-Pugh </w:t>
      </w:r>
      <w:r w:rsidR="00354CB8">
        <w:rPr>
          <w:bCs/>
          <w:sz w:val="22"/>
          <w:szCs w:val="22"/>
        </w:rPr>
        <w:t>stadijum</w:t>
      </w:r>
      <w:r w:rsidRPr="00B33BE3">
        <w:rPr>
          <w:bCs/>
          <w:sz w:val="22"/>
          <w:szCs w:val="22"/>
        </w:rPr>
        <w:t>A i B). Sunitinib nije ispitivan kod osoba sa teškim oštećenjem funkcije jetre (</w:t>
      </w:r>
      <w:r w:rsidRPr="00B33BE3">
        <w:rPr>
          <w:bCs/>
          <w:i/>
          <w:sz w:val="22"/>
          <w:szCs w:val="22"/>
        </w:rPr>
        <w:t xml:space="preserve">Child-Pugh </w:t>
      </w:r>
      <w:r w:rsidR="00354CB8">
        <w:rPr>
          <w:bCs/>
          <w:sz w:val="22"/>
          <w:szCs w:val="22"/>
        </w:rPr>
        <w:t>stadijum</w:t>
      </w:r>
      <w:r w:rsidRPr="00B33BE3">
        <w:rPr>
          <w:bCs/>
          <w:sz w:val="22"/>
          <w:szCs w:val="22"/>
        </w:rPr>
        <w:t>C), pa se iz tog razloga njegova primjena kod tih pacijenata ne može preporučiti (vidjeti dio 5.2).</w:t>
      </w:r>
    </w:p>
    <w:p w:rsidR="00B33BE3" w:rsidRPr="00B33BE3" w:rsidRDefault="00B33BE3" w:rsidP="00B33BE3">
      <w:pPr>
        <w:tabs>
          <w:tab w:val="left" w:pos="540"/>
          <w:tab w:val="left" w:pos="569"/>
        </w:tabs>
        <w:jc w:val="both"/>
        <w:rPr>
          <w:bCs/>
          <w:sz w:val="22"/>
          <w:szCs w:val="22"/>
        </w:rPr>
      </w:pPr>
    </w:p>
    <w:p w:rsidR="00B33BE3" w:rsidRPr="00B33BE3" w:rsidRDefault="00B33BE3" w:rsidP="00B33BE3">
      <w:pPr>
        <w:tabs>
          <w:tab w:val="left" w:pos="540"/>
          <w:tab w:val="left" w:pos="569"/>
        </w:tabs>
        <w:jc w:val="both"/>
        <w:rPr>
          <w:bCs/>
          <w:i/>
          <w:sz w:val="22"/>
          <w:szCs w:val="22"/>
        </w:rPr>
      </w:pPr>
      <w:r w:rsidRPr="00B33BE3">
        <w:rPr>
          <w:bCs/>
          <w:i/>
          <w:sz w:val="22"/>
          <w:szCs w:val="22"/>
          <w:u w:val="single"/>
        </w:rPr>
        <w:t>Oštećenje funkcije bubrega</w:t>
      </w:r>
    </w:p>
    <w:p w:rsidR="00B33BE3" w:rsidRPr="00B33BE3" w:rsidRDefault="00B33BE3" w:rsidP="00B33BE3">
      <w:pPr>
        <w:tabs>
          <w:tab w:val="left" w:pos="540"/>
          <w:tab w:val="left" w:pos="569"/>
        </w:tabs>
        <w:jc w:val="both"/>
        <w:rPr>
          <w:bCs/>
          <w:sz w:val="22"/>
          <w:szCs w:val="22"/>
        </w:rPr>
      </w:pPr>
      <w:r w:rsidRPr="00B33BE3">
        <w:rPr>
          <w:bCs/>
          <w:sz w:val="22"/>
          <w:szCs w:val="22"/>
        </w:rPr>
        <w:t xml:space="preserve">Nije potrebno podešavanje početne doze sunitiniba kod pacijenata sa oštećenjem funkcije bubrega (od blagog do teškog), ili kod pacijenata u terminalnoj fazi bubrežne bolesti (engl. </w:t>
      </w:r>
      <w:r w:rsidRPr="00B33BE3">
        <w:rPr>
          <w:bCs/>
          <w:i/>
          <w:sz w:val="22"/>
          <w:szCs w:val="22"/>
        </w:rPr>
        <w:t>End-Stage Renal Disease,</w:t>
      </w:r>
      <w:r>
        <w:rPr>
          <w:bCs/>
          <w:i/>
          <w:sz w:val="22"/>
          <w:szCs w:val="22"/>
        </w:rPr>
        <w:t xml:space="preserve"> </w:t>
      </w:r>
      <w:r w:rsidRPr="00B33BE3">
        <w:rPr>
          <w:bCs/>
          <w:sz w:val="22"/>
          <w:szCs w:val="22"/>
        </w:rPr>
        <w:t>ESRD) koji su na hemodijalizi. Dalje prilagođavanje doze treba da se bazira na individualnoj bezbjednosti i podnošljivosti (vidjeti dio 5.2).</w:t>
      </w:r>
    </w:p>
    <w:p w:rsidR="00B33BE3" w:rsidRPr="00B33BE3" w:rsidRDefault="00B33BE3" w:rsidP="00B33BE3">
      <w:pPr>
        <w:tabs>
          <w:tab w:val="left" w:pos="540"/>
          <w:tab w:val="left" w:pos="569"/>
        </w:tabs>
        <w:jc w:val="both"/>
        <w:rPr>
          <w:bCs/>
          <w:sz w:val="22"/>
          <w:szCs w:val="22"/>
        </w:rPr>
      </w:pPr>
    </w:p>
    <w:p w:rsidR="00B33BE3" w:rsidRPr="00B33BE3" w:rsidRDefault="00B33BE3" w:rsidP="00B33BE3">
      <w:pPr>
        <w:tabs>
          <w:tab w:val="left" w:pos="540"/>
          <w:tab w:val="left" w:pos="569"/>
        </w:tabs>
        <w:jc w:val="both"/>
        <w:rPr>
          <w:bCs/>
          <w:sz w:val="22"/>
          <w:szCs w:val="22"/>
        </w:rPr>
      </w:pPr>
      <w:r w:rsidRPr="00B33BE3">
        <w:rPr>
          <w:bCs/>
          <w:sz w:val="22"/>
          <w:szCs w:val="22"/>
          <w:u w:val="single"/>
        </w:rPr>
        <w:t>Način primjene</w:t>
      </w:r>
    </w:p>
    <w:p w:rsidR="00B33BE3" w:rsidRDefault="00B33BE3" w:rsidP="00B33BE3">
      <w:pPr>
        <w:tabs>
          <w:tab w:val="left" w:pos="540"/>
          <w:tab w:val="left" w:pos="569"/>
        </w:tabs>
        <w:jc w:val="both"/>
        <w:rPr>
          <w:bCs/>
          <w:sz w:val="22"/>
          <w:szCs w:val="22"/>
        </w:rPr>
      </w:pPr>
      <w:r w:rsidRPr="00B33BE3">
        <w:rPr>
          <w:bCs/>
          <w:sz w:val="22"/>
          <w:szCs w:val="22"/>
        </w:rPr>
        <w:t>Lijek Sunitinib Pliva je namijenjen za oralnu upotrebu. Može se uzimati sa hranom ili bez nje.</w:t>
      </w:r>
    </w:p>
    <w:p w:rsidR="00B33BE3" w:rsidRPr="00B33BE3" w:rsidRDefault="00B33BE3" w:rsidP="00B33BE3">
      <w:pPr>
        <w:tabs>
          <w:tab w:val="left" w:pos="540"/>
          <w:tab w:val="left" w:pos="569"/>
        </w:tabs>
        <w:jc w:val="both"/>
        <w:rPr>
          <w:bCs/>
          <w:sz w:val="22"/>
          <w:szCs w:val="22"/>
        </w:rPr>
      </w:pPr>
    </w:p>
    <w:p w:rsidR="00B33BE3" w:rsidRPr="00B33BE3" w:rsidRDefault="00B33BE3" w:rsidP="00B33BE3">
      <w:pPr>
        <w:tabs>
          <w:tab w:val="left" w:pos="540"/>
          <w:tab w:val="left" w:pos="569"/>
        </w:tabs>
        <w:jc w:val="both"/>
        <w:rPr>
          <w:bCs/>
          <w:sz w:val="22"/>
          <w:szCs w:val="22"/>
        </w:rPr>
      </w:pPr>
      <w:r w:rsidRPr="00B33BE3">
        <w:rPr>
          <w:bCs/>
          <w:sz w:val="22"/>
          <w:szCs w:val="22"/>
        </w:rPr>
        <w:t xml:space="preserve">Ukoliko se propusti jedna doza, pacijent ne </w:t>
      </w:r>
      <w:r w:rsidR="00354CB8">
        <w:rPr>
          <w:bCs/>
          <w:sz w:val="22"/>
          <w:szCs w:val="22"/>
        </w:rPr>
        <w:t>smije uzeti</w:t>
      </w:r>
      <w:r w:rsidRPr="00B33BE3">
        <w:rPr>
          <w:bCs/>
          <w:sz w:val="22"/>
          <w:szCs w:val="22"/>
        </w:rPr>
        <w:t xml:space="preserve"> dodatnu dozu lijeka. Pacijent treba da uzme</w:t>
      </w:r>
      <w:r>
        <w:rPr>
          <w:bCs/>
          <w:sz w:val="22"/>
          <w:szCs w:val="22"/>
        </w:rPr>
        <w:t xml:space="preserve"> </w:t>
      </w:r>
      <w:r w:rsidRPr="00B33BE3">
        <w:rPr>
          <w:bCs/>
          <w:sz w:val="22"/>
          <w:szCs w:val="22"/>
        </w:rPr>
        <w:t>uobičajenu, propisanu dozu sljedećeg dana.</w:t>
      </w:r>
    </w:p>
    <w:p w:rsidR="00452E9D" w:rsidRPr="00786071" w:rsidRDefault="00452E9D" w:rsidP="00480FB1">
      <w:pPr>
        <w:tabs>
          <w:tab w:val="left" w:pos="540"/>
          <w:tab w:val="left" w:pos="569"/>
        </w:tabs>
        <w:rPr>
          <w:bCs/>
          <w:sz w:val="22"/>
          <w:szCs w:val="22"/>
        </w:rPr>
      </w:pPr>
    </w:p>
    <w:p w:rsidR="00411B4B" w:rsidRDefault="00411B4B" w:rsidP="00480FB1">
      <w:pPr>
        <w:tabs>
          <w:tab w:val="left" w:pos="540"/>
          <w:tab w:val="left" w:pos="569"/>
        </w:tabs>
        <w:rPr>
          <w:b/>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p w:rsidR="00B33BE3" w:rsidRPr="00786071" w:rsidRDefault="00B33BE3" w:rsidP="00480FB1">
      <w:pPr>
        <w:tabs>
          <w:tab w:val="left" w:pos="540"/>
          <w:tab w:val="left" w:pos="569"/>
        </w:tabs>
        <w:rPr>
          <w:b/>
          <w:bCs/>
          <w:sz w:val="22"/>
          <w:szCs w:val="22"/>
        </w:rPr>
      </w:pPr>
    </w:p>
    <w:p w:rsidR="00B33BE3" w:rsidRPr="00B33BE3" w:rsidRDefault="00B33BE3" w:rsidP="00B33BE3">
      <w:pPr>
        <w:tabs>
          <w:tab w:val="left" w:pos="540"/>
          <w:tab w:val="left" w:pos="569"/>
        </w:tabs>
        <w:rPr>
          <w:bCs/>
          <w:sz w:val="22"/>
          <w:szCs w:val="22"/>
        </w:rPr>
      </w:pPr>
      <w:r w:rsidRPr="00B33BE3">
        <w:rPr>
          <w:bCs/>
          <w:sz w:val="22"/>
          <w:szCs w:val="22"/>
        </w:rPr>
        <w:t>Preosjetljivost na aktivnu supstancu ili na bilo koju od pomoćnih supstanci navedenih u dijelu 6.1.</w:t>
      </w:r>
    </w:p>
    <w:p w:rsidR="0072020E" w:rsidRPr="00786071" w:rsidRDefault="0072020E" w:rsidP="00480FB1">
      <w:pPr>
        <w:tabs>
          <w:tab w:val="left" w:pos="540"/>
          <w:tab w:val="left" w:pos="569"/>
        </w:tabs>
        <w:rPr>
          <w:bCs/>
          <w:sz w:val="22"/>
          <w:szCs w:val="22"/>
        </w:rPr>
      </w:pPr>
    </w:p>
    <w:p w:rsidR="00411B4B" w:rsidRPr="00786071" w:rsidRDefault="00411B4B" w:rsidP="00480FB1">
      <w:pPr>
        <w:tabs>
          <w:tab w:val="left" w:pos="540"/>
          <w:tab w:val="left" w:pos="569"/>
        </w:tabs>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rsidR="0072020E" w:rsidRPr="00786071" w:rsidRDefault="0072020E" w:rsidP="00480FB1">
      <w:pPr>
        <w:tabs>
          <w:tab w:val="left" w:pos="540"/>
          <w:tab w:val="left" w:pos="569"/>
        </w:tabs>
        <w:rPr>
          <w:bCs/>
          <w:sz w:val="22"/>
          <w:szCs w:val="22"/>
        </w:rPr>
      </w:pPr>
    </w:p>
    <w:p w:rsidR="00B33BE3" w:rsidRPr="00D616DF" w:rsidRDefault="00B33BE3" w:rsidP="00B33BE3">
      <w:pPr>
        <w:shd w:val="clear" w:color="auto" w:fill="FFFFFF"/>
        <w:spacing w:line="240" w:lineRule="exact"/>
        <w:jc w:val="both"/>
        <w:rPr>
          <w:sz w:val="22"/>
          <w:szCs w:val="22"/>
          <w:lang w:val="sr-Latn-ME"/>
        </w:rPr>
      </w:pPr>
      <w:r w:rsidRPr="00D616DF">
        <w:rPr>
          <w:sz w:val="22"/>
          <w:szCs w:val="22"/>
          <w:lang w:val="sr-Latn-ME"/>
        </w:rPr>
        <w:t xml:space="preserve">Istovremenu primjenu sa snažnim induktorima CYP3A4 treba izbjegavati, zato što može </w:t>
      </w:r>
      <w:r w:rsidRPr="00D616DF">
        <w:rPr>
          <w:bCs/>
          <w:sz w:val="22"/>
          <w:szCs w:val="22"/>
          <w:lang w:val="sr-Latn-ME"/>
        </w:rPr>
        <w:t xml:space="preserve">sniziti </w:t>
      </w:r>
      <w:r w:rsidRPr="00D616DF">
        <w:rPr>
          <w:sz w:val="22"/>
          <w:szCs w:val="22"/>
          <w:lang w:val="sr-Latn-ME"/>
        </w:rPr>
        <w:t>koncentraciju sunitiniba u plazmi (vidjeti djelove 4.2 i 4.5).</w:t>
      </w:r>
    </w:p>
    <w:p w:rsidR="00B33BE3" w:rsidRPr="00D616DF" w:rsidRDefault="00B33BE3" w:rsidP="00B33BE3">
      <w:pPr>
        <w:shd w:val="clear" w:color="auto" w:fill="FFFFFF"/>
        <w:spacing w:line="240" w:lineRule="exact"/>
        <w:jc w:val="both"/>
        <w:rPr>
          <w:sz w:val="22"/>
          <w:szCs w:val="22"/>
          <w:lang w:val="sr-Latn-ME"/>
        </w:rPr>
      </w:pPr>
    </w:p>
    <w:p w:rsidR="00B33BE3" w:rsidRPr="00D616DF" w:rsidRDefault="00B33BE3" w:rsidP="00B33BE3">
      <w:pPr>
        <w:shd w:val="clear" w:color="auto" w:fill="FFFFFF"/>
        <w:spacing w:line="235" w:lineRule="exact"/>
        <w:jc w:val="both"/>
        <w:rPr>
          <w:sz w:val="22"/>
          <w:szCs w:val="22"/>
          <w:lang w:val="sr-Latn-ME"/>
        </w:rPr>
      </w:pPr>
      <w:r w:rsidRPr="00D616DF">
        <w:rPr>
          <w:sz w:val="22"/>
          <w:szCs w:val="22"/>
          <w:lang w:val="sr-Latn-ME"/>
        </w:rPr>
        <w:t xml:space="preserve">Istovremenu primjenu sa snažnim inhibitorima CYP3A4 treba izbjegavati, zato što može </w:t>
      </w:r>
      <w:r w:rsidRPr="00D616DF">
        <w:rPr>
          <w:bCs/>
          <w:sz w:val="22"/>
          <w:szCs w:val="22"/>
          <w:lang w:val="sr-Latn-ME"/>
        </w:rPr>
        <w:t xml:space="preserve">povisiti </w:t>
      </w:r>
      <w:r w:rsidRPr="00D616DF">
        <w:rPr>
          <w:sz w:val="22"/>
          <w:szCs w:val="22"/>
          <w:lang w:val="sr-Latn-ME"/>
        </w:rPr>
        <w:t>koncentraciju sunitiniba u plazmi (vidjeti djelove 4.2 i 4.5).</w:t>
      </w:r>
    </w:p>
    <w:p w:rsidR="00B33BE3" w:rsidRPr="00D616DF" w:rsidRDefault="00B33BE3" w:rsidP="00B33BE3">
      <w:pPr>
        <w:tabs>
          <w:tab w:val="left" w:pos="540"/>
          <w:tab w:val="left" w:pos="569"/>
        </w:tabs>
        <w:rPr>
          <w:bCs/>
          <w:sz w:val="22"/>
          <w:szCs w:val="22"/>
          <w:lang w:val="sr-Latn-ME"/>
        </w:rPr>
      </w:pPr>
    </w:p>
    <w:p w:rsidR="00B33BE3" w:rsidRPr="00D616DF" w:rsidRDefault="00B33BE3" w:rsidP="00B33BE3">
      <w:pPr>
        <w:shd w:val="clear" w:color="auto" w:fill="FFFFFF"/>
        <w:jc w:val="both"/>
        <w:rPr>
          <w:sz w:val="22"/>
          <w:szCs w:val="22"/>
          <w:u w:val="single"/>
          <w:lang w:val="sr-Latn-ME"/>
        </w:rPr>
      </w:pPr>
      <w:r w:rsidRPr="00D616DF">
        <w:rPr>
          <w:iCs/>
          <w:sz w:val="22"/>
          <w:szCs w:val="22"/>
          <w:u w:val="single"/>
          <w:lang w:val="sr-Latn-ME"/>
        </w:rPr>
        <w:t>Poremećaji kože i tkiva</w:t>
      </w:r>
    </w:p>
    <w:p w:rsidR="00B33BE3" w:rsidRPr="00D616DF" w:rsidRDefault="00B33BE3" w:rsidP="00B33BE3">
      <w:pPr>
        <w:shd w:val="clear" w:color="auto" w:fill="FFFFFF"/>
        <w:spacing w:line="235" w:lineRule="exact"/>
        <w:jc w:val="both"/>
        <w:rPr>
          <w:sz w:val="22"/>
          <w:szCs w:val="22"/>
          <w:lang w:val="sr-Latn-ME"/>
        </w:rPr>
      </w:pPr>
      <w:r w:rsidRPr="00D616DF">
        <w:rPr>
          <w:sz w:val="22"/>
          <w:szCs w:val="22"/>
          <w:lang w:val="sr-Latn-ME"/>
        </w:rPr>
        <w:t>Pacijente treba upozoriti da</w:t>
      </w:r>
      <w:r w:rsidRPr="00F84901">
        <w:rPr>
          <w:lang w:val="sr-Latn-ME"/>
        </w:rPr>
        <w:t xml:space="preserve"> </w:t>
      </w:r>
      <w:r w:rsidRPr="00D616DF">
        <w:rPr>
          <w:sz w:val="22"/>
          <w:szCs w:val="22"/>
          <w:lang w:val="sr-Latn-ME"/>
        </w:rPr>
        <w:t>tokom liječenja sunitinibom može doći do depigmentacije kose ili kože. Drugi, mogući dermatološki efekti obuhvataju suvoću, za</w:t>
      </w:r>
      <w:r>
        <w:rPr>
          <w:sz w:val="22"/>
          <w:szCs w:val="22"/>
          <w:lang w:val="sr-Latn-ME"/>
        </w:rPr>
        <w:t>debljanje ili pucanje kože, plih</w:t>
      </w:r>
      <w:r w:rsidRPr="00D616DF">
        <w:rPr>
          <w:sz w:val="22"/>
          <w:szCs w:val="22"/>
          <w:lang w:val="sr-Latn-ME"/>
        </w:rPr>
        <w:t>ove ili osip na dlanovima i tabanima.</w:t>
      </w:r>
    </w:p>
    <w:p w:rsidR="00B33BE3" w:rsidRPr="00D616DF" w:rsidRDefault="00B33BE3" w:rsidP="00B33BE3">
      <w:pPr>
        <w:shd w:val="clear" w:color="auto" w:fill="FFFFFF"/>
        <w:spacing w:line="240" w:lineRule="exact"/>
        <w:jc w:val="both"/>
        <w:rPr>
          <w:sz w:val="22"/>
          <w:szCs w:val="22"/>
          <w:lang w:val="sr-Latn-ME"/>
        </w:rPr>
      </w:pPr>
    </w:p>
    <w:p w:rsidR="00354CB8" w:rsidRPr="00354CB8" w:rsidRDefault="00B33BE3" w:rsidP="00354CB8">
      <w:pPr>
        <w:tabs>
          <w:tab w:val="left" w:pos="540"/>
          <w:tab w:val="left" w:pos="569"/>
        </w:tabs>
        <w:jc w:val="both"/>
        <w:rPr>
          <w:sz w:val="22"/>
          <w:szCs w:val="22"/>
          <w:lang w:val="sr-Latn-ME"/>
        </w:rPr>
      </w:pPr>
      <w:r w:rsidRPr="00D616DF">
        <w:rPr>
          <w:sz w:val="22"/>
          <w:szCs w:val="22"/>
          <w:lang w:val="sr-Latn-ME"/>
        </w:rPr>
        <w:t xml:space="preserve">Navedene reakcije nisu kumulativne prirode, obično su reverzibilne i generalno se zbog njih ne obustavlja liječenje. Prijavljivani su slučajevi gangrenozne piodermije koji su uglavnom reverzibilni nakon prekida terapije sunitinibom. Prijavljene su i teške kožne reakcije, uključujući slučajeve eritema multiforme (EM), slučajeve koji ukazuju na </w:t>
      </w:r>
      <w:r w:rsidRPr="00D616DF">
        <w:rPr>
          <w:i/>
          <w:sz w:val="22"/>
          <w:szCs w:val="22"/>
          <w:lang w:val="sr-Latn-ME"/>
        </w:rPr>
        <w:t>Stevens-Johnson</w:t>
      </w:r>
      <w:r w:rsidRPr="00D616DF">
        <w:rPr>
          <w:sz w:val="22"/>
          <w:szCs w:val="22"/>
          <w:lang w:val="sr-Latn-ME"/>
        </w:rPr>
        <w:t>-ov sindrom (SJS) i toksičnu epidermalnu</w:t>
      </w:r>
      <w:r w:rsidR="00354CB8">
        <w:rPr>
          <w:sz w:val="22"/>
          <w:szCs w:val="22"/>
          <w:lang w:val="sr-Latn-ME"/>
        </w:rPr>
        <w:t xml:space="preserve"> </w:t>
      </w:r>
      <w:r w:rsidR="00354CB8" w:rsidRPr="00354CB8">
        <w:rPr>
          <w:sz w:val="22"/>
          <w:szCs w:val="22"/>
          <w:lang w:val="sr-Latn-ME"/>
        </w:rPr>
        <w:t>nekrolizu (TEN), od kojih su neke bile sa fatalnim ishodom. Ukoliko su prisutni znakovi i simptomi SJS, TEN ili EM (kao što je progresivni kožni osip sa plihovima ili lezije mukoze), terapiju sunitinibom treba obustaviti. Ukoliko se potvrdi dijagnoza SJS ili TEN, terapija sunitinibom se ne smije ponovo započinjati.</w:t>
      </w:r>
    </w:p>
    <w:p w:rsidR="00B33BE3" w:rsidRPr="00D616DF" w:rsidRDefault="00B33BE3" w:rsidP="00B33BE3">
      <w:pPr>
        <w:tabs>
          <w:tab w:val="left" w:pos="540"/>
          <w:tab w:val="left" w:pos="569"/>
        </w:tabs>
        <w:jc w:val="both"/>
        <w:rPr>
          <w:sz w:val="22"/>
          <w:szCs w:val="22"/>
          <w:lang w:val="sr-Latn-ME"/>
        </w:rPr>
      </w:pPr>
    </w:p>
    <w:p w:rsidR="00B33BE3" w:rsidRPr="00D616DF" w:rsidRDefault="00B33BE3" w:rsidP="00B33BE3">
      <w:pPr>
        <w:tabs>
          <w:tab w:val="left" w:pos="540"/>
          <w:tab w:val="left" w:pos="569"/>
        </w:tabs>
        <w:jc w:val="both"/>
        <w:rPr>
          <w:sz w:val="22"/>
          <w:szCs w:val="22"/>
          <w:lang w:val="sr-Latn-ME"/>
        </w:rPr>
      </w:pPr>
      <w:r w:rsidRPr="00D616DF">
        <w:rPr>
          <w:sz w:val="22"/>
          <w:szCs w:val="22"/>
          <w:lang w:val="sr-Latn-ME"/>
        </w:rPr>
        <w:t>U nekim slučajevima u kojima se sumnjalo na EM, pacijeni su podnijeli ponovno uvođenje terapije sunitinibom u nižim dozama nakon povlačenja reakcije; neki od ovih pacijenata su istovremeno primali terapiju kortikosteroidima ili antihistaminicima (vidjeti dio 4.8).</w:t>
      </w:r>
    </w:p>
    <w:p w:rsidR="00B33BE3" w:rsidRPr="00D616DF" w:rsidRDefault="00B33BE3" w:rsidP="00B33BE3">
      <w:pPr>
        <w:tabs>
          <w:tab w:val="left" w:pos="1214"/>
        </w:tabs>
        <w:jc w:val="both"/>
        <w:rPr>
          <w:sz w:val="22"/>
          <w:szCs w:val="22"/>
          <w:u w:val="single"/>
          <w:lang w:val="sr-Latn-ME"/>
        </w:rPr>
      </w:pPr>
    </w:p>
    <w:p w:rsidR="00B33BE3" w:rsidRPr="00D616DF" w:rsidRDefault="00B33BE3" w:rsidP="00B33BE3">
      <w:pPr>
        <w:tabs>
          <w:tab w:val="left" w:pos="1214"/>
        </w:tabs>
        <w:jc w:val="both"/>
        <w:rPr>
          <w:sz w:val="22"/>
          <w:szCs w:val="22"/>
          <w:u w:val="single"/>
          <w:lang w:val="sr-Latn-ME"/>
        </w:rPr>
      </w:pPr>
      <w:r w:rsidRPr="00D616DF">
        <w:rPr>
          <w:sz w:val="22"/>
          <w:szCs w:val="22"/>
          <w:u w:val="single"/>
          <w:lang w:val="sr-Latn-ME"/>
        </w:rPr>
        <w:t xml:space="preserve">Hemoragija i krvarenje tumora </w:t>
      </w:r>
    </w:p>
    <w:p w:rsidR="00B33BE3" w:rsidRPr="00D616DF" w:rsidRDefault="00B33BE3" w:rsidP="00B33BE3">
      <w:pPr>
        <w:tabs>
          <w:tab w:val="left" w:pos="1214"/>
        </w:tabs>
        <w:jc w:val="both"/>
        <w:rPr>
          <w:sz w:val="22"/>
          <w:szCs w:val="22"/>
          <w:lang w:val="sr-Latn-ME"/>
        </w:rPr>
      </w:pPr>
      <w:r w:rsidRPr="00D616DF">
        <w:rPr>
          <w:sz w:val="22"/>
          <w:szCs w:val="22"/>
          <w:lang w:val="sr-Latn-ME"/>
        </w:rPr>
        <w:t>Hemoragijski događaji, zabilježeni u kliničkim studijama sa sunitinibom i tokom postmarketinškog praćenja, od kojih su neki imali smrtni ishod, uključili su hemoragije gastrointestinalnog, respiratornog i urinarnog trakta i cerebralne hemoragije (vidjeti dio 4.8).</w:t>
      </w:r>
    </w:p>
    <w:p w:rsidR="00B33BE3" w:rsidRPr="00D616DF" w:rsidRDefault="00B33BE3" w:rsidP="00B33BE3">
      <w:pPr>
        <w:tabs>
          <w:tab w:val="left" w:pos="1214"/>
        </w:tabs>
        <w:jc w:val="both"/>
        <w:rPr>
          <w:sz w:val="22"/>
          <w:szCs w:val="22"/>
          <w:lang w:val="sr-Latn-ME"/>
        </w:rPr>
      </w:pPr>
    </w:p>
    <w:p w:rsidR="00B33BE3" w:rsidRDefault="00B33BE3" w:rsidP="00B33BE3">
      <w:pPr>
        <w:tabs>
          <w:tab w:val="left" w:pos="1214"/>
        </w:tabs>
        <w:jc w:val="both"/>
        <w:rPr>
          <w:sz w:val="22"/>
          <w:szCs w:val="22"/>
          <w:lang w:val="sr-Latn-ME"/>
        </w:rPr>
      </w:pPr>
      <w:r w:rsidRPr="00D616DF">
        <w:rPr>
          <w:sz w:val="22"/>
          <w:szCs w:val="22"/>
          <w:lang w:val="sr-Latn-ME"/>
        </w:rPr>
        <w:t xml:space="preserve">Rutinska procjena hemoragijskih događaja treba da uključi kompletnu krvnu sliku i fizikalni pregled. </w:t>
      </w:r>
    </w:p>
    <w:p w:rsidR="00B44796" w:rsidRDefault="00B44796" w:rsidP="00B33BE3">
      <w:pPr>
        <w:tabs>
          <w:tab w:val="left" w:pos="1214"/>
        </w:tabs>
        <w:jc w:val="both"/>
        <w:rPr>
          <w:sz w:val="22"/>
          <w:szCs w:val="22"/>
          <w:lang w:val="sr-Latn-ME"/>
        </w:rPr>
      </w:pPr>
    </w:p>
    <w:p w:rsidR="00B44796" w:rsidRPr="00D616DF" w:rsidRDefault="00B44796" w:rsidP="00B44796">
      <w:pPr>
        <w:tabs>
          <w:tab w:val="left" w:pos="1214"/>
        </w:tabs>
        <w:jc w:val="both"/>
        <w:rPr>
          <w:sz w:val="22"/>
          <w:szCs w:val="22"/>
          <w:lang w:val="sr-Latn-ME"/>
        </w:rPr>
      </w:pPr>
      <w:r w:rsidRPr="00D616DF">
        <w:rPr>
          <w:sz w:val="22"/>
          <w:szCs w:val="22"/>
          <w:lang w:val="sr-Latn-ME"/>
        </w:rPr>
        <w:t xml:space="preserve">Epistaksa je najčešća hemoragijska neželjena reakcija, a opisana je kod otprilike polovine pacijenata sa solidnim tumorima koji su imali hemoragijske događaje. Neki od ovih događaja su bili teški, ali </w:t>
      </w:r>
      <w:r w:rsidR="00354CB8" w:rsidRPr="00354CB8">
        <w:rPr>
          <w:sz w:val="22"/>
          <w:szCs w:val="22"/>
          <w:lang w:val="sr-Latn-ME"/>
        </w:rPr>
        <w:t>su vrlo rijetko imali smrtni ishod.</w:t>
      </w:r>
      <w:r w:rsidRPr="00D616DF">
        <w:rPr>
          <w:sz w:val="22"/>
          <w:szCs w:val="22"/>
          <w:lang w:val="sr-Latn-ME"/>
        </w:rPr>
        <w:t xml:space="preserve">Zabilježeni su i slučajevi krvarenja tumora, ponekad povezani sa nekrozom tumorskog tkiva; neki od ovih hemoragijskih događaja su bili fatalni. </w:t>
      </w:r>
    </w:p>
    <w:p w:rsidR="00B44796" w:rsidRPr="00D616DF" w:rsidRDefault="00B44796" w:rsidP="00B44796">
      <w:pPr>
        <w:tabs>
          <w:tab w:val="left" w:pos="1214"/>
        </w:tabs>
        <w:jc w:val="both"/>
        <w:rPr>
          <w:sz w:val="22"/>
          <w:szCs w:val="22"/>
          <w:lang w:val="sr-Latn-ME"/>
        </w:rPr>
      </w:pPr>
    </w:p>
    <w:p w:rsidR="00B44796" w:rsidRPr="00D616DF" w:rsidRDefault="00B44796" w:rsidP="00B44796">
      <w:pPr>
        <w:tabs>
          <w:tab w:val="left" w:pos="1214"/>
        </w:tabs>
        <w:jc w:val="both"/>
        <w:rPr>
          <w:sz w:val="22"/>
          <w:szCs w:val="22"/>
          <w:lang w:val="sr-Latn-ME"/>
        </w:rPr>
      </w:pPr>
      <w:r w:rsidRPr="00D616DF">
        <w:rPr>
          <w:sz w:val="22"/>
          <w:szCs w:val="22"/>
          <w:lang w:val="sr-Latn-ME"/>
        </w:rPr>
        <w:t>Hemoragije tumora mogu nastati iznenada, a kada su u pitanju tumori pluća, mogu se manifestovati kao teška i po život ugrožavajuća hemoptizija ili plućna hemoragija. U kliničkim ispitivanjima su zabilježeni,  i tokom postmarketinškog iskustva prijavljeni</w:t>
      </w:r>
      <w:r w:rsidRPr="00F84901">
        <w:rPr>
          <w:lang w:val="sr-Latn-ME"/>
        </w:rPr>
        <w:t xml:space="preserve"> </w:t>
      </w:r>
      <w:r w:rsidRPr="00D616DF">
        <w:rPr>
          <w:sz w:val="22"/>
          <w:szCs w:val="22"/>
          <w:lang w:val="sr-Latn-ME"/>
        </w:rPr>
        <w:t>slučajevi hemoragije pluća</w:t>
      </w:r>
      <w:r w:rsidRPr="00F84901">
        <w:rPr>
          <w:lang w:val="sr-Latn-ME"/>
        </w:rPr>
        <w:t xml:space="preserve"> </w:t>
      </w:r>
      <w:r w:rsidRPr="00D616DF">
        <w:rPr>
          <w:sz w:val="22"/>
          <w:szCs w:val="22"/>
          <w:lang w:val="sr-Latn-ME"/>
        </w:rPr>
        <w:t xml:space="preserve">kod pacijenata koji su liječeni sunitinibom za MRCC, GIST i karcinom pluća. </w:t>
      </w:r>
    </w:p>
    <w:p w:rsidR="00B44796" w:rsidRPr="00D616DF" w:rsidRDefault="00B44796" w:rsidP="00B44796">
      <w:pPr>
        <w:tabs>
          <w:tab w:val="left" w:pos="1214"/>
        </w:tabs>
        <w:jc w:val="both"/>
        <w:rPr>
          <w:sz w:val="22"/>
          <w:szCs w:val="22"/>
          <w:lang w:val="sr-Latn-ME"/>
        </w:rPr>
      </w:pPr>
      <w:r w:rsidRPr="00D616DF">
        <w:rPr>
          <w:sz w:val="22"/>
          <w:szCs w:val="22"/>
          <w:lang w:val="sr-Latn-ME"/>
        </w:rPr>
        <w:t xml:space="preserve">Lijek Sunitinib Pharmascience nije odobren za primjenu kod pacijenata sa karcinomom pluća. </w:t>
      </w:r>
    </w:p>
    <w:p w:rsidR="00B44796" w:rsidRPr="00D616DF" w:rsidRDefault="00B44796" w:rsidP="00B44796">
      <w:pPr>
        <w:tabs>
          <w:tab w:val="left" w:pos="1214"/>
        </w:tabs>
        <w:jc w:val="both"/>
        <w:rPr>
          <w:sz w:val="22"/>
          <w:szCs w:val="22"/>
          <w:lang w:val="sr-Latn-ME"/>
        </w:rPr>
      </w:pPr>
    </w:p>
    <w:p w:rsidR="00B44796" w:rsidRPr="00D616DF" w:rsidRDefault="00B44796" w:rsidP="00B44796">
      <w:pPr>
        <w:tabs>
          <w:tab w:val="left" w:pos="1214"/>
        </w:tabs>
        <w:jc w:val="both"/>
        <w:rPr>
          <w:sz w:val="22"/>
          <w:szCs w:val="22"/>
          <w:lang w:val="sr-Latn-ME"/>
        </w:rPr>
      </w:pPr>
      <w:r w:rsidRPr="00D616DF">
        <w:rPr>
          <w:sz w:val="22"/>
          <w:szCs w:val="22"/>
          <w:lang w:val="sr-Latn-ME"/>
        </w:rPr>
        <w:t>Kod pacijenata koji su istovremeno na terapiji antikoagulansima (npr. varfarin, acenokumarol) treba periodično provjeravati kompletnu krvnu sliku (trombocite), faktore koagulacije (PT/INR) i izvršiti fizikalni pregled.</w:t>
      </w:r>
    </w:p>
    <w:p w:rsidR="00B44796" w:rsidRPr="00D616DF" w:rsidRDefault="00B44796" w:rsidP="00B44796">
      <w:pPr>
        <w:tabs>
          <w:tab w:val="left" w:pos="1214"/>
        </w:tabs>
        <w:jc w:val="both"/>
        <w:rPr>
          <w:sz w:val="22"/>
          <w:szCs w:val="22"/>
          <w:lang w:val="sr-Latn-ME"/>
        </w:rPr>
      </w:pPr>
    </w:p>
    <w:p w:rsidR="00B44796" w:rsidRPr="00D616DF" w:rsidRDefault="00B44796" w:rsidP="00B44796">
      <w:pPr>
        <w:shd w:val="clear" w:color="auto" w:fill="FFFFFF"/>
        <w:jc w:val="both"/>
        <w:rPr>
          <w:sz w:val="22"/>
          <w:szCs w:val="22"/>
          <w:u w:val="single"/>
          <w:lang w:val="sr-Latn-ME"/>
        </w:rPr>
      </w:pPr>
      <w:r w:rsidRPr="00D616DF">
        <w:rPr>
          <w:iCs/>
          <w:sz w:val="22"/>
          <w:szCs w:val="22"/>
          <w:u w:val="single"/>
          <w:lang w:val="sr-Latn-ME"/>
        </w:rPr>
        <w:t>Gastrointestinalni poremećaji</w:t>
      </w:r>
    </w:p>
    <w:p w:rsidR="00B44796" w:rsidRPr="00D616DF" w:rsidRDefault="00B44796" w:rsidP="00B44796">
      <w:pPr>
        <w:shd w:val="clear" w:color="auto" w:fill="FFFFFF"/>
        <w:spacing w:line="235" w:lineRule="exact"/>
        <w:jc w:val="both"/>
        <w:rPr>
          <w:sz w:val="22"/>
          <w:szCs w:val="22"/>
          <w:lang w:val="sr-Latn-ME"/>
        </w:rPr>
      </w:pPr>
      <w:r w:rsidRPr="00D616DF">
        <w:rPr>
          <w:sz w:val="22"/>
          <w:szCs w:val="22"/>
          <w:lang w:val="sr-Latn-ME"/>
        </w:rPr>
        <w:t>Dijareja, mučnina/povraćanje, abdominalni bol, dispepsija i stomatitis/bol u ustima su najčešće prijavljivane gastrointestinalne neželjene reakcije; takođe je prijavljena pojava ezofagitisa (vidjeti dio 4.8).</w:t>
      </w:r>
    </w:p>
    <w:p w:rsidR="00B44796" w:rsidRPr="00D616DF" w:rsidRDefault="00B44796" w:rsidP="00B44796">
      <w:pPr>
        <w:shd w:val="clear" w:color="auto" w:fill="FFFFFF"/>
        <w:spacing w:before="19" w:line="235" w:lineRule="exact"/>
        <w:ind w:left="10" w:right="5"/>
        <w:jc w:val="both"/>
        <w:rPr>
          <w:sz w:val="22"/>
          <w:szCs w:val="22"/>
          <w:lang w:val="sr-Latn-ME"/>
        </w:rPr>
      </w:pPr>
    </w:p>
    <w:p w:rsidR="00B44796" w:rsidRPr="00D616DF" w:rsidRDefault="00B44796" w:rsidP="00B44796">
      <w:pPr>
        <w:shd w:val="clear" w:color="auto" w:fill="FFFFFF"/>
        <w:spacing w:before="38" w:line="235" w:lineRule="exact"/>
        <w:ind w:left="10" w:right="5"/>
        <w:jc w:val="both"/>
        <w:rPr>
          <w:sz w:val="22"/>
          <w:szCs w:val="22"/>
          <w:lang w:val="sr-Latn-ME"/>
        </w:rPr>
      </w:pPr>
      <w:r w:rsidRPr="00D616DF">
        <w:rPr>
          <w:sz w:val="22"/>
          <w:szCs w:val="22"/>
          <w:lang w:val="sr-Latn-ME"/>
        </w:rPr>
        <w:t xml:space="preserve">Ako gastrointestinalne neželjene reakcije zahtijevaju liječenje, </w:t>
      </w:r>
      <w:r>
        <w:rPr>
          <w:sz w:val="22"/>
          <w:szCs w:val="22"/>
          <w:lang w:val="sr-Latn-ME"/>
        </w:rPr>
        <w:t>suportivne</w:t>
      </w:r>
      <w:r w:rsidRPr="00D616DF">
        <w:rPr>
          <w:sz w:val="22"/>
          <w:szCs w:val="22"/>
          <w:lang w:val="sr-Latn-ME"/>
        </w:rPr>
        <w:t xml:space="preserve"> mjere mogu obuhvatati primjenu ljekova antiemetičkog dejstva, antidijaroike, ili antacide.</w:t>
      </w:r>
    </w:p>
    <w:p w:rsidR="00B44796" w:rsidRPr="00D616DF" w:rsidRDefault="00B44796" w:rsidP="00B44796">
      <w:pPr>
        <w:shd w:val="clear" w:color="auto" w:fill="FFFFFF"/>
        <w:spacing w:before="38" w:line="235" w:lineRule="exact"/>
        <w:ind w:right="5"/>
        <w:jc w:val="both"/>
        <w:rPr>
          <w:sz w:val="22"/>
          <w:szCs w:val="22"/>
          <w:lang w:val="sr-Latn-ME"/>
        </w:rPr>
      </w:pPr>
      <w:r w:rsidRPr="00D616DF">
        <w:rPr>
          <w:sz w:val="22"/>
          <w:szCs w:val="22"/>
          <w:lang w:val="sr-Latn-ME"/>
        </w:rPr>
        <w:t>Kod pacijenata sa intraabdominalnim malignitetima, koji su liječeni sunitinibom, prijavljene su ozbiljne, gastrointestinalne komplikacije,</w:t>
      </w:r>
      <w:r w:rsidRPr="00F84901">
        <w:rPr>
          <w:lang w:val="sr-Latn-ME"/>
        </w:rPr>
        <w:t xml:space="preserve"> </w:t>
      </w:r>
      <w:r w:rsidRPr="00D616DF">
        <w:rPr>
          <w:sz w:val="22"/>
          <w:szCs w:val="22"/>
          <w:lang w:val="sr-Latn-ME"/>
        </w:rPr>
        <w:t xml:space="preserve">ponekad sa smrtnim ishodom, uključujući gastrointestinalne perforacije. </w:t>
      </w:r>
    </w:p>
    <w:p w:rsidR="00B44796" w:rsidRPr="00D616DF" w:rsidRDefault="00B44796" w:rsidP="00B44796">
      <w:pPr>
        <w:shd w:val="clear" w:color="auto" w:fill="FFFFFF"/>
        <w:spacing w:before="38" w:line="235" w:lineRule="exact"/>
        <w:ind w:left="14" w:right="5"/>
        <w:jc w:val="both"/>
        <w:rPr>
          <w:sz w:val="22"/>
          <w:szCs w:val="22"/>
          <w:lang w:val="sr-Latn-ME"/>
        </w:rPr>
      </w:pPr>
    </w:p>
    <w:p w:rsidR="00B44796" w:rsidRPr="00D616DF" w:rsidRDefault="00B44796" w:rsidP="00B44796">
      <w:pPr>
        <w:tabs>
          <w:tab w:val="left" w:pos="1214"/>
        </w:tabs>
        <w:jc w:val="both"/>
        <w:rPr>
          <w:sz w:val="22"/>
          <w:szCs w:val="22"/>
          <w:u w:val="single"/>
          <w:lang w:val="sr-Latn-ME"/>
        </w:rPr>
      </w:pPr>
      <w:r w:rsidRPr="00D616DF">
        <w:rPr>
          <w:sz w:val="22"/>
          <w:szCs w:val="22"/>
          <w:u w:val="single"/>
          <w:lang w:val="sr-Latn-ME"/>
        </w:rPr>
        <w:t>Hipertenzija</w:t>
      </w:r>
    </w:p>
    <w:p w:rsidR="00B44796" w:rsidRPr="00D616DF" w:rsidRDefault="00B44796" w:rsidP="00B44796">
      <w:pPr>
        <w:tabs>
          <w:tab w:val="left" w:pos="1214"/>
        </w:tabs>
        <w:jc w:val="both"/>
        <w:rPr>
          <w:sz w:val="22"/>
          <w:szCs w:val="22"/>
          <w:lang w:val="sr-Latn-ME"/>
        </w:rPr>
      </w:pPr>
      <w:r w:rsidRPr="00D616DF">
        <w:rPr>
          <w:sz w:val="22"/>
          <w:szCs w:val="22"/>
          <w:lang w:val="sr-Latn-ME"/>
        </w:rPr>
        <w:t xml:space="preserve">Tokom terapije sunitinibom prijavljena je hipertenzija, uključujući tešku hipertenziju ( &gt; 200 mmHg za sistolni ili 110 mmHg za dijastolni pritisak). Pacijente treba ispitati na hipertenziju, a ako se hipertenzija potvrdi, kontrolisati je na odgovarajući način. Preporučuje se privremeno obustavljanje lijeka kod pacijenata sa teškom hipertenzijom koja se ne može kontrolisati ljekovima. Liječenje se ponovo započinje onda kada je postignuta odgovarajuća kontrola hipertenzije (vidjeti dio 4.8). </w:t>
      </w:r>
    </w:p>
    <w:p w:rsidR="00B44796" w:rsidRPr="00D616DF" w:rsidRDefault="00B44796" w:rsidP="00B44796">
      <w:pPr>
        <w:tabs>
          <w:tab w:val="left" w:pos="1214"/>
        </w:tabs>
        <w:jc w:val="both"/>
        <w:rPr>
          <w:sz w:val="22"/>
          <w:szCs w:val="22"/>
          <w:lang w:val="sr-Latn-ME"/>
        </w:rPr>
      </w:pPr>
    </w:p>
    <w:p w:rsidR="00B44796" w:rsidRPr="00D616DF" w:rsidRDefault="00B44796" w:rsidP="00B44796">
      <w:pPr>
        <w:tabs>
          <w:tab w:val="left" w:pos="1214"/>
        </w:tabs>
        <w:jc w:val="both"/>
        <w:rPr>
          <w:sz w:val="22"/>
          <w:szCs w:val="22"/>
          <w:u w:val="single"/>
          <w:lang w:val="sr-Latn-ME"/>
        </w:rPr>
      </w:pPr>
      <w:r w:rsidRPr="00D616DF">
        <w:rPr>
          <w:sz w:val="22"/>
          <w:szCs w:val="22"/>
          <w:u w:val="single"/>
          <w:lang w:val="sr-Latn-ME"/>
        </w:rPr>
        <w:t>Hematološki poremećaji</w:t>
      </w:r>
    </w:p>
    <w:p w:rsidR="00B44796" w:rsidRPr="00D616DF" w:rsidRDefault="00B44796" w:rsidP="00B44796">
      <w:pPr>
        <w:tabs>
          <w:tab w:val="left" w:pos="1214"/>
        </w:tabs>
        <w:jc w:val="both"/>
        <w:rPr>
          <w:sz w:val="22"/>
          <w:szCs w:val="22"/>
          <w:lang w:val="sr-Latn-ME"/>
        </w:rPr>
      </w:pPr>
      <w:r w:rsidRPr="00D616DF">
        <w:rPr>
          <w:sz w:val="22"/>
          <w:szCs w:val="22"/>
          <w:lang w:val="sr-Latn-ME"/>
        </w:rPr>
        <w:t xml:space="preserve">Prijavljeno je smanjenje apsolutnog broja neutrofila i smanjenje apsolutnog broja trombocita povezano sa primjenom sunitiniba (vidjeti dio 4.8). Gore navedeni događaji nijesu bili kumulativni, obično su bili reverzibilni, a generalno nijesu doveli do obustavljanja primjene lijeka. Nijedan od ovih događaja u studijama faze III nije bio fatalan, ali rijetki hematološki događaji sa smrtnim ishodom, uključujući krvarenje povezano sa trombocitopenijom i infekcije uzrokovane neutropenijom, prijavljeni su tokom postmarketinškog praćenja lijeka. </w:t>
      </w:r>
    </w:p>
    <w:p w:rsidR="00B44796" w:rsidRPr="00D616DF" w:rsidRDefault="00B44796" w:rsidP="00B44796">
      <w:pPr>
        <w:tabs>
          <w:tab w:val="left" w:pos="1214"/>
        </w:tabs>
        <w:jc w:val="both"/>
        <w:rPr>
          <w:sz w:val="22"/>
          <w:szCs w:val="22"/>
          <w:lang w:val="sr-Latn-ME"/>
        </w:rPr>
      </w:pPr>
    </w:p>
    <w:p w:rsidR="00B44796" w:rsidRPr="00D616DF" w:rsidRDefault="00B44796" w:rsidP="00B44796">
      <w:pPr>
        <w:tabs>
          <w:tab w:val="left" w:pos="1214"/>
        </w:tabs>
        <w:jc w:val="both"/>
        <w:rPr>
          <w:sz w:val="22"/>
          <w:szCs w:val="22"/>
          <w:lang w:val="sr-Latn-ME"/>
        </w:rPr>
      </w:pPr>
      <w:r w:rsidRPr="00D616DF">
        <w:rPr>
          <w:sz w:val="22"/>
          <w:szCs w:val="22"/>
          <w:lang w:val="sr-Latn-ME"/>
        </w:rPr>
        <w:t xml:space="preserve">Pojava anemije je uočena kako u ranoj tako i u kasnoj fazi liječenja sunitinibom. </w:t>
      </w:r>
    </w:p>
    <w:p w:rsidR="00B44796" w:rsidRPr="00D616DF" w:rsidRDefault="00B44796" w:rsidP="00B44796">
      <w:pPr>
        <w:tabs>
          <w:tab w:val="left" w:pos="1214"/>
        </w:tabs>
        <w:jc w:val="both"/>
        <w:rPr>
          <w:sz w:val="22"/>
          <w:szCs w:val="22"/>
          <w:lang w:val="sr-Latn-ME"/>
        </w:rPr>
      </w:pPr>
    </w:p>
    <w:p w:rsidR="00B44796" w:rsidRPr="00D616DF" w:rsidRDefault="00B44796" w:rsidP="00B44796">
      <w:pPr>
        <w:tabs>
          <w:tab w:val="left" w:pos="1214"/>
        </w:tabs>
        <w:jc w:val="both"/>
        <w:rPr>
          <w:sz w:val="22"/>
          <w:szCs w:val="22"/>
          <w:lang w:val="sr-Latn-ME"/>
        </w:rPr>
      </w:pPr>
      <w:r w:rsidRPr="00D616DF">
        <w:rPr>
          <w:sz w:val="22"/>
          <w:szCs w:val="22"/>
          <w:lang w:val="sr-Latn-ME"/>
        </w:rPr>
        <w:t>Kompletna krvna slika treba da se uradi na početku svakog ciklusa liječenja kod pacijenata koji primaju sunitinib (vidjeti dio 4.8).</w:t>
      </w:r>
    </w:p>
    <w:p w:rsidR="00B44796" w:rsidRPr="00D616DF" w:rsidRDefault="00B44796" w:rsidP="00B44796">
      <w:pPr>
        <w:tabs>
          <w:tab w:val="left" w:pos="1214"/>
        </w:tabs>
        <w:jc w:val="both"/>
        <w:rPr>
          <w:sz w:val="22"/>
          <w:szCs w:val="22"/>
          <w:lang w:val="sr-Latn-ME"/>
        </w:rPr>
      </w:pPr>
    </w:p>
    <w:p w:rsidR="00B44796" w:rsidRPr="00D616DF" w:rsidRDefault="00B44796" w:rsidP="00B44796">
      <w:pPr>
        <w:tabs>
          <w:tab w:val="left" w:pos="1214"/>
        </w:tabs>
        <w:jc w:val="both"/>
        <w:rPr>
          <w:sz w:val="22"/>
          <w:szCs w:val="22"/>
          <w:u w:val="single"/>
          <w:lang w:val="sr-Latn-ME"/>
        </w:rPr>
      </w:pPr>
      <w:r w:rsidRPr="00D616DF">
        <w:rPr>
          <w:sz w:val="22"/>
          <w:szCs w:val="22"/>
          <w:u w:val="single"/>
          <w:lang w:val="sr-Latn-ME"/>
        </w:rPr>
        <w:t xml:space="preserve">Kardiološki poremećaji </w:t>
      </w:r>
    </w:p>
    <w:p w:rsidR="00B44796" w:rsidRDefault="00B44796" w:rsidP="00B44796">
      <w:pPr>
        <w:tabs>
          <w:tab w:val="left" w:pos="1214"/>
        </w:tabs>
        <w:jc w:val="both"/>
        <w:rPr>
          <w:sz w:val="22"/>
          <w:szCs w:val="22"/>
          <w:lang w:val="sr-Latn-ME"/>
        </w:rPr>
      </w:pPr>
      <w:r w:rsidRPr="00D616DF">
        <w:rPr>
          <w:sz w:val="22"/>
          <w:szCs w:val="22"/>
          <w:lang w:val="sr-Latn-ME"/>
        </w:rPr>
        <w:t xml:space="preserve">Kardiovaskularni događaji, uključujući srčanu insuficijenciju, kardiomiopatiju, smanjenje ejekcione frakcije lijeve komore ispod donje granice normalnih vrijednosti, miokarditis, ishemiju i infarkt miokarda, od kojih su neki slučajevi imali </w:t>
      </w:r>
      <w:r w:rsidR="00354CB8">
        <w:rPr>
          <w:sz w:val="22"/>
          <w:szCs w:val="22"/>
          <w:lang w:val="sr-Latn-ME"/>
        </w:rPr>
        <w:t xml:space="preserve">smrtni </w:t>
      </w:r>
      <w:r w:rsidRPr="00D616DF">
        <w:rPr>
          <w:sz w:val="22"/>
          <w:szCs w:val="22"/>
          <w:lang w:val="sr-Latn-ME"/>
        </w:rPr>
        <w:t>ishod, zabilježeni su kod pacijenata na terapiji sunitinibom. Ovi podaci ukazuju da sunitinib povećava rizik od kardiomiopatije. Nijesu identifikovani dodatni faktori rizika za pojavu sunitinibom izazvane kardiomiopatije kod pacijenata na terapiji ovim lijekom, osim efekata specifičnih za sam lijek. Sunitinib treba primjenjivati sa oprezom kod pacijenata koji imaju rizik od razvoja ovih događaja ili koji imaju navedene događaje u anamnezi (vidjeti dio 4.8).</w:t>
      </w:r>
      <w:r>
        <w:rPr>
          <w:sz w:val="22"/>
          <w:szCs w:val="22"/>
          <w:lang w:val="sr-Latn-ME"/>
        </w:rPr>
        <w:t xml:space="preserve"> </w:t>
      </w:r>
    </w:p>
    <w:p w:rsidR="00CB3F1B" w:rsidRPr="00D616DF" w:rsidRDefault="00CB3F1B" w:rsidP="00CB3F1B">
      <w:pPr>
        <w:tabs>
          <w:tab w:val="left" w:pos="1214"/>
        </w:tabs>
        <w:jc w:val="both"/>
        <w:rPr>
          <w:sz w:val="22"/>
          <w:szCs w:val="22"/>
          <w:lang w:val="sr-Latn-ME"/>
        </w:rPr>
      </w:pPr>
      <w:r w:rsidRPr="00D616DF">
        <w:rPr>
          <w:sz w:val="22"/>
          <w:szCs w:val="22"/>
          <w:lang w:val="sr-Latn-ME"/>
        </w:rPr>
        <w:lastRenderedPageBreak/>
        <w:t xml:space="preserve">Pacijenti koji su imali srčane događaje u toku 12 mjeseci prije započinjanja primjene sunitiniba, kao što su infarkt miokarda (uključujući tešku/nestabilnu anginu pektoris), </w:t>
      </w:r>
      <w:r w:rsidRPr="00D616DF">
        <w:rPr>
          <w:i/>
          <w:sz w:val="22"/>
          <w:szCs w:val="22"/>
          <w:lang w:val="sr-Latn-ME"/>
        </w:rPr>
        <w:t>bypass</w:t>
      </w:r>
      <w:r w:rsidRPr="00D616DF">
        <w:rPr>
          <w:sz w:val="22"/>
          <w:szCs w:val="22"/>
          <w:lang w:val="sr-Latn-ME"/>
        </w:rPr>
        <w:t xml:space="preserve"> graftove koronarnih arterija/perifernih arterija, simptomatsku kongestivnu srčanu insuficijenciju (eng. </w:t>
      </w:r>
      <w:r w:rsidRPr="00D616DF">
        <w:rPr>
          <w:i/>
          <w:sz w:val="22"/>
          <w:szCs w:val="22"/>
          <w:lang w:val="sr-Latn-ME"/>
        </w:rPr>
        <w:t>congestive heart failure</w:t>
      </w:r>
      <w:r w:rsidRPr="00D616DF">
        <w:rPr>
          <w:sz w:val="22"/>
          <w:szCs w:val="22"/>
          <w:lang w:val="sr-Latn-ME"/>
        </w:rPr>
        <w:t xml:space="preserve"> - CHF), cerebrovaskularne događaje ili prolazni ishemijski napad, ili plućnu emboliju, bili su isključeni iz svih kliničkih studija sa sunitinibom. Nije poznato da li pacijenti koji imaju neke od ovih poremećaja u toku primjene sunitiniba mogu imati veći rizik od razvoja disfunkcije lijeve komore povezane sa sunitinibom. </w:t>
      </w:r>
    </w:p>
    <w:p w:rsidR="00CB3F1B" w:rsidRPr="00D616DF" w:rsidRDefault="00CB3F1B" w:rsidP="00CB3F1B">
      <w:pPr>
        <w:tabs>
          <w:tab w:val="left" w:pos="1214"/>
        </w:tabs>
        <w:jc w:val="both"/>
        <w:rPr>
          <w:sz w:val="22"/>
          <w:szCs w:val="22"/>
          <w:lang w:val="sr-Latn-ME"/>
        </w:rPr>
      </w:pPr>
    </w:p>
    <w:p w:rsidR="00CB3F1B" w:rsidRPr="00D616DF" w:rsidRDefault="00CB3F1B" w:rsidP="00CB3F1B">
      <w:pPr>
        <w:tabs>
          <w:tab w:val="left" w:pos="1214"/>
        </w:tabs>
        <w:jc w:val="both"/>
        <w:rPr>
          <w:sz w:val="22"/>
          <w:szCs w:val="22"/>
          <w:lang w:val="sr-Latn-ME"/>
        </w:rPr>
      </w:pPr>
      <w:r w:rsidRPr="00D616DF">
        <w:rPr>
          <w:sz w:val="22"/>
          <w:szCs w:val="22"/>
          <w:lang w:val="sr-Latn-ME"/>
        </w:rPr>
        <w:t>Ljekarima se preporučuje da procijene rizik u odnosu na potencijalnu korist primjene sunitiba. Pacijente treba pažljivo pratiti tokom terapije sunitinibom, da bi se otkrili klinički znakovi i simptomi kongestivne srčane insuficijencije (CHF), posebno kod pacijenata sa kardiološkim faktorima rizika i/ili pacijentima sa bolešću koronarnih arterija u anamnezi. Treba razmotriti i provjeru</w:t>
      </w:r>
      <w:r w:rsidRPr="00F84901">
        <w:rPr>
          <w:lang w:val="sr-Latn-ME"/>
        </w:rPr>
        <w:t xml:space="preserve"> </w:t>
      </w:r>
      <w:r w:rsidRPr="00D616DF">
        <w:rPr>
          <w:sz w:val="22"/>
          <w:szCs w:val="22"/>
          <w:lang w:val="sr-Latn-ME"/>
        </w:rPr>
        <w:t xml:space="preserve">ejekcione frakcije lijeve komore na početku liječenja i  povremeno tokom liječenja sunitinibom. </w:t>
      </w:r>
      <w:r>
        <w:rPr>
          <w:sz w:val="22"/>
          <w:szCs w:val="22"/>
          <w:lang w:val="sr-Latn-ME"/>
        </w:rPr>
        <w:t xml:space="preserve"> </w:t>
      </w:r>
      <w:r w:rsidRPr="00D616DF">
        <w:rPr>
          <w:sz w:val="22"/>
          <w:szCs w:val="22"/>
          <w:lang w:val="sr-Latn-ME"/>
        </w:rPr>
        <w:t xml:space="preserve">Kod pacijenata bez kardioloških faktora rizika, treba razmotriti mjerenje ejekcione frakcije na početku liječenja. </w:t>
      </w:r>
    </w:p>
    <w:p w:rsidR="00CB3F1B" w:rsidRPr="00D616DF" w:rsidRDefault="00CB3F1B" w:rsidP="00CB3F1B">
      <w:pPr>
        <w:tabs>
          <w:tab w:val="left" w:pos="1214"/>
        </w:tabs>
        <w:jc w:val="both"/>
        <w:rPr>
          <w:sz w:val="22"/>
          <w:szCs w:val="22"/>
          <w:lang w:val="sr-Latn-ME"/>
        </w:rPr>
      </w:pPr>
    </w:p>
    <w:p w:rsidR="00CB3F1B" w:rsidRPr="00D616DF" w:rsidRDefault="00CB3F1B" w:rsidP="00CB3F1B">
      <w:pPr>
        <w:tabs>
          <w:tab w:val="left" w:pos="1214"/>
        </w:tabs>
        <w:jc w:val="both"/>
        <w:rPr>
          <w:sz w:val="22"/>
          <w:szCs w:val="22"/>
          <w:lang w:val="sr-Latn-ME"/>
        </w:rPr>
      </w:pPr>
      <w:r w:rsidRPr="00D616DF">
        <w:rPr>
          <w:sz w:val="22"/>
          <w:szCs w:val="22"/>
          <w:lang w:val="sr-Latn-ME"/>
        </w:rPr>
        <w:t xml:space="preserve">Ako postoji klinički manifestna kongestivna srčana insuficijencija, preporučuje se prekid terapije sunitinibom. Primjenu sunitiniba treba privremeno prekinuti  i/ili smanjiti dozu lijeka kod pacijenata bez klinički manifestne kongestivne srčane insuficijencije, ali kod kojih je ejekciona frakcija </w:t>
      </w:r>
      <w:r w:rsidRPr="00D616DF">
        <w:rPr>
          <w:sz w:val="22"/>
          <w:szCs w:val="22"/>
          <w:lang w:val="sr-Latn-ME"/>
        </w:rPr>
        <w:sym w:font="Symbol" w:char="F03C"/>
      </w:r>
      <w:r w:rsidRPr="00D616DF">
        <w:rPr>
          <w:sz w:val="22"/>
          <w:szCs w:val="22"/>
          <w:lang w:val="sr-Latn-ME"/>
        </w:rPr>
        <w:t xml:space="preserve"> 50% i </w:t>
      </w:r>
      <w:r w:rsidRPr="00D616DF">
        <w:rPr>
          <w:sz w:val="22"/>
          <w:szCs w:val="22"/>
          <w:lang w:val="sr-Latn-ME"/>
        </w:rPr>
        <w:sym w:font="Symbol" w:char="F03E"/>
      </w:r>
      <w:r w:rsidRPr="00D616DF">
        <w:rPr>
          <w:sz w:val="22"/>
          <w:szCs w:val="22"/>
          <w:lang w:val="sr-Latn-ME"/>
        </w:rPr>
        <w:t xml:space="preserve"> 20% manja od početne vrijednosti. </w:t>
      </w:r>
    </w:p>
    <w:p w:rsidR="00CB3F1B" w:rsidRPr="00D616DF" w:rsidRDefault="00CB3F1B" w:rsidP="00CB3F1B">
      <w:pPr>
        <w:tabs>
          <w:tab w:val="left" w:pos="1214"/>
        </w:tabs>
        <w:jc w:val="both"/>
        <w:rPr>
          <w:sz w:val="22"/>
          <w:szCs w:val="22"/>
          <w:lang w:val="sr-Latn-ME"/>
        </w:rPr>
      </w:pPr>
    </w:p>
    <w:p w:rsidR="00CB3F1B" w:rsidRPr="00D616DF" w:rsidRDefault="00CB3F1B" w:rsidP="00CB3F1B">
      <w:pPr>
        <w:tabs>
          <w:tab w:val="left" w:pos="1214"/>
        </w:tabs>
        <w:jc w:val="both"/>
        <w:rPr>
          <w:sz w:val="22"/>
          <w:szCs w:val="22"/>
          <w:u w:val="single"/>
          <w:lang w:val="sr-Latn-ME"/>
        </w:rPr>
      </w:pPr>
      <w:r w:rsidRPr="00D616DF">
        <w:rPr>
          <w:sz w:val="22"/>
          <w:szCs w:val="22"/>
          <w:u w:val="single"/>
          <w:lang w:val="sr-Latn-ME"/>
        </w:rPr>
        <w:t>Produženje QT intervala</w:t>
      </w:r>
    </w:p>
    <w:p w:rsidR="00CB3F1B" w:rsidRPr="00D616DF" w:rsidRDefault="00CB3F1B" w:rsidP="00CB3F1B">
      <w:pPr>
        <w:tabs>
          <w:tab w:val="left" w:pos="1214"/>
        </w:tabs>
        <w:jc w:val="both"/>
        <w:rPr>
          <w:sz w:val="22"/>
          <w:szCs w:val="22"/>
          <w:lang w:val="sr-Latn-ME"/>
        </w:rPr>
      </w:pPr>
      <w:r w:rsidRPr="00D616DF">
        <w:rPr>
          <w:sz w:val="22"/>
          <w:szCs w:val="22"/>
          <w:lang w:val="sr-Latn-ME"/>
        </w:rPr>
        <w:t xml:space="preserve">Produženje QT intervala i </w:t>
      </w:r>
      <w:r w:rsidRPr="00D616DF">
        <w:rPr>
          <w:i/>
          <w:sz w:val="22"/>
          <w:szCs w:val="22"/>
          <w:lang w:val="sr-Latn-ME"/>
        </w:rPr>
        <w:t>Torsades de pointes</w:t>
      </w:r>
      <w:r w:rsidRPr="00D616DF">
        <w:rPr>
          <w:sz w:val="22"/>
          <w:szCs w:val="22"/>
          <w:lang w:val="sr-Latn-ME"/>
        </w:rPr>
        <w:t xml:space="preserve"> zabilježeni su kod pacijenata koji su bili izloženi sunitinibu. Produženje QT intervala može dovesti do povećanog rizika od nastanka ventrikularnih aritmija, uključujući </w:t>
      </w:r>
      <w:r w:rsidRPr="00D616DF">
        <w:rPr>
          <w:i/>
          <w:sz w:val="22"/>
          <w:szCs w:val="22"/>
          <w:lang w:val="sr-Latn-ME"/>
        </w:rPr>
        <w:t>Torsades de pointes</w:t>
      </w:r>
      <w:r w:rsidRPr="00D616DF">
        <w:rPr>
          <w:sz w:val="22"/>
          <w:szCs w:val="22"/>
          <w:lang w:val="sr-Latn-ME"/>
        </w:rPr>
        <w:t xml:space="preserve">. </w:t>
      </w:r>
    </w:p>
    <w:p w:rsidR="00CB3F1B" w:rsidRPr="00D616DF" w:rsidRDefault="00CB3F1B" w:rsidP="00CB3F1B">
      <w:pPr>
        <w:tabs>
          <w:tab w:val="left" w:pos="1214"/>
        </w:tabs>
        <w:jc w:val="both"/>
        <w:rPr>
          <w:sz w:val="22"/>
          <w:szCs w:val="22"/>
          <w:lang w:val="sr-Latn-ME"/>
        </w:rPr>
      </w:pPr>
    </w:p>
    <w:p w:rsidR="00CB3F1B" w:rsidRPr="00D616DF" w:rsidRDefault="00CB3F1B" w:rsidP="00CB3F1B">
      <w:pPr>
        <w:tabs>
          <w:tab w:val="left" w:pos="1214"/>
        </w:tabs>
        <w:jc w:val="both"/>
        <w:rPr>
          <w:sz w:val="22"/>
          <w:szCs w:val="22"/>
          <w:lang w:val="sr-Latn-ME"/>
        </w:rPr>
      </w:pPr>
      <w:r w:rsidRPr="00D616DF">
        <w:rPr>
          <w:sz w:val="22"/>
          <w:szCs w:val="22"/>
          <w:lang w:val="sr-Latn-ME"/>
        </w:rPr>
        <w:t>Sunitinib treba pažljivo primjenjivati kod pacijenata sa produženjem QT intervala u anamnezi, kod pacijenata koji se liječe antiaritmicima ili ljekovima koji produžavaju QT interval, ili kod pacijenata sa relevantnim prethodno postojećim oboljenjima srca, bradikardijom ili disbalansom elektrolita. Istovremenu primjenu sunitiniba i snažnih inhibitora CYP3A4 koji mogu povisiti koncentracije sunitiniba u plazmi treba ograničiti (vidjeti djelove 4.2, 4.5 i 4.8).</w:t>
      </w:r>
    </w:p>
    <w:p w:rsidR="00CB3F1B" w:rsidRPr="00D616DF" w:rsidRDefault="00CB3F1B" w:rsidP="00CB3F1B">
      <w:pPr>
        <w:tabs>
          <w:tab w:val="left" w:pos="1214"/>
        </w:tabs>
        <w:jc w:val="both"/>
        <w:rPr>
          <w:sz w:val="22"/>
          <w:szCs w:val="22"/>
          <w:lang w:val="sr-Latn-ME"/>
        </w:rPr>
      </w:pPr>
    </w:p>
    <w:p w:rsidR="00CB3F1B" w:rsidRPr="00D616DF" w:rsidRDefault="00CB3F1B" w:rsidP="00CB3F1B">
      <w:pPr>
        <w:tabs>
          <w:tab w:val="left" w:pos="1214"/>
        </w:tabs>
        <w:jc w:val="both"/>
        <w:rPr>
          <w:sz w:val="22"/>
          <w:szCs w:val="22"/>
          <w:u w:val="single"/>
          <w:lang w:val="sr-Latn-ME"/>
        </w:rPr>
      </w:pPr>
      <w:r w:rsidRPr="00D616DF">
        <w:rPr>
          <w:sz w:val="22"/>
          <w:szCs w:val="22"/>
          <w:u w:val="single"/>
          <w:lang w:val="sr-Latn-ME"/>
        </w:rPr>
        <w:t>Venski tromboembolijski događaji</w:t>
      </w:r>
    </w:p>
    <w:p w:rsidR="00CB3F1B" w:rsidRPr="00D616DF" w:rsidRDefault="00CB3F1B" w:rsidP="00CB3F1B">
      <w:pPr>
        <w:tabs>
          <w:tab w:val="left" w:pos="1214"/>
        </w:tabs>
        <w:jc w:val="both"/>
        <w:rPr>
          <w:sz w:val="22"/>
          <w:szCs w:val="22"/>
          <w:lang w:val="sr-Latn-ME"/>
        </w:rPr>
      </w:pPr>
      <w:r w:rsidRPr="00D616DF">
        <w:rPr>
          <w:sz w:val="22"/>
          <w:szCs w:val="22"/>
          <w:lang w:val="sr-Latn-ME"/>
        </w:rPr>
        <w:t xml:space="preserve">Venski tromboembolijski događaji povezani sa terapijom sunitinibom zabilježeni su kod pacijenata koji su primali sunitinib, uključujući trombozu dubokih vena i plućnu emboliju (vidjeti dio 4.8). Tokom postmarketinškog praćenja prijavljeni su slučajevi plućne embolije sa smrtnim ishodom. </w:t>
      </w:r>
    </w:p>
    <w:p w:rsidR="00CB3F1B" w:rsidRPr="00D616DF" w:rsidRDefault="00CB3F1B" w:rsidP="00CB3F1B">
      <w:pPr>
        <w:tabs>
          <w:tab w:val="left" w:pos="1214"/>
        </w:tabs>
        <w:jc w:val="both"/>
        <w:rPr>
          <w:sz w:val="22"/>
          <w:szCs w:val="22"/>
          <w:lang w:val="sr-Latn-ME"/>
        </w:rPr>
      </w:pPr>
    </w:p>
    <w:p w:rsidR="00CB3F1B" w:rsidRPr="00D616DF" w:rsidRDefault="00CB3F1B" w:rsidP="00CB3F1B">
      <w:pPr>
        <w:tabs>
          <w:tab w:val="left" w:pos="1214"/>
        </w:tabs>
        <w:jc w:val="both"/>
        <w:rPr>
          <w:sz w:val="22"/>
          <w:szCs w:val="22"/>
          <w:u w:val="single"/>
          <w:lang w:val="sr-Latn-ME"/>
        </w:rPr>
      </w:pPr>
      <w:r w:rsidRPr="00D616DF">
        <w:rPr>
          <w:sz w:val="22"/>
          <w:szCs w:val="22"/>
          <w:u w:val="single"/>
          <w:lang w:val="sr-Latn-ME"/>
        </w:rPr>
        <w:t>Arterijski tromboembolijski događaji</w:t>
      </w:r>
    </w:p>
    <w:p w:rsidR="00CB3F1B" w:rsidRPr="00D616DF" w:rsidRDefault="00CB3F1B" w:rsidP="00CB3F1B">
      <w:pPr>
        <w:tabs>
          <w:tab w:val="left" w:pos="1214"/>
        </w:tabs>
        <w:jc w:val="both"/>
        <w:rPr>
          <w:sz w:val="22"/>
          <w:szCs w:val="22"/>
          <w:lang w:val="sr-Latn-ME"/>
        </w:rPr>
      </w:pPr>
      <w:r w:rsidRPr="00D616DF">
        <w:rPr>
          <w:sz w:val="22"/>
          <w:szCs w:val="22"/>
          <w:lang w:val="sr-Latn-ME"/>
        </w:rPr>
        <w:t xml:space="preserve">Slučajevi arterijskih tromboembolijskih događaja (ATD), prijavljeni su kod pacijenata liječenih sunitinibom. Najčešći događaji obuhvataju: cerebrovaskularni incident, prolazni ishemijski napad i cerebralni infarkt. Faktori rizika povezani sa ATD, uz osnovno maligno oboljenje i starost </w:t>
      </w:r>
      <w:r w:rsidRPr="00D616DF">
        <w:rPr>
          <w:sz w:val="22"/>
          <w:szCs w:val="22"/>
          <w:lang w:val="sr-Latn-ME"/>
        </w:rPr>
        <w:sym w:font="Symbol" w:char="F0B3"/>
      </w:r>
      <w:r w:rsidRPr="00D616DF">
        <w:rPr>
          <w:sz w:val="22"/>
          <w:szCs w:val="22"/>
          <w:lang w:val="sr-Latn-ME"/>
        </w:rPr>
        <w:t xml:space="preserve"> 65 godina, uključili su hipertenziju, dijabetes melitus i prethodno tromboembolijsko oboljenje. </w:t>
      </w:r>
    </w:p>
    <w:p w:rsidR="00CB3F1B" w:rsidRPr="00D616DF" w:rsidRDefault="00CB3F1B" w:rsidP="00CB3F1B">
      <w:pPr>
        <w:tabs>
          <w:tab w:val="left" w:pos="1214"/>
        </w:tabs>
        <w:jc w:val="both"/>
        <w:rPr>
          <w:sz w:val="22"/>
          <w:szCs w:val="22"/>
          <w:lang w:val="sr-Latn-ME"/>
        </w:rPr>
      </w:pPr>
    </w:p>
    <w:p w:rsidR="00CB3F1B" w:rsidRPr="00D616DF" w:rsidRDefault="00CB3F1B" w:rsidP="00CB3F1B">
      <w:pPr>
        <w:tabs>
          <w:tab w:val="left" w:pos="1214"/>
        </w:tabs>
        <w:jc w:val="both"/>
        <w:rPr>
          <w:sz w:val="22"/>
          <w:szCs w:val="22"/>
          <w:u w:val="single"/>
          <w:lang w:val="sr-Latn-ME"/>
        </w:rPr>
      </w:pPr>
      <w:r w:rsidRPr="00D616DF">
        <w:rPr>
          <w:sz w:val="22"/>
          <w:szCs w:val="22"/>
          <w:u w:val="single"/>
          <w:lang w:val="sr-Latn-ME"/>
        </w:rPr>
        <w:t>Aneurizma i disekcija aorte</w:t>
      </w:r>
    </w:p>
    <w:p w:rsidR="00CB3F1B" w:rsidRPr="00D616DF" w:rsidRDefault="00CB3F1B" w:rsidP="00CB3F1B">
      <w:pPr>
        <w:tabs>
          <w:tab w:val="left" w:pos="1214"/>
        </w:tabs>
        <w:jc w:val="both"/>
        <w:rPr>
          <w:sz w:val="22"/>
          <w:szCs w:val="22"/>
          <w:lang w:val="sr-Latn-ME"/>
        </w:rPr>
      </w:pPr>
      <w:r w:rsidRPr="00D616DF">
        <w:rPr>
          <w:sz w:val="22"/>
          <w:szCs w:val="22"/>
          <w:lang w:val="sr-Latn-ME"/>
        </w:rPr>
        <w:t xml:space="preserve">Primjena inhibitora putanje vaskularnog endotelijalnog faktora rasta (engl. </w:t>
      </w:r>
      <w:r w:rsidRPr="00D616DF">
        <w:rPr>
          <w:i/>
          <w:sz w:val="22"/>
          <w:szCs w:val="22"/>
          <w:lang w:val="sr-Latn-ME"/>
        </w:rPr>
        <w:t>vascular endotelial growth factor</w:t>
      </w:r>
      <w:r w:rsidRPr="00D616DF">
        <w:rPr>
          <w:sz w:val="22"/>
          <w:szCs w:val="22"/>
          <w:lang w:val="sr-Latn-ME"/>
        </w:rPr>
        <w:t>/VEGF) kod pacijenata sa hipertenzijom ili bez nje, može da podstakne stvaranje aneurizmi i/ili disekcija arterija. Prije započinjanja terapije sunitinibom, treba pažljivo procijeniti ovaj rizik kod pacijenata sa faktorima rizika, kao što su hipertenzija ili aneurizma u anamnezi.</w:t>
      </w:r>
    </w:p>
    <w:p w:rsidR="00C91645" w:rsidRDefault="00C91645" w:rsidP="00CB3F1B">
      <w:pPr>
        <w:tabs>
          <w:tab w:val="left" w:pos="1214"/>
        </w:tabs>
        <w:jc w:val="both"/>
        <w:rPr>
          <w:sz w:val="22"/>
          <w:szCs w:val="22"/>
          <w:u w:val="single"/>
          <w:lang w:val="sr-Latn-ME"/>
        </w:rPr>
      </w:pPr>
    </w:p>
    <w:p w:rsidR="00CB3F1B" w:rsidRPr="00D616DF" w:rsidRDefault="00CB3F1B" w:rsidP="00CB3F1B">
      <w:pPr>
        <w:tabs>
          <w:tab w:val="left" w:pos="1214"/>
        </w:tabs>
        <w:jc w:val="both"/>
        <w:rPr>
          <w:sz w:val="22"/>
          <w:szCs w:val="22"/>
          <w:u w:val="single"/>
          <w:lang w:val="sr-Latn-ME"/>
        </w:rPr>
      </w:pPr>
      <w:r w:rsidRPr="00D616DF">
        <w:rPr>
          <w:sz w:val="22"/>
          <w:szCs w:val="22"/>
          <w:u w:val="single"/>
          <w:lang w:val="sr-Latn-ME"/>
        </w:rPr>
        <w:t xml:space="preserve">Trombotička mikroangiopatija (TMA) </w:t>
      </w:r>
    </w:p>
    <w:p w:rsidR="00CB3F1B" w:rsidRPr="00D616DF" w:rsidRDefault="00CB3F1B" w:rsidP="00CB3F1B">
      <w:pPr>
        <w:tabs>
          <w:tab w:val="left" w:pos="1214"/>
        </w:tabs>
        <w:jc w:val="both"/>
        <w:rPr>
          <w:sz w:val="22"/>
          <w:szCs w:val="22"/>
          <w:lang w:val="sr-Latn-ME"/>
        </w:rPr>
      </w:pPr>
      <w:r w:rsidRPr="00D616DF">
        <w:rPr>
          <w:sz w:val="22"/>
          <w:szCs w:val="22"/>
          <w:lang w:val="sr-Latn-ME"/>
        </w:rPr>
        <w:t>U slučaju pojave hemolitičke anemije, trombocitopenije, umora, fluktuirajućih neuroloških manifestacija, oštećenja bubrega i groznice, treba uzeti u obzir dijagnozu TMA, uključujući trombotičku trombocitopenijsku purpuru (TTP) i hemolitički uremijski sindrom (HUS), koji ponekad dovodi do bubrežne insuficijencije ili smrtnog ishoda. Kod pacijenata kod kojih se razvije TMA, primjena sunitiniba mora se obustaviti i hitno započeti terapija. Nakon obustave primjene sunitiniba, zabilježeno je povlačenje simptoma TMA (vidjeti dio 4.8).</w:t>
      </w:r>
    </w:p>
    <w:p w:rsidR="004A6CF7" w:rsidRPr="00D616DF" w:rsidRDefault="004A6CF7" w:rsidP="004A6CF7">
      <w:pPr>
        <w:tabs>
          <w:tab w:val="left" w:pos="1214"/>
        </w:tabs>
        <w:jc w:val="both"/>
        <w:rPr>
          <w:sz w:val="22"/>
          <w:szCs w:val="22"/>
          <w:u w:val="single"/>
          <w:lang w:val="sr-Latn-ME"/>
        </w:rPr>
      </w:pPr>
      <w:r w:rsidRPr="00D616DF">
        <w:rPr>
          <w:sz w:val="22"/>
          <w:szCs w:val="22"/>
          <w:u w:val="single"/>
          <w:lang w:val="sr-Latn-ME"/>
        </w:rPr>
        <w:lastRenderedPageBreak/>
        <w:t>Poremećaj funkcije štitaste žlijezde</w:t>
      </w:r>
    </w:p>
    <w:p w:rsidR="004A6CF7" w:rsidRPr="00D616DF" w:rsidRDefault="004A6CF7" w:rsidP="004A6CF7">
      <w:pPr>
        <w:tabs>
          <w:tab w:val="left" w:pos="1214"/>
        </w:tabs>
        <w:jc w:val="both"/>
        <w:rPr>
          <w:sz w:val="22"/>
          <w:szCs w:val="22"/>
          <w:lang w:val="sr-Latn-ME"/>
        </w:rPr>
      </w:pPr>
      <w:r w:rsidRPr="00D616DF">
        <w:rPr>
          <w:sz w:val="22"/>
          <w:szCs w:val="22"/>
          <w:lang w:val="sr-Latn-ME"/>
        </w:rPr>
        <w:t xml:space="preserve">Laboratorijsko mjerenje početnih vrijednosti tireoidne funkcije se preporučuje kod svih pacijenata. Pacijenti sa postojećim hipotireoidizmom ili hipertireoidizmom treba da se liječe prema važećim medicinskim standardima kao i prije terapije sunitinibom. Tokom terapije sunitinibom potrebno je rutinsko praćenje tireoidne funkcije na svaka 3 mjeseca. Dodatno, pacijente treba pažljivo pratiti na znake i simptome tireoidne disfunkcije dok su na terapiji sunitinibom, a kod pacijenata kod kojih se jave znaci i/ili simptomi koji ukazuju na tireoidnu disfunkciju treba izvršiti laboratorijske analize tireoidne funkcije ukoliko je klinički indikovano. Pacijente kod kojih se jave znaci i/ili simptomi koji ukazuju na tireoidnu disfunkciju treba liječiti prema važećim medicinskim standardima. </w:t>
      </w:r>
    </w:p>
    <w:p w:rsidR="004A6CF7" w:rsidRPr="00D616DF" w:rsidRDefault="004A6CF7" w:rsidP="004A6CF7">
      <w:pPr>
        <w:tabs>
          <w:tab w:val="left" w:pos="1214"/>
        </w:tabs>
        <w:jc w:val="both"/>
        <w:rPr>
          <w:sz w:val="22"/>
          <w:szCs w:val="22"/>
          <w:lang w:val="sr-Latn-ME"/>
        </w:rPr>
      </w:pPr>
    </w:p>
    <w:p w:rsidR="004A6CF7" w:rsidRPr="00D616DF" w:rsidRDefault="004A6CF7" w:rsidP="004A6CF7">
      <w:pPr>
        <w:tabs>
          <w:tab w:val="left" w:pos="1214"/>
        </w:tabs>
        <w:jc w:val="both"/>
        <w:rPr>
          <w:sz w:val="22"/>
          <w:szCs w:val="22"/>
          <w:lang w:val="sr-Latn-ME"/>
        </w:rPr>
      </w:pPr>
      <w:r w:rsidRPr="00D616DF">
        <w:rPr>
          <w:sz w:val="22"/>
          <w:szCs w:val="22"/>
          <w:lang w:val="sr-Latn-ME"/>
        </w:rPr>
        <w:t xml:space="preserve">Hipotireoidizam je  zabilježen kako u ranijoj fazi, tako i kasnije u toku terapije sunitinibom (vidjeti dio 4.8). </w:t>
      </w:r>
    </w:p>
    <w:p w:rsidR="004A6CF7" w:rsidRPr="00D616DF" w:rsidRDefault="004A6CF7" w:rsidP="004A6CF7">
      <w:pPr>
        <w:tabs>
          <w:tab w:val="left" w:pos="1214"/>
        </w:tabs>
        <w:jc w:val="both"/>
        <w:rPr>
          <w:sz w:val="22"/>
          <w:szCs w:val="22"/>
          <w:lang w:val="sr-Latn-ME"/>
        </w:rPr>
      </w:pPr>
    </w:p>
    <w:p w:rsidR="004A6CF7" w:rsidRPr="00D616DF" w:rsidRDefault="004A6CF7" w:rsidP="004A6CF7">
      <w:pPr>
        <w:tabs>
          <w:tab w:val="left" w:pos="1214"/>
        </w:tabs>
        <w:jc w:val="both"/>
        <w:rPr>
          <w:sz w:val="22"/>
          <w:szCs w:val="22"/>
          <w:u w:val="single"/>
          <w:lang w:val="sr-Latn-ME"/>
        </w:rPr>
      </w:pPr>
      <w:r w:rsidRPr="00D616DF">
        <w:rPr>
          <w:sz w:val="22"/>
          <w:szCs w:val="22"/>
          <w:u w:val="single"/>
          <w:lang w:val="sr-Latn-ME"/>
        </w:rPr>
        <w:t xml:space="preserve">Pankreatitis </w:t>
      </w:r>
    </w:p>
    <w:p w:rsidR="004A6CF7" w:rsidRPr="00D616DF" w:rsidRDefault="004A6CF7" w:rsidP="004A6CF7">
      <w:pPr>
        <w:tabs>
          <w:tab w:val="left" w:pos="1214"/>
        </w:tabs>
        <w:jc w:val="both"/>
        <w:rPr>
          <w:sz w:val="22"/>
          <w:szCs w:val="22"/>
          <w:lang w:val="sr-Latn-ME"/>
        </w:rPr>
      </w:pPr>
      <w:r w:rsidRPr="00D616DF">
        <w:rPr>
          <w:sz w:val="22"/>
          <w:szCs w:val="22"/>
          <w:lang w:val="sr-Latn-ME"/>
        </w:rPr>
        <w:t xml:space="preserve">Povišenje aktivnosti serumskih lipaza i amilaza zapaženo je kod pacijenata sa raznim solidnim tumorima koji su bili na terapiji sunitinibom. Povišenje aktivnosti lipaze bilo je prolazno i nije generalno bilo praćeno znacima i simptomima pankreatitisa kod osoba sa raznim tipovima solidnih tumora (vidjeti dio 4.8). </w:t>
      </w:r>
    </w:p>
    <w:p w:rsidR="004A6CF7" w:rsidRPr="00D616DF" w:rsidRDefault="004A6CF7" w:rsidP="004A6CF7">
      <w:pPr>
        <w:tabs>
          <w:tab w:val="left" w:pos="1214"/>
        </w:tabs>
        <w:jc w:val="both"/>
        <w:rPr>
          <w:sz w:val="22"/>
          <w:szCs w:val="22"/>
          <w:lang w:val="sr-Latn-ME"/>
        </w:rPr>
      </w:pPr>
    </w:p>
    <w:p w:rsidR="004A6CF7" w:rsidRPr="00D616DF" w:rsidRDefault="004A6CF7" w:rsidP="004A6CF7">
      <w:pPr>
        <w:tabs>
          <w:tab w:val="left" w:pos="1214"/>
        </w:tabs>
        <w:jc w:val="both"/>
        <w:rPr>
          <w:sz w:val="22"/>
          <w:szCs w:val="22"/>
          <w:lang w:val="sr-Latn-ME"/>
        </w:rPr>
      </w:pPr>
      <w:r w:rsidRPr="00D616DF">
        <w:rPr>
          <w:sz w:val="22"/>
          <w:szCs w:val="22"/>
          <w:lang w:val="sr-Latn-ME"/>
        </w:rPr>
        <w:t xml:space="preserve">Zabilježeni su i slučajevi ozbiljnih pankreatičnih događaja, od kojih neki sa fatalnim ishodom. Ako su simptomi pankreatitisa prisutni, pacijentima treba obustaviti davanje sunitiniba i pružiti odgovarajuću suportivnu terapiju. </w:t>
      </w:r>
    </w:p>
    <w:p w:rsidR="004A6CF7" w:rsidRPr="00D616DF" w:rsidRDefault="004A6CF7" w:rsidP="004A6CF7">
      <w:pPr>
        <w:tabs>
          <w:tab w:val="left" w:pos="1214"/>
        </w:tabs>
        <w:jc w:val="both"/>
        <w:rPr>
          <w:sz w:val="22"/>
          <w:szCs w:val="22"/>
          <w:lang w:val="sr-Latn-ME"/>
        </w:rPr>
      </w:pPr>
    </w:p>
    <w:p w:rsidR="004A6CF7" w:rsidRPr="00D616DF" w:rsidRDefault="004A6CF7" w:rsidP="004A6CF7">
      <w:pPr>
        <w:tabs>
          <w:tab w:val="left" w:pos="1214"/>
        </w:tabs>
        <w:jc w:val="both"/>
        <w:rPr>
          <w:sz w:val="22"/>
          <w:szCs w:val="22"/>
          <w:lang w:val="sr-Latn-ME"/>
        </w:rPr>
      </w:pPr>
      <w:r w:rsidRPr="00D616DF">
        <w:rPr>
          <w:sz w:val="22"/>
          <w:szCs w:val="22"/>
          <w:u w:val="single"/>
          <w:lang w:val="sr-Latn-ME"/>
        </w:rPr>
        <w:t xml:space="preserve">Hepatotoksičnost </w:t>
      </w:r>
    </w:p>
    <w:p w:rsidR="004A6CF7" w:rsidRPr="00D616DF" w:rsidRDefault="004A6CF7" w:rsidP="004A6CF7">
      <w:pPr>
        <w:tabs>
          <w:tab w:val="left" w:pos="1214"/>
        </w:tabs>
        <w:jc w:val="both"/>
        <w:rPr>
          <w:sz w:val="22"/>
          <w:szCs w:val="22"/>
          <w:lang w:val="sr-Latn-ME"/>
        </w:rPr>
      </w:pPr>
      <w:r w:rsidRPr="00D616DF">
        <w:rPr>
          <w:sz w:val="22"/>
          <w:szCs w:val="22"/>
          <w:lang w:val="sr-Latn-ME"/>
        </w:rPr>
        <w:t xml:space="preserve">Hepatotoksičnost je zabilježena kod pacijenata liječenih sunitinibom. Slučajevi insuficijencije jetre, neki sa </w:t>
      </w:r>
      <w:r w:rsidR="00354CB8">
        <w:rPr>
          <w:sz w:val="22"/>
          <w:szCs w:val="22"/>
          <w:lang w:val="sr-Latn-ME"/>
        </w:rPr>
        <w:t xml:space="preserve">smrtnim </w:t>
      </w:r>
      <w:r w:rsidRPr="00D616DF">
        <w:rPr>
          <w:sz w:val="22"/>
          <w:szCs w:val="22"/>
          <w:lang w:val="sr-Latn-ME"/>
        </w:rPr>
        <w:t xml:space="preserve">ishodom, zabilježeni su kod </w:t>
      </w:r>
      <w:r w:rsidRPr="00D616DF">
        <w:rPr>
          <w:sz w:val="22"/>
          <w:szCs w:val="22"/>
          <w:lang w:val="sr-Latn-ME"/>
        </w:rPr>
        <w:sym w:font="Symbol" w:char="F03C"/>
      </w:r>
      <w:r w:rsidRPr="00D616DF">
        <w:rPr>
          <w:sz w:val="22"/>
          <w:szCs w:val="22"/>
          <w:lang w:val="sr-Latn-ME"/>
        </w:rPr>
        <w:t xml:space="preserve"> 1% pacijenata sa solidnim tumorima koji su liječeni sunitinibom. Potrebno je praćenje funkcionalnih testova jetre (alanin transaminaza [ALT], aspartat transaminaza [AST], nivoa bilirubina) prije započinjanja terapije, tokom svakog terapijskog ciklusa i onda kada je klinički indikovano. Ukoliko su prisutni znaci ili simptomi insuficijencije jetre, potrebno je prekinuti terapiju sunitinibom i</w:t>
      </w:r>
      <w:r>
        <w:rPr>
          <w:sz w:val="22"/>
          <w:szCs w:val="22"/>
          <w:lang w:val="sr-Latn-ME"/>
        </w:rPr>
        <w:t xml:space="preserve"> preduzeti odgovarajuće suportivne</w:t>
      </w:r>
      <w:r w:rsidRPr="00D616DF">
        <w:rPr>
          <w:sz w:val="22"/>
          <w:szCs w:val="22"/>
          <w:lang w:val="sr-Latn-ME"/>
        </w:rPr>
        <w:t xml:space="preserve"> mjere (vidjeti dio 4.8).</w:t>
      </w:r>
    </w:p>
    <w:p w:rsidR="004A6CF7" w:rsidRPr="00D616DF" w:rsidRDefault="004A6CF7" w:rsidP="004A6CF7">
      <w:pPr>
        <w:tabs>
          <w:tab w:val="left" w:pos="1214"/>
        </w:tabs>
        <w:jc w:val="both"/>
        <w:rPr>
          <w:sz w:val="22"/>
          <w:szCs w:val="22"/>
          <w:lang w:val="sr-Latn-ME"/>
        </w:rPr>
      </w:pPr>
    </w:p>
    <w:p w:rsidR="004A6CF7" w:rsidRPr="00D616DF" w:rsidRDefault="004A6CF7" w:rsidP="004A6CF7">
      <w:pPr>
        <w:tabs>
          <w:tab w:val="left" w:pos="1214"/>
        </w:tabs>
        <w:jc w:val="both"/>
        <w:rPr>
          <w:sz w:val="22"/>
          <w:szCs w:val="22"/>
          <w:u w:val="single"/>
          <w:lang w:val="sr-Latn-ME"/>
        </w:rPr>
      </w:pPr>
      <w:r w:rsidRPr="00D616DF">
        <w:rPr>
          <w:sz w:val="22"/>
          <w:szCs w:val="22"/>
          <w:u w:val="single"/>
          <w:lang w:val="sr-Latn-ME"/>
        </w:rPr>
        <w:t>Bubrežna funkcija</w:t>
      </w:r>
    </w:p>
    <w:p w:rsidR="004A6CF7" w:rsidRPr="00D616DF" w:rsidRDefault="004A6CF7" w:rsidP="004A6CF7">
      <w:pPr>
        <w:tabs>
          <w:tab w:val="left" w:pos="1214"/>
        </w:tabs>
        <w:jc w:val="both"/>
        <w:rPr>
          <w:sz w:val="22"/>
          <w:szCs w:val="22"/>
          <w:lang w:val="sr-Latn-ME"/>
        </w:rPr>
      </w:pPr>
      <w:r w:rsidRPr="00D616DF">
        <w:rPr>
          <w:sz w:val="22"/>
          <w:szCs w:val="22"/>
          <w:lang w:val="sr-Latn-ME"/>
        </w:rPr>
        <w:t xml:space="preserve">Prijavljeni su slučajevi oštećenja bubrega, insuficijencije bubrega i/ili akutne insuficijencije bubrega, u nekim slučajevima sa fatalnim ishodom (vidjeti dio 4.8). </w:t>
      </w:r>
    </w:p>
    <w:p w:rsidR="004A6CF7" w:rsidRPr="00D616DF" w:rsidRDefault="004A6CF7" w:rsidP="004A6CF7">
      <w:pPr>
        <w:tabs>
          <w:tab w:val="left" w:pos="1214"/>
        </w:tabs>
        <w:jc w:val="both"/>
        <w:rPr>
          <w:sz w:val="22"/>
          <w:szCs w:val="22"/>
          <w:lang w:val="sr-Latn-ME"/>
        </w:rPr>
      </w:pPr>
    </w:p>
    <w:p w:rsidR="004A6CF7" w:rsidRPr="00D616DF" w:rsidRDefault="004A6CF7" w:rsidP="004A6CF7">
      <w:pPr>
        <w:tabs>
          <w:tab w:val="left" w:pos="1214"/>
        </w:tabs>
        <w:jc w:val="both"/>
        <w:rPr>
          <w:sz w:val="22"/>
          <w:szCs w:val="22"/>
          <w:lang w:val="sr-Latn-ME"/>
        </w:rPr>
      </w:pPr>
      <w:r w:rsidRPr="00D616DF">
        <w:rPr>
          <w:sz w:val="22"/>
          <w:szCs w:val="22"/>
          <w:lang w:val="sr-Latn-ME"/>
        </w:rPr>
        <w:t>Osim postojećeg karcinom</w:t>
      </w:r>
      <w:r>
        <w:rPr>
          <w:sz w:val="22"/>
          <w:szCs w:val="22"/>
          <w:lang w:val="sr-Latn-ME"/>
        </w:rPr>
        <w:t>a</w:t>
      </w:r>
      <w:r w:rsidRPr="00D616DF">
        <w:rPr>
          <w:sz w:val="22"/>
          <w:szCs w:val="22"/>
          <w:lang w:val="sr-Latn-ME"/>
        </w:rPr>
        <w:t xml:space="preserve"> bubrežnih ćelija (engl. </w:t>
      </w:r>
      <w:r w:rsidRPr="00F84901">
        <w:rPr>
          <w:i/>
          <w:sz w:val="22"/>
          <w:szCs w:val="22"/>
          <w:lang w:val="sr-Latn-ME"/>
        </w:rPr>
        <w:t>renal cell carcinoma</w:t>
      </w:r>
      <w:r w:rsidRPr="00D616DF">
        <w:rPr>
          <w:sz w:val="22"/>
          <w:szCs w:val="22"/>
          <w:lang w:val="sr-Latn-ME"/>
        </w:rPr>
        <w:t xml:space="preserve"> –RCC), faktori rizika povezani sa smanjenom funkcijom/insuficijencijom bubrega, kod pacijenata na terapiji sunitinibom, uključivali su: starije životno doba, </w:t>
      </w:r>
      <w:r w:rsidRPr="00D616DF">
        <w:rPr>
          <w:i/>
          <w:sz w:val="22"/>
          <w:szCs w:val="22"/>
          <w:lang w:val="sr-Latn-ME"/>
        </w:rPr>
        <w:t>diabetes mellitus</w:t>
      </w:r>
      <w:r w:rsidRPr="00D616DF">
        <w:rPr>
          <w:sz w:val="22"/>
          <w:szCs w:val="22"/>
          <w:lang w:val="sr-Latn-ME"/>
        </w:rPr>
        <w:t xml:space="preserve">, postojeće bubrežno oštećenje, srčanu insuficijenciju, hipertenziju, sepsu, dehidrataciju/hipovolemiju i rabdomiolizu. </w:t>
      </w:r>
    </w:p>
    <w:p w:rsidR="004A6CF7" w:rsidRPr="00D616DF" w:rsidRDefault="004A6CF7" w:rsidP="004A6CF7">
      <w:pPr>
        <w:tabs>
          <w:tab w:val="left" w:pos="1214"/>
        </w:tabs>
        <w:jc w:val="both"/>
        <w:rPr>
          <w:sz w:val="22"/>
          <w:szCs w:val="22"/>
          <w:lang w:val="sr-Latn-ME"/>
        </w:rPr>
      </w:pPr>
    </w:p>
    <w:p w:rsidR="004A6CF7" w:rsidRPr="00D616DF" w:rsidRDefault="004A6CF7" w:rsidP="004A6CF7">
      <w:pPr>
        <w:tabs>
          <w:tab w:val="left" w:pos="1214"/>
        </w:tabs>
        <w:jc w:val="both"/>
        <w:rPr>
          <w:sz w:val="22"/>
          <w:szCs w:val="22"/>
          <w:lang w:val="sr-Latn-ME"/>
        </w:rPr>
      </w:pPr>
      <w:r w:rsidRPr="00D616DF">
        <w:rPr>
          <w:sz w:val="22"/>
          <w:szCs w:val="22"/>
          <w:lang w:val="sr-Latn-ME"/>
        </w:rPr>
        <w:t xml:space="preserve">Bezbjednost kontinuirane primjene sunitiniba kod pacijenata sa umjerenom ili teškom proteinurijom nije sistematski ispitivana. </w:t>
      </w:r>
    </w:p>
    <w:p w:rsidR="004A6CF7" w:rsidRPr="00D616DF" w:rsidRDefault="004A6CF7" w:rsidP="004A6CF7">
      <w:pPr>
        <w:tabs>
          <w:tab w:val="left" w:pos="1214"/>
        </w:tabs>
        <w:jc w:val="both"/>
        <w:rPr>
          <w:sz w:val="22"/>
          <w:szCs w:val="22"/>
          <w:lang w:val="sr-Latn-ME"/>
        </w:rPr>
      </w:pPr>
    </w:p>
    <w:p w:rsidR="004A6CF7" w:rsidRPr="00D616DF" w:rsidRDefault="004A6CF7" w:rsidP="004A6CF7">
      <w:pPr>
        <w:tabs>
          <w:tab w:val="left" w:pos="1214"/>
        </w:tabs>
        <w:jc w:val="both"/>
        <w:rPr>
          <w:sz w:val="22"/>
          <w:szCs w:val="22"/>
          <w:lang w:val="sr-Latn-ME"/>
        </w:rPr>
      </w:pPr>
      <w:r w:rsidRPr="00D616DF">
        <w:rPr>
          <w:sz w:val="22"/>
          <w:szCs w:val="22"/>
          <w:lang w:val="sr-Latn-ME"/>
        </w:rPr>
        <w:t xml:space="preserve">Prijavljeni su slučajevi proteinurije i rijetki slučajevi nefrotskog sindroma. Preporučuje se laboratorijska analiza urina prije započinjanja terapije, a pacijente treba pratiti da ne bi došlo do razvoja ili pogoršanja proteinurije. Treba prekinuti primjenu sunitiniba kod pacijenata sa nefrotskim sindromom. </w:t>
      </w:r>
    </w:p>
    <w:p w:rsidR="004A6CF7" w:rsidRPr="00D616DF" w:rsidRDefault="004A6CF7" w:rsidP="004A6CF7">
      <w:pPr>
        <w:tabs>
          <w:tab w:val="left" w:pos="1214"/>
        </w:tabs>
        <w:jc w:val="both"/>
        <w:rPr>
          <w:sz w:val="22"/>
          <w:szCs w:val="22"/>
          <w:u w:val="single"/>
          <w:lang w:val="sr-Latn-ME"/>
        </w:rPr>
      </w:pPr>
    </w:p>
    <w:p w:rsidR="004A6CF7" w:rsidRPr="00D616DF" w:rsidRDefault="004A6CF7" w:rsidP="004A6CF7">
      <w:pPr>
        <w:tabs>
          <w:tab w:val="left" w:pos="1214"/>
        </w:tabs>
        <w:jc w:val="both"/>
        <w:rPr>
          <w:sz w:val="22"/>
          <w:szCs w:val="22"/>
          <w:u w:val="single"/>
          <w:lang w:val="sr-Latn-ME"/>
        </w:rPr>
      </w:pPr>
      <w:r w:rsidRPr="00D616DF">
        <w:rPr>
          <w:sz w:val="22"/>
          <w:szCs w:val="22"/>
          <w:u w:val="single"/>
          <w:lang w:val="sr-Latn-ME"/>
        </w:rPr>
        <w:t>Fistula</w:t>
      </w:r>
    </w:p>
    <w:p w:rsidR="004A6CF7" w:rsidRPr="00D616DF" w:rsidRDefault="004A6CF7" w:rsidP="004A6CF7">
      <w:pPr>
        <w:tabs>
          <w:tab w:val="left" w:pos="1214"/>
        </w:tabs>
        <w:jc w:val="both"/>
        <w:rPr>
          <w:sz w:val="22"/>
          <w:szCs w:val="22"/>
          <w:lang w:val="sr-Latn-ME"/>
        </w:rPr>
      </w:pPr>
      <w:r w:rsidRPr="00D616DF">
        <w:rPr>
          <w:sz w:val="22"/>
          <w:szCs w:val="22"/>
          <w:lang w:val="sr-Latn-ME"/>
        </w:rPr>
        <w:t>Ukoliko dođe do stvaranja fistule, terapiju sunitinibom treba privremeno prekinuti. Postoje ograničene informacije o nastavku upotrebe sunitiniba kod pacijenata sa fistulama (vidjeti dio 4.8).</w:t>
      </w:r>
    </w:p>
    <w:p w:rsidR="004A6CF7" w:rsidRPr="00D616DF" w:rsidRDefault="004A6CF7" w:rsidP="004A6CF7">
      <w:pPr>
        <w:shd w:val="clear" w:color="auto" w:fill="FFFFFF"/>
        <w:spacing w:before="235"/>
        <w:jc w:val="both"/>
        <w:rPr>
          <w:sz w:val="22"/>
          <w:szCs w:val="22"/>
          <w:u w:val="single"/>
          <w:lang w:val="sr-Latn-ME"/>
        </w:rPr>
      </w:pPr>
      <w:r w:rsidRPr="00D616DF">
        <w:rPr>
          <w:iCs/>
          <w:sz w:val="22"/>
          <w:szCs w:val="22"/>
          <w:u w:val="single"/>
          <w:lang w:val="sr-Latn-ME"/>
        </w:rPr>
        <w:t>Usporeno zarastanje rana</w:t>
      </w:r>
    </w:p>
    <w:p w:rsidR="004A6CF7" w:rsidRPr="00D616DF" w:rsidRDefault="004A6CF7" w:rsidP="004A6CF7">
      <w:pPr>
        <w:shd w:val="clear" w:color="auto" w:fill="FFFFFF"/>
        <w:jc w:val="both"/>
        <w:rPr>
          <w:sz w:val="22"/>
          <w:szCs w:val="22"/>
          <w:lang w:val="sr-Latn-ME"/>
        </w:rPr>
      </w:pPr>
      <w:r w:rsidRPr="00D616DF">
        <w:rPr>
          <w:sz w:val="22"/>
          <w:szCs w:val="22"/>
          <w:lang w:val="sr-Latn-ME"/>
        </w:rPr>
        <w:t>Tokom terapije sunitinibom prijavljeni su slučajevi usporenog zarastanja rana.</w:t>
      </w:r>
    </w:p>
    <w:p w:rsidR="004A6CF7" w:rsidRPr="00D616DF" w:rsidRDefault="004A6CF7" w:rsidP="004A6CF7">
      <w:pPr>
        <w:shd w:val="clear" w:color="auto" w:fill="FFFFFF"/>
        <w:jc w:val="both"/>
        <w:rPr>
          <w:sz w:val="22"/>
          <w:szCs w:val="22"/>
          <w:lang w:val="sr-Latn-ME"/>
        </w:rPr>
      </w:pPr>
    </w:p>
    <w:p w:rsidR="004A6CF7" w:rsidRPr="00D616DF" w:rsidRDefault="004A6CF7" w:rsidP="004A6CF7">
      <w:pPr>
        <w:shd w:val="clear" w:color="auto" w:fill="FFFFFF"/>
        <w:jc w:val="both"/>
        <w:rPr>
          <w:sz w:val="22"/>
          <w:szCs w:val="22"/>
          <w:lang w:val="sr-Latn-ME"/>
        </w:rPr>
      </w:pPr>
      <w:r w:rsidRPr="00D616DF">
        <w:rPr>
          <w:sz w:val="22"/>
          <w:szCs w:val="22"/>
          <w:lang w:val="sr-Latn-ME"/>
        </w:rPr>
        <w:t xml:space="preserve">Nijesu sprovedena formalna klinička ispitivanja uticaja sunitiniba na zarastanje rana. Privremeni prekid terapije sunitinibom preporučuje se kao predostrožnost kod pacijenata koji se podvrgavaju velikim </w:t>
      </w:r>
      <w:r w:rsidRPr="00D616DF">
        <w:rPr>
          <w:sz w:val="22"/>
          <w:szCs w:val="22"/>
          <w:lang w:val="sr-Latn-ME"/>
        </w:rPr>
        <w:lastRenderedPageBreak/>
        <w:t>hirurškim zahvatima. Postoji ograničeno kliničko iskustvo u pogledu vremena potrebnog za ponovno uvođenje terapije nakon velikih hirurških intervencija. Stoga, odluka o nastavku terapije sunitinibom nakon velikih hirurških intervencija treba da bude zasnovana na kliničkoj procjeni oporavka nakon operacije.</w:t>
      </w:r>
    </w:p>
    <w:p w:rsidR="004A6CF7" w:rsidRDefault="004A6CF7" w:rsidP="00480FB1">
      <w:pPr>
        <w:tabs>
          <w:tab w:val="left" w:pos="540"/>
          <w:tab w:val="left" w:pos="569"/>
        </w:tabs>
        <w:rPr>
          <w:bCs/>
          <w:sz w:val="22"/>
          <w:szCs w:val="22"/>
        </w:rPr>
      </w:pPr>
    </w:p>
    <w:p w:rsidR="00A41C32" w:rsidRPr="00D616DF" w:rsidRDefault="00A41C32" w:rsidP="00A41C32">
      <w:pPr>
        <w:tabs>
          <w:tab w:val="left" w:pos="1214"/>
        </w:tabs>
        <w:jc w:val="both"/>
        <w:rPr>
          <w:sz w:val="22"/>
          <w:szCs w:val="22"/>
          <w:u w:val="single"/>
          <w:lang w:val="sr-Latn-ME"/>
        </w:rPr>
      </w:pPr>
      <w:r w:rsidRPr="00D616DF">
        <w:rPr>
          <w:sz w:val="22"/>
          <w:szCs w:val="22"/>
          <w:u w:val="single"/>
          <w:lang w:val="sr-Latn-ME"/>
        </w:rPr>
        <w:t>Osteonekroza vilice</w:t>
      </w:r>
    </w:p>
    <w:p w:rsidR="00A41C32" w:rsidRPr="00D616DF" w:rsidRDefault="00A41C32" w:rsidP="00A41C32">
      <w:pPr>
        <w:tabs>
          <w:tab w:val="left" w:pos="1214"/>
        </w:tabs>
        <w:jc w:val="both"/>
        <w:rPr>
          <w:sz w:val="22"/>
          <w:szCs w:val="22"/>
          <w:lang w:val="sr-Latn-ME"/>
        </w:rPr>
      </w:pPr>
      <w:r w:rsidRPr="00D616DF">
        <w:rPr>
          <w:sz w:val="22"/>
          <w:szCs w:val="22"/>
          <w:lang w:val="sr-Latn-ME"/>
        </w:rPr>
        <w:t xml:space="preserve">Kod pacijenata liječenih sunitinobom zabilježeni su slučajevi osteonekroze vilice. Većina slučajeva zabilježena je kod pacijenata koji su prethodno ili istovremeno primali terapiju bisfosfonatima intravenskim putem, za čiju primjenu je osteonekroza vilice poznat rizik. Iz tog razloga, sunitinib i bisfosfonate (intravenski) treba primjenjivati sa oprezom, bilo da se primjenjuju istovremeno ili jedan za drugim. </w:t>
      </w:r>
    </w:p>
    <w:p w:rsidR="00A41C32" w:rsidRPr="00D616DF" w:rsidRDefault="00A41C32" w:rsidP="00A41C32">
      <w:pPr>
        <w:tabs>
          <w:tab w:val="left" w:pos="1214"/>
        </w:tabs>
        <w:jc w:val="both"/>
        <w:rPr>
          <w:sz w:val="22"/>
          <w:szCs w:val="22"/>
          <w:lang w:val="sr-Latn-ME"/>
        </w:rPr>
      </w:pPr>
      <w:r w:rsidRPr="00D616DF">
        <w:rPr>
          <w:sz w:val="22"/>
          <w:szCs w:val="22"/>
          <w:lang w:val="sr-Latn-ME"/>
        </w:rPr>
        <w:t xml:space="preserve">I invazivni stomatološki zahvati su identifikovani kao faktor rizika. Prije terapije sunitinibom, treba sprovesti stomatološki pregled i odgovarajuće preventivne stomatološke mjere. Ukoliko je moguće, invanzivne stomatološke procedure treba izbjegavati kod pacijenata koji su nedavno primali ili primaju bisfosfonate intravenskim putem (vidjeti dio 4.8). </w:t>
      </w:r>
    </w:p>
    <w:p w:rsidR="00A41C32" w:rsidRPr="00D616DF" w:rsidRDefault="00A41C32" w:rsidP="00A41C32">
      <w:pPr>
        <w:tabs>
          <w:tab w:val="left" w:pos="1214"/>
        </w:tabs>
        <w:jc w:val="both"/>
        <w:rPr>
          <w:sz w:val="22"/>
          <w:szCs w:val="22"/>
          <w:lang w:val="sr-Latn-ME"/>
        </w:rPr>
      </w:pPr>
    </w:p>
    <w:p w:rsidR="00A41C32" w:rsidRPr="00D616DF" w:rsidRDefault="00A41C32" w:rsidP="00A41C32">
      <w:pPr>
        <w:tabs>
          <w:tab w:val="left" w:pos="1214"/>
        </w:tabs>
        <w:jc w:val="both"/>
        <w:rPr>
          <w:sz w:val="22"/>
          <w:szCs w:val="22"/>
          <w:u w:val="single"/>
          <w:lang w:val="sr-Latn-ME"/>
        </w:rPr>
      </w:pPr>
      <w:r w:rsidRPr="00D616DF">
        <w:rPr>
          <w:sz w:val="22"/>
          <w:szCs w:val="22"/>
          <w:u w:val="single"/>
          <w:lang w:val="sr-Latn-ME"/>
        </w:rPr>
        <w:t xml:space="preserve">Preosjetljivost/angioedem </w:t>
      </w:r>
    </w:p>
    <w:p w:rsidR="00A41C32" w:rsidRPr="00D616DF" w:rsidRDefault="00A41C32" w:rsidP="00A41C32">
      <w:pPr>
        <w:tabs>
          <w:tab w:val="left" w:pos="1214"/>
        </w:tabs>
        <w:jc w:val="both"/>
        <w:rPr>
          <w:sz w:val="22"/>
          <w:szCs w:val="22"/>
          <w:lang w:val="sr-Latn-ME"/>
        </w:rPr>
      </w:pPr>
      <w:r w:rsidRPr="00D616DF">
        <w:rPr>
          <w:sz w:val="22"/>
          <w:szCs w:val="22"/>
          <w:lang w:val="sr-Latn-ME"/>
        </w:rPr>
        <w:t xml:space="preserve">Ukoliko zbog preosjetljivosti dođe do pojave angioedema, treba privremeno prekinuti terapiju sunitinibom i primijeniti standardne mjere liječenja (vidjeti dio 4.8). </w:t>
      </w:r>
    </w:p>
    <w:p w:rsidR="00A41C32" w:rsidRPr="00D616DF" w:rsidRDefault="00A41C32" w:rsidP="00A41C32">
      <w:pPr>
        <w:tabs>
          <w:tab w:val="left" w:pos="1214"/>
        </w:tabs>
        <w:jc w:val="both"/>
        <w:rPr>
          <w:sz w:val="22"/>
          <w:szCs w:val="22"/>
          <w:lang w:val="sr-Latn-ME"/>
        </w:rPr>
      </w:pPr>
    </w:p>
    <w:p w:rsidR="00A41C32" w:rsidRPr="00D616DF" w:rsidRDefault="00A41C32" w:rsidP="00A41C32">
      <w:pPr>
        <w:tabs>
          <w:tab w:val="left" w:pos="1214"/>
        </w:tabs>
        <w:jc w:val="both"/>
        <w:rPr>
          <w:sz w:val="22"/>
          <w:szCs w:val="22"/>
          <w:u w:val="single"/>
          <w:lang w:val="sr-Latn-ME"/>
        </w:rPr>
      </w:pPr>
      <w:r w:rsidRPr="00D616DF">
        <w:rPr>
          <w:sz w:val="22"/>
          <w:szCs w:val="22"/>
          <w:u w:val="single"/>
          <w:lang w:val="sr-Latn-ME"/>
        </w:rPr>
        <w:t xml:space="preserve">Konvulzije </w:t>
      </w:r>
    </w:p>
    <w:p w:rsidR="00A41C32" w:rsidRPr="00D616DF" w:rsidRDefault="00A41C32" w:rsidP="00A41C32">
      <w:pPr>
        <w:tabs>
          <w:tab w:val="left" w:pos="1214"/>
        </w:tabs>
        <w:jc w:val="both"/>
        <w:rPr>
          <w:sz w:val="22"/>
          <w:szCs w:val="22"/>
          <w:lang w:val="sr-Latn-ME"/>
        </w:rPr>
      </w:pPr>
      <w:r w:rsidRPr="00D616DF">
        <w:rPr>
          <w:sz w:val="22"/>
          <w:szCs w:val="22"/>
          <w:lang w:val="sr-Latn-ME"/>
        </w:rPr>
        <w:t>U kliničkim studijama sunitiniba, kao i tokom postmarketinškog praćenja, zabilježena je pojava konvulzija. Pacijenti sa konvulzijama i znacima/simptomima koji odgovaraju posteriornom reverzibilnom sindromu leukoencefalopatije (</w:t>
      </w:r>
      <w:r w:rsidRPr="00B11F83">
        <w:rPr>
          <w:sz w:val="22"/>
          <w:szCs w:val="22"/>
          <w:lang w:val="en-GB"/>
        </w:rPr>
        <w:t xml:space="preserve">engl. </w:t>
      </w:r>
      <w:r w:rsidRPr="00B11F83">
        <w:rPr>
          <w:i/>
          <w:iCs/>
          <w:sz w:val="22"/>
          <w:szCs w:val="22"/>
          <w:lang w:val="en-GB"/>
        </w:rPr>
        <w:t>reversible posterior leukoencephalopathy syndrome</w:t>
      </w:r>
      <w:r w:rsidRPr="00B11F83">
        <w:rPr>
          <w:sz w:val="22"/>
          <w:szCs w:val="22"/>
          <w:lang w:val="en-GB"/>
        </w:rPr>
        <w:t xml:space="preserve">, </w:t>
      </w:r>
      <w:r w:rsidRPr="00D616DF">
        <w:rPr>
          <w:sz w:val="22"/>
          <w:szCs w:val="22"/>
          <w:lang w:val="sr-Latn-ME"/>
        </w:rPr>
        <w:t>RPSL), kao što su hipertenzija, glavobolja, smanjena budnost, promijenjene mentalne funkcije i gubitak vida, uključujući i kortikalno sljepilo, treba da se kontrolišu ljekovima, uključujući i kontrolu hipertenzije. Preporučuje se privremeno obustavljanje terapije sunitinibom; poslije popravljanja stanja, terapija može ponovo početi na osnovu mišljenja ljekara (vidjeti dio 4.8).</w:t>
      </w:r>
    </w:p>
    <w:p w:rsidR="00A41C32" w:rsidRPr="00D616DF" w:rsidRDefault="00A41C32" w:rsidP="00A41C32">
      <w:pPr>
        <w:tabs>
          <w:tab w:val="left" w:pos="1214"/>
        </w:tabs>
        <w:jc w:val="both"/>
        <w:rPr>
          <w:sz w:val="22"/>
          <w:szCs w:val="22"/>
          <w:lang w:val="sr-Latn-ME"/>
        </w:rPr>
      </w:pPr>
    </w:p>
    <w:p w:rsidR="00A41C32" w:rsidRPr="00D616DF" w:rsidRDefault="00A41C32" w:rsidP="00A41C32">
      <w:pPr>
        <w:tabs>
          <w:tab w:val="left" w:pos="1214"/>
        </w:tabs>
        <w:jc w:val="both"/>
        <w:rPr>
          <w:sz w:val="22"/>
          <w:szCs w:val="22"/>
          <w:u w:val="single"/>
          <w:lang w:val="sr-Latn-ME"/>
        </w:rPr>
      </w:pPr>
      <w:r w:rsidRPr="00D616DF">
        <w:rPr>
          <w:sz w:val="22"/>
          <w:szCs w:val="22"/>
          <w:u w:val="single"/>
          <w:lang w:val="sr-Latn-ME"/>
        </w:rPr>
        <w:t xml:space="preserve">Sindrom lize tumora (engl. </w:t>
      </w:r>
      <w:r w:rsidRPr="00D616DF">
        <w:rPr>
          <w:i/>
          <w:sz w:val="22"/>
          <w:szCs w:val="22"/>
          <w:u w:val="single"/>
          <w:lang w:val="sr-Latn-ME"/>
        </w:rPr>
        <w:t>tumour lysis syndrome</w:t>
      </w:r>
      <w:r w:rsidRPr="00D616DF">
        <w:rPr>
          <w:sz w:val="22"/>
          <w:szCs w:val="22"/>
          <w:u w:val="single"/>
          <w:lang w:val="sr-Latn-ME"/>
        </w:rPr>
        <w:t xml:space="preserve"> - TLS)</w:t>
      </w:r>
    </w:p>
    <w:p w:rsidR="00A41C32" w:rsidRPr="00D616DF" w:rsidRDefault="00A41C32" w:rsidP="00A41C32">
      <w:pPr>
        <w:tabs>
          <w:tab w:val="left" w:pos="1214"/>
        </w:tabs>
        <w:jc w:val="both"/>
        <w:rPr>
          <w:sz w:val="22"/>
          <w:szCs w:val="22"/>
          <w:lang w:val="sr-Latn-ME"/>
        </w:rPr>
      </w:pPr>
      <w:r w:rsidRPr="00D616DF">
        <w:rPr>
          <w:sz w:val="22"/>
          <w:szCs w:val="22"/>
          <w:lang w:val="sr-Latn-ME"/>
        </w:rPr>
        <w:t xml:space="preserve">Kod pacijenata koji su liječeni sunitinibom, rijetko su opisani u kliničkim ispitivanjima i prijavljeni tokom postmarketinškog praćenja, slučajevi sindroma lize tumora, ponekad sa fatalnim ishodom, Faktori rizika za sindrom lize tumora (TLS) obuhvataju veliku rasprostranjenost tumora, postojeću hroničnu bubrežnu insuficijenciju, oliguriju, dehidrataciju, hipotenziju i kiselu reakciju urina. Ove pacijente treba pažljivo pratiti i liječiti ukoliko je klinički indikovano, a treba razmotriti i profilaktičku hidrataciju. </w:t>
      </w:r>
    </w:p>
    <w:p w:rsidR="00A41C32" w:rsidRPr="00D616DF" w:rsidRDefault="00A41C32" w:rsidP="00A41C32">
      <w:pPr>
        <w:tabs>
          <w:tab w:val="left" w:pos="1214"/>
        </w:tabs>
        <w:jc w:val="both"/>
        <w:rPr>
          <w:sz w:val="22"/>
          <w:szCs w:val="22"/>
          <w:lang w:val="sr-Latn-ME"/>
        </w:rPr>
      </w:pPr>
    </w:p>
    <w:p w:rsidR="00A41C32" w:rsidRPr="00D616DF" w:rsidRDefault="00A41C32" w:rsidP="00A41C32">
      <w:pPr>
        <w:tabs>
          <w:tab w:val="left" w:pos="1214"/>
        </w:tabs>
        <w:jc w:val="both"/>
        <w:rPr>
          <w:sz w:val="22"/>
          <w:szCs w:val="22"/>
          <w:u w:val="single"/>
          <w:lang w:val="sr-Latn-ME"/>
        </w:rPr>
      </w:pPr>
      <w:r w:rsidRPr="00D616DF">
        <w:rPr>
          <w:sz w:val="22"/>
          <w:szCs w:val="22"/>
          <w:u w:val="single"/>
          <w:lang w:val="sr-Latn-ME"/>
        </w:rPr>
        <w:t xml:space="preserve">Infekcije </w:t>
      </w:r>
    </w:p>
    <w:p w:rsidR="00A41C32" w:rsidRPr="00D616DF" w:rsidRDefault="00A41C32" w:rsidP="00A41C32">
      <w:pPr>
        <w:tabs>
          <w:tab w:val="left" w:pos="1214"/>
        </w:tabs>
        <w:jc w:val="both"/>
        <w:rPr>
          <w:sz w:val="22"/>
          <w:szCs w:val="22"/>
          <w:lang w:val="sr-Latn-ME"/>
        </w:rPr>
      </w:pPr>
      <w:r w:rsidRPr="00D616DF">
        <w:rPr>
          <w:sz w:val="22"/>
          <w:szCs w:val="22"/>
          <w:lang w:val="sr-Latn-ME"/>
        </w:rPr>
        <w:t xml:space="preserve">Prijavljene su ozbiljne infekcije, sa ili bez neutropenije, uključujući i slučajeve sa </w:t>
      </w:r>
      <w:r w:rsidR="00354CB8">
        <w:rPr>
          <w:sz w:val="22"/>
          <w:szCs w:val="22"/>
          <w:lang w:val="sr-Latn-ME"/>
        </w:rPr>
        <w:t xml:space="preserve">smrtnim </w:t>
      </w:r>
      <w:r w:rsidRPr="00D616DF">
        <w:rPr>
          <w:sz w:val="22"/>
          <w:szCs w:val="22"/>
          <w:lang w:val="sr-Latn-ME"/>
        </w:rPr>
        <w:t xml:space="preserve">ishodom. Prijavljeni su povremeni slučajevi nekrotizirajućeg fasciitisa, uključujući perineum, od kojih neki mogu imati </w:t>
      </w:r>
      <w:r w:rsidR="00354CB8">
        <w:rPr>
          <w:sz w:val="22"/>
          <w:szCs w:val="22"/>
          <w:lang w:val="sr-Latn-ME"/>
        </w:rPr>
        <w:t xml:space="preserve">smrtnim </w:t>
      </w:r>
      <w:r w:rsidRPr="00D616DF">
        <w:rPr>
          <w:sz w:val="22"/>
          <w:szCs w:val="22"/>
          <w:lang w:val="sr-Latn-ME"/>
        </w:rPr>
        <w:t xml:space="preserve">ishod (vidjeti dio 4.8). </w:t>
      </w:r>
    </w:p>
    <w:p w:rsidR="00A41C32" w:rsidRPr="00D616DF" w:rsidRDefault="00A41C32" w:rsidP="00A41C32">
      <w:pPr>
        <w:tabs>
          <w:tab w:val="left" w:pos="1214"/>
        </w:tabs>
        <w:jc w:val="both"/>
        <w:rPr>
          <w:sz w:val="22"/>
          <w:szCs w:val="22"/>
          <w:lang w:val="sr-Latn-ME"/>
        </w:rPr>
      </w:pPr>
    </w:p>
    <w:p w:rsidR="00A41C32" w:rsidRPr="00D616DF" w:rsidRDefault="00A41C32" w:rsidP="00A41C32">
      <w:pPr>
        <w:tabs>
          <w:tab w:val="left" w:pos="1214"/>
        </w:tabs>
        <w:jc w:val="both"/>
        <w:rPr>
          <w:sz w:val="22"/>
          <w:szCs w:val="22"/>
          <w:lang w:val="sr-Latn-ME"/>
        </w:rPr>
      </w:pPr>
      <w:r w:rsidRPr="00D616DF">
        <w:rPr>
          <w:sz w:val="22"/>
          <w:szCs w:val="22"/>
          <w:lang w:val="sr-Latn-ME"/>
        </w:rPr>
        <w:t xml:space="preserve">Kod pacijenata kod kojih se javi nekrotizirajući fasciitis, treba prekinuti terapiju sunitinibom i odmah primijeniti odgovarajuću terapiju. </w:t>
      </w:r>
    </w:p>
    <w:p w:rsidR="00A41C32" w:rsidRPr="00D616DF" w:rsidRDefault="00A41C32" w:rsidP="00A41C32">
      <w:pPr>
        <w:tabs>
          <w:tab w:val="left" w:pos="1214"/>
        </w:tabs>
        <w:jc w:val="both"/>
        <w:rPr>
          <w:sz w:val="22"/>
          <w:szCs w:val="22"/>
          <w:lang w:val="sr-Latn-ME"/>
        </w:rPr>
      </w:pPr>
    </w:p>
    <w:p w:rsidR="00A41C32" w:rsidRPr="00D616DF" w:rsidRDefault="00A41C32" w:rsidP="00A41C32">
      <w:pPr>
        <w:tabs>
          <w:tab w:val="left" w:pos="1214"/>
        </w:tabs>
        <w:jc w:val="both"/>
        <w:rPr>
          <w:sz w:val="22"/>
          <w:szCs w:val="22"/>
          <w:u w:val="single"/>
          <w:lang w:val="sr-Latn-ME"/>
        </w:rPr>
      </w:pPr>
      <w:r w:rsidRPr="00D616DF">
        <w:rPr>
          <w:sz w:val="22"/>
          <w:szCs w:val="22"/>
          <w:u w:val="single"/>
          <w:lang w:val="sr-Latn-ME"/>
        </w:rPr>
        <w:t xml:space="preserve">Hipoglikemija </w:t>
      </w:r>
    </w:p>
    <w:p w:rsidR="00A41C32" w:rsidRPr="00D616DF" w:rsidRDefault="00A41C32" w:rsidP="00A41C32">
      <w:pPr>
        <w:tabs>
          <w:tab w:val="left" w:pos="1214"/>
        </w:tabs>
        <w:jc w:val="both"/>
        <w:rPr>
          <w:sz w:val="22"/>
          <w:szCs w:val="22"/>
          <w:lang w:val="sr-Latn-ME"/>
        </w:rPr>
      </w:pPr>
      <w:r w:rsidRPr="00D616DF">
        <w:rPr>
          <w:sz w:val="22"/>
          <w:szCs w:val="22"/>
          <w:lang w:val="sr-Latn-ME"/>
        </w:rPr>
        <w:t>Tokom liječenja sunitinibom prijavljeno je sniženje nivoa glukoze u krvi, koje je u nekim slučajevima bilo klinički simptomatsko i zahtijevalo hospitalizaciju usljed gubitka svijesti. U slučaju simptomatske hipoglikemije, potrebno je privremeno prekinuti primjenu sunitiniba. Nivoe glukoze u krvi kod pacijenata sa dijabetesom potrebno je redovno provjeravati kako bi se procijenilo da li je potrebno podesiti doziranje ljekova protiv dijabetesa da bi se rizik od hipoglikemije sveo na minimum (vidjeti dio 4.8).</w:t>
      </w:r>
    </w:p>
    <w:p w:rsidR="00A41C32" w:rsidRPr="00D616DF" w:rsidRDefault="00A41C32" w:rsidP="00A41C32">
      <w:pPr>
        <w:tabs>
          <w:tab w:val="left" w:pos="1214"/>
        </w:tabs>
        <w:jc w:val="both"/>
        <w:rPr>
          <w:sz w:val="22"/>
          <w:szCs w:val="22"/>
          <w:lang w:val="sr-Latn-ME"/>
        </w:rPr>
      </w:pPr>
    </w:p>
    <w:p w:rsidR="00A41C32" w:rsidRPr="00D616DF" w:rsidRDefault="00A41C32" w:rsidP="00A41C32">
      <w:pPr>
        <w:tabs>
          <w:tab w:val="left" w:pos="1214"/>
        </w:tabs>
        <w:jc w:val="both"/>
        <w:rPr>
          <w:sz w:val="22"/>
          <w:szCs w:val="22"/>
          <w:u w:val="single"/>
          <w:lang w:val="sr-Latn-ME"/>
        </w:rPr>
      </w:pPr>
      <w:r w:rsidRPr="00D616DF">
        <w:rPr>
          <w:sz w:val="22"/>
          <w:szCs w:val="22"/>
          <w:u w:val="single"/>
          <w:lang w:val="sr-Latn-ME"/>
        </w:rPr>
        <w:t>Pomoćne supstance</w:t>
      </w:r>
    </w:p>
    <w:p w:rsidR="00A41C32" w:rsidRPr="00D616DF" w:rsidRDefault="00A41C32" w:rsidP="00A41C32">
      <w:pPr>
        <w:tabs>
          <w:tab w:val="left" w:pos="1214"/>
        </w:tabs>
        <w:jc w:val="both"/>
        <w:rPr>
          <w:sz w:val="22"/>
          <w:szCs w:val="22"/>
          <w:u w:val="single"/>
          <w:lang w:val="sr-Latn-ME"/>
        </w:rPr>
      </w:pPr>
    </w:p>
    <w:p w:rsidR="00A41C32" w:rsidRPr="00D616DF" w:rsidRDefault="00A41C32" w:rsidP="00A41C32">
      <w:pPr>
        <w:tabs>
          <w:tab w:val="left" w:pos="1214"/>
        </w:tabs>
        <w:jc w:val="both"/>
        <w:rPr>
          <w:i/>
          <w:sz w:val="22"/>
          <w:szCs w:val="22"/>
          <w:u w:val="single"/>
          <w:lang w:val="sr-Latn-ME"/>
        </w:rPr>
      </w:pPr>
      <w:r w:rsidRPr="00D616DF">
        <w:rPr>
          <w:i/>
          <w:sz w:val="22"/>
          <w:szCs w:val="22"/>
          <w:u w:val="single"/>
          <w:lang w:val="sr-Latn-ME"/>
        </w:rPr>
        <w:t>Natrijum</w:t>
      </w:r>
    </w:p>
    <w:p w:rsidR="00A41C32" w:rsidRPr="00A41C32" w:rsidRDefault="00A41C32" w:rsidP="00A41C32">
      <w:pPr>
        <w:tabs>
          <w:tab w:val="left" w:pos="1214"/>
        </w:tabs>
        <w:jc w:val="both"/>
        <w:rPr>
          <w:sz w:val="22"/>
          <w:szCs w:val="22"/>
          <w:lang w:val="sr-Latn-ME"/>
        </w:rPr>
      </w:pPr>
      <w:r w:rsidRPr="00D616DF">
        <w:rPr>
          <w:sz w:val="22"/>
          <w:szCs w:val="22"/>
          <w:lang w:val="sr-Latn-ME"/>
        </w:rPr>
        <w:t xml:space="preserve">Ovaj lijek sadrži manje od 1mmol natrijuma (23 mg) po dozi, tj. suštinski je „bez natrijuma“. </w:t>
      </w:r>
    </w:p>
    <w:p w:rsidR="004A6CF7" w:rsidRPr="00786071" w:rsidRDefault="004A6CF7" w:rsidP="00480FB1">
      <w:pPr>
        <w:tabs>
          <w:tab w:val="left" w:pos="540"/>
          <w:tab w:val="left" w:pos="569"/>
        </w:tabs>
        <w:rPr>
          <w:bCs/>
          <w:sz w:val="22"/>
          <w:szCs w:val="22"/>
        </w:rPr>
      </w:pPr>
    </w:p>
    <w:p w:rsidR="00411B4B" w:rsidRDefault="00411B4B" w:rsidP="00480FB1">
      <w:pPr>
        <w:tabs>
          <w:tab w:val="left" w:pos="540"/>
          <w:tab w:val="left" w:pos="569"/>
        </w:tabs>
        <w:rPr>
          <w:b/>
          <w:bCs/>
          <w:sz w:val="22"/>
          <w:szCs w:val="22"/>
        </w:rPr>
      </w:pPr>
      <w:r w:rsidRPr="00786071">
        <w:rPr>
          <w:b/>
          <w:bCs/>
          <w:sz w:val="22"/>
          <w:szCs w:val="22"/>
        </w:rPr>
        <w:lastRenderedPageBreak/>
        <w:t>4.5.</w:t>
      </w:r>
      <w:r w:rsidR="000D60CC">
        <w:rPr>
          <w:b/>
          <w:bCs/>
          <w:sz w:val="22"/>
          <w:szCs w:val="22"/>
        </w:rPr>
        <w:tab/>
      </w:r>
      <w:r w:rsidRPr="00786071">
        <w:rPr>
          <w:b/>
          <w:bCs/>
          <w:sz w:val="22"/>
          <w:szCs w:val="22"/>
        </w:rPr>
        <w:t>Interakcije sa drugim ljekovima i druge vrste interakcija</w:t>
      </w:r>
    </w:p>
    <w:p w:rsidR="0026035E" w:rsidRPr="00786071" w:rsidRDefault="0026035E" w:rsidP="00480FB1">
      <w:pPr>
        <w:tabs>
          <w:tab w:val="left" w:pos="540"/>
          <w:tab w:val="left" w:pos="569"/>
        </w:tabs>
        <w:rPr>
          <w:b/>
          <w:bCs/>
          <w:sz w:val="22"/>
          <w:szCs w:val="22"/>
        </w:rPr>
      </w:pPr>
    </w:p>
    <w:p w:rsidR="0026035E" w:rsidRPr="00D616DF" w:rsidRDefault="0026035E" w:rsidP="0026035E">
      <w:pPr>
        <w:tabs>
          <w:tab w:val="left" w:pos="540"/>
          <w:tab w:val="left" w:pos="569"/>
        </w:tabs>
        <w:rPr>
          <w:sz w:val="22"/>
          <w:szCs w:val="22"/>
          <w:lang w:val="sr-Latn-ME"/>
        </w:rPr>
      </w:pPr>
      <w:r w:rsidRPr="00D616DF">
        <w:rPr>
          <w:sz w:val="22"/>
          <w:szCs w:val="22"/>
          <w:lang w:val="sr-Latn-ME"/>
        </w:rPr>
        <w:t xml:space="preserve">Studije interakcija sprovedene su samo na odraslima. </w:t>
      </w:r>
    </w:p>
    <w:p w:rsidR="0026035E" w:rsidRPr="00D616DF" w:rsidRDefault="0026035E" w:rsidP="0026035E">
      <w:pPr>
        <w:tabs>
          <w:tab w:val="left" w:pos="540"/>
          <w:tab w:val="left" w:pos="569"/>
        </w:tabs>
        <w:rPr>
          <w:sz w:val="22"/>
          <w:szCs w:val="22"/>
          <w:lang w:val="sr-Latn-ME"/>
        </w:rPr>
      </w:pPr>
    </w:p>
    <w:p w:rsidR="0026035E" w:rsidRPr="00D616DF" w:rsidRDefault="0026035E" w:rsidP="0026035E">
      <w:pPr>
        <w:tabs>
          <w:tab w:val="left" w:pos="540"/>
          <w:tab w:val="left" w:pos="569"/>
        </w:tabs>
        <w:jc w:val="both"/>
        <w:rPr>
          <w:sz w:val="22"/>
          <w:szCs w:val="22"/>
          <w:u w:val="single"/>
          <w:lang w:val="sr-Latn-ME"/>
        </w:rPr>
      </w:pPr>
      <w:r w:rsidRPr="00D616DF">
        <w:rPr>
          <w:sz w:val="22"/>
          <w:szCs w:val="22"/>
          <w:u w:val="single"/>
          <w:lang w:val="sr-Latn-ME"/>
        </w:rPr>
        <w:t xml:space="preserve">Ljekovi koji mogu </w:t>
      </w:r>
      <w:r w:rsidRPr="0008609E">
        <w:rPr>
          <w:b/>
          <w:sz w:val="22"/>
          <w:szCs w:val="22"/>
          <w:u w:val="single"/>
          <w:lang w:val="sr-Latn-ME"/>
        </w:rPr>
        <w:t>povisiti</w:t>
      </w:r>
      <w:r w:rsidRPr="00D616DF">
        <w:rPr>
          <w:sz w:val="22"/>
          <w:szCs w:val="22"/>
          <w:u w:val="single"/>
          <w:lang w:val="sr-Latn-ME"/>
        </w:rPr>
        <w:t xml:space="preserve"> koncentracije sunitiniba u plazmi</w:t>
      </w:r>
    </w:p>
    <w:p w:rsidR="0026035E" w:rsidRPr="00D616DF" w:rsidRDefault="0026035E" w:rsidP="0026035E">
      <w:pPr>
        <w:tabs>
          <w:tab w:val="left" w:pos="540"/>
          <w:tab w:val="left" w:pos="569"/>
        </w:tabs>
        <w:jc w:val="both"/>
        <w:rPr>
          <w:sz w:val="22"/>
          <w:szCs w:val="22"/>
          <w:u w:val="single"/>
          <w:lang w:val="sr-Latn-ME"/>
        </w:rPr>
      </w:pPr>
    </w:p>
    <w:p w:rsidR="0026035E" w:rsidRPr="00D616DF" w:rsidRDefault="0026035E" w:rsidP="0026035E">
      <w:pPr>
        <w:tabs>
          <w:tab w:val="left" w:pos="540"/>
          <w:tab w:val="left" w:pos="569"/>
        </w:tabs>
        <w:jc w:val="both"/>
        <w:rPr>
          <w:i/>
          <w:sz w:val="22"/>
          <w:szCs w:val="22"/>
          <w:lang w:val="sr-Latn-ME"/>
        </w:rPr>
      </w:pPr>
      <w:r w:rsidRPr="00D616DF">
        <w:rPr>
          <w:i/>
          <w:sz w:val="22"/>
          <w:szCs w:val="22"/>
          <w:lang w:val="sr-Latn-ME"/>
        </w:rPr>
        <w:t xml:space="preserve">Efekti CYP3A4 inhibitora </w:t>
      </w:r>
    </w:p>
    <w:p w:rsidR="0026035E" w:rsidRPr="00D616DF" w:rsidRDefault="0026035E" w:rsidP="0026035E">
      <w:pPr>
        <w:tabs>
          <w:tab w:val="left" w:pos="540"/>
          <w:tab w:val="left" w:pos="569"/>
        </w:tabs>
        <w:jc w:val="both"/>
        <w:rPr>
          <w:sz w:val="22"/>
          <w:szCs w:val="22"/>
          <w:lang w:val="sr-Latn-ME"/>
        </w:rPr>
      </w:pPr>
      <w:r w:rsidRPr="00D616DF">
        <w:rPr>
          <w:sz w:val="22"/>
          <w:szCs w:val="22"/>
          <w:lang w:val="sr-Latn-ME"/>
        </w:rPr>
        <w:t>Istovremena primjena pojedinačne doze sunitiniba kod zdravih dobrovoljaca, sa snažnim inhibitorom CYP3A4, ketokonazolom, dovodi do povećanja maksimalne koncentracije lijeka u krvi (C</w:t>
      </w:r>
      <w:r w:rsidRPr="00D616DF">
        <w:rPr>
          <w:sz w:val="22"/>
          <w:szCs w:val="22"/>
          <w:vertAlign w:val="subscript"/>
          <w:lang w:val="sr-Latn-ME"/>
        </w:rPr>
        <w:t>max</w:t>
      </w:r>
      <w:r w:rsidRPr="00D616DF">
        <w:rPr>
          <w:sz w:val="22"/>
          <w:szCs w:val="22"/>
          <w:lang w:val="sr-Latn-ME"/>
        </w:rPr>
        <w:t>) za kompleks [sunitinib + primarni metabolit] za 49%, dok je vrijednost površine ispod krive (PIK</w:t>
      </w:r>
      <w:r w:rsidRPr="00D616DF">
        <w:rPr>
          <w:sz w:val="22"/>
          <w:szCs w:val="22"/>
          <w:vertAlign w:val="subscript"/>
          <w:lang w:val="sr-Latn-ME"/>
        </w:rPr>
        <w:t>0-∞</w:t>
      </w:r>
      <w:r w:rsidRPr="00D616DF">
        <w:rPr>
          <w:sz w:val="22"/>
          <w:szCs w:val="22"/>
          <w:lang w:val="sr-Latn-ME"/>
        </w:rPr>
        <w:t xml:space="preserve">) povećana za 51%. </w:t>
      </w:r>
    </w:p>
    <w:p w:rsidR="0026035E" w:rsidRPr="00D616DF" w:rsidRDefault="0026035E" w:rsidP="0026035E">
      <w:pPr>
        <w:tabs>
          <w:tab w:val="left" w:pos="540"/>
          <w:tab w:val="left" w:pos="569"/>
        </w:tabs>
        <w:jc w:val="both"/>
        <w:rPr>
          <w:sz w:val="22"/>
          <w:szCs w:val="22"/>
          <w:lang w:val="sr-Latn-ME"/>
        </w:rPr>
      </w:pPr>
    </w:p>
    <w:p w:rsidR="0026035E" w:rsidRDefault="0026035E" w:rsidP="0026035E">
      <w:pPr>
        <w:tabs>
          <w:tab w:val="left" w:pos="540"/>
          <w:tab w:val="left" w:pos="569"/>
        </w:tabs>
        <w:jc w:val="both"/>
        <w:rPr>
          <w:sz w:val="22"/>
          <w:szCs w:val="22"/>
          <w:lang w:val="sr-Latn-ME"/>
        </w:rPr>
      </w:pPr>
      <w:r w:rsidRPr="00D616DF">
        <w:rPr>
          <w:sz w:val="22"/>
          <w:szCs w:val="22"/>
          <w:lang w:val="sr-Latn-ME"/>
        </w:rPr>
        <w:t xml:space="preserve">Primjena sunitiniba sa snažnim inhibitorima CYP3A4 (npr. ritonavir, itrakonazol, eritromicin, klaritromicin, sok od grejpfruta) može dovesti do povećanja koncentracije sunitiniba. </w:t>
      </w:r>
    </w:p>
    <w:p w:rsidR="0026035E" w:rsidRDefault="0026035E" w:rsidP="0026035E">
      <w:pPr>
        <w:tabs>
          <w:tab w:val="left" w:pos="540"/>
          <w:tab w:val="left" w:pos="569"/>
        </w:tabs>
        <w:jc w:val="both"/>
        <w:rPr>
          <w:sz w:val="22"/>
          <w:szCs w:val="22"/>
          <w:lang w:val="sr-Latn-ME"/>
        </w:rPr>
      </w:pPr>
    </w:p>
    <w:p w:rsidR="0026035E" w:rsidRPr="00D616DF" w:rsidRDefault="0026035E" w:rsidP="0026035E">
      <w:pPr>
        <w:tabs>
          <w:tab w:val="left" w:pos="540"/>
          <w:tab w:val="left" w:pos="569"/>
        </w:tabs>
        <w:jc w:val="both"/>
        <w:rPr>
          <w:sz w:val="22"/>
          <w:szCs w:val="22"/>
          <w:lang w:val="sr-Latn-ME"/>
        </w:rPr>
      </w:pPr>
      <w:r w:rsidRPr="00D616DF">
        <w:rPr>
          <w:sz w:val="22"/>
          <w:szCs w:val="22"/>
          <w:lang w:val="sr-Latn-ME"/>
        </w:rPr>
        <w:t xml:space="preserve">Prema tome, istovremenu primjenu sa snažnim inhibitorima CYP3A4 treba izbjegavati, ili treba razmotriti primjenu drugih ljekova bez ili sa minimalnim potencijalom za inhibiciju CYP3A4. </w:t>
      </w:r>
    </w:p>
    <w:p w:rsidR="0026035E" w:rsidRPr="00D616DF" w:rsidRDefault="0026035E" w:rsidP="0026035E">
      <w:pPr>
        <w:tabs>
          <w:tab w:val="left" w:pos="540"/>
          <w:tab w:val="left" w:pos="569"/>
        </w:tabs>
        <w:jc w:val="both"/>
        <w:rPr>
          <w:sz w:val="22"/>
          <w:szCs w:val="22"/>
          <w:lang w:val="sr-Latn-ME"/>
        </w:rPr>
      </w:pPr>
    </w:p>
    <w:p w:rsidR="0026035E" w:rsidRPr="00D616DF" w:rsidRDefault="0026035E" w:rsidP="0026035E">
      <w:pPr>
        <w:tabs>
          <w:tab w:val="left" w:pos="540"/>
          <w:tab w:val="left" w:pos="569"/>
        </w:tabs>
        <w:jc w:val="both"/>
        <w:rPr>
          <w:sz w:val="22"/>
          <w:szCs w:val="22"/>
          <w:lang w:val="sr-Latn-ME"/>
        </w:rPr>
      </w:pPr>
      <w:r w:rsidRPr="00D616DF">
        <w:rPr>
          <w:sz w:val="22"/>
          <w:szCs w:val="22"/>
          <w:lang w:val="sr-Latn-ME"/>
        </w:rPr>
        <w:t xml:space="preserve">Ako to nije moguće, dozu </w:t>
      </w:r>
      <w:r>
        <w:rPr>
          <w:sz w:val="22"/>
          <w:szCs w:val="22"/>
          <w:lang w:val="sr-Latn-ME"/>
        </w:rPr>
        <w:t>sunitiniba</w:t>
      </w:r>
      <w:r w:rsidRPr="00D616DF">
        <w:rPr>
          <w:sz w:val="22"/>
          <w:szCs w:val="22"/>
          <w:lang w:val="sr-Latn-ME"/>
        </w:rPr>
        <w:t xml:space="preserve"> treba smanjiti na minimalnu dozu od 37,5 mg dnevno za liječenje GIST i MRCC ili na 25 mg dnevno za liječenje pNET, bazirano na pažljivom praćenju podnošljivosti (vidjeti dio 4.2). </w:t>
      </w:r>
    </w:p>
    <w:p w:rsidR="0026035E" w:rsidRPr="00D616DF" w:rsidRDefault="0026035E" w:rsidP="0026035E">
      <w:pPr>
        <w:tabs>
          <w:tab w:val="left" w:pos="540"/>
          <w:tab w:val="left" w:pos="569"/>
        </w:tabs>
        <w:jc w:val="both"/>
        <w:rPr>
          <w:sz w:val="22"/>
          <w:szCs w:val="22"/>
          <w:lang w:val="sr-Latn-ME"/>
        </w:rPr>
      </w:pPr>
    </w:p>
    <w:p w:rsidR="0026035E" w:rsidRPr="00D616DF" w:rsidRDefault="0026035E" w:rsidP="0026035E">
      <w:pPr>
        <w:tabs>
          <w:tab w:val="left" w:pos="540"/>
          <w:tab w:val="left" w:pos="569"/>
        </w:tabs>
        <w:jc w:val="both"/>
        <w:rPr>
          <w:i/>
          <w:sz w:val="22"/>
          <w:szCs w:val="22"/>
          <w:lang w:val="sr-Latn-ME"/>
        </w:rPr>
      </w:pPr>
      <w:r w:rsidRPr="00D616DF">
        <w:rPr>
          <w:i/>
          <w:sz w:val="22"/>
          <w:szCs w:val="22"/>
          <w:lang w:val="sr-Latn-ME"/>
        </w:rPr>
        <w:t xml:space="preserve">Efekti inhibitora proteina rezistencije karcinoma dojke (engl. Breast Cancer Resistance Protein - BCRP) </w:t>
      </w:r>
    </w:p>
    <w:p w:rsidR="0026035E" w:rsidRPr="00D616DF" w:rsidRDefault="0026035E" w:rsidP="0026035E">
      <w:pPr>
        <w:tabs>
          <w:tab w:val="left" w:pos="540"/>
          <w:tab w:val="left" w:pos="569"/>
        </w:tabs>
        <w:jc w:val="both"/>
        <w:rPr>
          <w:sz w:val="22"/>
          <w:szCs w:val="22"/>
          <w:lang w:val="sr-Latn-ME"/>
        </w:rPr>
      </w:pPr>
      <w:r w:rsidRPr="00D616DF">
        <w:rPr>
          <w:sz w:val="22"/>
          <w:szCs w:val="22"/>
          <w:lang w:val="sr-Latn-ME"/>
        </w:rPr>
        <w:t xml:space="preserve">Klinički podaci o interakciji sunitiniba i inhibitora BCRP su ograničeni i mogućnost interakcije sunitiniba i drugih inhibitora BCRP se ne može isključiti (vidjeti dio 5.2). </w:t>
      </w:r>
    </w:p>
    <w:p w:rsidR="0026035E" w:rsidRPr="00D616DF" w:rsidRDefault="0026035E" w:rsidP="0026035E">
      <w:pPr>
        <w:tabs>
          <w:tab w:val="left" w:pos="540"/>
          <w:tab w:val="left" w:pos="569"/>
        </w:tabs>
        <w:rPr>
          <w:sz w:val="22"/>
          <w:szCs w:val="22"/>
          <w:lang w:val="sr-Latn-ME"/>
        </w:rPr>
      </w:pPr>
    </w:p>
    <w:p w:rsidR="0026035E" w:rsidRPr="00D616DF" w:rsidRDefault="0026035E" w:rsidP="0026035E">
      <w:pPr>
        <w:tabs>
          <w:tab w:val="left" w:pos="540"/>
          <w:tab w:val="left" w:pos="569"/>
        </w:tabs>
        <w:jc w:val="both"/>
        <w:rPr>
          <w:sz w:val="22"/>
          <w:szCs w:val="22"/>
          <w:u w:val="single"/>
          <w:lang w:val="sr-Latn-ME"/>
        </w:rPr>
      </w:pPr>
      <w:r w:rsidRPr="00D616DF">
        <w:rPr>
          <w:sz w:val="22"/>
          <w:szCs w:val="22"/>
          <w:u w:val="single"/>
          <w:lang w:val="sr-Latn-ME"/>
        </w:rPr>
        <w:t xml:space="preserve">Ljekovi koji mogu </w:t>
      </w:r>
      <w:r w:rsidRPr="0091335D">
        <w:rPr>
          <w:b/>
          <w:sz w:val="22"/>
          <w:szCs w:val="22"/>
          <w:u w:val="single"/>
          <w:lang w:val="sr-Latn-ME"/>
        </w:rPr>
        <w:t>sniziti</w:t>
      </w:r>
      <w:r w:rsidRPr="00D616DF">
        <w:rPr>
          <w:sz w:val="22"/>
          <w:szCs w:val="22"/>
          <w:u w:val="single"/>
          <w:lang w:val="sr-Latn-ME"/>
        </w:rPr>
        <w:t xml:space="preserve"> koncentracije sunitiniba u plazmi </w:t>
      </w:r>
    </w:p>
    <w:p w:rsidR="0026035E" w:rsidRPr="00D616DF" w:rsidRDefault="0026035E" w:rsidP="0026035E">
      <w:pPr>
        <w:tabs>
          <w:tab w:val="left" w:pos="540"/>
          <w:tab w:val="left" w:pos="569"/>
        </w:tabs>
        <w:jc w:val="both"/>
        <w:rPr>
          <w:sz w:val="22"/>
          <w:szCs w:val="22"/>
          <w:u w:val="single"/>
          <w:lang w:val="sr-Latn-ME"/>
        </w:rPr>
      </w:pPr>
    </w:p>
    <w:p w:rsidR="0026035E" w:rsidRPr="00D616DF" w:rsidRDefault="0026035E" w:rsidP="0026035E">
      <w:pPr>
        <w:tabs>
          <w:tab w:val="left" w:pos="540"/>
          <w:tab w:val="left" w:pos="569"/>
        </w:tabs>
        <w:jc w:val="both"/>
        <w:rPr>
          <w:i/>
          <w:sz w:val="22"/>
          <w:szCs w:val="22"/>
          <w:lang w:val="sr-Latn-ME"/>
        </w:rPr>
      </w:pPr>
      <w:r w:rsidRPr="00D616DF">
        <w:rPr>
          <w:i/>
          <w:sz w:val="22"/>
          <w:szCs w:val="22"/>
          <w:lang w:val="sr-Latn-ME"/>
        </w:rPr>
        <w:t xml:space="preserve">Efekti CYP3A4 induktora </w:t>
      </w:r>
    </w:p>
    <w:p w:rsidR="0026035E" w:rsidRPr="00D616DF" w:rsidRDefault="0026035E" w:rsidP="0026035E">
      <w:pPr>
        <w:tabs>
          <w:tab w:val="left" w:pos="540"/>
          <w:tab w:val="left" w:pos="569"/>
        </w:tabs>
        <w:jc w:val="both"/>
        <w:rPr>
          <w:sz w:val="22"/>
          <w:szCs w:val="22"/>
          <w:lang w:val="sr-Latn-ME"/>
        </w:rPr>
      </w:pPr>
      <w:r w:rsidRPr="00D616DF">
        <w:rPr>
          <w:sz w:val="22"/>
          <w:szCs w:val="22"/>
          <w:lang w:val="sr-Latn-ME"/>
        </w:rPr>
        <w:t>Istovremena primjena jedne doze sunitiniba kod zdravih dobrovoljaca, sa induktorom CYP3A4, rifampicinom, dovodi do smanjenja vrijednosti C</w:t>
      </w:r>
      <w:r w:rsidRPr="00D616DF">
        <w:rPr>
          <w:sz w:val="22"/>
          <w:szCs w:val="22"/>
          <w:vertAlign w:val="subscript"/>
          <w:lang w:val="sr-Latn-ME"/>
        </w:rPr>
        <w:t>max</w:t>
      </w:r>
      <w:r w:rsidRPr="00D616DF">
        <w:rPr>
          <w:sz w:val="22"/>
          <w:szCs w:val="22"/>
          <w:lang w:val="sr-Latn-ME"/>
        </w:rPr>
        <w:t xml:space="preserve"> za kompleks [sunitinib + primarni metabolit] za 23%, dok je PIK</w:t>
      </w:r>
      <w:r w:rsidRPr="00D616DF">
        <w:rPr>
          <w:sz w:val="22"/>
          <w:szCs w:val="22"/>
          <w:vertAlign w:val="subscript"/>
          <w:lang w:val="sr-Latn-ME"/>
        </w:rPr>
        <w:t>0-∞</w:t>
      </w:r>
      <w:r w:rsidRPr="00D616DF">
        <w:rPr>
          <w:sz w:val="22"/>
          <w:szCs w:val="22"/>
          <w:lang w:val="sr-Latn-ME"/>
        </w:rPr>
        <w:t xml:space="preserve"> vrijednost smanjena za 46%. </w:t>
      </w:r>
    </w:p>
    <w:p w:rsidR="0026035E" w:rsidRPr="00D616DF" w:rsidRDefault="0026035E" w:rsidP="0026035E">
      <w:pPr>
        <w:tabs>
          <w:tab w:val="left" w:pos="540"/>
          <w:tab w:val="left" w:pos="569"/>
        </w:tabs>
        <w:jc w:val="both"/>
        <w:rPr>
          <w:sz w:val="22"/>
          <w:szCs w:val="22"/>
          <w:lang w:val="sr-Latn-ME"/>
        </w:rPr>
      </w:pPr>
    </w:p>
    <w:p w:rsidR="0026035E" w:rsidRPr="00D616DF" w:rsidRDefault="0026035E" w:rsidP="0026035E">
      <w:pPr>
        <w:tabs>
          <w:tab w:val="left" w:pos="540"/>
          <w:tab w:val="left" w:pos="569"/>
        </w:tabs>
        <w:jc w:val="both"/>
        <w:rPr>
          <w:sz w:val="22"/>
          <w:szCs w:val="22"/>
          <w:lang w:val="sr-Latn-ME"/>
        </w:rPr>
      </w:pPr>
      <w:r w:rsidRPr="00D616DF">
        <w:rPr>
          <w:sz w:val="22"/>
          <w:szCs w:val="22"/>
          <w:lang w:val="sr-Latn-ME"/>
        </w:rPr>
        <w:t>Primjena sunitiniba sa snažnim induktorima CYP3A4 (npr. deksametazon, fenitoin, karbamazepin, rifampicin, fenobarbiton, ili biljni preparati koji sadrže kantarion (</w:t>
      </w:r>
      <w:r w:rsidRPr="00D616DF">
        <w:rPr>
          <w:i/>
          <w:sz w:val="22"/>
          <w:szCs w:val="22"/>
          <w:lang w:val="sr-Latn-ME"/>
        </w:rPr>
        <w:t>Hypericum perforatum</w:t>
      </w:r>
      <w:r w:rsidRPr="00D616DF">
        <w:rPr>
          <w:sz w:val="22"/>
          <w:szCs w:val="22"/>
          <w:lang w:val="sr-Latn-ME"/>
        </w:rPr>
        <w:t xml:space="preserve">) može dovesti do sniženja koncentracije sunitiniba u plazmi. Stoga, istovremenu primjenu sa CYP3A4 induktorima treba izbjegavati ili treba razmotriti primjenu drugih ljekova bez ili sa minimalnim potencijalom za indukciju CYP3A4. Ako to nije moguće, dozu </w:t>
      </w:r>
      <w:r w:rsidRPr="0091335D">
        <w:rPr>
          <w:sz w:val="22"/>
          <w:szCs w:val="22"/>
          <w:lang w:val="sr-Latn-ME"/>
        </w:rPr>
        <w:t xml:space="preserve">sunitiniba </w:t>
      </w:r>
      <w:r w:rsidRPr="00D616DF">
        <w:rPr>
          <w:sz w:val="22"/>
          <w:szCs w:val="22"/>
          <w:lang w:val="sr-Latn-ME"/>
        </w:rPr>
        <w:t>trebalo bi povećati u dozama od po 12,5 mg (do 87,5 mg dnevno za liječenje GIST i MRCC ili 62,5 mg dnevno za pNET), bazirano na pažljivom praćenju podnošljivosti (vidjeti dio 4.2.).</w:t>
      </w:r>
    </w:p>
    <w:p w:rsidR="0072020E" w:rsidRPr="00786071" w:rsidRDefault="0072020E" w:rsidP="00480FB1">
      <w:pPr>
        <w:tabs>
          <w:tab w:val="left" w:pos="540"/>
          <w:tab w:val="left" w:pos="569"/>
        </w:tabs>
        <w:rPr>
          <w:bCs/>
          <w:sz w:val="22"/>
          <w:szCs w:val="22"/>
        </w:rPr>
      </w:pPr>
    </w:p>
    <w:p w:rsidR="0072020E" w:rsidRDefault="0072020E" w:rsidP="00480FB1">
      <w:pPr>
        <w:tabs>
          <w:tab w:val="left" w:pos="540"/>
          <w:tab w:val="left" w:pos="569"/>
        </w:tabs>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rsidR="002031B3" w:rsidRDefault="002031B3" w:rsidP="00480FB1">
      <w:pPr>
        <w:tabs>
          <w:tab w:val="left" w:pos="540"/>
          <w:tab w:val="left" w:pos="569"/>
        </w:tabs>
        <w:rPr>
          <w:sz w:val="22"/>
          <w:szCs w:val="22"/>
          <w:u w:val="single"/>
        </w:rPr>
      </w:pPr>
    </w:p>
    <w:p w:rsidR="00352360" w:rsidRPr="00D616DF" w:rsidRDefault="00352360" w:rsidP="00352360">
      <w:pPr>
        <w:tabs>
          <w:tab w:val="left" w:pos="540"/>
          <w:tab w:val="left" w:pos="569"/>
        </w:tabs>
        <w:jc w:val="both"/>
        <w:rPr>
          <w:sz w:val="22"/>
          <w:szCs w:val="22"/>
          <w:u w:val="single"/>
          <w:lang w:val="sr-Latn-ME"/>
        </w:rPr>
      </w:pPr>
      <w:r w:rsidRPr="00D616DF">
        <w:rPr>
          <w:sz w:val="22"/>
          <w:szCs w:val="22"/>
          <w:u w:val="single"/>
          <w:lang w:val="sr-Latn-ME"/>
        </w:rPr>
        <w:t xml:space="preserve">Kontracepcija za muškarce i žene </w:t>
      </w:r>
    </w:p>
    <w:p w:rsidR="00352360" w:rsidRPr="00D616DF" w:rsidRDefault="00352360" w:rsidP="00352360">
      <w:pPr>
        <w:tabs>
          <w:tab w:val="left" w:pos="540"/>
          <w:tab w:val="left" w:pos="569"/>
        </w:tabs>
        <w:jc w:val="both"/>
        <w:rPr>
          <w:sz w:val="22"/>
          <w:szCs w:val="22"/>
          <w:lang w:val="sr-Latn-ME"/>
        </w:rPr>
      </w:pPr>
      <w:r w:rsidRPr="00D616DF">
        <w:rPr>
          <w:sz w:val="22"/>
          <w:szCs w:val="22"/>
          <w:lang w:val="sr-Latn-ME"/>
        </w:rPr>
        <w:t xml:space="preserve">Žene u reproduktivnom periodu treba savjetovati da koriste efektivne mjere kontracepcije i da izbjegavaju da zatrudne tokom terapije </w:t>
      </w:r>
      <w:r>
        <w:rPr>
          <w:sz w:val="22"/>
          <w:szCs w:val="22"/>
          <w:lang w:val="sr-Latn-ME"/>
        </w:rPr>
        <w:t>lijekom Sunitinib Pliva.</w:t>
      </w:r>
      <w:r w:rsidRPr="00D616DF">
        <w:rPr>
          <w:sz w:val="22"/>
          <w:szCs w:val="22"/>
          <w:lang w:val="sr-Latn-ME"/>
        </w:rPr>
        <w:t xml:space="preserve"> </w:t>
      </w:r>
    </w:p>
    <w:p w:rsidR="00352360" w:rsidRPr="00D616DF" w:rsidRDefault="00352360" w:rsidP="00352360">
      <w:pPr>
        <w:tabs>
          <w:tab w:val="left" w:pos="540"/>
          <w:tab w:val="left" w:pos="569"/>
        </w:tabs>
        <w:rPr>
          <w:sz w:val="22"/>
          <w:szCs w:val="22"/>
          <w:u w:val="single"/>
          <w:lang w:val="sr-Latn-ME"/>
        </w:rPr>
      </w:pPr>
    </w:p>
    <w:p w:rsidR="00352360" w:rsidRPr="00D616DF" w:rsidRDefault="00352360" w:rsidP="00352360">
      <w:pPr>
        <w:tabs>
          <w:tab w:val="left" w:pos="540"/>
          <w:tab w:val="left" w:pos="569"/>
        </w:tabs>
        <w:rPr>
          <w:sz w:val="22"/>
          <w:szCs w:val="22"/>
          <w:u w:val="single"/>
          <w:lang w:val="sr-Latn-ME"/>
        </w:rPr>
      </w:pPr>
      <w:r w:rsidRPr="00D616DF">
        <w:rPr>
          <w:sz w:val="22"/>
          <w:szCs w:val="22"/>
          <w:u w:val="single"/>
          <w:lang w:val="sr-Latn-ME"/>
        </w:rPr>
        <w:t xml:space="preserve">Plodnost </w:t>
      </w:r>
    </w:p>
    <w:p w:rsidR="00352360" w:rsidRPr="00D616DF" w:rsidRDefault="00352360" w:rsidP="00352360">
      <w:pPr>
        <w:tabs>
          <w:tab w:val="left" w:pos="540"/>
          <w:tab w:val="left" w:pos="569"/>
        </w:tabs>
        <w:jc w:val="both"/>
        <w:rPr>
          <w:sz w:val="22"/>
          <w:szCs w:val="22"/>
          <w:u w:val="single"/>
          <w:lang w:val="sr-Latn-ME"/>
        </w:rPr>
      </w:pPr>
      <w:r w:rsidRPr="00D616DF">
        <w:rPr>
          <w:sz w:val="22"/>
          <w:szCs w:val="22"/>
          <w:lang w:val="sr-Latn-ME"/>
        </w:rPr>
        <w:t>Na osnovu podataka iz pretkliničkih ispitivanja, smatra se da primjena sunitiniba može dovesti do oštećenja plodnosti kod muškaraca i žena (vidjeti dio 5.3).</w:t>
      </w:r>
    </w:p>
    <w:p w:rsidR="00352360" w:rsidRPr="00D616DF" w:rsidRDefault="00352360" w:rsidP="00352360">
      <w:pPr>
        <w:tabs>
          <w:tab w:val="left" w:pos="540"/>
          <w:tab w:val="left" w:pos="569"/>
        </w:tabs>
        <w:jc w:val="both"/>
        <w:rPr>
          <w:sz w:val="22"/>
          <w:szCs w:val="22"/>
          <w:lang w:val="sr-Latn-ME"/>
        </w:rPr>
      </w:pPr>
    </w:p>
    <w:p w:rsidR="00352360" w:rsidRPr="00D616DF" w:rsidRDefault="00352360" w:rsidP="00352360">
      <w:pPr>
        <w:tabs>
          <w:tab w:val="left" w:pos="540"/>
          <w:tab w:val="left" w:pos="569"/>
        </w:tabs>
        <w:jc w:val="both"/>
        <w:rPr>
          <w:sz w:val="22"/>
          <w:szCs w:val="22"/>
          <w:u w:val="single"/>
          <w:lang w:val="sr-Latn-ME"/>
        </w:rPr>
      </w:pPr>
      <w:r w:rsidRPr="00D616DF">
        <w:rPr>
          <w:sz w:val="22"/>
          <w:szCs w:val="22"/>
          <w:u w:val="single"/>
          <w:lang w:val="sr-Latn-ME"/>
        </w:rPr>
        <w:t xml:space="preserve">Trudnoća </w:t>
      </w:r>
    </w:p>
    <w:p w:rsidR="00352360" w:rsidRPr="00D616DF" w:rsidRDefault="00352360" w:rsidP="00352360">
      <w:pPr>
        <w:tabs>
          <w:tab w:val="left" w:pos="540"/>
          <w:tab w:val="left" w:pos="569"/>
        </w:tabs>
        <w:jc w:val="both"/>
        <w:rPr>
          <w:sz w:val="22"/>
          <w:szCs w:val="22"/>
          <w:lang w:val="sr-Latn-ME"/>
        </w:rPr>
      </w:pPr>
      <w:r w:rsidRPr="00D616DF">
        <w:rPr>
          <w:sz w:val="22"/>
          <w:szCs w:val="22"/>
          <w:lang w:val="sr-Latn-ME"/>
        </w:rPr>
        <w:t xml:space="preserve">Ne postoje studije o primjeni sunitiniba kod trudnica. Studije na životinjama pokazale su da lijek posjeduje reproduktivnu toksičnost, uključujući fetalne malformacije (vidjeti dio 5.3). Lijek Sunitinib </w:t>
      </w:r>
      <w:r>
        <w:rPr>
          <w:sz w:val="22"/>
          <w:szCs w:val="22"/>
          <w:lang w:val="sr-Latn-ME"/>
        </w:rPr>
        <w:t>Pliva</w:t>
      </w:r>
      <w:r w:rsidRPr="00D616DF">
        <w:rPr>
          <w:sz w:val="22"/>
          <w:szCs w:val="22"/>
          <w:lang w:val="sr-Latn-ME"/>
        </w:rPr>
        <w:t xml:space="preserve"> se ne smije  primjenjivati tokom trudnoće, kao ni kod žena koje ne koriste odgovarajuće mjere kontracepcije, ukoliko potencijalna korist od primjene lijeka ne prevazilazi potencijalni rizik za fetus. Ako </w:t>
      </w:r>
      <w:r w:rsidRPr="00D616DF">
        <w:rPr>
          <w:sz w:val="22"/>
          <w:szCs w:val="22"/>
          <w:lang w:val="sr-Latn-ME"/>
        </w:rPr>
        <w:lastRenderedPageBreak/>
        <w:t xml:space="preserve">se sunitinib primijeni tokom trudnoće ili ako pacijentkinja zatrudni tokom primjene lijeka, treba je upozoriti na potencijalni rizik za fetus. </w:t>
      </w:r>
    </w:p>
    <w:p w:rsidR="00352360" w:rsidRPr="00D616DF" w:rsidRDefault="00352360" w:rsidP="00352360">
      <w:pPr>
        <w:tabs>
          <w:tab w:val="left" w:pos="540"/>
          <w:tab w:val="left" w:pos="569"/>
        </w:tabs>
        <w:jc w:val="both"/>
        <w:rPr>
          <w:sz w:val="22"/>
          <w:szCs w:val="22"/>
          <w:lang w:val="sr-Latn-ME"/>
        </w:rPr>
      </w:pPr>
    </w:p>
    <w:p w:rsidR="00352360" w:rsidRPr="00D616DF" w:rsidRDefault="00352360" w:rsidP="00352360">
      <w:pPr>
        <w:tabs>
          <w:tab w:val="left" w:pos="540"/>
          <w:tab w:val="left" w:pos="569"/>
        </w:tabs>
        <w:jc w:val="both"/>
        <w:rPr>
          <w:sz w:val="22"/>
          <w:szCs w:val="22"/>
          <w:u w:val="single"/>
          <w:lang w:val="sr-Latn-ME"/>
        </w:rPr>
      </w:pPr>
      <w:r w:rsidRPr="00D616DF">
        <w:rPr>
          <w:sz w:val="22"/>
          <w:szCs w:val="22"/>
          <w:u w:val="single"/>
          <w:lang w:val="sr-Latn-ME"/>
        </w:rPr>
        <w:t xml:space="preserve">Dojenje </w:t>
      </w:r>
    </w:p>
    <w:p w:rsidR="00352360" w:rsidRPr="00D616DF" w:rsidRDefault="00352360" w:rsidP="00352360">
      <w:pPr>
        <w:tabs>
          <w:tab w:val="left" w:pos="540"/>
          <w:tab w:val="left" w:pos="569"/>
        </w:tabs>
        <w:jc w:val="both"/>
        <w:rPr>
          <w:sz w:val="22"/>
          <w:szCs w:val="22"/>
          <w:lang w:val="sr-Latn-ME"/>
        </w:rPr>
      </w:pPr>
      <w:r w:rsidRPr="00D616DF">
        <w:rPr>
          <w:sz w:val="22"/>
          <w:szCs w:val="22"/>
          <w:lang w:val="sr-Latn-ME"/>
        </w:rPr>
        <w:t>Sunitinib i/ili njegovi metaboliti izlučuju se u mlijeko ženki pacova. Ne zna se da li se sunitinib ili njegov primarni aktivni metabolit izlučuju u mlijeko dojilja. Pošto se aktivne supstance obično izlučuju u mlijeko dojilja, kao i zbog potencijala lijeka da izazove ozbiljna neželjena dejstva kod odojčadi, žene koje su na terapiji</w:t>
      </w:r>
      <w:r w:rsidRPr="00F84901">
        <w:rPr>
          <w:lang w:val="sr-Latn-ME"/>
        </w:rPr>
        <w:t xml:space="preserve"> l</w:t>
      </w:r>
      <w:r>
        <w:rPr>
          <w:sz w:val="22"/>
          <w:szCs w:val="22"/>
          <w:lang w:val="sr-Latn-ME"/>
        </w:rPr>
        <w:t>ijekom Sunitinib Pliva</w:t>
      </w:r>
      <w:r w:rsidRPr="00D616DF">
        <w:rPr>
          <w:sz w:val="22"/>
          <w:szCs w:val="22"/>
          <w:lang w:val="sr-Latn-ME"/>
        </w:rPr>
        <w:t xml:space="preserve"> ne smiju dojiti.</w:t>
      </w:r>
    </w:p>
    <w:p w:rsidR="00227BDB" w:rsidRDefault="00227BDB" w:rsidP="00396DFD">
      <w:pPr>
        <w:tabs>
          <w:tab w:val="left" w:pos="540"/>
          <w:tab w:val="left" w:pos="569"/>
        </w:tabs>
        <w:ind w:left="540" w:hanging="540"/>
        <w:rPr>
          <w:b/>
          <w:bCs/>
          <w:sz w:val="22"/>
          <w:szCs w:val="22"/>
        </w:rPr>
      </w:pPr>
    </w:p>
    <w:p w:rsidR="0072020E" w:rsidRDefault="0072020E" w:rsidP="00396DFD">
      <w:pPr>
        <w:tabs>
          <w:tab w:val="left" w:pos="540"/>
          <w:tab w:val="left" w:pos="569"/>
        </w:tabs>
        <w:ind w:left="540" w:hanging="540"/>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rsidR="00352360" w:rsidRPr="00786071" w:rsidRDefault="00352360" w:rsidP="00396DFD">
      <w:pPr>
        <w:tabs>
          <w:tab w:val="left" w:pos="540"/>
          <w:tab w:val="left" w:pos="569"/>
        </w:tabs>
        <w:ind w:left="540" w:hanging="540"/>
        <w:rPr>
          <w:b/>
          <w:bCs/>
          <w:sz w:val="22"/>
          <w:szCs w:val="22"/>
        </w:rPr>
      </w:pPr>
    </w:p>
    <w:p w:rsidR="00352360" w:rsidRPr="00D616DF" w:rsidRDefault="00352360" w:rsidP="00352360">
      <w:pPr>
        <w:tabs>
          <w:tab w:val="left" w:pos="540"/>
          <w:tab w:val="left" w:pos="569"/>
        </w:tabs>
        <w:jc w:val="both"/>
        <w:rPr>
          <w:sz w:val="22"/>
          <w:szCs w:val="22"/>
          <w:lang w:val="sr-Latn-ME"/>
        </w:rPr>
      </w:pPr>
      <w:r w:rsidRPr="00D616DF">
        <w:rPr>
          <w:sz w:val="22"/>
          <w:szCs w:val="22"/>
          <w:lang w:val="sr-Latn-ME"/>
        </w:rPr>
        <w:t xml:space="preserve">Sunitinib ima neznatan uticaj na sposobnost upravljanja vozilima i rukovanja mašinama. Pacijente </w:t>
      </w:r>
      <w:r>
        <w:rPr>
          <w:sz w:val="22"/>
          <w:szCs w:val="22"/>
          <w:lang w:val="sr-Latn-ME"/>
        </w:rPr>
        <w:t xml:space="preserve">treba upozoriti da mogu osjetiti </w:t>
      </w:r>
      <w:r w:rsidRPr="00D616DF">
        <w:rPr>
          <w:sz w:val="22"/>
          <w:szCs w:val="22"/>
          <w:lang w:val="sr-Latn-ME"/>
        </w:rPr>
        <w:t xml:space="preserve"> vrtoglavicu tokom liječenja sunitinibom.</w:t>
      </w:r>
    </w:p>
    <w:p w:rsidR="0072020E" w:rsidRPr="00786071" w:rsidRDefault="0072020E" w:rsidP="00480FB1">
      <w:pPr>
        <w:tabs>
          <w:tab w:val="left" w:pos="540"/>
          <w:tab w:val="left" w:pos="569"/>
        </w:tabs>
        <w:rPr>
          <w:b/>
          <w:bCs/>
          <w:sz w:val="22"/>
          <w:szCs w:val="22"/>
        </w:rPr>
      </w:pPr>
    </w:p>
    <w:p w:rsidR="0072020E" w:rsidRDefault="0072020E" w:rsidP="00480FB1">
      <w:pPr>
        <w:tabs>
          <w:tab w:val="left" w:pos="540"/>
          <w:tab w:val="left" w:pos="569"/>
        </w:tabs>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rsidR="00ED4C6A" w:rsidRDefault="00ED4C6A" w:rsidP="00480FB1">
      <w:pPr>
        <w:tabs>
          <w:tab w:val="left" w:pos="540"/>
          <w:tab w:val="left" w:pos="569"/>
        </w:tabs>
        <w:rPr>
          <w:b/>
          <w:bCs/>
          <w:sz w:val="22"/>
          <w:szCs w:val="22"/>
        </w:rPr>
      </w:pPr>
    </w:p>
    <w:p w:rsidR="00ED4C6A" w:rsidRPr="00D616DF" w:rsidRDefault="00ED4C6A" w:rsidP="00ED4C6A">
      <w:pPr>
        <w:tabs>
          <w:tab w:val="left" w:pos="540"/>
          <w:tab w:val="left" w:pos="569"/>
        </w:tabs>
        <w:jc w:val="both"/>
        <w:rPr>
          <w:sz w:val="22"/>
          <w:szCs w:val="22"/>
          <w:lang w:val="sr-Latn-ME"/>
        </w:rPr>
      </w:pPr>
      <w:r w:rsidRPr="00D616DF">
        <w:rPr>
          <w:sz w:val="22"/>
          <w:szCs w:val="22"/>
          <w:u w:val="single"/>
          <w:lang w:val="sr-Latn-ME"/>
        </w:rPr>
        <w:t>Sažetak bezbjednosnog profila</w:t>
      </w:r>
      <w:r w:rsidRPr="00D616DF">
        <w:rPr>
          <w:sz w:val="22"/>
          <w:szCs w:val="22"/>
          <w:lang w:val="sr-Latn-ME"/>
        </w:rPr>
        <w:t xml:space="preserve"> </w:t>
      </w:r>
    </w:p>
    <w:p w:rsidR="00ED4C6A" w:rsidRDefault="00ED4C6A" w:rsidP="00ED4C6A">
      <w:pPr>
        <w:tabs>
          <w:tab w:val="left" w:pos="540"/>
          <w:tab w:val="left" w:pos="569"/>
        </w:tabs>
        <w:jc w:val="both"/>
        <w:rPr>
          <w:sz w:val="22"/>
          <w:szCs w:val="22"/>
          <w:lang w:val="sr-Latn-ME"/>
        </w:rPr>
      </w:pPr>
      <w:r w:rsidRPr="00D616DF">
        <w:rPr>
          <w:sz w:val="22"/>
          <w:szCs w:val="22"/>
          <w:lang w:val="sr-Latn-ME"/>
        </w:rPr>
        <w:t xml:space="preserve">Najozbiljnije neželjene reakcije povezane sa primjenom sunitiniba, od kojih neke mogu imati </w:t>
      </w:r>
      <w:r w:rsidR="00354CB8">
        <w:rPr>
          <w:sz w:val="22"/>
          <w:szCs w:val="22"/>
          <w:lang w:val="sr-Latn-ME"/>
        </w:rPr>
        <w:t xml:space="preserve">smrtni </w:t>
      </w:r>
      <w:r w:rsidRPr="00D616DF">
        <w:rPr>
          <w:sz w:val="22"/>
          <w:szCs w:val="22"/>
          <w:lang w:val="sr-Latn-ME"/>
        </w:rPr>
        <w:t xml:space="preserve">ishod, su bubrežna inusficijencija, srčana insuficijencija, plućna embolija, gastrointestinalna perforacija i hemoragija (npr. respiratornog sistema, gastrointestinalna, hemoragija tumora, urinarnog trakta i mozga). </w:t>
      </w:r>
    </w:p>
    <w:p w:rsidR="00ED4C6A" w:rsidRPr="00D616DF" w:rsidRDefault="00ED4C6A" w:rsidP="00ED4C6A">
      <w:pPr>
        <w:tabs>
          <w:tab w:val="left" w:pos="540"/>
          <w:tab w:val="left" w:pos="569"/>
        </w:tabs>
        <w:jc w:val="both"/>
        <w:rPr>
          <w:sz w:val="22"/>
          <w:szCs w:val="22"/>
          <w:lang w:val="sr-Latn-ME"/>
        </w:rPr>
      </w:pPr>
      <w:r w:rsidRPr="00D616DF">
        <w:rPr>
          <w:sz w:val="22"/>
          <w:szCs w:val="22"/>
          <w:lang w:val="sr-Latn-ME"/>
        </w:rPr>
        <w:t xml:space="preserve">Najčešće neželjene reakcije bilo kog gradusa (javile su se kod pacijenata u RCC, GIST i pNET registracionim ispitivanjima) uključuju smanjen apetit, poremećaj čula ukusa, hipertenziju, zamor, gastrointestinalne tegobe (npr. dijareju, mučninu, stomatitis, dispepsiju i povraćanje), promjenu boje kože i sindrom palmarno-plantarne eritrodizestezije. Ovi simptomi se mogu smanjiti sa nastavkom terapije. Tokom liječenja se može razviti hipotireoidizam. Hematološki poremećaji (npr. neutropenija, trombocitopenija i anemija) se ubrajaju među najčešće neželjene reakcije na lijek. </w:t>
      </w:r>
    </w:p>
    <w:p w:rsidR="00ED4C6A" w:rsidRPr="00D616DF" w:rsidRDefault="00ED4C6A" w:rsidP="00ED4C6A">
      <w:pPr>
        <w:tabs>
          <w:tab w:val="left" w:pos="540"/>
          <w:tab w:val="left" w:pos="569"/>
        </w:tabs>
        <w:jc w:val="both"/>
        <w:rPr>
          <w:sz w:val="22"/>
          <w:szCs w:val="22"/>
          <w:lang w:val="sr-Latn-ME"/>
        </w:rPr>
      </w:pPr>
    </w:p>
    <w:p w:rsidR="00ED4C6A" w:rsidRPr="00D616DF" w:rsidRDefault="00ED4C6A" w:rsidP="00ED4C6A">
      <w:pPr>
        <w:tabs>
          <w:tab w:val="left" w:pos="540"/>
          <w:tab w:val="left" w:pos="569"/>
        </w:tabs>
        <w:jc w:val="both"/>
        <w:rPr>
          <w:sz w:val="22"/>
          <w:szCs w:val="22"/>
          <w:lang w:val="sr-Latn-ME"/>
        </w:rPr>
      </w:pPr>
      <w:r w:rsidRPr="00D616DF">
        <w:rPr>
          <w:sz w:val="22"/>
          <w:szCs w:val="22"/>
          <w:lang w:val="sr-Latn-ME"/>
        </w:rPr>
        <w:t>U događaje</w:t>
      </w:r>
      <w:r w:rsidR="00354CB8">
        <w:rPr>
          <w:sz w:val="22"/>
          <w:szCs w:val="22"/>
          <w:lang w:val="sr-Latn-ME"/>
        </w:rPr>
        <w:t xml:space="preserve"> sa smrtnim ishodom </w:t>
      </w:r>
      <w:r w:rsidRPr="00D616DF">
        <w:rPr>
          <w:sz w:val="22"/>
          <w:szCs w:val="22"/>
          <w:lang w:val="sr-Latn-ME"/>
        </w:rPr>
        <w:t xml:space="preserve">, uz one koji su navedeni prethodno u odjeljku 4.4 ili dalje u odjeljku 4.8, za koje se smatra da mogu biti povezani sa sunitinibom spadaju: multisistemsko otkazivanje organa, diseminovana intravaskularna koagulacija, peritonealna hemoragija, insuficijencija nadbubrega, pneumotoraks, šok i iznenadna smrt. </w:t>
      </w:r>
    </w:p>
    <w:p w:rsidR="00ED4C6A" w:rsidRPr="00D616DF" w:rsidRDefault="00ED4C6A" w:rsidP="00ED4C6A">
      <w:pPr>
        <w:tabs>
          <w:tab w:val="left" w:pos="540"/>
          <w:tab w:val="left" w:pos="569"/>
        </w:tabs>
        <w:jc w:val="both"/>
        <w:rPr>
          <w:sz w:val="22"/>
          <w:szCs w:val="22"/>
          <w:lang w:val="sr-Latn-ME"/>
        </w:rPr>
      </w:pPr>
    </w:p>
    <w:p w:rsidR="00ED4C6A" w:rsidRPr="00D616DF" w:rsidRDefault="00ED4C6A" w:rsidP="00ED4C6A">
      <w:pPr>
        <w:tabs>
          <w:tab w:val="left" w:pos="540"/>
          <w:tab w:val="left" w:pos="569"/>
        </w:tabs>
        <w:jc w:val="both"/>
        <w:rPr>
          <w:sz w:val="22"/>
          <w:szCs w:val="22"/>
          <w:lang w:val="sr-Latn-ME"/>
        </w:rPr>
      </w:pPr>
      <w:r w:rsidRPr="00D616DF">
        <w:rPr>
          <w:sz w:val="22"/>
          <w:szCs w:val="22"/>
          <w:u w:val="single"/>
          <w:lang w:val="sr-Latn-ME"/>
        </w:rPr>
        <w:t>Tabelarni prikaz neželjenih reakcija</w:t>
      </w:r>
      <w:r w:rsidRPr="00D616DF">
        <w:rPr>
          <w:sz w:val="22"/>
          <w:szCs w:val="22"/>
          <w:lang w:val="sr-Latn-ME"/>
        </w:rPr>
        <w:t xml:space="preserve"> </w:t>
      </w:r>
    </w:p>
    <w:p w:rsidR="00ED4C6A" w:rsidRPr="00D616DF" w:rsidRDefault="00ED4C6A" w:rsidP="00ED4C6A">
      <w:pPr>
        <w:tabs>
          <w:tab w:val="left" w:pos="540"/>
          <w:tab w:val="left" w:pos="569"/>
        </w:tabs>
        <w:jc w:val="both"/>
        <w:rPr>
          <w:b/>
          <w:bCs/>
          <w:sz w:val="22"/>
          <w:szCs w:val="22"/>
          <w:lang w:val="sr-Latn-ME"/>
        </w:rPr>
      </w:pPr>
      <w:r w:rsidRPr="00D616DF">
        <w:rPr>
          <w:sz w:val="22"/>
          <w:szCs w:val="22"/>
          <w:lang w:val="sr-Latn-ME"/>
        </w:rPr>
        <w:t>Neželjene reakcije koje su zabilježene u grupnim podacima od 7115 pacijenata sa GIST, MRCC i pNET, navedene su dalje u tekstu, prema sistemu organa, učestalosti i gradusu/stepenu težine (NCI-CTCAE). Takođe su obuhvaćene i neželjene reakcije koje su zapažene u kliničkim studijama nakon stavljanja lijeka u promet. U svakoj grupi učestalosti, neželjena dejstva navedena su prema opadajućoj ozbiljnosti.</w:t>
      </w:r>
    </w:p>
    <w:p w:rsidR="00ED4C6A" w:rsidRPr="00D616DF" w:rsidRDefault="00ED4C6A" w:rsidP="00ED4C6A">
      <w:pPr>
        <w:tabs>
          <w:tab w:val="left" w:pos="284"/>
        </w:tabs>
        <w:jc w:val="both"/>
        <w:rPr>
          <w:sz w:val="22"/>
          <w:szCs w:val="22"/>
          <w:lang w:val="sr-Latn-ME"/>
        </w:rPr>
      </w:pPr>
    </w:p>
    <w:p w:rsidR="00ED4C6A" w:rsidRPr="00D616DF" w:rsidRDefault="00ED4C6A" w:rsidP="00ED4C6A">
      <w:pPr>
        <w:tabs>
          <w:tab w:val="left" w:pos="284"/>
        </w:tabs>
        <w:jc w:val="both"/>
        <w:rPr>
          <w:sz w:val="22"/>
          <w:szCs w:val="22"/>
          <w:lang w:val="sr-Latn-ME"/>
        </w:rPr>
      </w:pPr>
      <w:r w:rsidRPr="00D616DF">
        <w:rPr>
          <w:sz w:val="22"/>
          <w:szCs w:val="22"/>
          <w:lang w:val="sr-Latn-ME"/>
        </w:rPr>
        <w:t>Učestalost je</w:t>
      </w:r>
      <w:r>
        <w:rPr>
          <w:sz w:val="22"/>
          <w:szCs w:val="22"/>
          <w:lang w:val="sr-Latn-ME"/>
        </w:rPr>
        <w:t xml:space="preserve"> definisana kao: v</w:t>
      </w:r>
      <w:r w:rsidRPr="00D616DF">
        <w:rPr>
          <w:sz w:val="22"/>
          <w:szCs w:val="22"/>
          <w:lang w:val="sr-Latn-ME"/>
        </w:rPr>
        <w:t>eoma često (≥1/10); često (≥1/100 do &lt; 1/10), povremeno (≥1/1000 do &lt;1/100); rijetko (≥1/10000 do &lt;1/1000), veoma rijetko (&lt;1/10000), nepoznato (ne može</w:t>
      </w:r>
      <w:r>
        <w:rPr>
          <w:sz w:val="22"/>
          <w:szCs w:val="22"/>
          <w:lang w:val="sr-Latn-ME"/>
        </w:rPr>
        <w:t xml:space="preserve"> se procijeniti</w:t>
      </w:r>
      <w:r w:rsidRPr="00D616DF">
        <w:rPr>
          <w:sz w:val="22"/>
          <w:szCs w:val="22"/>
          <w:lang w:val="sr-Latn-ME"/>
        </w:rPr>
        <w:t xml:space="preserve"> na osnovu dostupnih podataka).</w:t>
      </w:r>
    </w:p>
    <w:p w:rsidR="00C91645" w:rsidRDefault="00C91645" w:rsidP="00ED4C6A">
      <w:pPr>
        <w:tabs>
          <w:tab w:val="left" w:pos="540"/>
          <w:tab w:val="left" w:pos="569"/>
        </w:tabs>
        <w:rPr>
          <w:b/>
          <w:sz w:val="22"/>
          <w:szCs w:val="22"/>
          <w:lang w:val="sr-Latn-ME"/>
        </w:rPr>
      </w:pPr>
    </w:p>
    <w:p w:rsidR="00ED4C6A" w:rsidRDefault="00ED4C6A" w:rsidP="00ED4C6A">
      <w:pPr>
        <w:tabs>
          <w:tab w:val="left" w:pos="540"/>
          <w:tab w:val="left" w:pos="569"/>
        </w:tabs>
        <w:rPr>
          <w:b/>
          <w:sz w:val="22"/>
          <w:szCs w:val="22"/>
          <w:lang w:val="sr-Latn-ME"/>
        </w:rPr>
      </w:pPr>
      <w:r w:rsidRPr="00D616DF">
        <w:rPr>
          <w:b/>
          <w:sz w:val="22"/>
          <w:szCs w:val="22"/>
          <w:lang w:val="sr-Latn-ME"/>
        </w:rPr>
        <w:t>Tabela 1. Neželjene reakcije zabilježene u kliničkim ispitivanjima</w:t>
      </w:r>
    </w:p>
    <w:p w:rsidR="00984753" w:rsidRPr="00D616DF" w:rsidRDefault="00984753" w:rsidP="00ED4C6A">
      <w:pPr>
        <w:tabs>
          <w:tab w:val="left" w:pos="540"/>
          <w:tab w:val="left" w:pos="569"/>
        </w:tabs>
        <w:rPr>
          <w:b/>
          <w:sz w:val="22"/>
          <w:szCs w:val="22"/>
          <w:lang w:val="sr-Latn-ME"/>
        </w:rPr>
      </w:pPr>
    </w:p>
    <w:tbl>
      <w:tblPr>
        <w:tblStyle w:val="TableGrid"/>
        <w:tblW w:w="9209" w:type="dxa"/>
        <w:tblLayout w:type="fixed"/>
        <w:tblLook w:val="04A0" w:firstRow="1" w:lastRow="0" w:firstColumn="1" w:lastColumn="0" w:noHBand="0" w:noVBand="1"/>
      </w:tblPr>
      <w:tblGrid>
        <w:gridCol w:w="1271"/>
        <w:gridCol w:w="1843"/>
        <w:gridCol w:w="1417"/>
        <w:gridCol w:w="1843"/>
        <w:gridCol w:w="1701"/>
        <w:gridCol w:w="1134"/>
      </w:tblGrid>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t>Sistem organa</w:t>
            </w:r>
          </w:p>
        </w:tc>
        <w:tc>
          <w:tcPr>
            <w:tcW w:w="1843" w:type="dxa"/>
            <w:vAlign w:val="center"/>
          </w:tcPr>
          <w:p w:rsidR="00984753" w:rsidRPr="00F84901" w:rsidRDefault="00984753" w:rsidP="00354CB8">
            <w:pPr>
              <w:tabs>
                <w:tab w:val="left" w:pos="540"/>
                <w:tab w:val="left" w:pos="569"/>
              </w:tabs>
              <w:rPr>
                <w:b/>
                <w:bCs/>
                <w:sz w:val="20"/>
                <w:szCs w:val="20"/>
                <w:lang w:val="sr-Latn-ME"/>
              </w:rPr>
            </w:pPr>
            <w:r w:rsidRPr="00F84901">
              <w:rPr>
                <w:b/>
                <w:bCs/>
                <w:sz w:val="20"/>
                <w:szCs w:val="20"/>
                <w:lang w:val="sr-Latn-ME"/>
              </w:rPr>
              <w:t>Veoma često</w:t>
            </w:r>
          </w:p>
        </w:tc>
        <w:tc>
          <w:tcPr>
            <w:tcW w:w="1417" w:type="dxa"/>
            <w:vAlign w:val="center"/>
          </w:tcPr>
          <w:p w:rsidR="00984753" w:rsidRPr="00F84901" w:rsidRDefault="00984753" w:rsidP="00354CB8">
            <w:pPr>
              <w:tabs>
                <w:tab w:val="left" w:pos="540"/>
                <w:tab w:val="left" w:pos="569"/>
              </w:tabs>
              <w:rPr>
                <w:b/>
                <w:bCs/>
                <w:sz w:val="20"/>
                <w:szCs w:val="20"/>
                <w:lang w:val="sr-Latn-ME"/>
              </w:rPr>
            </w:pPr>
            <w:r w:rsidRPr="00F84901">
              <w:rPr>
                <w:b/>
                <w:bCs/>
                <w:sz w:val="20"/>
                <w:szCs w:val="20"/>
                <w:lang w:val="sr-Latn-ME"/>
              </w:rPr>
              <w:t>Često</w:t>
            </w:r>
          </w:p>
        </w:tc>
        <w:tc>
          <w:tcPr>
            <w:tcW w:w="1843" w:type="dxa"/>
            <w:vAlign w:val="center"/>
          </w:tcPr>
          <w:p w:rsidR="00984753" w:rsidRPr="00F84901" w:rsidRDefault="00984753" w:rsidP="00354CB8">
            <w:pPr>
              <w:tabs>
                <w:tab w:val="left" w:pos="540"/>
                <w:tab w:val="left" w:pos="569"/>
              </w:tabs>
              <w:rPr>
                <w:b/>
                <w:bCs/>
                <w:sz w:val="20"/>
                <w:szCs w:val="20"/>
                <w:lang w:val="sr-Latn-ME"/>
              </w:rPr>
            </w:pPr>
            <w:r w:rsidRPr="00F84901">
              <w:rPr>
                <w:b/>
                <w:bCs/>
                <w:sz w:val="20"/>
                <w:szCs w:val="20"/>
                <w:lang w:val="sr-Latn-ME"/>
              </w:rPr>
              <w:t>Povremeno</w:t>
            </w:r>
          </w:p>
        </w:tc>
        <w:tc>
          <w:tcPr>
            <w:tcW w:w="1701" w:type="dxa"/>
            <w:vAlign w:val="center"/>
          </w:tcPr>
          <w:p w:rsidR="00984753" w:rsidRPr="00F84901" w:rsidRDefault="00984753" w:rsidP="00354CB8">
            <w:pPr>
              <w:tabs>
                <w:tab w:val="left" w:pos="540"/>
                <w:tab w:val="left" w:pos="569"/>
              </w:tabs>
              <w:rPr>
                <w:b/>
                <w:bCs/>
                <w:sz w:val="20"/>
                <w:szCs w:val="20"/>
                <w:lang w:val="sr-Latn-ME"/>
              </w:rPr>
            </w:pPr>
            <w:r w:rsidRPr="00F84901">
              <w:rPr>
                <w:b/>
                <w:bCs/>
                <w:sz w:val="20"/>
                <w:szCs w:val="20"/>
                <w:lang w:val="sr-Latn-ME"/>
              </w:rPr>
              <w:t>Rijetko</w:t>
            </w:r>
          </w:p>
        </w:tc>
        <w:tc>
          <w:tcPr>
            <w:tcW w:w="1134" w:type="dxa"/>
            <w:vAlign w:val="center"/>
          </w:tcPr>
          <w:p w:rsidR="00984753" w:rsidRPr="00F84901" w:rsidRDefault="00984753" w:rsidP="00354CB8">
            <w:pPr>
              <w:tabs>
                <w:tab w:val="left" w:pos="540"/>
                <w:tab w:val="left" w:pos="569"/>
              </w:tabs>
              <w:rPr>
                <w:b/>
                <w:bCs/>
                <w:sz w:val="20"/>
                <w:szCs w:val="20"/>
                <w:lang w:val="sr-Latn-ME"/>
              </w:rPr>
            </w:pPr>
            <w:r w:rsidRPr="00F84901">
              <w:rPr>
                <w:b/>
                <w:bCs/>
                <w:sz w:val="20"/>
                <w:szCs w:val="20"/>
                <w:lang w:val="sr-Latn-ME"/>
              </w:rPr>
              <w:t>Nepoznato</w:t>
            </w: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t>Infekcije i infestacije</w:t>
            </w:r>
          </w:p>
        </w:tc>
        <w:tc>
          <w:tcPr>
            <w:tcW w:w="1843" w:type="dxa"/>
            <w:vAlign w:val="center"/>
          </w:tcPr>
          <w:p w:rsidR="00984753" w:rsidRPr="00F84901" w:rsidRDefault="00984753" w:rsidP="00354CB8">
            <w:pPr>
              <w:tabs>
                <w:tab w:val="left" w:pos="540"/>
                <w:tab w:val="left" w:pos="569"/>
              </w:tabs>
              <w:rPr>
                <w:b/>
                <w:bCs/>
                <w:sz w:val="20"/>
                <w:szCs w:val="20"/>
                <w:lang w:val="sr-Latn-ME"/>
              </w:rPr>
            </w:pPr>
          </w:p>
        </w:tc>
        <w:tc>
          <w:tcPr>
            <w:tcW w:w="1417" w:type="dxa"/>
            <w:vAlign w:val="center"/>
          </w:tcPr>
          <w:p w:rsidR="00984753" w:rsidRDefault="00984753" w:rsidP="00354CB8">
            <w:pPr>
              <w:tabs>
                <w:tab w:val="left" w:pos="540"/>
                <w:tab w:val="left" w:pos="569"/>
              </w:tabs>
              <w:rPr>
                <w:sz w:val="20"/>
                <w:szCs w:val="20"/>
                <w:vertAlign w:val="superscript"/>
                <w:lang w:val="sr-Latn-ME"/>
              </w:rPr>
            </w:pPr>
            <w:r w:rsidRPr="00F84901">
              <w:rPr>
                <w:sz w:val="20"/>
                <w:szCs w:val="20"/>
                <w:lang w:val="sr-Latn-ME"/>
              </w:rPr>
              <w:t>Virusne infekcije</w:t>
            </w:r>
            <w:r w:rsidRPr="00F84901">
              <w:rPr>
                <w:sz w:val="20"/>
                <w:szCs w:val="20"/>
                <w:vertAlign w:val="superscript"/>
                <w:lang w:val="sr-Latn-ME"/>
              </w:rPr>
              <w:t>a</w:t>
            </w:r>
            <w:r w:rsidRPr="00F84901">
              <w:rPr>
                <w:sz w:val="20"/>
                <w:szCs w:val="20"/>
                <w:lang w:val="sr-Latn-ME"/>
              </w:rPr>
              <w:t xml:space="preserve"> Respiratorne infekcije</w:t>
            </w:r>
            <w:r w:rsidRPr="00F84901">
              <w:rPr>
                <w:sz w:val="20"/>
                <w:szCs w:val="20"/>
                <w:vertAlign w:val="superscript"/>
                <w:lang w:val="sr-Latn-ME"/>
              </w:rPr>
              <w:t>b,*</w:t>
            </w:r>
            <w:r w:rsidRPr="00F84901">
              <w:rPr>
                <w:sz w:val="20"/>
                <w:szCs w:val="20"/>
                <w:lang w:val="sr-Latn-ME"/>
              </w:rPr>
              <w:t xml:space="preserve"> Apsces</w:t>
            </w:r>
            <w:r w:rsidRPr="00F84901">
              <w:rPr>
                <w:sz w:val="20"/>
                <w:szCs w:val="20"/>
                <w:vertAlign w:val="superscript"/>
                <w:lang w:val="sr-Latn-ME"/>
              </w:rPr>
              <w:t>c,*</w:t>
            </w:r>
            <w:r w:rsidRPr="00F84901">
              <w:rPr>
                <w:sz w:val="20"/>
                <w:szCs w:val="20"/>
                <w:lang w:val="sr-Latn-ME"/>
              </w:rPr>
              <w:t xml:space="preserve"> Gljivične infekcije</w:t>
            </w:r>
            <w:r w:rsidRPr="00F84901">
              <w:rPr>
                <w:sz w:val="20"/>
                <w:szCs w:val="20"/>
                <w:vertAlign w:val="superscript"/>
                <w:lang w:val="sr-Latn-ME"/>
              </w:rPr>
              <w:t>d</w:t>
            </w:r>
            <w:r w:rsidRPr="00F84901">
              <w:rPr>
                <w:sz w:val="20"/>
                <w:szCs w:val="20"/>
                <w:lang w:val="sr-Latn-ME"/>
              </w:rPr>
              <w:t xml:space="preserve"> Infekcije urinarnog trakta </w:t>
            </w:r>
            <w:r w:rsidRPr="00F84901">
              <w:rPr>
                <w:sz w:val="20"/>
                <w:szCs w:val="20"/>
                <w:lang w:val="sr-Latn-ME"/>
              </w:rPr>
              <w:lastRenderedPageBreak/>
              <w:t>Infekcije kože</w:t>
            </w:r>
            <w:r w:rsidRPr="00F84901">
              <w:rPr>
                <w:sz w:val="20"/>
                <w:szCs w:val="20"/>
                <w:vertAlign w:val="superscript"/>
                <w:lang w:val="sr-Latn-ME"/>
              </w:rPr>
              <w:t>e</w:t>
            </w:r>
            <w:r w:rsidRPr="00F84901">
              <w:rPr>
                <w:sz w:val="20"/>
                <w:szCs w:val="20"/>
                <w:lang w:val="sr-Latn-ME"/>
              </w:rPr>
              <w:t xml:space="preserve"> Sepsa</w:t>
            </w:r>
            <w:r w:rsidRPr="00F84901">
              <w:rPr>
                <w:sz w:val="20"/>
                <w:szCs w:val="20"/>
                <w:vertAlign w:val="superscript"/>
                <w:lang w:val="sr-Latn-ME"/>
              </w:rPr>
              <w:t>f,*</w:t>
            </w:r>
          </w:p>
          <w:p w:rsidR="00984753" w:rsidRPr="00F84901" w:rsidRDefault="00984753" w:rsidP="00354CB8">
            <w:pPr>
              <w:tabs>
                <w:tab w:val="left" w:pos="540"/>
                <w:tab w:val="left" w:pos="569"/>
              </w:tabs>
              <w:rPr>
                <w:b/>
                <w:bCs/>
                <w:sz w:val="20"/>
                <w:szCs w:val="20"/>
                <w:lang w:val="sr-Latn-ME"/>
              </w:rPr>
            </w:pPr>
          </w:p>
        </w:tc>
        <w:tc>
          <w:tcPr>
            <w:tcW w:w="1843"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lastRenderedPageBreak/>
              <w:t>Nekrotizirajući fasciitis</w:t>
            </w:r>
            <w:r w:rsidRPr="00F84901">
              <w:rPr>
                <w:sz w:val="20"/>
                <w:szCs w:val="20"/>
                <w:vertAlign w:val="superscript"/>
                <w:lang w:val="sr-Latn-ME"/>
              </w:rPr>
              <w:t>*</w:t>
            </w:r>
            <w:r w:rsidRPr="00F84901">
              <w:rPr>
                <w:sz w:val="20"/>
                <w:szCs w:val="20"/>
                <w:lang w:val="sr-Latn-ME"/>
              </w:rPr>
              <w:t xml:space="preserve"> Bakterijske infekcije</w:t>
            </w:r>
            <w:r w:rsidRPr="00F84901">
              <w:rPr>
                <w:sz w:val="20"/>
                <w:szCs w:val="20"/>
                <w:vertAlign w:val="superscript"/>
                <w:lang w:val="sr-Latn-ME"/>
              </w:rPr>
              <w:t>g</w:t>
            </w:r>
          </w:p>
        </w:tc>
        <w:tc>
          <w:tcPr>
            <w:tcW w:w="1701" w:type="dxa"/>
            <w:vAlign w:val="center"/>
          </w:tcPr>
          <w:p w:rsidR="00984753" w:rsidRPr="00F84901" w:rsidRDefault="00984753" w:rsidP="00354CB8">
            <w:pPr>
              <w:tabs>
                <w:tab w:val="left" w:pos="540"/>
                <w:tab w:val="left" w:pos="569"/>
              </w:tabs>
              <w:rPr>
                <w:b/>
                <w:bCs/>
                <w:sz w:val="20"/>
                <w:szCs w:val="20"/>
                <w:lang w:val="sr-Latn-ME"/>
              </w:rPr>
            </w:pPr>
          </w:p>
        </w:tc>
        <w:tc>
          <w:tcPr>
            <w:tcW w:w="1134" w:type="dxa"/>
          </w:tcPr>
          <w:p w:rsidR="00984753" w:rsidRPr="00F84901" w:rsidRDefault="00984753" w:rsidP="00354CB8">
            <w:pPr>
              <w:tabs>
                <w:tab w:val="left" w:pos="540"/>
                <w:tab w:val="left" w:pos="569"/>
              </w:tabs>
              <w:rPr>
                <w:b/>
                <w:bCs/>
                <w:sz w:val="20"/>
                <w:szCs w:val="20"/>
                <w:lang w:val="sr-Latn-ME"/>
              </w:rPr>
            </w:pP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lastRenderedPageBreak/>
              <w:t>Poremećaji krvi i limfnog sistema</w:t>
            </w:r>
          </w:p>
        </w:tc>
        <w:tc>
          <w:tcPr>
            <w:tcW w:w="1843"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 xml:space="preserve">Neutropenija Trombocitopenija </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Anemija Leukopenija</w:t>
            </w:r>
          </w:p>
        </w:tc>
        <w:tc>
          <w:tcPr>
            <w:tcW w:w="1417"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Limfopenija</w:t>
            </w:r>
          </w:p>
        </w:tc>
        <w:tc>
          <w:tcPr>
            <w:tcW w:w="1843"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Pancitopenija</w:t>
            </w:r>
          </w:p>
        </w:tc>
        <w:tc>
          <w:tcPr>
            <w:tcW w:w="1701" w:type="dxa"/>
            <w:vAlign w:val="center"/>
          </w:tcPr>
          <w:p w:rsidR="00984753" w:rsidRPr="006A67F6" w:rsidRDefault="00984753" w:rsidP="00354CB8">
            <w:pPr>
              <w:tabs>
                <w:tab w:val="left" w:pos="540"/>
                <w:tab w:val="left" w:pos="569"/>
              </w:tabs>
              <w:rPr>
                <w:b/>
                <w:bCs/>
                <w:sz w:val="19"/>
                <w:szCs w:val="19"/>
                <w:lang w:val="sr-Latn-ME"/>
              </w:rPr>
            </w:pPr>
            <w:r w:rsidRPr="006A67F6">
              <w:rPr>
                <w:sz w:val="19"/>
                <w:szCs w:val="19"/>
                <w:lang w:val="sr-Latn-ME"/>
              </w:rPr>
              <w:t>Trombotička mikroangiopatija</w:t>
            </w:r>
            <w:r w:rsidRPr="006A67F6">
              <w:rPr>
                <w:sz w:val="19"/>
                <w:szCs w:val="19"/>
                <w:vertAlign w:val="superscript"/>
                <w:lang w:val="sr-Latn-ME"/>
              </w:rPr>
              <w:t>h,*</w:t>
            </w:r>
          </w:p>
        </w:tc>
        <w:tc>
          <w:tcPr>
            <w:tcW w:w="1134" w:type="dxa"/>
          </w:tcPr>
          <w:p w:rsidR="00984753" w:rsidRPr="00F84901" w:rsidRDefault="00984753" w:rsidP="00354CB8">
            <w:pPr>
              <w:tabs>
                <w:tab w:val="left" w:pos="540"/>
                <w:tab w:val="left" w:pos="569"/>
              </w:tabs>
              <w:rPr>
                <w:sz w:val="20"/>
                <w:szCs w:val="20"/>
                <w:lang w:val="sr-Latn-ME"/>
              </w:rPr>
            </w:pP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t>Poremećaji imunog sistema</w:t>
            </w:r>
          </w:p>
        </w:tc>
        <w:tc>
          <w:tcPr>
            <w:tcW w:w="1843" w:type="dxa"/>
            <w:vAlign w:val="center"/>
          </w:tcPr>
          <w:p w:rsidR="00984753" w:rsidRPr="00F84901" w:rsidRDefault="00984753" w:rsidP="00354CB8">
            <w:pPr>
              <w:tabs>
                <w:tab w:val="left" w:pos="540"/>
                <w:tab w:val="left" w:pos="569"/>
              </w:tabs>
              <w:rPr>
                <w:b/>
                <w:bCs/>
                <w:sz w:val="20"/>
                <w:szCs w:val="20"/>
                <w:lang w:val="sr-Latn-ME"/>
              </w:rPr>
            </w:pPr>
          </w:p>
        </w:tc>
        <w:tc>
          <w:tcPr>
            <w:tcW w:w="1417" w:type="dxa"/>
            <w:vAlign w:val="center"/>
          </w:tcPr>
          <w:p w:rsidR="00984753" w:rsidRPr="00F84901" w:rsidRDefault="00984753" w:rsidP="00354CB8">
            <w:pPr>
              <w:tabs>
                <w:tab w:val="left" w:pos="540"/>
                <w:tab w:val="left" w:pos="569"/>
              </w:tabs>
              <w:rPr>
                <w:b/>
                <w:bCs/>
                <w:sz w:val="20"/>
                <w:szCs w:val="20"/>
                <w:lang w:val="sr-Latn-ME"/>
              </w:rPr>
            </w:pPr>
          </w:p>
        </w:tc>
        <w:tc>
          <w:tcPr>
            <w:tcW w:w="1843"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Preosjetljivost</w:t>
            </w:r>
          </w:p>
        </w:tc>
        <w:tc>
          <w:tcPr>
            <w:tcW w:w="1701"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Angioedem</w:t>
            </w:r>
          </w:p>
        </w:tc>
        <w:tc>
          <w:tcPr>
            <w:tcW w:w="1134" w:type="dxa"/>
          </w:tcPr>
          <w:p w:rsidR="00984753" w:rsidRPr="00F84901" w:rsidRDefault="00984753" w:rsidP="00354CB8">
            <w:pPr>
              <w:tabs>
                <w:tab w:val="left" w:pos="540"/>
                <w:tab w:val="left" w:pos="569"/>
              </w:tabs>
              <w:rPr>
                <w:sz w:val="20"/>
                <w:szCs w:val="20"/>
                <w:lang w:val="sr-Latn-ME"/>
              </w:rPr>
            </w:pP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t>Endokrini poremećaji</w:t>
            </w:r>
          </w:p>
        </w:tc>
        <w:tc>
          <w:tcPr>
            <w:tcW w:w="1843"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Hipotireoidizam</w:t>
            </w:r>
          </w:p>
        </w:tc>
        <w:tc>
          <w:tcPr>
            <w:tcW w:w="1417" w:type="dxa"/>
            <w:vAlign w:val="center"/>
          </w:tcPr>
          <w:p w:rsidR="00984753" w:rsidRPr="00F84901" w:rsidRDefault="00984753" w:rsidP="00354CB8">
            <w:pPr>
              <w:tabs>
                <w:tab w:val="left" w:pos="540"/>
                <w:tab w:val="left" w:pos="569"/>
              </w:tabs>
              <w:rPr>
                <w:b/>
                <w:bCs/>
                <w:sz w:val="20"/>
                <w:szCs w:val="20"/>
                <w:lang w:val="sr-Latn-ME"/>
              </w:rPr>
            </w:pPr>
          </w:p>
        </w:tc>
        <w:tc>
          <w:tcPr>
            <w:tcW w:w="1843"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Hipertireoidizam</w:t>
            </w:r>
          </w:p>
        </w:tc>
        <w:tc>
          <w:tcPr>
            <w:tcW w:w="1701"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Tireoiditis</w:t>
            </w:r>
          </w:p>
        </w:tc>
        <w:tc>
          <w:tcPr>
            <w:tcW w:w="1134" w:type="dxa"/>
          </w:tcPr>
          <w:p w:rsidR="00984753" w:rsidRPr="00F84901" w:rsidRDefault="00984753" w:rsidP="00354CB8">
            <w:pPr>
              <w:tabs>
                <w:tab w:val="left" w:pos="540"/>
                <w:tab w:val="left" w:pos="569"/>
              </w:tabs>
              <w:rPr>
                <w:sz w:val="20"/>
                <w:szCs w:val="20"/>
                <w:lang w:val="sr-Latn-ME"/>
              </w:rPr>
            </w:pP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t>Poremećaji metaboli</w:t>
            </w:r>
            <w:r>
              <w:rPr>
                <w:b/>
                <w:sz w:val="20"/>
                <w:szCs w:val="20"/>
                <w:lang w:val="sr-Latn-ME"/>
              </w:rPr>
              <w:t>-</w:t>
            </w:r>
            <w:r w:rsidRPr="00F84901">
              <w:rPr>
                <w:b/>
                <w:sz w:val="20"/>
                <w:szCs w:val="20"/>
                <w:lang w:val="sr-Latn-ME"/>
              </w:rPr>
              <w:t>zma i ishrane</w:t>
            </w:r>
          </w:p>
        </w:tc>
        <w:tc>
          <w:tcPr>
            <w:tcW w:w="1843"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Smanjen apetit</w:t>
            </w:r>
            <w:r w:rsidRPr="00F84901">
              <w:rPr>
                <w:sz w:val="20"/>
                <w:szCs w:val="20"/>
                <w:vertAlign w:val="superscript"/>
                <w:lang w:val="sr-Latn-ME"/>
              </w:rPr>
              <w:t>i</w:t>
            </w:r>
          </w:p>
        </w:tc>
        <w:tc>
          <w:tcPr>
            <w:tcW w:w="1417"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Dehidratacija Hipoglikemija</w:t>
            </w:r>
          </w:p>
        </w:tc>
        <w:tc>
          <w:tcPr>
            <w:tcW w:w="1843" w:type="dxa"/>
            <w:vAlign w:val="center"/>
          </w:tcPr>
          <w:p w:rsidR="00984753" w:rsidRPr="00F84901" w:rsidRDefault="00984753" w:rsidP="00354CB8">
            <w:pPr>
              <w:tabs>
                <w:tab w:val="left" w:pos="540"/>
                <w:tab w:val="left" w:pos="569"/>
              </w:tabs>
              <w:rPr>
                <w:b/>
                <w:bCs/>
                <w:sz w:val="20"/>
                <w:szCs w:val="20"/>
                <w:lang w:val="sr-Latn-ME"/>
              </w:rPr>
            </w:pPr>
          </w:p>
        </w:tc>
        <w:tc>
          <w:tcPr>
            <w:tcW w:w="1701"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Sindrom lize tumora</w:t>
            </w:r>
            <w:r w:rsidRPr="00F84901">
              <w:rPr>
                <w:sz w:val="20"/>
                <w:szCs w:val="20"/>
                <w:vertAlign w:val="superscript"/>
                <w:lang w:val="sr-Latn-ME"/>
              </w:rPr>
              <w:t>*</w:t>
            </w:r>
          </w:p>
        </w:tc>
        <w:tc>
          <w:tcPr>
            <w:tcW w:w="1134" w:type="dxa"/>
          </w:tcPr>
          <w:p w:rsidR="00984753" w:rsidRPr="00F84901" w:rsidRDefault="00984753" w:rsidP="00354CB8">
            <w:pPr>
              <w:tabs>
                <w:tab w:val="left" w:pos="540"/>
                <w:tab w:val="left" w:pos="569"/>
              </w:tabs>
              <w:rPr>
                <w:sz w:val="20"/>
                <w:szCs w:val="20"/>
                <w:lang w:val="sr-Latn-ME"/>
              </w:rPr>
            </w:pP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t>Psihija</w:t>
            </w:r>
            <w:r>
              <w:rPr>
                <w:b/>
                <w:sz w:val="20"/>
                <w:szCs w:val="20"/>
                <w:lang w:val="sr-Latn-ME"/>
              </w:rPr>
              <w:t xml:space="preserve">- </w:t>
            </w:r>
            <w:r w:rsidRPr="00F84901">
              <w:rPr>
                <w:b/>
                <w:sz w:val="20"/>
                <w:szCs w:val="20"/>
                <w:lang w:val="sr-Latn-ME"/>
              </w:rPr>
              <w:t>trijski poremećaji</w:t>
            </w:r>
          </w:p>
        </w:tc>
        <w:tc>
          <w:tcPr>
            <w:tcW w:w="1843"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Nesanica</w:t>
            </w:r>
          </w:p>
        </w:tc>
        <w:tc>
          <w:tcPr>
            <w:tcW w:w="1417"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Depresija</w:t>
            </w:r>
          </w:p>
        </w:tc>
        <w:tc>
          <w:tcPr>
            <w:tcW w:w="1843" w:type="dxa"/>
            <w:vAlign w:val="center"/>
          </w:tcPr>
          <w:p w:rsidR="00984753" w:rsidRPr="00F84901" w:rsidRDefault="00984753" w:rsidP="00354CB8">
            <w:pPr>
              <w:tabs>
                <w:tab w:val="left" w:pos="540"/>
                <w:tab w:val="left" w:pos="569"/>
              </w:tabs>
              <w:rPr>
                <w:b/>
                <w:bCs/>
                <w:sz w:val="20"/>
                <w:szCs w:val="20"/>
                <w:lang w:val="sr-Latn-ME"/>
              </w:rPr>
            </w:pPr>
          </w:p>
        </w:tc>
        <w:tc>
          <w:tcPr>
            <w:tcW w:w="1701" w:type="dxa"/>
            <w:vAlign w:val="center"/>
          </w:tcPr>
          <w:p w:rsidR="00984753" w:rsidRPr="00F84901" w:rsidRDefault="00984753" w:rsidP="00354CB8">
            <w:pPr>
              <w:tabs>
                <w:tab w:val="left" w:pos="540"/>
                <w:tab w:val="left" w:pos="569"/>
              </w:tabs>
              <w:rPr>
                <w:b/>
                <w:bCs/>
                <w:sz w:val="20"/>
                <w:szCs w:val="20"/>
                <w:lang w:val="sr-Latn-ME"/>
              </w:rPr>
            </w:pPr>
          </w:p>
        </w:tc>
        <w:tc>
          <w:tcPr>
            <w:tcW w:w="1134" w:type="dxa"/>
          </w:tcPr>
          <w:p w:rsidR="00984753" w:rsidRPr="00F84901" w:rsidRDefault="00984753" w:rsidP="00354CB8">
            <w:pPr>
              <w:tabs>
                <w:tab w:val="left" w:pos="540"/>
                <w:tab w:val="left" w:pos="569"/>
              </w:tabs>
              <w:rPr>
                <w:b/>
                <w:bCs/>
                <w:sz w:val="20"/>
                <w:szCs w:val="20"/>
                <w:lang w:val="sr-Latn-ME"/>
              </w:rPr>
            </w:pP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t>Poremećaji nervnog sistema</w:t>
            </w:r>
          </w:p>
        </w:tc>
        <w:tc>
          <w:tcPr>
            <w:tcW w:w="1843"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Vrtoglavica Glavobolja Poremećaj čula ukusa</w:t>
            </w:r>
            <w:r w:rsidRPr="00F84901">
              <w:rPr>
                <w:sz w:val="20"/>
                <w:szCs w:val="20"/>
                <w:vertAlign w:val="superscript"/>
                <w:lang w:val="sr-Latn-ME"/>
              </w:rPr>
              <w:t>j</w:t>
            </w:r>
          </w:p>
        </w:tc>
        <w:tc>
          <w:tcPr>
            <w:tcW w:w="1417"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Periferna neuropatija Parestezija Hipoestezija Hiperestezija</w:t>
            </w:r>
          </w:p>
        </w:tc>
        <w:tc>
          <w:tcPr>
            <w:tcW w:w="1843"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Cerebralna hemoragija</w:t>
            </w:r>
            <w:r w:rsidRPr="00F84901">
              <w:rPr>
                <w:sz w:val="20"/>
                <w:szCs w:val="20"/>
                <w:vertAlign w:val="superscript"/>
                <w:lang w:val="sr-Latn-ME"/>
              </w:rPr>
              <w:t>*</w:t>
            </w:r>
          </w:p>
          <w:p w:rsidR="00984753" w:rsidRPr="00F84901" w:rsidRDefault="00984753" w:rsidP="00354CB8">
            <w:pPr>
              <w:tabs>
                <w:tab w:val="left" w:pos="540"/>
                <w:tab w:val="left" w:pos="569"/>
              </w:tabs>
              <w:rPr>
                <w:sz w:val="20"/>
                <w:szCs w:val="20"/>
                <w:lang w:val="sr-Latn-ME"/>
              </w:rPr>
            </w:pPr>
            <w:r w:rsidRPr="00F84901">
              <w:rPr>
                <w:sz w:val="20"/>
                <w:szCs w:val="20"/>
                <w:lang w:val="sr-Latn-ME"/>
              </w:rPr>
              <w:t>Cerebrovaskularni događaj</w:t>
            </w:r>
            <w:r w:rsidRPr="00F84901">
              <w:rPr>
                <w:sz w:val="20"/>
                <w:szCs w:val="20"/>
                <w:vertAlign w:val="superscript"/>
                <w:lang w:val="sr-Latn-ME"/>
              </w:rPr>
              <w:t>*</w:t>
            </w:r>
            <w:r w:rsidRPr="00F84901">
              <w:rPr>
                <w:sz w:val="20"/>
                <w:szCs w:val="20"/>
                <w:lang w:val="sr-Latn-ME"/>
              </w:rPr>
              <w:t xml:space="preserve"> </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Prolazni ishemijski napad</w:t>
            </w:r>
          </w:p>
        </w:tc>
        <w:tc>
          <w:tcPr>
            <w:tcW w:w="1701"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Sindrom reverzibilne posteriorne encefalopatije</w:t>
            </w:r>
            <w:r w:rsidRPr="00F84901">
              <w:rPr>
                <w:sz w:val="20"/>
                <w:szCs w:val="20"/>
                <w:vertAlign w:val="superscript"/>
                <w:lang w:val="sr-Latn-ME"/>
              </w:rPr>
              <w:t>*</w:t>
            </w:r>
          </w:p>
        </w:tc>
        <w:tc>
          <w:tcPr>
            <w:tcW w:w="1134" w:type="dxa"/>
          </w:tcPr>
          <w:p w:rsidR="00984753" w:rsidRPr="00F84901" w:rsidRDefault="00984753" w:rsidP="00354CB8">
            <w:pPr>
              <w:tabs>
                <w:tab w:val="left" w:pos="540"/>
                <w:tab w:val="left" w:pos="569"/>
              </w:tabs>
              <w:rPr>
                <w:sz w:val="20"/>
                <w:szCs w:val="20"/>
                <w:lang w:val="sr-Latn-ME"/>
              </w:rPr>
            </w:pP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t>Poremećaji oka</w:t>
            </w:r>
          </w:p>
        </w:tc>
        <w:tc>
          <w:tcPr>
            <w:tcW w:w="1843" w:type="dxa"/>
            <w:vAlign w:val="center"/>
          </w:tcPr>
          <w:p w:rsidR="00984753" w:rsidRPr="00F84901" w:rsidRDefault="00984753" w:rsidP="00354CB8">
            <w:pPr>
              <w:tabs>
                <w:tab w:val="left" w:pos="540"/>
                <w:tab w:val="left" w:pos="569"/>
              </w:tabs>
              <w:rPr>
                <w:b/>
                <w:bCs/>
                <w:sz w:val="20"/>
                <w:szCs w:val="20"/>
                <w:lang w:val="sr-Latn-ME"/>
              </w:rPr>
            </w:pPr>
          </w:p>
        </w:tc>
        <w:tc>
          <w:tcPr>
            <w:tcW w:w="1417"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Periorbitalni edem</w:t>
            </w:r>
          </w:p>
          <w:p w:rsidR="00984753" w:rsidRPr="00F84901" w:rsidRDefault="00984753" w:rsidP="00354CB8">
            <w:pPr>
              <w:tabs>
                <w:tab w:val="left" w:pos="540"/>
                <w:tab w:val="left" w:pos="569"/>
              </w:tabs>
              <w:rPr>
                <w:sz w:val="20"/>
                <w:szCs w:val="20"/>
                <w:lang w:val="sr-Latn-ME"/>
              </w:rPr>
            </w:pPr>
            <w:r w:rsidRPr="00F84901">
              <w:rPr>
                <w:sz w:val="20"/>
                <w:szCs w:val="20"/>
                <w:lang w:val="sr-Latn-ME"/>
              </w:rPr>
              <w:t xml:space="preserve">Edem očnih kapaka </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Povećana lakrimacija</w:t>
            </w:r>
          </w:p>
        </w:tc>
        <w:tc>
          <w:tcPr>
            <w:tcW w:w="1843" w:type="dxa"/>
            <w:vAlign w:val="center"/>
          </w:tcPr>
          <w:p w:rsidR="00984753" w:rsidRPr="00F84901" w:rsidRDefault="00984753" w:rsidP="00354CB8">
            <w:pPr>
              <w:tabs>
                <w:tab w:val="left" w:pos="540"/>
                <w:tab w:val="left" w:pos="569"/>
              </w:tabs>
              <w:rPr>
                <w:b/>
                <w:bCs/>
                <w:sz w:val="20"/>
                <w:szCs w:val="20"/>
                <w:lang w:val="sr-Latn-ME"/>
              </w:rPr>
            </w:pPr>
          </w:p>
        </w:tc>
        <w:tc>
          <w:tcPr>
            <w:tcW w:w="1701" w:type="dxa"/>
            <w:vAlign w:val="center"/>
          </w:tcPr>
          <w:p w:rsidR="00984753" w:rsidRPr="00F84901" w:rsidRDefault="00984753" w:rsidP="00354CB8">
            <w:pPr>
              <w:tabs>
                <w:tab w:val="left" w:pos="540"/>
                <w:tab w:val="left" w:pos="569"/>
              </w:tabs>
              <w:rPr>
                <w:b/>
                <w:bCs/>
                <w:sz w:val="20"/>
                <w:szCs w:val="20"/>
                <w:lang w:val="sr-Latn-ME"/>
              </w:rPr>
            </w:pPr>
          </w:p>
        </w:tc>
        <w:tc>
          <w:tcPr>
            <w:tcW w:w="1134" w:type="dxa"/>
          </w:tcPr>
          <w:p w:rsidR="00984753" w:rsidRPr="00F84901" w:rsidRDefault="00984753" w:rsidP="00354CB8">
            <w:pPr>
              <w:tabs>
                <w:tab w:val="left" w:pos="540"/>
                <w:tab w:val="left" w:pos="569"/>
              </w:tabs>
              <w:rPr>
                <w:b/>
                <w:bCs/>
                <w:sz w:val="20"/>
                <w:szCs w:val="20"/>
                <w:lang w:val="sr-Latn-ME"/>
              </w:rPr>
            </w:pP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t>Kardiološki poremećaji</w:t>
            </w:r>
          </w:p>
        </w:tc>
        <w:tc>
          <w:tcPr>
            <w:tcW w:w="1843" w:type="dxa"/>
            <w:vAlign w:val="center"/>
          </w:tcPr>
          <w:p w:rsidR="00984753" w:rsidRPr="00F84901" w:rsidRDefault="00984753" w:rsidP="00354CB8">
            <w:pPr>
              <w:tabs>
                <w:tab w:val="left" w:pos="540"/>
                <w:tab w:val="left" w:pos="569"/>
              </w:tabs>
              <w:rPr>
                <w:b/>
                <w:bCs/>
                <w:sz w:val="20"/>
                <w:szCs w:val="20"/>
                <w:lang w:val="sr-Latn-ME"/>
              </w:rPr>
            </w:pPr>
          </w:p>
        </w:tc>
        <w:tc>
          <w:tcPr>
            <w:tcW w:w="1417"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Ishemija miokarda</w:t>
            </w:r>
            <w:r w:rsidRPr="00F84901">
              <w:rPr>
                <w:sz w:val="20"/>
                <w:szCs w:val="20"/>
                <w:vertAlign w:val="superscript"/>
                <w:lang w:val="sr-Latn-ME"/>
              </w:rPr>
              <w:t>k,*</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Smanjena ejekciona frakcija</w:t>
            </w:r>
            <w:r w:rsidRPr="00F84901">
              <w:rPr>
                <w:sz w:val="20"/>
                <w:szCs w:val="20"/>
                <w:vertAlign w:val="superscript"/>
                <w:lang w:val="sr-Latn-ME"/>
              </w:rPr>
              <w:t>l</w:t>
            </w:r>
          </w:p>
        </w:tc>
        <w:tc>
          <w:tcPr>
            <w:tcW w:w="1843"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Kongestivna srčana insuficijencija Infarkt miokarda</w:t>
            </w:r>
            <w:r w:rsidRPr="00F84901">
              <w:rPr>
                <w:sz w:val="20"/>
                <w:szCs w:val="20"/>
                <w:vertAlign w:val="superscript"/>
                <w:lang w:val="sr-Latn-ME"/>
              </w:rPr>
              <w:t>m,*</w:t>
            </w:r>
          </w:p>
          <w:p w:rsidR="00984753" w:rsidRPr="00F84901" w:rsidRDefault="00984753" w:rsidP="00354CB8">
            <w:pPr>
              <w:tabs>
                <w:tab w:val="left" w:pos="540"/>
                <w:tab w:val="left" w:pos="569"/>
              </w:tabs>
              <w:rPr>
                <w:sz w:val="20"/>
                <w:szCs w:val="20"/>
                <w:lang w:val="sr-Latn-ME"/>
              </w:rPr>
            </w:pPr>
            <w:r w:rsidRPr="00F84901">
              <w:rPr>
                <w:sz w:val="20"/>
                <w:szCs w:val="20"/>
                <w:lang w:val="sr-Latn-ME"/>
              </w:rPr>
              <w:t>Srčana insuficijencija</w:t>
            </w:r>
            <w:r w:rsidRPr="00F84901">
              <w:rPr>
                <w:sz w:val="20"/>
                <w:szCs w:val="20"/>
                <w:vertAlign w:val="superscript"/>
                <w:lang w:val="sr-Latn-ME"/>
              </w:rPr>
              <w:t>*</w:t>
            </w:r>
          </w:p>
          <w:p w:rsidR="00984753" w:rsidRPr="00F84901" w:rsidRDefault="00984753" w:rsidP="00354CB8">
            <w:pPr>
              <w:tabs>
                <w:tab w:val="left" w:pos="540"/>
                <w:tab w:val="left" w:pos="569"/>
              </w:tabs>
              <w:rPr>
                <w:sz w:val="20"/>
                <w:szCs w:val="20"/>
                <w:lang w:val="sr-Latn-ME"/>
              </w:rPr>
            </w:pPr>
            <w:r w:rsidRPr="00F84901">
              <w:rPr>
                <w:sz w:val="20"/>
                <w:szCs w:val="20"/>
                <w:lang w:val="sr-Latn-ME"/>
              </w:rPr>
              <w:t>Kardiomiopatija</w:t>
            </w:r>
            <w:r w:rsidRPr="00F84901">
              <w:rPr>
                <w:sz w:val="20"/>
                <w:szCs w:val="20"/>
                <w:vertAlign w:val="superscript"/>
                <w:lang w:val="sr-Latn-ME"/>
              </w:rPr>
              <w:t>*</w:t>
            </w:r>
          </w:p>
          <w:p w:rsidR="00984753" w:rsidRPr="00F84901" w:rsidRDefault="00984753" w:rsidP="00354CB8">
            <w:pPr>
              <w:tabs>
                <w:tab w:val="left" w:pos="540"/>
                <w:tab w:val="left" w:pos="569"/>
              </w:tabs>
              <w:rPr>
                <w:sz w:val="20"/>
                <w:szCs w:val="20"/>
                <w:lang w:val="sr-Latn-ME"/>
              </w:rPr>
            </w:pPr>
            <w:r w:rsidRPr="00F84901">
              <w:rPr>
                <w:sz w:val="20"/>
                <w:szCs w:val="20"/>
                <w:lang w:val="sr-Latn-ME"/>
              </w:rPr>
              <w:t xml:space="preserve">Perikardijalna efuzija </w:t>
            </w:r>
          </w:p>
          <w:p w:rsidR="00984753" w:rsidRPr="00F84901" w:rsidRDefault="00984753" w:rsidP="00354CB8">
            <w:pPr>
              <w:tabs>
                <w:tab w:val="left" w:pos="540"/>
                <w:tab w:val="left" w:pos="569"/>
              </w:tabs>
              <w:rPr>
                <w:sz w:val="20"/>
                <w:szCs w:val="20"/>
                <w:lang w:val="sr-Latn-ME"/>
              </w:rPr>
            </w:pPr>
            <w:r w:rsidRPr="00F84901">
              <w:rPr>
                <w:sz w:val="20"/>
                <w:szCs w:val="20"/>
                <w:lang w:val="sr-Latn-ME"/>
              </w:rPr>
              <w:t xml:space="preserve">Produženje QT intervala na </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EKG-u</w:t>
            </w:r>
          </w:p>
        </w:tc>
        <w:tc>
          <w:tcPr>
            <w:tcW w:w="1701"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Insuficijencija lijeve komore</w:t>
            </w:r>
            <w:r w:rsidRPr="00F84901">
              <w:rPr>
                <w:sz w:val="20"/>
                <w:szCs w:val="20"/>
                <w:vertAlign w:val="superscript"/>
                <w:lang w:val="sr-Latn-ME"/>
              </w:rPr>
              <w:t>*</w:t>
            </w:r>
          </w:p>
          <w:p w:rsidR="00984753" w:rsidRPr="00F84901" w:rsidRDefault="00984753" w:rsidP="00354CB8">
            <w:pPr>
              <w:tabs>
                <w:tab w:val="left" w:pos="540"/>
                <w:tab w:val="left" w:pos="569"/>
              </w:tabs>
              <w:rPr>
                <w:b/>
                <w:bCs/>
                <w:i/>
                <w:sz w:val="20"/>
                <w:szCs w:val="20"/>
                <w:lang w:val="sr-Latn-ME"/>
              </w:rPr>
            </w:pPr>
            <w:r w:rsidRPr="00F84901">
              <w:rPr>
                <w:i/>
                <w:sz w:val="20"/>
                <w:szCs w:val="20"/>
                <w:lang w:val="sr-Latn-ME"/>
              </w:rPr>
              <w:t>Torsade de pointes</w:t>
            </w:r>
          </w:p>
        </w:tc>
        <w:tc>
          <w:tcPr>
            <w:tcW w:w="1134" w:type="dxa"/>
          </w:tcPr>
          <w:p w:rsidR="00984753" w:rsidRPr="00F84901" w:rsidRDefault="00984753" w:rsidP="00354CB8">
            <w:pPr>
              <w:tabs>
                <w:tab w:val="left" w:pos="540"/>
                <w:tab w:val="left" w:pos="569"/>
              </w:tabs>
              <w:rPr>
                <w:sz w:val="20"/>
                <w:szCs w:val="20"/>
                <w:lang w:val="sr-Latn-ME"/>
              </w:rPr>
            </w:pP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t>Vaskularni poremećaji</w:t>
            </w:r>
          </w:p>
        </w:tc>
        <w:tc>
          <w:tcPr>
            <w:tcW w:w="1843"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Hipertenzija</w:t>
            </w:r>
          </w:p>
        </w:tc>
        <w:tc>
          <w:tcPr>
            <w:tcW w:w="1417"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 xml:space="preserve">Tromboza dubokih vena </w:t>
            </w:r>
          </w:p>
          <w:p w:rsidR="00984753" w:rsidRPr="00F84901" w:rsidRDefault="00984753" w:rsidP="00354CB8">
            <w:pPr>
              <w:tabs>
                <w:tab w:val="left" w:pos="540"/>
                <w:tab w:val="left" w:pos="569"/>
              </w:tabs>
              <w:rPr>
                <w:b/>
                <w:bCs/>
                <w:sz w:val="20"/>
                <w:szCs w:val="20"/>
                <w:lang w:val="sr-Latn-ME"/>
              </w:rPr>
            </w:pPr>
            <w:r>
              <w:rPr>
                <w:sz w:val="20"/>
                <w:szCs w:val="20"/>
                <w:lang w:val="sr-Latn-ME"/>
              </w:rPr>
              <w:t>Naleti vrućine Naleti c</w:t>
            </w:r>
            <w:r w:rsidRPr="00F84901">
              <w:rPr>
                <w:sz w:val="20"/>
                <w:szCs w:val="20"/>
                <w:lang w:val="sr-Latn-ME"/>
              </w:rPr>
              <w:t>rvenil</w:t>
            </w:r>
            <w:r>
              <w:rPr>
                <w:sz w:val="20"/>
                <w:szCs w:val="20"/>
                <w:lang w:val="sr-Latn-ME"/>
              </w:rPr>
              <w:t>a</w:t>
            </w:r>
          </w:p>
        </w:tc>
        <w:tc>
          <w:tcPr>
            <w:tcW w:w="1843"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Hemoragija tumora</w:t>
            </w:r>
            <w:r w:rsidRPr="00F84901">
              <w:rPr>
                <w:sz w:val="20"/>
                <w:szCs w:val="20"/>
                <w:vertAlign w:val="superscript"/>
                <w:lang w:val="sr-Latn-ME"/>
              </w:rPr>
              <w:t>*</w:t>
            </w:r>
          </w:p>
        </w:tc>
        <w:tc>
          <w:tcPr>
            <w:tcW w:w="1701" w:type="dxa"/>
            <w:vAlign w:val="center"/>
          </w:tcPr>
          <w:p w:rsidR="00984753" w:rsidRPr="00F84901" w:rsidRDefault="00984753" w:rsidP="00354CB8">
            <w:pPr>
              <w:tabs>
                <w:tab w:val="left" w:pos="540"/>
                <w:tab w:val="left" w:pos="569"/>
              </w:tabs>
              <w:rPr>
                <w:bCs/>
                <w:sz w:val="20"/>
                <w:szCs w:val="20"/>
                <w:lang w:val="sr-Latn-ME"/>
              </w:rPr>
            </w:pPr>
          </w:p>
        </w:tc>
        <w:tc>
          <w:tcPr>
            <w:tcW w:w="1134" w:type="dxa"/>
          </w:tcPr>
          <w:p w:rsidR="00984753" w:rsidRPr="00F84901" w:rsidRDefault="00984753" w:rsidP="00354CB8">
            <w:pPr>
              <w:tabs>
                <w:tab w:val="left" w:pos="540"/>
                <w:tab w:val="left" w:pos="569"/>
              </w:tabs>
              <w:rPr>
                <w:bCs/>
                <w:sz w:val="20"/>
                <w:szCs w:val="20"/>
                <w:lang w:val="sr-Latn-ME"/>
              </w:rPr>
            </w:pPr>
            <w:r w:rsidRPr="00F84901">
              <w:rPr>
                <w:bCs/>
                <w:sz w:val="20"/>
                <w:szCs w:val="20"/>
                <w:lang w:val="sr-Latn-ME"/>
              </w:rPr>
              <w:t>Aneurizme i disekcije aorte</w:t>
            </w:r>
            <w:r w:rsidRPr="00F84901">
              <w:rPr>
                <w:bCs/>
                <w:sz w:val="20"/>
                <w:szCs w:val="20"/>
                <w:vertAlign w:val="superscript"/>
                <w:lang w:val="sr-Latn-ME"/>
              </w:rPr>
              <w:t>*</w:t>
            </w: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t>Respirato</w:t>
            </w:r>
            <w:r>
              <w:rPr>
                <w:b/>
                <w:sz w:val="20"/>
                <w:szCs w:val="20"/>
                <w:lang w:val="sr-Latn-ME"/>
              </w:rPr>
              <w:t>-</w:t>
            </w:r>
            <w:r w:rsidRPr="00F84901">
              <w:rPr>
                <w:b/>
                <w:sz w:val="20"/>
                <w:szCs w:val="20"/>
                <w:lang w:val="sr-Latn-ME"/>
              </w:rPr>
              <w:t>rni, torakalni i medija</w:t>
            </w:r>
            <w:r>
              <w:rPr>
                <w:b/>
                <w:sz w:val="20"/>
                <w:szCs w:val="20"/>
                <w:lang w:val="sr-Latn-ME"/>
              </w:rPr>
              <w:t>-</w:t>
            </w:r>
            <w:r w:rsidRPr="00F84901">
              <w:rPr>
                <w:b/>
                <w:sz w:val="20"/>
                <w:szCs w:val="20"/>
                <w:lang w:val="sr-Latn-ME"/>
              </w:rPr>
              <w:t>stinalni poremećaji</w:t>
            </w:r>
          </w:p>
        </w:tc>
        <w:tc>
          <w:tcPr>
            <w:tcW w:w="1843" w:type="dxa"/>
            <w:vAlign w:val="center"/>
          </w:tcPr>
          <w:p w:rsidR="00984753" w:rsidRDefault="00984753" w:rsidP="00354CB8">
            <w:pPr>
              <w:tabs>
                <w:tab w:val="left" w:pos="540"/>
                <w:tab w:val="left" w:pos="569"/>
              </w:tabs>
              <w:rPr>
                <w:sz w:val="20"/>
                <w:szCs w:val="20"/>
                <w:lang w:val="sr-Latn-ME"/>
              </w:rPr>
            </w:pPr>
            <w:r w:rsidRPr="00F84901">
              <w:rPr>
                <w:sz w:val="20"/>
                <w:szCs w:val="20"/>
                <w:lang w:val="sr-Latn-ME"/>
              </w:rPr>
              <w:t xml:space="preserve">Dispneja </w:t>
            </w:r>
          </w:p>
          <w:p w:rsidR="00984753" w:rsidRPr="00F84901" w:rsidRDefault="00984753" w:rsidP="00354CB8">
            <w:pPr>
              <w:tabs>
                <w:tab w:val="left" w:pos="540"/>
                <w:tab w:val="left" w:pos="569"/>
              </w:tabs>
              <w:rPr>
                <w:sz w:val="20"/>
                <w:szCs w:val="20"/>
                <w:lang w:val="sr-Latn-ME"/>
              </w:rPr>
            </w:pPr>
            <w:r w:rsidRPr="00F84901">
              <w:rPr>
                <w:sz w:val="20"/>
                <w:szCs w:val="20"/>
                <w:lang w:val="sr-Latn-ME"/>
              </w:rPr>
              <w:t xml:space="preserve">Epistaksa </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Kašalj</w:t>
            </w:r>
          </w:p>
        </w:tc>
        <w:tc>
          <w:tcPr>
            <w:tcW w:w="1417"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Plućna embolija</w:t>
            </w:r>
            <w:r w:rsidRPr="00F84901">
              <w:rPr>
                <w:sz w:val="20"/>
                <w:szCs w:val="20"/>
                <w:vertAlign w:val="superscript"/>
                <w:lang w:val="sr-Latn-ME"/>
              </w:rPr>
              <w:t>*</w:t>
            </w:r>
          </w:p>
          <w:p w:rsidR="00984753" w:rsidRPr="00F84901" w:rsidRDefault="00984753" w:rsidP="00354CB8">
            <w:pPr>
              <w:tabs>
                <w:tab w:val="left" w:pos="540"/>
                <w:tab w:val="left" w:pos="569"/>
              </w:tabs>
              <w:rPr>
                <w:sz w:val="20"/>
                <w:szCs w:val="20"/>
                <w:lang w:val="sr-Latn-ME"/>
              </w:rPr>
            </w:pPr>
            <w:r w:rsidRPr="00F84901">
              <w:rPr>
                <w:sz w:val="20"/>
                <w:szCs w:val="20"/>
                <w:lang w:val="sr-Latn-ME"/>
              </w:rPr>
              <w:t>Pleuralna efuzija</w:t>
            </w:r>
            <w:r w:rsidRPr="00F84901">
              <w:rPr>
                <w:sz w:val="20"/>
                <w:szCs w:val="20"/>
                <w:vertAlign w:val="superscript"/>
                <w:lang w:val="sr-Latn-ME"/>
              </w:rPr>
              <w:t>*</w:t>
            </w:r>
          </w:p>
          <w:p w:rsidR="00984753" w:rsidRPr="00F84901" w:rsidRDefault="00984753" w:rsidP="00354CB8">
            <w:pPr>
              <w:tabs>
                <w:tab w:val="left" w:pos="540"/>
                <w:tab w:val="left" w:pos="569"/>
              </w:tabs>
              <w:rPr>
                <w:sz w:val="20"/>
                <w:szCs w:val="20"/>
                <w:lang w:val="sr-Latn-ME"/>
              </w:rPr>
            </w:pPr>
            <w:r w:rsidRPr="00F84901">
              <w:rPr>
                <w:sz w:val="20"/>
                <w:szCs w:val="20"/>
                <w:lang w:val="sr-Latn-ME"/>
              </w:rPr>
              <w:t>Hemoptiza Dispneja u naporu Orofaringealni bol</w:t>
            </w:r>
            <w:r w:rsidRPr="00F84901">
              <w:rPr>
                <w:sz w:val="20"/>
                <w:szCs w:val="20"/>
                <w:vertAlign w:val="superscript"/>
                <w:lang w:val="sr-Latn-ME"/>
              </w:rPr>
              <w:t>n</w:t>
            </w:r>
          </w:p>
          <w:p w:rsidR="00984753" w:rsidRPr="00F84901" w:rsidRDefault="00984753" w:rsidP="00354CB8">
            <w:pPr>
              <w:tabs>
                <w:tab w:val="left" w:pos="540"/>
                <w:tab w:val="left" w:pos="569"/>
              </w:tabs>
              <w:rPr>
                <w:sz w:val="20"/>
                <w:szCs w:val="20"/>
                <w:lang w:val="sr-Latn-ME"/>
              </w:rPr>
            </w:pPr>
            <w:r w:rsidRPr="00F84901">
              <w:rPr>
                <w:sz w:val="20"/>
                <w:szCs w:val="20"/>
                <w:lang w:val="sr-Latn-ME"/>
              </w:rPr>
              <w:t>Nazalna kongestija</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Nazalna suvoća</w:t>
            </w:r>
          </w:p>
        </w:tc>
        <w:tc>
          <w:tcPr>
            <w:tcW w:w="1843"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Plućna</w:t>
            </w:r>
          </w:p>
          <w:p w:rsidR="00984753" w:rsidRPr="00F84901" w:rsidRDefault="00984753" w:rsidP="00354CB8">
            <w:pPr>
              <w:tabs>
                <w:tab w:val="left" w:pos="540"/>
                <w:tab w:val="left" w:pos="569"/>
              </w:tabs>
              <w:rPr>
                <w:sz w:val="20"/>
                <w:szCs w:val="20"/>
                <w:lang w:val="sr-Latn-ME"/>
              </w:rPr>
            </w:pPr>
            <w:r w:rsidRPr="00F84901">
              <w:rPr>
                <w:sz w:val="20"/>
                <w:szCs w:val="20"/>
                <w:lang w:val="sr-Latn-ME"/>
              </w:rPr>
              <w:t>hemoragija</w:t>
            </w:r>
            <w:r w:rsidRPr="00F84901">
              <w:rPr>
                <w:sz w:val="20"/>
                <w:szCs w:val="20"/>
                <w:vertAlign w:val="superscript"/>
                <w:lang w:val="sr-Latn-ME"/>
              </w:rPr>
              <w:t>*</w:t>
            </w:r>
          </w:p>
          <w:p w:rsidR="00984753" w:rsidRPr="00F84901" w:rsidRDefault="00984753" w:rsidP="00354CB8">
            <w:pPr>
              <w:tabs>
                <w:tab w:val="left" w:pos="540"/>
                <w:tab w:val="left" w:pos="569"/>
              </w:tabs>
              <w:rPr>
                <w:sz w:val="20"/>
                <w:szCs w:val="20"/>
                <w:lang w:val="sr-Latn-ME"/>
              </w:rPr>
            </w:pPr>
            <w:r w:rsidRPr="00F84901">
              <w:rPr>
                <w:sz w:val="20"/>
                <w:szCs w:val="20"/>
                <w:lang w:val="sr-Latn-ME"/>
              </w:rPr>
              <w:t>Respiratorna</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insuficijencija</w:t>
            </w:r>
            <w:r w:rsidRPr="00F84901">
              <w:rPr>
                <w:sz w:val="20"/>
                <w:szCs w:val="20"/>
                <w:vertAlign w:val="superscript"/>
                <w:lang w:val="sr-Latn-ME"/>
              </w:rPr>
              <w:t>*</w:t>
            </w:r>
          </w:p>
        </w:tc>
        <w:tc>
          <w:tcPr>
            <w:tcW w:w="1701" w:type="dxa"/>
            <w:vAlign w:val="center"/>
          </w:tcPr>
          <w:p w:rsidR="00984753" w:rsidRPr="00F84901" w:rsidRDefault="00984753" w:rsidP="00354CB8">
            <w:pPr>
              <w:tabs>
                <w:tab w:val="left" w:pos="540"/>
                <w:tab w:val="left" w:pos="569"/>
              </w:tabs>
              <w:rPr>
                <w:b/>
                <w:bCs/>
                <w:sz w:val="20"/>
                <w:szCs w:val="20"/>
                <w:lang w:val="sr-Latn-ME"/>
              </w:rPr>
            </w:pPr>
          </w:p>
        </w:tc>
        <w:tc>
          <w:tcPr>
            <w:tcW w:w="1134" w:type="dxa"/>
          </w:tcPr>
          <w:p w:rsidR="00984753" w:rsidRPr="00F84901" w:rsidRDefault="00984753" w:rsidP="00354CB8">
            <w:pPr>
              <w:tabs>
                <w:tab w:val="left" w:pos="540"/>
                <w:tab w:val="left" w:pos="569"/>
              </w:tabs>
              <w:rPr>
                <w:b/>
                <w:bCs/>
                <w:sz w:val="20"/>
                <w:szCs w:val="20"/>
                <w:lang w:val="sr-Latn-ME"/>
              </w:rPr>
            </w:pP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lastRenderedPageBreak/>
              <w:t>Gastro</w:t>
            </w:r>
            <w:r>
              <w:rPr>
                <w:b/>
                <w:sz w:val="20"/>
                <w:szCs w:val="20"/>
                <w:lang w:val="sr-Latn-ME"/>
              </w:rPr>
              <w:t>-</w:t>
            </w:r>
            <w:r w:rsidRPr="00F84901">
              <w:rPr>
                <w:b/>
                <w:sz w:val="20"/>
                <w:szCs w:val="20"/>
                <w:lang w:val="sr-Latn-ME"/>
              </w:rPr>
              <w:t>intestinalni poremećaji</w:t>
            </w:r>
          </w:p>
        </w:tc>
        <w:tc>
          <w:tcPr>
            <w:tcW w:w="1843"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Stomatitis</w:t>
            </w:r>
            <w:r w:rsidRPr="00F84901">
              <w:rPr>
                <w:sz w:val="20"/>
                <w:szCs w:val="20"/>
                <w:vertAlign w:val="superscript"/>
                <w:lang w:val="sr-Latn-ME"/>
              </w:rPr>
              <w:t>o</w:t>
            </w:r>
          </w:p>
          <w:p w:rsidR="00984753" w:rsidRPr="00F84901" w:rsidRDefault="00984753" w:rsidP="00354CB8">
            <w:pPr>
              <w:tabs>
                <w:tab w:val="left" w:pos="540"/>
                <w:tab w:val="left" w:pos="569"/>
              </w:tabs>
              <w:rPr>
                <w:sz w:val="20"/>
                <w:szCs w:val="20"/>
                <w:lang w:val="sr-Latn-ME"/>
              </w:rPr>
            </w:pPr>
            <w:r w:rsidRPr="00F84901">
              <w:rPr>
                <w:sz w:val="20"/>
                <w:szCs w:val="20"/>
                <w:lang w:val="sr-Latn-ME"/>
              </w:rPr>
              <w:t>Abdominalni bol</w:t>
            </w:r>
            <w:r w:rsidRPr="00F84901">
              <w:rPr>
                <w:sz w:val="20"/>
                <w:szCs w:val="20"/>
                <w:vertAlign w:val="superscript"/>
                <w:lang w:val="sr-Latn-ME"/>
              </w:rPr>
              <w:t>p</w:t>
            </w:r>
          </w:p>
          <w:p w:rsidR="00984753" w:rsidRPr="00F84901" w:rsidRDefault="00984753" w:rsidP="00354CB8">
            <w:pPr>
              <w:tabs>
                <w:tab w:val="left" w:pos="540"/>
                <w:tab w:val="left" w:pos="569"/>
              </w:tabs>
              <w:rPr>
                <w:sz w:val="20"/>
                <w:szCs w:val="20"/>
                <w:lang w:val="sr-Latn-ME"/>
              </w:rPr>
            </w:pPr>
            <w:r w:rsidRPr="00F84901">
              <w:rPr>
                <w:sz w:val="20"/>
                <w:szCs w:val="20"/>
                <w:lang w:val="sr-Latn-ME"/>
              </w:rPr>
              <w:t>Povraćanje</w:t>
            </w:r>
          </w:p>
          <w:p w:rsidR="00984753" w:rsidRPr="00F84901" w:rsidRDefault="00984753" w:rsidP="00354CB8">
            <w:pPr>
              <w:tabs>
                <w:tab w:val="left" w:pos="540"/>
                <w:tab w:val="left" w:pos="569"/>
              </w:tabs>
              <w:rPr>
                <w:sz w:val="20"/>
                <w:szCs w:val="20"/>
                <w:lang w:val="sr-Latn-ME"/>
              </w:rPr>
            </w:pPr>
            <w:r w:rsidRPr="00F84901">
              <w:rPr>
                <w:sz w:val="20"/>
                <w:szCs w:val="20"/>
                <w:lang w:val="sr-Latn-ME"/>
              </w:rPr>
              <w:t>Dijareja</w:t>
            </w:r>
          </w:p>
          <w:p w:rsidR="00984753" w:rsidRPr="00F84901" w:rsidRDefault="00984753" w:rsidP="00354CB8">
            <w:pPr>
              <w:tabs>
                <w:tab w:val="left" w:pos="540"/>
                <w:tab w:val="left" w:pos="569"/>
              </w:tabs>
              <w:rPr>
                <w:sz w:val="20"/>
                <w:szCs w:val="20"/>
                <w:lang w:val="sr-Latn-ME"/>
              </w:rPr>
            </w:pPr>
            <w:r w:rsidRPr="00F84901">
              <w:rPr>
                <w:sz w:val="20"/>
                <w:szCs w:val="20"/>
                <w:lang w:val="sr-Latn-ME"/>
              </w:rPr>
              <w:t>Dispepsija</w:t>
            </w:r>
          </w:p>
          <w:p w:rsidR="00984753" w:rsidRPr="00F84901" w:rsidRDefault="00984753" w:rsidP="00354CB8">
            <w:pPr>
              <w:tabs>
                <w:tab w:val="left" w:pos="540"/>
                <w:tab w:val="left" w:pos="569"/>
              </w:tabs>
              <w:rPr>
                <w:sz w:val="20"/>
                <w:szCs w:val="20"/>
                <w:lang w:val="sr-Latn-ME"/>
              </w:rPr>
            </w:pPr>
            <w:r w:rsidRPr="00F84901">
              <w:rPr>
                <w:sz w:val="20"/>
                <w:szCs w:val="20"/>
                <w:lang w:val="sr-Latn-ME"/>
              </w:rPr>
              <w:t>Mučnina</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Konstipacija</w:t>
            </w:r>
          </w:p>
        </w:tc>
        <w:tc>
          <w:tcPr>
            <w:tcW w:w="1417"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Gastro-ezofagealna</w:t>
            </w:r>
          </w:p>
          <w:p w:rsidR="00984753" w:rsidRPr="00F84901" w:rsidRDefault="00984753" w:rsidP="00354CB8">
            <w:pPr>
              <w:tabs>
                <w:tab w:val="left" w:pos="540"/>
                <w:tab w:val="left" w:pos="569"/>
              </w:tabs>
              <w:rPr>
                <w:sz w:val="20"/>
                <w:szCs w:val="20"/>
                <w:lang w:val="sr-Latn-ME"/>
              </w:rPr>
            </w:pPr>
            <w:r w:rsidRPr="00F84901">
              <w:rPr>
                <w:sz w:val="20"/>
                <w:szCs w:val="20"/>
                <w:lang w:val="sr-Latn-ME"/>
              </w:rPr>
              <w:t>refluksna bolest</w:t>
            </w:r>
          </w:p>
          <w:p w:rsidR="00984753" w:rsidRPr="00F84901" w:rsidRDefault="00984753" w:rsidP="00354CB8">
            <w:pPr>
              <w:tabs>
                <w:tab w:val="left" w:pos="540"/>
                <w:tab w:val="left" w:pos="569"/>
              </w:tabs>
              <w:rPr>
                <w:sz w:val="20"/>
                <w:szCs w:val="20"/>
                <w:lang w:val="sr-Latn-ME"/>
              </w:rPr>
            </w:pPr>
            <w:r w:rsidRPr="00F84901">
              <w:rPr>
                <w:sz w:val="20"/>
                <w:szCs w:val="20"/>
                <w:lang w:val="sr-Latn-ME"/>
              </w:rPr>
              <w:t>Disfagija</w:t>
            </w:r>
          </w:p>
          <w:p w:rsidR="00984753" w:rsidRPr="00F84901" w:rsidRDefault="00984753" w:rsidP="00354CB8">
            <w:pPr>
              <w:tabs>
                <w:tab w:val="left" w:pos="540"/>
                <w:tab w:val="left" w:pos="569"/>
              </w:tabs>
              <w:rPr>
                <w:sz w:val="20"/>
                <w:szCs w:val="20"/>
                <w:lang w:val="sr-Latn-ME"/>
              </w:rPr>
            </w:pPr>
            <w:r w:rsidRPr="00F84901">
              <w:rPr>
                <w:sz w:val="20"/>
                <w:szCs w:val="20"/>
                <w:lang w:val="sr-Latn-ME"/>
              </w:rPr>
              <w:t>Gastro</w:t>
            </w:r>
            <w:r>
              <w:rPr>
                <w:sz w:val="20"/>
                <w:szCs w:val="20"/>
                <w:lang w:val="sr-Latn-ME"/>
              </w:rPr>
              <w:t>-</w:t>
            </w:r>
            <w:r w:rsidRPr="00F84901">
              <w:rPr>
                <w:sz w:val="20"/>
                <w:szCs w:val="20"/>
                <w:lang w:val="sr-Latn-ME"/>
              </w:rPr>
              <w:t>intestinalna hemoragija</w:t>
            </w:r>
            <w:r w:rsidRPr="00F84901">
              <w:rPr>
                <w:sz w:val="20"/>
                <w:szCs w:val="20"/>
                <w:vertAlign w:val="superscript"/>
                <w:lang w:val="sr-Latn-ME"/>
              </w:rPr>
              <w:t>*</w:t>
            </w:r>
          </w:p>
          <w:p w:rsidR="00984753" w:rsidRPr="00F84901" w:rsidRDefault="00984753" w:rsidP="00354CB8">
            <w:pPr>
              <w:tabs>
                <w:tab w:val="left" w:pos="540"/>
                <w:tab w:val="left" w:pos="569"/>
              </w:tabs>
              <w:rPr>
                <w:sz w:val="20"/>
                <w:szCs w:val="20"/>
                <w:lang w:val="sr-Latn-ME"/>
              </w:rPr>
            </w:pPr>
            <w:r w:rsidRPr="00F84901">
              <w:rPr>
                <w:sz w:val="20"/>
                <w:szCs w:val="20"/>
                <w:lang w:val="sr-Latn-ME"/>
              </w:rPr>
              <w:t>Ezofagitis</w:t>
            </w:r>
            <w:r w:rsidRPr="00F84901">
              <w:rPr>
                <w:sz w:val="20"/>
                <w:szCs w:val="20"/>
                <w:vertAlign w:val="superscript"/>
                <w:lang w:val="sr-Latn-ME"/>
              </w:rPr>
              <w:t>*</w:t>
            </w:r>
          </w:p>
          <w:p w:rsidR="00984753" w:rsidRPr="00F84901" w:rsidRDefault="00984753" w:rsidP="00354CB8">
            <w:pPr>
              <w:tabs>
                <w:tab w:val="left" w:pos="540"/>
                <w:tab w:val="left" w:pos="569"/>
              </w:tabs>
              <w:rPr>
                <w:sz w:val="20"/>
                <w:szCs w:val="20"/>
                <w:lang w:val="sr-Latn-ME"/>
              </w:rPr>
            </w:pPr>
            <w:r w:rsidRPr="00F84901">
              <w:rPr>
                <w:sz w:val="20"/>
                <w:szCs w:val="20"/>
                <w:lang w:val="sr-Latn-ME"/>
              </w:rPr>
              <w:t>Distenzija abdomena</w:t>
            </w:r>
          </w:p>
          <w:p w:rsidR="00984753" w:rsidRPr="00F84901" w:rsidRDefault="00984753" w:rsidP="00354CB8">
            <w:pPr>
              <w:tabs>
                <w:tab w:val="left" w:pos="540"/>
                <w:tab w:val="left" w:pos="569"/>
              </w:tabs>
              <w:rPr>
                <w:sz w:val="20"/>
                <w:szCs w:val="20"/>
                <w:lang w:val="sr-Latn-ME"/>
              </w:rPr>
            </w:pPr>
            <w:r w:rsidRPr="00F84901">
              <w:rPr>
                <w:sz w:val="20"/>
                <w:szCs w:val="20"/>
                <w:lang w:val="sr-Latn-ME"/>
              </w:rPr>
              <w:t>Nelagoda u abdomenu</w:t>
            </w:r>
          </w:p>
          <w:p w:rsidR="00984753" w:rsidRPr="00F84901" w:rsidRDefault="00984753" w:rsidP="00354CB8">
            <w:pPr>
              <w:tabs>
                <w:tab w:val="left" w:pos="540"/>
                <w:tab w:val="left" w:pos="569"/>
              </w:tabs>
              <w:rPr>
                <w:sz w:val="20"/>
                <w:szCs w:val="20"/>
                <w:lang w:val="sr-Latn-ME"/>
              </w:rPr>
            </w:pPr>
            <w:r w:rsidRPr="00F84901">
              <w:rPr>
                <w:sz w:val="20"/>
                <w:szCs w:val="20"/>
                <w:lang w:val="sr-Latn-ME"/>
              </w:rPr>
              <w:t>Rektalna hemoragija</w:t>
            </w:r>
          </w:p>
          <w:p w:rsidR="00984753" w:rsidRPr="00F84901" w:rsidRDefault="00984753" w:rsidP="00354CB8">
            <w:pPr>
              <w:tabs>
                <w:tab w:val="left" w:pos="540"/>
                <w:tab w:val="left" w:pos="569"/>
              </w:tabs>
              <w:rPr>
                <w:sz w:val="20"/>
                <w:szCs w:val="20"/>
                <w:lang w:val="sr-Latn-ME"/>
              </w:rPr>
            </w:pPr>
            <w:r w:rsidRPr="00F84901">
              <w:rPr>
                <w:sz w:val="20"/>
                <w:szCs w:val="20"/>
                <w:lang w:val="sr-Latn-ME"/>
              </w:rPr>
              <w:t xml:space="preserve">Krvarenje iz desni </w:t>
            </w:r>
          </w:p>
          <w:p w:rsidR="00984753" w:rsidRPr="00F84901" w:rsidRDefault="00984753" w:rsidP="00354CB8">
            <w:pPr>
              <w:tabs>
                <w:tab w:val="left" w:pos="540"/>
                <w:tab w:val="left" w:pos="569"/>
              </w:tabs>
              <w:rPr>
                <w:sz w:val="20"/>
                <w:szCs w:val="20"/>
                <w:lang w:val="sr-Latn-ME"/>
              </w:rPr>
            </w:pPr>
            <w:r w:rsidRPr="00F84901">
              <w:rPr>
                <w:sz w:val="20"/>
                <w:szCs w:val="20"/>
                <w:lang w:val="sr-Latn-ME"/>
              </w:rPr>
              <w:t>Ulceracije u ustima</w:t>
            </w:r>
          </w:p>
          <w:p w:rsidR="00984753" w:rsidRPr="00F84901" w:rsidRDefault="00984753" w:rsidP="00354CB8">
            <w:pPr>
              <w:tabs>
                <w:tab w:val="left" w:pos="540"/>
                <w:tab w:val="left" w:pos="569"/>
              </w:tabs>
              <w:rPr>
                <w:sz w:val="20"/>
                <w:szCs w:val="20"/>
                <w:lang w:val="sr-Latn-ME"/>
              </w:rPr>
            </w:pPr>
            <w:r w:rsidRPr="00F84901">
              <w:rPr>
                <w:sz w:val="20"/>
                <w:szCs w:val="20"/>
                <w:lang w:val="sr-Latn-ME"/>
              </w:rPr>
              <w:t>Proktalgija</w:t>
            </w:r>
          </w:p>
          <w:p w:rsidR="00984753" w:rsidRPr="00F84901" w:rsidRDefault="00984753" w:rsidP="00354CB8">
            <w:pPr>
              <w:tabs>
                <w:tab w:val="left" w:pos="540"/>
                <w:tab w:val="left" w:pos="569"/>
              </w:tabs>
              <w:rPr>
                <w:sz w:val="20"/>
                <w:szCs w:val="20"/>
                <w:lang w:val="sr-Latn-ME"/>
              </w:rPr>
            </w:pPr>
            <w:r w:rsidRPr="00F84901">
              <w:rPr>
                <w:sz w:val="20"/>
                <w:szCs w:val="20"/>
                <w:lang w:val="sr-Latn-ME"/>
              </w:rPr>
              <w:t>Zapaljenje usana Hemoroidi</w:t>
            </w:r>
          </w:p>
          <w:p w:rsidR="00984753" w:rsidRPr="00F84901" w:rsidRDefault="00984753" w:rsidP="00354CB8">
            <w:pPr>
              <w:tabs>
                <w:tab w:val="left" w:pos="540"/>
                <w:tab w:val="left" w:pos="569"/>
              </w:tabs>
              <w:rPr>
                <w:sz w:val="20"/>
                <w:szCs w:val="20"/>
                <w:lang w:val="sr-Latn-ME"/>
              </w:rPr>
            </w:pPr>
            <w:r w:rsidRPr="00F84901">
              <w:rPr>
                <w:sz w:val="20"/>
                <w:szCs w:val="20"/>
                <w:lang w:val="sr-Latn-ME"/>
              </w:rPr>
              <w:t>Glosodinija</w:t>
            </w:r>
          </w:p>
          <w:p w:rsidR="00984753" w:rsidRPr="00F84901" w:rsidRDefault="00984753" w:rsidP="00354CB8">
            <w:pPr>
              <w:tabs>
                <w:tab w:val="left" w:pos="540"/>
                <w:tab w:val="left" w:pos="569"/>
              </w:tabs>
              <w:rPr>
                <w:sz w:val="20"/>
                <w:szCs w:val="20"/>
                <w:lang w:val="sr-Latn-ME"/>
              </w:rPr>
            </w:pPr>
            <w:r w:rsidRPr="00F84901">
              <w:rPr>
                <w:sz w:val="20"/>
                <w:szCs w:val="20"/>
                <w:lang w:val="sr-Latn-ME"/>
              </w:rPr>
              <w:t>Bol u ustima Suvoća usta</w:t>
            </w:r>
          </w:p>
          <w:p w:rsidR="00984753" w:rsidRPr="00F84901" w:rsidRDefault="00984753" w:rsidP="00354CB8">
            <w:pPr>
              <w:tabs>
                <w:tab w:val="left" w:pos="540"/>
                <w:tab w:val="left" w:pos="569"/>
              </w:tabs>
              <w:rPr>
                <w:sz w:val="20"/>
                <w:szCs w:val="20"/>
                <w:lang w:val="sr-Latn-ME"/>
              </w:rPr>
            </w:pPr>
            <w:r w:rsidRPr="00F84901">
              <w:rPr>
                <w:sz w:val="20"/>
                <w:szCs w:val="20"/>
                <w:lang w:val="sr-Latn-ME"/>
              </w:rPr>
              <w:t>Flatulencija</w:t>
            </w:r>
          </w:p>
          <w:p w:rsidR="00984753" w:rsidRPr="00F84901" w:rsidRDefault="00984753" w:rsidP="00354CB8">
            <w:pPr>
              <w:tabs>
                <w:tab w:val="left" w:pos="540"/>
                <w:tab w:val="left" w:pos="569"/>
              </w:tabs>
              <w:rPr>
                <w:sz w:val="20"/>
                <w:szCs w:val="20"/>
                <w:lang w:val="sr-Latn-ME"/>
              </w:rPr>
            </w:pPr>
            <w:r w:rsidRPr="00F84901">
              <w:rPr>
                <w:sz w:val="20"/>
                <w:szCs w:val="20"/>
                <w:lang w:val="sr-Latn-ME"/>
              </w:rPr>
              <w:t>Nelagodnost u ustima</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Podrigivanje</w:t>
            </w:r>
          </w:p>
        </w:tc>
        <w:tc>
          <w:tcPr>
            <w:tcW w:w="1843"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Gastrointestinalna perforacija</w:t>
            </w:r>
            <w:r w:rsidRPr="00F84901">
              <w:rPr>
                <w:sz w:val="20"/>
                <w:szCs w:val="20"/>
                <w:vertAlign w:val="superscript"/>
                <w:lang w:val="sr-Latn-ME"/>
              </w:rPr>
              <w:t>q,*</w:t>
            </w:r>
          </w:p>
          <w:p w:rsidR="00984753" w:rsidRPr="00F84901" w:rsidRDefault="00984753" w:rsidP="00354CB8">
            <w:pPr>
              <w:tabs>
                <w:tab w:val="left" w:pos="540"/>
                <w:tab w:val="left" w:pos="569"/>
              </w:tabs>
              <w:rPr>
                <w:sz w:val="20"/>
                <w:szCs w:val="20"/>
                <w:lang w:val="sr-Latn-ME"/>
              </w:rPr>
            </w:pPr>
            <w:r w:rsidRPr="00F84901">
              <w:rPr>
                <w:sz w:val="20"/>
                <w:szCs w:val="20"/>
                <w:lang w:val="sr-Latn-ME"/>
              </w:rPr>
              <w:t>Pankreatitis</w:t>
            </w:r>
          </w:p>
          <w:p w:rsidR="00984753" w:rsidRPr="00F84901" w:rsidRDefault="00984753" w:rsidP="00354CB8">
            <w:pPr>
              <w:tabs>
                <w:tab w:val="left" w:pos="540"/>
                <w:tab w:val="left" w:pos="569"/>
              </w:tabs>
              <w:rPr>
                <w:sz w:val="20"/>
                <w:szCs w:val="20"/>
                <w:lang w:val="sr-Latn-ME"/>
              </w:rPr>
            </w:pPr>
            <w:r w:rsidRPr="00F84901">
              <w:rPr>
                <w:sz w:val="20"/>
                <w:szCs w:val="20"/>
                <w:lang w:val="sr-Latn-ME"/>
              </w:rPr>
              <w:t>Analna fistula</w:t>
            </w:r>
          </w:p>
          <w:p w:rsidR="00984753" w:rsidRDefault="00984753" w:rsidP="00354CB8">
            <w:pPr>
              <w:tabs>
                <w:tab w:val="left" w:pos="540"/>
                <w:tab w:val="left" w:pos="569"/>
              </w:tabs>
              <w:rPr>
                <w:sz w:val="20"/>
                <w:szCs w:val="20"/>
                <w:vertAlign w:val="superscript"/>
                <w:lang w:val="sr-Latn-ME"/>
              </w:rPr>
            </w:pPr>
            <w:r w:rsidRPr="00F84901">
              <w:rPr>
                <w:sz w:val="20"/>
                <w:szCs w:val="20"/>
                <w:lang w:val="sr-Latn-ME"/>
              </w:rPr>
              <w:t>Kolitis</w:t>
            </w:r>
            <w:r w:rsidRPr="00F84901">
              <w:rPr>
                <w:sz w:val="20"/>
                <w:szCs w:val="20"/>
                <w:vertAlign w:val="superscript"/>
                <w:lang w:val="sr-Latn-ME"/>
              </w:rPr>
              <w:t>r</w:t>
            </w:r>
          </w:p>
          <w:p w:rsidR="00984753" w:rsidRDefault="00984753" w:rsidP="00354CB8">
            <w:pPr>
              <w:tabs>
                <w:tab w:val="left" w:pos="540"/>
                <w:tab w:val="left" w:pos="569"/>
              </w:tabs>
              <w:rPr>
                <w:sz w:val="20"/>
                <w:szCs w:val="20"/>
                <w:vertAlign w:val="superscript"/>
                <w:lang w:val="sr-Latn-ME"/>
              </w:rPr>
            </w:pPr>
            <w:r>
              <w:rPr>
                <w:sz w:val="20"/>
                <w:szCs w:val="20"/>
                <w:lang w:val="sr-Latn-ME"/>
              </w:rPr>
              <w:t>Ishemijski k</w:t>
            </w:r>
            <w:r w:rsidRPr="00F84901">
              <w:rPr>
                <w:sz w:val="20"/>
                <w:szCs w:val="20"/>
                <w:lang w:val="sr-Latn-ME"/>
              </w:rPr>
              <w:t>olitis</w:t>
            </w:r>
            <w:r w:rsidRPr="00F84901">
              <w:rPr>
                <w:sz w:val="20"/>
                <w:szCs w:val="20"/>
                <w:vertAlign w:val="superscript"/>
                <w:lang w:val="sr-Latn-ME"/>
              </w:rPr>
              <w:t>r</w:t>
            </w:r>
          </w:p>
          <w:p w:rsidR="00984753" w:rsidRDefault="00984753" w:rsidP="00354CB8">
            <w:pPr>
              <w:tabs>
                <w:tab w:val="left" w:pos="540"/>
                <w:tab w:val="left" w:pos="569"/>
              </w:tabs>
              <w:rPr>
                <w:sz w:val="20"/>
                <w:szCs w:val="20"/>
                <w:vertAlign w:val="superscript"/>
                <w:lang w:val="sr-Latn-ME"/>
              </w:rPr>
            </w:pPr>
          </w:p>
          <w:p w:rsidR="00984753" w:rsidRPr="00F84901" w:rsidRDefault="00984753" w:rsidP="00354CB8">
            <w:pPr>
              <w:tabs>
                <w:tab w:val="left" w:pos="540"/>
                <w:tab w:val="left" w:pos="569"/>
              </w:tabs>
              <w:rPr>
                <w:sz w:val="20"/>
                <w:szCs w:val="20"/>
                <w:lang w:val="sr-Latn-ME"/>
              </w:rPr>
            </w:pPr>
          </w:p>
        </w:tc>
        <w:tc>
          <w:tcPr>
            <w:tcW w:w="1701" w:type="dxa"/>
            <w:vAlign w:val="center"/>
          </w:tcPr>
          <w:p w:rsidR="00984753" w:rsidRPr="00F84901" w:rsidRDefault="00984753" w:rsidP="00354CB8">
            <w:pPr>
              <w:tabs>
                <w:tab w:val="left" w:pos="540"/>
                <w:tab w:val="left" w:pos="569"/>
              </w:tabs>
              <w:rPr>
                <w:b/>
                <w:bCs/>
                <w:sz w:val="20"/>
                <w:szCs w:val="20"/>
                <w:lang w:val="sr-Latn-ME"/>
              </w:rPr>
            </w:pPr>
          </w:p>
        </w:tc>
        <w:tc>
          <w:tcPr>
            <w:tcW w:w="1134" w:type="dxa"/>
          </w:tcPr>
          <w:p w:rsidR="00984753" w:rsidRPr="00F84901" w:rsidRDefault="00984753" w:rsidP="00354CB8">
            <w:pPr>
              <w:tabs>
                <w:tab w:val="left" w:pos="540"/>
                <w:tab w:val="left" w:pos="569"/>
              </w:tabs>
              <w:rPr>
                <w:b/>
                <w:bCs/>
                <w:sz w:val="20"/>
                <w:szCs w:val="20"/>
                <w:lang w:val="sr-Latn-ME"/>
              </w:rPr>
            </w:pP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t>Hepato</w:t>
            </w:r>
            <w:r>
              <w:rPr>
                <w:b/>
                <w:sz w:val="20"/>
                <w:szCs w:val="20"/>
                <w:lang w:val="sr-Latn-ME"/>
              </w:rPr>
              <w:t>-</w:t>
            </w:r>
            <w:r w:rsidRPr="00F84901">
              <w:rPr>
                <w:b/>
                <w:sz w:val="20"/>
                <w:szCs w:val="20"/>
                <w:lang w:val="sr-Latn-ME"/>
              </w:rPr>
              <w:t>bilijarni poremećaji</w:t>
            </w:r>
          </w:p>
        </w:tc>
        <w:tc>
          <w:tcPr>
            <w:tcW w:w="1843" w:type="dxa"/>
            <w:vAlign w:val="center"/>
          </w:tcPr>
          <w:p w:rsidR="00984753" w:rsidRPr="00F84901" w:rsidRDefault="00984753" w:rsidP="00354CB8">
            <w:pPr>
              <w:tabs>
                <w:tab w:val="left" w:pos="540"/>
                <w:tab w:val="left" w:pos="569"/>
              </w:tabs>
              <w:rPr>
                <w:b/>
                <w:bCs/>
                <w:sz w:val="20"/>
                <w:szCs w:val="20"/>
                <w:lang w:val="sr-Latn-ME"/>
              </w:rPr>
            </w:pPr>
          </w:p>
        </w:tc>
        <w:tc>
          <w:tcPr>
            <w:tcW w:w="1417" w:type="dxa"/>
            <w:vAlign w:val="center"/>
          </w:tcPr>
          <w:p w:rsidR="00984753" w:rsidRPr="00F84901" w:rsidRDefault="00984753" w:rsidP="00354CB8">
            <w:pPr>
              <w:tabs>
                <w:tab w:val="left" w:pos="540"/>
                <w:tab w:val="left" w:pos="569"/>
              </w:tabs>
              <w:rPr>
                <w:b/>
                <w:bCs/>
                <w:sz w:val="20"/>
                <w:szCs w:val="20"/>
                <w:lang w:val="sr-Latn-ME"/>
              </w:rPr>
            </w:pPr>
          </w:p>
        </w:tc>
        <w:tc>
          <w:tcPr>
            <w:tcW w:w="1843"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Insuficijencija jetre</w:t>
            </w:r>
            <w:r w:rsidRPr="00F84901">
              <w:rPr>
                <w:sz w:val="20"/>
                <w:szCs w:val="20"/>
                <w:vertAlign w:val="superscript"/>
                <w:lang w:val="sr-Latn-ME"/>
              </w:rPr>
              <w:t>*</w:t>
            </w:r>
          </w:p>
          <w:p w:rsidR="00984753" w:rsidRPr="00F84901" w:rsidRDefault="00984753" w:rsidP="00354CB8">
            <w:pPr>
              <w:tabs>
                <w:tab w:val="left" w:pos="540"/>
                <w:tab w:val="left" w:pos="569"/>
              </w:tabs>
              <w:rPr>
                <w:sz w:val="20"/>
                <w:szCs w:val="20"/>
                <w:lang w:val="sr-Latn-ME"/>
              </w:rPr>
            </w:pPr>
            <w:r w:rsidRPr="00F84901">
              <w:rPr>
                <w:sz w:val="20"/>
                <w:szCs w:val="20"/>
                <w:lang w:val="sr-Latn-ME"/>
              </w:rPr>
              <w:t>Holecistitis</w:t>
            </w:r>
            <w:r w:rsidRPr="00F84901">
              <w:rPr>
                <w:sz w:val="20"/>
                <w:szCs w:val="20"/>
                <w:vertAlign w:val="superscript"/>
                <w:lang w:val="sr-Latn-ME"/>
              </w:rPr>
              <w:t>r,*</w:t>
            </w:r>
          </w:p>
          <w:p w:rsidR="00984753" w:rsidRPr="00F84901" w:rsidRDefault="00984753" w:rsidP="00354CB8">
            <w:pPr>
              <w:tabs>
                <w:tab w:val="left" w:pos="540"/>
                <w:tab w:val="left" w:pos="569"/>
              </w:tabs>
              <w:rPr>
                <w:sz w:val="20"/>
                <w:szCs w:val="20"/>
                <w:lang w:val="sr-Latn-ME"/>
              </w:rPr>
            </w:pPr>
            <w:r w:rsidRPr="00F84901">
              <w:rPr>
                <w:sz w:val="20"/>
                <w:szCs w:val="20"/>
                <w:lang w:val="sr-Latn-ME"/>
              </w:rPr>
              <w:t>Poremećaj</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funkcije jetre</w:t>
            </w:r>
          </w:p>
        </w:tc>
        <w:tc>
          <w:tcPr>
            <w:tcW w:w="1701"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Hepatitis</w:t>
            </w:r>
          </w:p>
        </w:tc>
        <w:tc>
          <w:tcPr>
            <w:tcW w:w="1134" w:type="dxa"/>
          </w:tcPr>
          <w:p w:rsidR="00984753" w:rsidRPr="00F84901" w:rsidRDefault="00984753" w:rsidP="00354CB8">
            <w:pPr>
              <w:tabs>
                <w:tab w:val="left" w:pos="540"/>
                <w:tab w:val="left" w:pos="569"/>
              </w:tabs>
              <w:rPr>
                <w:sz w:val="20"/>
                <w:szCs w:val="20"/>
                <w:lang w:val="sr-Latn-ME"/>
              </w:rPr>
            </w:pP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t>Poremećaji kože i potkožnog tkiva</w:t>
            </w:r>
          </w:p>
        </w:tc>
        <w:tc>
          <w:tcPr>
            <w:tcW w:w="1843"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Promjena boje kože</w:t>
            </w:r>
            <w:r w:rsidRPr="00F84901">
              <w:rPr>
                <w:sz w:val="20"/>
                <w:szCs w:val="20"/>
                <w:vertAlign w:val="superscript"/>
                <w:lang w:val="sr-Latn-ME"/>
              </w:rPr>
              <w:t>s</w:t>
            </w:r>
          </w:p>
          <w:p w:rsidR="00984753" w:rsidRPr="00F84901" w:rsidRDefault="00984753" w:rsidP="00354CB8">
            <w:pPr>
              <w:tabs>
                <w:tab w:val="left" w:pos="540"/>
                <w:tab w:val="left" w:pos="569"/>
              </w:tabs>
              <w:rPr>
                <w:sz w:val="20"/>
                <w:szCs w:val="20"/>
                <w:lang w:val="sr-Latn-ME"/>
              </w:rPr>
            </w:pPr>
            <w:r w:rsidRPr="00F84901">
              <w:rPr>
                <w:sz w:val="20"/>
                <w:szCs w:val="20"/>
                <w:lang w:val="sr-Latn-ME"/>
              </w:rPr>
              <w:t>Sindrom palmarno-plantarne eritrodizestezije Osip</w:t>
            </w:r>
            <w:r w:rsidRPr="00F84901">
              <w:rPr>
                <w:sz w:val="20"/>
                <w:szCs w:val="20"/>
                <w:vertAlign w:val="superscript"/>
                <w:lang w:val="sr-Latn-ME"/>
              </w:rPr>
              <w:t>t</w:t>
            </w:r>
          </w:p>
          <w:p w:rsidR="00984753" w:rsidRPr="00F84901" w:rsidRDefault="00984753" w:rsidP="00354CB8">
            <w:pPr>
              <w:tabs>
                <w:tab w:val="left" w:pos="540"/>
                <w:tab w:val="left" w:pos="569"/>
              </w:tabs>
              <w:rPr>
                <w:sz w:val="20"/>
                <w:szCs w:val="20"/>
                <w:lang w:val="sr-Latn-ME"/>
              </w:rPr>
            </w:pPr>
            <w:r w:rsidRPr="00F84901">
              <w:rPr>
                <w:sz w:val="20"/>
                <w:szCs w:val="20"/>
                <w:lang w:val="sr-Latn-ME"/>
              </w:rPr>
              <w:t>Promjena boje</w:t>
            </w:r>
          </w:p>
          <w:p w:rsidR="00984753" w:rsidRPr="00F84901" w:rsidRDefault="00984753" w:rsidP="00354CB8">
            <w:pPr>
              <w:tabs>
                <w:tab w:val="left" w:pos="540"/>
                <w:tab w:val="left" w:pos="569"/>
              </w:tabs>
              <w:rPr>
                <w:sz w:val="20"/>
                <w:szCs w:val="20"/>
                <w:lang w:val="sr-Latn-ME"/>
              </w:rPr>
            </w:pPr>
            <w:r w:rsidRPr="00F84901">
              <w:rPr>
                <w:sz w:val="20"/>
                <w:szCs w:val="20"/>
                <w:lang w:val="sr-Latn-ME"/>
              </w:rPr>
              <w:t>kose</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Suvoća kože</w:t>
            </w:r>
          </w:p>
        </w:tc>
        <w:tc>
          <w:tcPr>
            <w:tcW w:w="1417"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 xml:space="preserve">Eksfolijacija kože </w:t>
            </w:r>
          </w:p>
          <w:p w:rsidR="00984753" w:rsidRPr="00F84901" w:rsidRDefault="00984753" w:rsidP="00354CB8">
            <w:pPr>
              <w:tabs>
                <w:tab w:val="left" w:pos="540"/>
                <w:tab w:val="left" w:pos="569"/>
              </w:tabs>
              <w:rPr>
                <w:sz w:val="20"/>
                <w:szCs w:val="20"/>
                <w:lang w:val="sr-Latn-ME"/>
              </w:rPr>
            </w:pPr>
            <w:r w:rsidRPr="00F84901">
              <w:rPr>
                <w:sz w:val="20"/>
                <w:szCs w:val="20"/>
                <w:lang w:val="sr-Latn-ME"/>
              </w:rPr>
              <w:t>Kožne reakcije</w:t>
            </w:r>
            <w:r w:rsidRPr="00F84901">
              <w:rPr>
                <w:sz w:val="20"/>
                <w:szCs w:val="20"/>
                <w:vertAlign w:val="superscript"/>
                <w:lang w:val="sr-Latn-ME"/>
              </w:rPr>
              <w:t>v</w:t>
            </w:r>
          </w:p>
          <w:p w:rsidR="00984753" w:rsidRPr="00F84901" w:rsidRDefault="00984753" w:rsidP="00354CB8">
            <w:pPr>
              <w:tabs>
                <w:tab w:val="left" w:pos="540"/>
                <w:tab w:val="left" w:pos="569"/>
              </w:tabs>
              <w:rPr>
                <w:sz w:val="20"/>
                <w:szCs w:val="20"/>
                <w:lang w:val="sr-Latn-ME"/>
              </w:rPr>
            </w:pPr>
            <w:r w:rsidRPr="00F84901">
              <w:rPr>
                <w:sz w:val="20"/>
                <w:szCs w:val="20"/>
                <w:lang w:val="sr-Latn-ME"/>
              </w:rPr>
              <w:t>Ekcem</w:t>
            </w:r>
          </w:p>
          <w:p w:rsidR="00984753" w:rsidRPr="00F84901" w:rsidRDefault="00984753" w:rsidP="00354CB8">
            <w:pPr>
              <w:tabs>
                <w:tab w:val="left" w:pos="540"/>
                <w:tab w:val="left" w:pos="569"/>
              </w:tabs>
              <w:rPr>
                <w:sz w:val="20"/>
                <w:szCs w:val="20"/>
                <w:lang w:val="sr-Latn-ME"/>
              </w:rPr>
            </w:pPr>
            <w:r>
              <w:rPr>
                <w:sz w:val="20"/>
                <w:szCs w:val="20"/>
                <w:lang w:val="sr-Latn-ME"/>
              </w:rPr>
              <w:t>Plih</w:t>
            </w:r>
            <w:r w:rsidRPr="00F84901">
              <w:rPr>
                <w:sz w:val="20"/>
                <w:szCs w:val="20"/>
                <w:lang w:val="sr-Latn-ME"/>
              </w:rPr>
              <w:t>ovi</w:t>
            </w:r>
          </w:p>
          <w:p w:rsidR="00984753" w:rsidRPr="00F84901" w:rsidRDefault="00984753" w:rsidP="00354CB8">
            <w:pPr>
              <w:tabs>
                <w:tab w:val="left" w:pos="540"/>
                <w:tab w:val="left" w:pos="569"/>
              </w:tabs>
              <w:rPr>
                <w:sz w:val="20"/>
                <w:szCs w:val="20"/>
                <w:lang w:val="sr-Latn-ME"/>
              </w:rPr>
            </w:pPr>
            <w:r w:rsidRPr="00F84901">
              <w:rPr>
                <w:sz w:val="20"/>
                <w:szCs w:val="20"/>
                <w:lang w:val="sr-Latn-ME"/>
              </w:rPr>
              <w:t>Eritem</w:t>
            </w:r>
          </w:p>
          <w:p w:rsidR="00984753" w:rsidRPr="00F84901" w:rsidRDefault="00984753" w:rsidP="00354CB8">
            <w:pPr>
              <w:tabs>
                <w:tab w:val="left" w:pos="540"/>
                <w:tab w:val="left" w:pos="569"/>
              </w:tabs>
              <w:rPr>
                <w:sz w:val="20"/>
                <w:szCs w:val="20"/>
                <w:lang w:val="sr-Latn-ME"/>
              </w:rPr>
            </w:pPr>
            <w:r w:rsidRPr="00F84901">
              <w:rPr>
                <w:sz w:val="20"/>
                <w:szCs w:val="20"/>
                <w:lang w:val="sr-Latn-ME"/>
              </w:rPr>
              <w:t>Alopecija</w:t>
            </w:r>
          </w:p>
          <w:p w:rsidR="00984753" w:rsidRPr="00F84901" w:rsidRDefault="00984753" w:rsidP="00354CB8">
            <w:pPr>
              <w:tabs>
                <w:tab w:val="left" w:pos="540"/>
                <w:tab w:val="left" w:pos="569"/>
              </w:tabs>
              <w:rPr>
                <w:sz w:val="20"/>
                <w:szCs w:val="20"/>
                <w:lang w:val="sr-Latn-ME"/>
              </w:rPr>
            </w:pPr>
            <w:r w:rsidRPr="00F84901">
              <w:rPr>
                <w:sz w:val="20"/>
                <w:szCs w:val="20"/>
                <w:lang w:val="sr-Latn-ME"/>
              </w:rPr>
              <w:t>Akne</w:t>
            </w:r>
          </w:p>
          <w:p w:rsidR="00984753" w:rsidRPr="00F84901" w:rsidRDefault="00984753" w:rsidP="00354CB8">
            <w:pPr>
              <w:tabs>
                <w:tab w:val="left" w:pos="540"/>
                <w:tab w:val="left" w:pos="569"/>
              </w:tabs>
              <w:rPr>
                <w:sz w:val="20"/>
                <w:szCs w:val="20"/>
                <w:lang w:val="sr-Latn-ME"/>
              </w:rPr>
            </w:pPr>
            <w:r>
              <w:rPr>
                <w:sz w:val="20"/>
                <w:szCs w:val="20"/>
                <w:lang w:val="sr-Latn-ME"/>
              </w:rPr>
              <w:t>Pruritus Hiperpigmen</w:t>
            </w:r>
            <w:r w:rsidRPr="00F84901">
              <w:rPr>
                <w:sz w:val="20"/>
                <w:szCs w:val="20"/>
                <w:lang w:val="sr-Latn-ME"/>
              </w:rPr>
              <w:t>t</w:t>
            </w:r>
            <w:r>
              <w:rPr>
                <w:sz w:val="20"/>
                <w:szCs w:val="20"/>
                <w:lang w:val="sr-Latn-ME"/>
              </w:rPr>
              <w:t>a</w:t>
            </w:r>
            <w:r w:rsidRPr="00F84901">
              <w:rPr>
                <w:sz w:val="20"/>
                <w:szCs w:val="20"/>
                <w:lang w:val="sr-Latn-ME"/>
              </w:rPr>
              <w:t>cija kože</w:t>
            </w:r>
          </w:p>
          <w:p w:rsidR="00984753" w:rsidRPr="00F84901" w:rsidRDefault="00984753" w:rsidP="00354CB8">
            <w:pPr>
              <w:tabs>
                <w:tab w:val="left" w:pos="540"/>
                <w:tab w:val="left" w:pos="569"/>
              </w:tabs>
              <w:rPr>
                <w:sz w:val="20"/>
                <w:szCs w:val="20"/>
                <w:lang w:val="sr-Latn-ME"/>
              </w:rPr>
            </w:pPr>
            <w:r w:rsidRPr="00F84901">
              <w:rPr>
                <w:sz w:val="20"/>
                <w:szCs w:val="20"/>
                <w:lang w:val="sr-Latn-ME"/>
              </w:rPr>
              <w:t>Kožne lezije</w:t>
            </w:r>
          </w:p>
          <w:p w:rsidR="00984753" w:rsidRPr="00F84901" w:rsidRDefault="00984753" w:rsidP="00354CB8">
            <w:pPr>
              <w:tabs>
                <w:tab w:val="left" w:pos="540"/>
                <w:tab w:val="left" w:pos="569"/>
              </w:tabs>
              <w:rPr>
                <w:sz w:val="20"/>
                <w:szCs w:val="20"/>
                <w:lang w:val="sr-Latn-ME"/>
              </w:rPr>
            </w:pPr>
            <w:r w:rsidRPr="00F84901">
              <w:rPr>
                <w:sz w:val="20"/>
                <w:szCs w:val="20"/>
                <w:lang w:val="sr-Latn-ME"/>
              </w:rPr>
              <w:t>Hiperkeratoze Dermatitis</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Oboljenja nokt</w:t>
            </w:r>
            <w:r>
              <w:rPr>
                <w:sz w:val="20"/>
                <w:szCs w:val="20"/>
                <w:lang w:val="sr-Latn-ME"/>
              </w:rPr>
              <w:t>iju</w:t>
            </w:r>
            <w:r w:rsidRPr="00F84901">
              <w:rPr>
                <w:sz w:val="20"/>
                <w:szCs w:val="20"/>
                <w:vertAlign w:val="superscript"/>
                <w:lang w:val="sr-Latn-ME"/>
              </w:rPr>
              <w:t>w</w:t>
            </w:r>
          </w:p>
        </w:tc>
        <w:tc>
          <w:tcPr>
            <w:tcW w:w="1843" w:type="dxa"/>
            <w:vAlign w:val="center"/>
          </w:tcPr>
          <w:p w:rsidR="00984753" w:rsidRPr="00F84901" w:rsidRDefault="00984753" w:rsidP="00354CB8">
            <w:pPr>
              <w:tabs>
                <w:tab w:val="left" w:pos="540"/>
                <w:tab w:val="left" w:pos="569"/>
              </w:tabs>
              <w:rPr>
                <w:b/>
                <w:bCs/>
                <w:sz w:val="20"/>
                <w:szCs w:val="20"/>
                <w:lang w:val="sr-Latn-ME"/>
              </w:rPr>
            </w:pPr>
          </w:p>
        </w:tc>
        <w:tc>
          <w:tcPr>
            <w:tcW w:w="1701"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Multiformni eritem*</w:t>
            </w:r>
          </w:p>
          <w:p w:rsidR="00984753" w:rsidRPr="00B87089" w:rsidRDefault="00984753" w:rsidP="00354CB8">
            <w:pPr>
              <w:tabs>
                <w:tab w:val="left" w:pos="540"/>
                <w:tab w:val="left" w:pos="569"/>
              </w:tabs>
              <w:rPr>
                <w:i/>
                <w:sz w:val="20"/>
                <w:szCs w:val="20"/>
                <w:lang w:val="sr-Latn-ME"/>
              </w:rPr>
            </w:pPr>
            <w:r w:rsidRPr="00B87089">
              <w:rPr>
                <w:i/>
                <w:sz w:val="20"/>
                <w:szCs w:val="20"/>
                <w:lang w:val="sr-Latn-ME"/>
              </w:rPr>
              <w:t>Stevens-</w:t>
            </w:r>
          </w:p>
          <w:p w:rsidR="00984753" w:rsidRPr="00F84901" w:rsidRDefault="00984753" w:rsidP="00354CB8">
            <w:pPr>
              <w:tabs>
                <w:tab w:val="left" w:pos="540"/>
                <w:tab w:val="left" w:pos="569"/>
              </w:tabs>
              <w:rPr>
                <w:sz w:val="20"/>
                <w:szCs w:val="20"/>
                <w:lang w:val="sr-Latn-ME"/>
              </w:rPr>
            </w:pPr>
            <w:r w:rsidRPr="00B87089">
              <w:rPr>
                <w:i/>
                <w:sz w:val="20"/>
                <w:szCs w:val="20"/>
                <w:lang w:val="sr-Latn-ME"/>
              </w:rPr>
              <w:t>Johnson</w:t>
            </w:r>
            <w:r w:rsidRPr="00F84901">
              <w:rPr>
                <w:sz w:val="20"/>
                <w:szCs w:val="20"/>
                <w:lang w:val="sr-Latn-ME"/>
              </w:rPr>
              <w:t>-ov sindrom* Gangrenozna piodermija Toksična</w:t>
            </w:r>
          </w:p>
          <w:p w:rsidR="00984753" w:rsidRPr="00F84901" w:rsidRDefault="00984753" w:rsidP="00354CB8">
            <w:pPr>
              <w:tabs>
                <w:tab w:val="left" w:pos="540"/>
                <w:tab w:val="left" w:pos="569"/>
              </w:tabs>
              <w:rPr>
                <w:sz w:val="20"/>
                <w:szCs w:val="20"/>
                <w:lang w:val="sr-Latn-ME"/>
              </w:rPr>
            </w:pPr>
            <w:r w:rsidRPr="00F84901">
              <w:rPr>
                <w:sz w:val="20"/>
                <w:szCs w:val="20"/>
                <w:lang w:val="sr-Latn-ME"/>
              </w:rPr>
              <w:t>epidermalna</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nekroliza</w:t>
            </w:r>
            <w:r w:rsidRPr="00F84901">
              <w:rPr>
                <w:sz w:val="20"/>
                <w:szCs w:val="20"/>
                <w:vertAlign w:val="superscript"/>
                <w:lang w:val="sr-Latn-ME"/>
              </w:rPr>
              <w:t>*</w:t>
            </w:r>
          </w:p>
        </w:tc>
        <w:tc>
          <w:tcPr>
            <w:tcW w:w="1134" w:type="dxa"/>
          </w:tcPr>
          <w:p w:rsidR="00984753" w:rsidRPr="00F84901" w:rsidRDefault="00984753" w:rsidP="00354CB8">
            <w:pPr>
              <w:tabs>
                <w:tab w:val="left" w:pos="540"/>
                <w:tab w:val="left" w:pos="569"/>
              </w:tabs>
              <w:rPr>
                <w:sz w:val="20"/>
                <w:szCs w:val="20"/>
                <w:lang w:val="sr-Latn-ME"/>
              </w:rPr>
            </w:pP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t>Poremećaji mišićno-koštanog sistema i vezivnog tkiva</w:t>
            </w:r>
          </w:p>
        </w:tc>
        <w:tc>
          <w:tcPr>
            <w:tcW w:w="1843"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Bol u</w:t>
            </w:r>
          </w:p>
          <w:p w:rsidR="00984753" w:rsidRPr="00F84901" w:rsidRDefault="00984753" w:rsidP="00354CB8">
            <w:pPr>
              <w:tabs>
                <w:tab w:val="left" w:pos="540"/>
                <w:tab w:val="left" w:pos="569"/>
              </w:tabs>
              <w:rPr>
                <w:sz w:val="20"/>
                <w:szCs w:val="20"/>
                <w:lang w:val="sr-Latn-ME"/>
              </w:rPr>
            </w:pPr>
            <w:r w:rsidRPr="00F84901">
              <w:rPr>
                <w:sz w:val="20"/>
                <w:szCs w:val="20"/>
                <w:lang w:val="sr-Latn-ME"/>
              </w:rPr>
              <w:t>ekstremitetima</w:t>
            </w:r>
          </w:p>
          <w:p w:rsidR="00984753" w:rsidRPr="00F84901" w:rsidRDefault="00984753" w:rsidP="00354CB8">
            <w:pPr>
              <w:tabs>
                <w:tab w:val="left" w:pos="540"/>
                <w:tab w:val="left" w:pos="569"/>
              </w:tabs>
              <w:rPr>
                <w:sz w:val="20"/>
                <w:szCs w:val="20"/>
                <w:lang w:val="sr-Latn-ME"/>
              </w:rPr>
            </w:pPr>
            <w:r w:rsidRPr="00F84901">
              <w:rPr>
                <w:sz w:val="20"/>
                <w:szCs w:val="20"/>
                <w:lang w:val="sr-Latn-ME"/>
              </w:rPr>
              <w:t>Artralgija</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Bol u leđima</w:t>
            </w:r>
          </w:p>
        </w:tc>
        <w:tc>
          <w:tcPr>
            <w:tcW w:w="1417"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Bol u mišićima i kostima</w:t>
            </w:r>
          </w:p>
          <w:p w:rsidR="00984753" w:rsidRPr="00F84901" w:rsidRDefault="00984753" w:rsidP="00354CB8">
            <w:pPr>
              <w:tabs>
                <w:tab w:val="left" w:pos="540"/>
                <w:tab w:val="left" w:pos="569"/>
              </w:tabs>
              <w:rPr>
                <w:sz w:val="20"/>
                <w:szCs w:val="20"/>
                <w:lang w:val="sr-Latn-ME"/>
              </w:rPr>
            </w:pPr>
            <w:r w:rsidRPr="00F84901">
              <w:rPr>
                <w:sz w:val="20"/>
                <w:szCs w:val="20"/>
                <w:lang w:val="sr-Latn-ME"/>
              </w:rPr>
              <w:t>Spazam mišića</w:t>
            </w:r>
          </w:p>
          <w:p w:rsidR="00984753" w:rsidRPr="00F84901" w:rsidRDefault="00984753" w:rsidP="00354CB8">
            <w:pPr>
              <w:tabs>
                <w:tab w:val="left" w:pos="540"/>
                <w:tab w:val="left" w:pos="569"/>
              </w:tabs>
              <w:rPr>
                <w:sz w:val="20"/>
                <w:szCs w:val="20"/>
                <w:lang w:val="sr-Latn-ME"/>
              </w:rPr>
            </w:pPr>
            <w:r w:rsidRPr="00F84901">
              <w:rPr>
                <w:sz w:val="20"/>
                <w:szCs w:val="20"/>
                <w:lang w:val="sr-Latn-ME"/>
              </w:rPr>
              <w:t>Mialgija</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Slabost mišića</w:t>
            </w:r>
          </w:p>
        </w:tc>
        <w:tc>
          <w:tcPr>
            <w:tcW w:w="1843"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Osteonekroza vilice</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Fistula</w:t>
            </w:r>
            <w:r w:rsidRPr="00F84901">
              <w:rPr>
                <w:sz w:val="20"/>
                <w:szCs w:val="20"/>
                <w:vertAlign w:val="superscript"/>
                <w:lang w:val="sr-Latn-ME"/>
              </w:rPr>
              <w:t>*</w:t>
            </w:r>
          </w:p>
        </w:tc>
        <w:tc>
          <w:tcPr>
            <w:tcW w:w="1701"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Rabdomioliza</w:t>
            </w:r>
            <w:r w:rsidRPr="00F84901">
              <w:rPr>
                <w:sz w:val="20"/>
                <w:szCs w:val="20"/>
                <w:vertAlign w:val="superscript"/>
                <w:lang w:val="sr-Latn-ME"/>
              </w:rPr>
              <w:t>*</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Miopatija</w:t>
            </w:r>
          </w:p>
        </w:tc>
        <w:tc>
          <w:tcPr>
            <w:tcW w:w="1134" w:type="dxa"/>
          </w:tcPr>
          <w:p w:rsidR="00984753" w:rsidRPr="00F84901" w:rsidRDefault="00984753" w:rsidP="00354CB8">
            <w:pPr>
              <w:tabs>
                <w:tab w:val="left" w:pos="540"/>
                <w:tab w:val="left" w:pos="569"/>
              </w:tabs>
              <w:rPr>
                <w:sz w:val="20"/>
                <w:szCs w:val="20"/>
                <w:lang w:val="sr-Latn-ME"/>
              </w:rPr>
            </w:pP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t xml:space="preserve">Poremećaji bubrega i </w:t>
            </w:r>
            <w:r w:rsidRPr="00F84901">
              <w:rPr>
                <w:b/>
                <w:sz w:val="20"/>
                <w:szCs w:val="20"/>
                <w:lang w:val="sr-Latn-ME"/>
              </w:rPr>
              <w:lastRenderedPageBreak/>
              <w:t>urinarnog sistema</w:t>
            </w:r>
          </w:p>
        </w:tc>
        <w:tc>
          <w:tcPr>
            <w:tcW w:w="1843" w:type="dxa"/>
            <w:vAlign w:val="center"/>
          </w:tcPr>
          <w:p w:rsidR="00984753" w:rsidRPr="00F84901" w:rsidRDefault="00984753" w:rsidP="00354CB8">
            <w:pPr>
              <w:tabs>
                <w:tab w:val="left" w:pos="540"/>
                <w:tab w:val="left" w:pos="569"/>
              </w:tabs>
              <w:rPr>
                <w:b/>
                <w:bCs/>
                <w:sz w:val="20"/>
                <w:szCs w:val="20"/>
                <w:lang w:val="sr-Latn-ME"/>
              </w:rPr>
            </w:pPr>
          </w:p>
        </w:tc>
        <w:tc>
          <w:tcPr>
            <w:tcW w:w="1417"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Bubrežna insuficijencija</w:t>
            </w:r>
            <w:r w:rsidRPr="00F84901">
              <w:rPr>
                <w:sz w:val="20"/>
                <w:szCs w:val="20"/>
                <w:vertAlign w:val="superscript"/>
                <w:lang w:val="sr-Latn-ME"/>
              </w:rPr>
              <w:t>*</w:t>
            </w:r>
          </w:p>
          <w:p w:rsidR="00984753" w:rsidRPr="00F84901" w:rsidRDefault="00984753" w:rsidP="00354CB8">
            <w:pPr>
              <w:tabs>
                <w:tab w:val="left" w:pos="540"/>
                <w:tab w:val="left" w:pos="569"/>
              </w:tabs>
              <w:rPr>
                <w:sz w:val="20"/>
                <w:szCs w:val="20"/>
                <w:lang w:val="sr-Latn-ME"/>
              </w:rPr>
            </w:pPr>
            <w:r w:rsidRPr="00F84901">
              <w:rPr>
                <w:sz w:val="20"/>
                <w:szCs w:val="20"/>
                <w:lang w:val="sr-Latn-ME"/>
              </w:rPr>
              <w:lastRenderedPageBreak/>
              <w:t>Akutna bubrežna insuficijencija</w:t>
            </w:r>
            <w:r w:rsidRPr="00F84901">
              <w:rPr>
                <w:sz w:val="20"/>
                <w:szCs w:val="20"/>
                <w:vertAlign w:val="superscript"/>
                <w:lang w:val="sr-Latn-ME"/>
              </w:rPr>
              <w:t>*</w:t>
            </w:r>
          </w:p>
          <w:p w:rsidR="00984753" w:rsidRPr="00F84901" w:rsidRDefault="00984753" w:rsidP="00354CB8">
            <w:pPr>
              <w:tabs>
                <w:tab w:val="left" w:pos="540"/>
                <w:tab w:val="left" w:pos="569"/>
              </w:tabs>
              <w:rPr>
                <w:sz w:val="20"/>
                <w:szCs w:val="20"/>
                <w:lang w:val="sr-Latn-ME"/>
              </w:rPr>
            </w:pPr>
            <w:r w:rsidRPr="00F84901">
              <w:rPr>
                <w:sz w:val="20"/>
                <w:szCs w:val="20"/>
                <w:lang w:val="sr-Latn-ME"/>
              </w:rPr>
              <w:t>Hromaturija</w:t>
            </w:r>
          </w:p>
          <w:p w:rsidR="00984753" w:rsidRDefault="00984753" w:rsidP="00354CB8">
            <w:pPr>
              <w:tabs>
                <w:tab w:val="left" w:pos="540"/>
                <w:tab w:val="left" w:pos="569"/>
              </w:tabs>
              <w:rPr>
                <w:sz w:val="20"/>
                <w:szCs w:val="20"/>
                <w:lang w:val="sr-Latn-ME"/>
              </w:rPr>
            </w:pPr>
            <w:r w:rsidRPr="00F84901">
              <w:rPr>
                <w:sz w:val="20"/>
                <w:szCs w:val="20"/>
                <w:lang w:val="sr-Latn-ME"/>
              </w:rPr>
              <w:t>Proteinurija</w:t>
            </w:r>
          </w:p>
          <w:p w:rsidR="00984753" w:rsidRPr="00F84901" w:rsidRDefault="00984753" w:rsidP="00354CB8">
            <w:pPr>
              <w:tabs>
                <w:tab w:val="left" w:pos="540"/>
                <w:tab w:val="left" w:pos="569"/>
              </w:tabs>
              <w:rPr>
                <w:b/>
                <w:bCs/>
                <w:sz w:val="20"/>
                <w:szCs w:val="20"/>
                <w:lang w:val="sr-Latn-ME"/>
              </w:rPr>
            </w:pPr>
          </w:p>
        </w:tc>
        <w:tc>
          <w:tcPr>
            <w:tcW w:w="1843"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lastRenderedPageBreak/>
              <w:t>Krvarenje u</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urinarnom traktu</w:t>
            </w:r>
          </w:p>
        </w:tc>
        <w:tc>
          <w:tcPr>
            <w:tcW w:w="1701"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Nefrotski sindrom</w:t>
            </w:r>
          </w:p>
        </w:tc>
        <w:tc>
          <w:tcPr>
            <w:tcW w:w="1134" w:type="dxa"/>
          </w:tcPr>
          <w:p w:rsidR="00984753" w:rsidRPr="00F84901" w:rsidRDefault="00984753" w:rsidP="00354CB8">
            <w:pPr>
              <w:tabs>
                <w:tab w:val="left" w:pos="540"/>
                <w:tab w:val="left" w:pos="569"/>
              </w:tabs>
              <w:rPr>
                <w:sz w:val="20"/>
                <w:szCs w:val="20"/>
                <w:lang w:val="sr-Latn-ME"/>
              </w:rPr>
            </w:pP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lastRenderedPageBreak/>
              <w:t>Opšti poremećaji i reakcije na mjestu primjene</w:t>
            </w:r>
          </w:p>
        </w:tc>
        <w:tc>
          <w:tcPr>
            <w:tcW w:w="1843"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Inflamacija mukoze</w:t>
            </w:r>
          </w:p>
          <w:p w:rsidR="00984753" w:rsidRPr="00F84901" w:rsidRDefault="00984753" w:rsidP="00354CB8">
            <w:pPr>
              <w:tabs>
                <w:tab w:val="left" w:pos="540"/>
                <w:tab w:val="left" w:pos="569"/>
              </w:tabs>
              <w:rPr>
                <w:sz w:val="20"/>
                <w:szCs w:val="20"/>
                <w:lang w:val="sr-Latn-ME"/>
              </w:rPr>
            </w:pPr>
            <w:r w:rsidRPr="00F84901">
              <w:rPr>
                <w:sz w:val="20"/>
                <w:szCs w:val="20"/>
                <w:lang w:val="sr-Latn-ME"/>
              </w:rPr>
              <w:t>Zamor</w:t>
            </w:r>
            <w:r w:rsidRPr="00F84901">
              <w:rPr>
                <w:sz w:val="20"/>
                <w:szCs w:val="20"/>
                <w:vertAlign w:val="superscript"/>
                <w:lang w:val="sr-Latn-ME"/>
              </w:rPr>
              <w:t>x</w:t>
            </w:r>
          </w:p>
          <w:p w:rsidR="00984753" w:rsidRPr="00F84901" w:rsidRDefault="00984753" w:rsidP="00354CB8">
            <w:pPr>
              <w:tabs>
                <w:tab w:val="left" w:pos="540"/>
                <w:tab w:val="left" w:pos="569"/>
              </w:tabs>
              <w:rPr>
                <w:sz w:val="20"/>
                <w:szCs w:val="20"/>
                <w:lang w:val="sr-Latn-ME"/>
              </w:rPr>
            </w:pPr>
            <w:r w:rsidRPr="00F84901">
              <w:rPr>
                <w:sz w:val="20"/>
                <w:szCs w:val="20"/>
                <w:lang w:val="sr-Latn-ME"/>
              </w:rPr>
              <w:t>Edem</w:t>
            </w:r>
            <w:r w:rsidRPr="00F84901">
              <w:rPr>
                <w:sz w:val="20"/>
                <w:szCs w:val="20"/>
                <w:vertAlign w:val="superscript"/>
                <w:lang w:val="sr-Latn-ME"/>
              </w:rPr>
              <w:t>y</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Pireksija</w:t>
            </w:r>
          </w:p>
        </w:tc>
        <w:tc>
          <w:tcPr>
            <w:tcW w:w="1417"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Bol u grudima</w:t>
            </w:r>
          </w:p>
          <w:p w:rsidR="00984753" w:rsidRPr="00F84901" w:rsidRDefault="00984753" w:rsidP="00354CB8">
            <w:pPr>
              <w:tabs>
                <w:tab w:val="left" w:pos="540"/>
                <w:tab w:val="left" w:pos="569"/>
              </w:tabs>
              <w:rPr>
                <w:sz w:val="20"/>
                <w:szCs w:val="20"/>
                <w:lang w:val="sr-Latn-ME"/>
              </w:rPr>
            </w:pPr>
            <w:r w:rsidRPr="00F84901">
              <w:rPr>
                <w:sz w:val="20"/>
                <w:szCs w:val="20"/>
                <w:lang w:val="sr-Latn-ME"/>
              </w:rPr>
              <w:t>Bol</w:t>
            </w:r>
          </w:p>
          <w:p w:rsidR="00984753" w:rsidRPr="00F84901" w:rsidRDefault="00984753" w:rsidP="00354CB8">
            <w:pPr>
              <w:tabs>
                <w:tab w:val="left" w:pos="540"/>
                <w:tab w:val="left" w:pos="569"/>
              </w:tabs>
              <w:rPr>
                <w:sz w:val="20"/>
                <w:szCs w:val="20"/>
                <w:lang w:val="sr-Latn-ME"/>
              </w:rPr>
            </w:pPr>
            <w:r w:rsidRPr="00F84901">
              <w:rPr>
                <w:sz w:val="20"/>
                <w:szCs w:val="20"/>
                <w:lang w:val="sr-Latn-ME"/>
              </w:rPr>
              <w:t>Bolest slična gripu</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Jeza</w:t>
            </w:r>
          </w:p>
        </w:tc>
        <w:tc>
          <w:tcPr>
            <w:tcW w:w="1843"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Usporeno</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zarastanje</w:t>
            </w:r>
          </w:p>
        </w:tc>
        <w:tc>
          <w:tcPr>
            <w:tcW w:w="1701" w:type="dxa"/>
            <w:vAlign w:val="center"/>
          </w:tcPr>
          <w:p w:rsidR="00984753" w:rsidRPr="00F84901" w:rsidRDefault="00984753" w:rsidP="00354CB8">
            <w:pPr>
              <w:tabs>
                <w:tab w:val="left" w:pos="540"/>
                <w:tab w:val="left" w:pos="569"/>
              </w:tabs>
              <w:rPr>
                <w:b/>
                <w:bCs/>
                <w:sz w:val="20"/>
                <w:szCs w:val="20"/>
                <w:lang w:val="sr-Latn-ME"/>
              </w:rPr>
            </w:pPr>
          </w:p>
        </w:tc>
        <w:tc>
          <w:tcPr>
            <w:tcW w:w="1134" w:type="dxa"/>
          </w:tcPr>
          <w:p w:rsidR="00984753" w:rsidRPr="00F84901" w:rsidRDefault="00984753" w:rsidP="00354CB8">
            <w:pPr>
              <w:tabs>
                <w:tab w:val="left" w:pos="540"/>
                <w:tab w:val="left" w:pos="569"/>
              </w:tabs>
              <w:rPr>
                <w:b/>
                <w:bCs/>
                <w:sz w:val="20"/>
                <w:szCs w:val="20"/>
                <w:lang w:val="sr-Latn-ME"/>
              </w:rPr>
            </w:pPr>
          </w:p>
        </w:tc>
      </w:tr>
      <w:tr w:rsidR="00984753" w:rsidRPr="00D616DF" w:rsidTr="00354CB8">
        <w:tc>
          <w:tcPr>
            <w:tcW w:w="1271" w:type="dxa"/>
            <w:vAlign w:val="center"/>
          </w:tcPr>
          <w:p w:rsidR="00984753" w:rsidRPr="00F84901" w:rsidRDefault="00984753" w:rsidP="00354CB8">
            <w:pPr>
              <w:tabs>
                <w:tab w:val="left" w:pos="540"/>
                <w:tab w:val="left" w:pos="569"/>
              </w:tabs>
              <w:rPr>
                <w:b/>
                <w:bCs/>
                <w:sz w:val="20"/>
                <w:szCs w:val="20"/>
                <w:lang w:val="sr-Latn-ME"/>
              </w:rPr>
            </w:pPr>
            <w:r w:rsidRPr="00F84901">
              <w:rPr>
                <w:b/>
                <w:sz w:val="20"/>
                <w:szCs w:val="20"/>
                <w:lang w:val="sr-Latn-ME"/>
              </w:rPr>
              <w:t>Ispitivanja</w:t>
            </w:r>
          </w:p>
        </w:tc>
        <w:tc>
          <w:tcPr>
            <w:tcW w:w="1843" w:type="dxa"/>
            <w:vAlign w:val="center"/>
          </w:tcPr>
          <w:p w:rsidR="00984753" w:rsidRPr="00F84901" w:rsidRDefault="00984753" w:rsidP="00354CB8">
            <w:pPr>
              <w:tabs>
                <w:tab w:val="left" w:pos="540"/>
                <w:tab w:val="left" w:pos="569"/>
              </w:tabs>
              <w:rPr>
                <w:b/>
                <w:bCs/>
                <w:sz w:val="20"/>
                <w:szCs w:val="20"/>
                <w:lang w:val="sr-Latn-ME"/>
              </w:rPr>
            </w:pPr>
          </w:p>
        </w:tc>
        <w:tc>
          <w:tcPr>
            <w:tcW w:w="1417" w:type="dxa"/>
            <w:vAlign w:val="center"/>
          </w:tcPr>
          <w:p w:rsidR="00984753" w:rsidRPr="00F84901" w:rsidRDefault="00984753" w:rsidP="00354CB8">
            <w:pPr>
              <w:tabs>
                <w:tab w:val="left" w:pos="540"/>
                <w:tab w:val="left" w:pos="569"/>
              </w:tabs>
              <w:rPr>
                <w:sz w:val="20"/>
                <w:szCs w:val="20"/>
                <w:lang w:val="sr-Latn-ME"/>
              </w:rPr>
            </w:pPr>
            <w:r w:rsidRPr="00F84901">
              <w:rPr>
                <w:sz w:val="20"/>
                <w:szCs w:val="20"/>
                <w:lang w:val="sr-Latn-ME"/>
              </w:rPr>
              <w:t>Smanjenje tjelesne mase</w:t>
            </w:r>
          </w:p>
          <w:p w:rsidR="00984753" w:rsidRPr="00F84901" w:rsidRDefault="00984753" w:rsidP="00354CB8">
            <w:pPr>
              <w:tabs>
                <w:tab w:val="left" w:pos="540"/>
                <w:tab w:val="left" w:pos="569"/>
              </w:tabs>
              <w:rPr>
                <w:sz w:val="20"/>
                <w:szCs w:val="20"/>
                <w:lang w:val="sr-Latn-ME"/>
              </w:rPr>
            </w:pPr>
            <w:r w:rsidRPr="00F84901">
              <w:rPr>
                <w:sz w:val="20"/>
                <w:szCs w:val="20"/>
                <w:lang w:val="sr-Latn-ME"/>
              </w:rPr>
              <w:t xml:space="preserve">Smanjenje broja bijelih krvnih ćelija </w:t>
            </w:r>
          </w:p>
          <w:p w:rsidR="00984753" w:rsidRDefault="00984753" w:rsidP="00354CB8">
            <w:pPr>
              <w:tabs>
                <w:tab w:val="left" w:pos="540"/>
                <w:tab w:val="left" w:pos="569"/>
              </w:tabs>
              <w:rPr>
                <w:sz w:val="20"/>
                <w:szCs w:val="20"/>
                <w:lang w:val="sr-Latn-ME"/>
              </w:rPr>
            </w:pPr>
            <w:r w:rsidRPr="00F84901">
              <w:rPr>
                <w:sz w:val="20"/>
                <w:szCs w:val="20"/>
                <w:lang w:val="sr-Latn-ME"/>
              </w:rPr>
              <w:t>Povećanje lipaze Smanjenje trombocita Smanjenje hemoglobina Povećanje amilaze</w:t>
            </w:r>
            <w:r w:rsidRPr="00F84901">
              <w:rPr>
                <w:sz w:val="20"/>
                <w:szCs w:val="20"/>
                <w:vertAlign w:val="superscript"/>
                <w:lang w:val="sr-Latn-ME"/>
              </w:rPr>
              <w:t>z</w:t>
            </w:r>
            <w:r w:rsidRPr="00F84901">
              <w:rPr>
                <w:sz w:val="20"/>
                <w:szCs w:val="20"/>
                <w:lang w:val="sr-Latn-ME"/>
              </w:rPr>
              <w:t xml:space="preserve"> Povećanje aspartat aminotra</w:t>
            </w:r>
            <w:r>
              <w:rPr>
                <w:sz w:val="20"/>
                <w:szCs w:val="20"/>
                <w:lang w:val="sr-Latn-ME"/>
              </w:rPr>
              <w:t>-</w:t>
            </w:r>
            <w:r w:rsidRPr="00F84901">
              <w:rPr>
                <w:sz w:val="20"/>
                <w:szCs w:val="20"/>
                <w:lang w:val="sr-Latn-ME"/>
              </w:rPr>
              <w:t>nsferaze Povećanje alanin aminotra</w:t>
            </w:r>
            <w:r>
              <w:rPr>
                <w:sz w:val="20"/>
                <w:szCs w:val="20"/>
                <w:lang w:val="sr-Latn-ME"/>
              </w:rPr>
              <w:t>-</w:t>
            </w:r>
            <w:r w:rsidRPr="00F84901">
              <w:rPr>
                <w:sz w:val="20"/>
                <w:szCs w:val="20"/>
                <w:lang w:val="sr-Latn-ME"/>
              </w:rPr>
              <w:t xml:space="preserve">nsferaze Povećanje kreatinina u krvi </w:t>
            </w:r>
          </w:p>
          <w:p w:rsidR="00984753" w:rsidRPr="00F84901" w:rsidRDefault="00984753" w:rsidP="00354CB8">
            <w:pPr>
              <w:tabs>
                <w:tab w:val="left" w:pos="540"/>
                <w:tab w:val="left" w:pos="569"/>
              </w:tabs>
              <w:rPr>
                <w:b/>
                <w:bCs/>
                <w:sz w:val="20"/>
                <w:szCs w:val="20"/>
                <w:lang w:val="sr-Latn-ME"/>
              </w:rPr>
            </w:pPr>
            <w:r w:rsidRPr="00F84901">
              <w:rPr>
                <w:sz w:val="20"/>
                <w:szCs w:val="20"/>
                <w:lang w:val="sr-Latn-ME"/>
              </w:rPr>
              <w:t>Povećanje krvnog pritiska Povećanje mokraćne kiseline u krvi</w:t>
            </w:r>
          </w:p>
        </w:tc>
        <w:tc>
          <w:tcPr>
            <w:tcW w:w="1843" w:type="dxa"/>
            <w:vAlign w:val="center"/>
          </w:tcPr>
          <w:p w:rsidR="00984753" w:rsidRPr="00F84901" w:rsidRDefault="00984753" w:rsidP="00354CB8">
            <w:pPr>
              <w:tabs>
                <w:tab w:val="left" w:pos="540"/>
                <w:tab w:val="left" w:pos="569"/>
              </w:tabs>
              <w:rPr>
                <w:b/>
                <w:bCs/>
                <w:sz w:val="20"/>
                <w:szCs w:val="20"/>
                <w:lang w:val="sr-Latn-ME"/>
              </w:rPr>
            </w:pPr>
            <w:r w:rsidRPr="00F84901">
              <w:rPr>
                <w:sz w:val="20"/>
                <w:szCs w:val="20"/>
                <w:lang w:val="sr-Latn-ME"/>
              </w:rPr>
              <w:t>Povećanje kreatinin fosfokinaze u krvi Povećanje tireostimulirajućeg hormona</w:t>
            </w:r>
          </w:p>
        </w:tc>
        <w:tc>
          <w:tcPr>
            <w:tcW w:w="1701" w:type="dxa"/>
            <w:vAlign w:val="center"/>
          </w:tcPr>
          <w:p w:rsidR="00984753" w:rsidRPr="00F84901" w:rsidRDefault="00984753" w:rsidP="00354CB8">
            <w:pPr>
              <w:tabs>
                <w:tab w:val="left" w:pos="540"/>
                <w:tab w:val="left" w:pos="569"/>
              </w:tabs>
              <w:rPr>
                <w:b/>
                <w:bCs/>
                <w:sz w:val="20"/>
                <w:szCs w:val="20"/>
                <w:lang w:val="sr-Latn-ME"/>
              </w:rPr>
            </w:pPr>
          </w:p>
        </w:tc>
        <w:tc>
          <w:tcPr>
            <w:tcW w:w="1134" w:type="dxa"/>
          </w:tcPr>
          <w:p w:rsidR="00984753" w:rsidRPr="00F84901" w:rsidRDefault="00984753" w:rsidP="00354CB8">
            <w:pPr>
              <w:tabs>
                <w:tab w:val="left" w:pos="540"/>
                <w:tab w:val="left" w:pos="569"/>
              </w:tabs>
              <w:rPr>
                <w:b/>
                <w:bCs/>
                <w:sz w:val="20"/>
                <w:szCs w:val="20"/>
                <w:lang w:val="sr-Latn-ME"/>
              </w:rPr>
            </w:pPr>
          </w:p>
        </w:tc>
      </w:tr>
    </w:tbl>
    <w:p w:rsidR="00984753" w:rsidRPr="006A67F6" w:rsidRDefault="00984753" w:rsidP="00984753">
      <w:pPr>
        <w:tabs>
          <w:tab w:val="left" w:pos="540"/>
          <w:tab w:val="left" w:pos="569"/>
        </w:tabs>
        <w:rPr>
          <w:sz w:val="21"/>
          <w:szCs w:val="21"/>
          <w:lang w:val="sr-Latn-ME"/>
        </w:rPr>
      </w:pPr>
      <w:r w:rsidRPr="006A67F6">
        <w:rPr>
          <w:sz w:val="21"/>
          <w:szCs w:val="21"/>
          <w:lang w:val="sr-Latn-ME"/>
        </w:rPr>
        <w:t>*Uključujući događaje sa smrtnim ishodima</w:t>
      </w:r>
    </w:p>
    <w:p w:rsidR="00984753" w:rsidRPr="006A67F6" w:rsidRDefault="00984753" w:rsidP="00984753">
      <w:pPr>
        <w:tabs>
          <w:tab w:val="left" w:pos="540"/>
          <w:tab w:val="left" w:pos="569"/>
        </w:tabs>
        <w:rPr>
          <w:sz w:val="21"/>
          <w:szCs w:val="21"/>
          <w:lang w:val="sr-Latn-ME"/>
        </w:rPr>
      </w:pPr>
    </w:p>
    <w:p w:rsidR="00984753" w:rsidRPr="006A67F6" w:rsidRDefault="00984753" w:rsidP="00984753">
      <w:pPr>
        <w:tabs>
          <w:tab w:val="left" w:pos="540"/>
          <w:tab w:val="left" w:pos="569"/>
        </w:tabs>
        <w:rPr>
          <w:sz w:val="21"/>
          <w:szCs w:val="21"/>
          <w:lang w:val="sr-Latn-ME"/>
        </w:rPr>
      </w:pPr>
      <w:r w:rsidRPr="006A67F6">
        <w:rPr>
          <w:sz w:val="21"/>
          <w:szCs w:val="21"/>
          <w:lang w:val="sr-Latn-ME"/>
        </w:rPr>
        <w:t xml:space="preserve">Objedinjeni su sljedeći termini: </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Nazofaringitis i oralni herpes.</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Bronhitis, infekcija donjeg respiratornog trakta, pneumonija i infekcija respiratornog trakta.</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Apsces, apsces ekstremiteta, analni apsces, apsces desni, apsces jetre, apsces pankreasa, perinealni apsces, perirektalni apsces, rektalni apsces, subkutani apsces i apsces zuba</w:t>
      </w:r>
      <w:r w:rsidR="00556B3C">
        <w:rPr>
          <w:sz w:val="21"/>
          <w:szCs w:val="21"/>
          <w:lang w:val="sr-Latn-ME"/>
        </w:rPr>
        <w:t>.</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Ezofagealna i oralna kandidijaza.</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Celulitis i infekcije kože.</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Sepsa i septički šok.</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Abdominalni apsces, abdominalna sepsa, divertikulitis i osteomijelitis.</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 xml:space="preserve">Trombotička mikroangiopatija, trombotička trombocitopenijska purpura i hemolitički uremijski sindrom. </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Anoreksija i oslabljeni apetit.</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 xml:space="preserve">Disgeuzija, ageuzija i poremećaj čula ukusa. </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 xml:space="preserve">Akutni koronarni sindrom, angina pektoris, nestabilna angina, okluzija koronarnih arterija i ishemija miokarda. </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Smanjena/izm</w:t>
      </w:r>
      <w:r w:rsidR="00556B3C">
        <w:rPr>
          <w:sz w:val="21"/>
          <w:szCs w:val="21"/>
          <w:lang w:val="sr-Latn-ME"/>
        </w:rPr>
        <w:t>ij</w:t>
      </w:r>
      <w:r w:rsidRPr="006A67F6">
        <w:rPr>
          <w:sz w:val="21"/>
          <w:szCs w:val="21"/>
          <w:lang w:val="sr-Latn-ME"/>
        </w:rPr>
        <w:t xml:space="preserve">enjena ejekciona frakcija. </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 xml:space="preserve">Akutni infarkt miokarda, infarkt miokarda i “tihi” infarkt miokarda. </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Orofaringealni i faringolaringealni bol.</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lastRenderedPageBreak/>
        <w:t xml:space="preserve">Stomatitis i aftozni stomatitis. </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Abdominalni bol, bol u donjem dijelu abdomena i bol u gornjem dijelu abdomena.</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Gastrointestinalna perforacija i intestinalna perforacija.</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Kolitis i ishemijski kolitis.</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Holecistitis i akalkulozni holecistitis.</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Žuta prebojenost kože, diskoloracija kože i poremećaj pigmenta.</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Psorijaznoformni dermatitis, eksfolijativni osip, osip, eritematozni osip, folikularni osip, generalizovani osip, makularni osip, makulo-papularni osip, papularni osip i osip sa svrabom.</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Kožne reakcije i poremećaji kože.</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Obo</w:t>
      </w:r>
      <w:r>
        <w:rPr>
          <w:sz w:val="21"/>
          <w:szCs w:val="21"/>
          <w:lang w:val="sr-Latn-ME"/>
        </w:rPr>
        <w:t>ljenje noktiju</w:t>
      </w:r>
      <w:r w:rsidRPr="006A67F6">
        <w:rPr>
          <w:sz w:val="21"/>
          <w:szCs w:val="21"/>
          <w:lang w:val="sr-Latn-ME"/>
        </w:rPr>
        <w:t xml:space="preserve"> i diskoloracija.</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Zamor i astenija</w:t>
      </w:r>
      <w:r w:rsidR="00556B3C">
        <w:rPr>
          <w:sz w:val="21"/>
          <w:szCs w:val="21"/>
          <w:lang w:val="sr-Latn-ME"/>
        </w:rPr>
        <w:t>.</w:t>
      </w:r>
    </w:p>
    <w:p w:rsidR="00984753" w:rsidRPr="006A67F6" w:rsidRDefault="00984753" w:rsidP="00984753">
      <w:pPr>
        <w:pStyle w:val="ListParagraph"/>
        <w:numPr>
          <w:ilvl w:val="0"/>
          <w:numId w:val="12"/>
        </w:numPr>
        <w:tabs>
          <w:tab w:val="left" w:pos="540"/>
          <w:tab w:val="left" w:pos="569"/>
        </w:tabs>
        <w:rPr>
          <w:sz w:val="21"/>
          <w:szCs w:val="21"/>
          <w:lang w:val="sr-Latn-ME"/>
        </w:rPr>
      </w:pPr>
      <w:r w:rsidRPr="006A67F6">
        <w:rPr>
          <w:sz w:val="21"/>
          <w:szCs w:val="21"/>
          <w:lang w:val="sr-Latn-ME"/>
        </w:rPr>
        <w:t>Edem lica, edem i periferni edem.</w:t>
      </w:r>
    </w:p>
    <w:p w:rsidR="00984753" w:rsidRPr="00F84901" w:rsidRDefault="00984753" w:rsidP="00984753">
      <w:pPr>
        <w:pStyle w:val="ListParagraph"/>
        <w:numPr>
          <w:ilvl w:val="0"/>
          <w:numId w:val="12"/>
        </w:numPr>
        <w:tabs>
          <w:tab w:val="left" w:pos="540"/>
          <w:tab w:val="left" w:pos="569"/>
        </w:tabs>
        <w:rPr>
          <w:sz w:val="20"/>
          <w:szCs w:val="20"/>
          <w:lang w:val="sr-Latn-ME"/>
        </w:rPr>
      </w:pPr>
      <w:r w:rsidRPr="00F84901">
        <w:rPr>
          <w:sz w:val="20"/>
          <w:szCs w:val="20"/>
          <w:lang w:val="sr-Latn-ME"/>
        </w:rPr>
        <w:t>Povišen nivo amilaza</w:t>
      </w:r>
      <w:r>
        <w:rPr>
          <w:sz w:val="20"/>
          <w:szCs w:val="20"/>
          <w:lang w:val="sr-Latn-ME"/>
        </w:rPr>
        <w:t>.</w:t>
      </w:r>
    </w:p>
    <w:p w:rsidR="004E70AD" w:rsidRDefault="004E70AD" w:rsidP="00480FB1">
      <w:pPr>
        <w:tabs>
          <w:tab w:val="left" w:pos="540"/>
          <w:tab w:val="left" w:pos="569"/>
        </w:tabs>
        <w:rPr>
          <w:b/>
          <w:bCs/>
          <w:sz w:val="22"/>
          <w:szCs w:val="22"/>
        </w:rPr>
      </w:pPr>
    </w:p>
    <w:p w:rsidR="00A56C3F" w:rsidRPr="00D616DF" w:rsidRDefault="00A56C3F" w:rsidP="00A56C3F">
      <w:pPr>
        <w:spacing w:line="276" w:lineRule="auto"/>
        <w:jc w:val="both"/>
        <w:rPr>
          <w:sz w:val="22"/>
          <w:szCs w:val="22"/>
          <w:lang w:val="sr-Latn-ME"/>
        </w:rPr>
      </w:pPr>
      <w:r w:rsidRPr="00D616DF">
        <w:rPr>
          <w:sz w:val="22"/>
          <w:szCs w:val="22"/>
          <w:u w:val="single"/>
          <w:lang w:val="sr-Latn-ME"/>
        </w:rPr>
        <w:t>Opis odabranih neželjenih reakcija</w:t>
      </w:r>
      <w:r w:rsidRPr="00D616DF">
        <w:rPr>
          <w:sz w:val="22"/>
          <w:szCs w:val="22"/>
          <w:lang w:val="sr-Latn-ME"/>
        </w:rPr>
        <w:t xml:space="preserve"> </w:t>
      </w:r>
    </w:p>
    <w:p w:rsidR="00A56C3F" w:rsidRPr="00D616DF" w:rsidRDefault="00A56C3F" w:rsidP="00A56C3F">
      <w:pPr>
        <w:spacing w:line="276" w:lineRule="auto"/>
        <w:jc w:val="both"/>
        <w:rPr>
          <w:sz w:val="22"/>
          <w:szCs w:val="22"/>
          <w:lang w:val="sr-Latn-ME"/>
        </w:rPr>
      </w:pPr>
    </w:p>
    <w:p w:rsidR="00A56C3F" w:rsidRPr="00D616DF" w:rsidRDefault="00A56C3F" w:rsidP="00A56C3F">
      <w:pPr>
        <w:jc w:val="both"/>
        <w:rPr>
          <w:sz w:val="22"/>
          <w:szCs w:val="22"/>
          <w:lang w:val="sr-Latn-ME"/>
        </w:rPr>
      </w:pPr>
      <w:r w:rsidRPr="00D616DF">
        <w:rPr>
          <w:i/>
          <w:sz w:val="22"/>
          <w:szCs w:val="22"/>
          <w:lang w:val="sr-Latn-ME"/>
        </w:rPr>
        <w:t>Infekcije i infestacije</w:t>
      </w:r>
      <w:r w:rsidRPr="00D616DF">
        <w:rPr>
          <w:sz w:val="22"/>
          <w:szCs w:val="22"/>
          <w:lang w:val="sr-Latn-ME"/>
        </w:rPr>
        <w:t xml:space="preserve"> </w:t>
      </w:r>
    </w:p>
    <w:p w:rsidR="00A56C3F" w:rsidRPr="00D616DF" w:rsidRDefault="00A56C3F" w:rsidP="00A56C3F">
      <w:pPr>
        <w:jc w:val="both"/>
        <w:rPr>
          <w:sz w:val="22"/>
          <w:szCs w:val="22"/>
          <w:lang w:val="sr-Latn-ME"/>
        </w:rPr>
      </w:pPr>
      <w:r w:rsidRPr="00D616DF">
        <w:rPr>
          <w:sz w:val="22"/>
          <w:szCs w:val="22"/>
          <w:lang w:val="sr-Latn-ME"/>
        </w:rPr>
        <w:t xml:space="preserve">Prijavljivani su slučajevi ozbiljnih infekcija (sa ili bez neutropenije), uključujući slučajeve sa </w:t>
      </w:r>
      <w:r w:rsidR="00556B3C">
        <w:rPr>
          <w:sz w:val="22"/>
          <w:szCs w:val="22"/>
          <w:lang w:val="sr-Latn-ME"/>
        </w:rPr>
        <w:t xml:space="preserve">smrtnim </w:t>
      </w:r>
      <w:r w:rsidRPr="00D616DF">
        <w:rPr>
          <w:sz w:val="22"/>
          <w:szCs w:val="22"/>
          <w:lang w:val="sr-Latn-ME"/>
        </w:rPr>
        <w:t xml:space="preserve">ishodom. Prijavljivani su slučajevi nekrotizirajućeg fasciitisa, uključujući i perineuma, ponekad sa </w:t>
      </w:r>
      <w:r w:rsidR="00556B3C">
        <w:rPr>
          <w:sz w:val="22"/>
          <w:szCs w:val="22"/>
          <w:lang w:val="sr-Latn-ME"/>
        </w:rPr>
        <w:t xml:space="preserve">smrtnim </w:t>
      </w:r>
      <w:r w:rsidRPr="00D616DF">
        <w:rPr>
          <w:sz w:val="22"/>
          <w:szCs w:val="22"/>
          <w:lang w:val="sr-Latn-ME"/>
        </w:rPr>
        <w:t xml:space="preserve">ishodom (vidjeti  dio 4.4). </w:t>
      </w:r>
    </w:p>
    <w:p w:rsidR="00A56C3F" w:rsidRPr="00D616DF" w:rsidRDefault="00A56C3F" w:rsidP="00A56C3F">
      <w:pPr>
        <w:jc w:val="both"/>
        <w:rPr>
          <w:sz w:val="22"/>
          <w:szCs w:val="22"/>
          <w:lang w:val="sr-Latn-ME"/>
        </w:rPr>
      </w:pPr>
    </w:p>
    <w:p w:rsidR="00A56C3F" w:rsidRPr="00D616DF" w:rsidRDefault="00A56C3F" w:rsidP="00A56C3F">
      <w:pPr>
        <w:jc w:val="both"/>
        <w:rPr>
          <w:sz w:val="22"/>
          <w:szCs w:val="22"/>
          <w:lang w:val="sr-Latn-ME"/>
        </w:rPr>
      </w:pPr>
      <w:r w:rsidRPr="00D616DF">
        <w:rPr>
          <w:i/>
          <w:sz w:val="22"/>
          <w:szCs w:val="22"/>
          <w:lang w:val="sr-Latn-ME"/>
        </w:rPr>
        <w:t>Poremećaji krvi i limfnog sistema</w:t>
      </w:r>
      <w:r w:rsidRPr="00D616DF">
        <w:rPr>
          <w:sz w:val="22"/>
          <w:szCs w:val="22"/>
          <w:lang w:val="sr-Latn-ME"/>
        </w:rPr>
        <w:t xml:space="preserve"> </w:t>
      </w:r>
    </w:p>
    <w:p w:rsidR="00A56C3F" w:rsidRPr="00D616DF" w:rsidRDefault="00A56C3F" w:rsidP="00A56C3F">
      <w:pPr>
        <w:jc w:val="both"/>
        <w:rPr>
          <w:sz w:val="22"/>
          <w:szCs w:val="22"/>
          <w:lang w:val="sr-Latn-ME"/>
        </w:rPr>
      </w:pPr>
      <w:r w:rsidRPr="00D616DF">
        <w:rPr>
          <w:sz w:val="22"/>
          <w:szCs w:val="22"/>
          <w:lang w:val="sr-Latn-ME"/>
        </w:rPr>
        <w:t xml:space="preserve">Prijavljeno je smanjenje apsolutnog broja neutrofila gradusa 3 i gradusa 4 kod 10% odnosno 1,7% pacijenata u GIST studiji faze 3, kod 16% odnosno 1,6% pacijenata u MRCC studiji faze 3 i kod 13% odnosno 2,4% pacijenata u pNET studiji faze 3. Smanjenje broja trombocita gradusa 3 i gradusa 4 zabilježeno je kod 3,7% odnosno 0,4% pacijenata u GIST studiji faze 3, kod 8,2% odnosno 1,1% pacijenata u MRCC studiji faze 3, kao i kod 3,7% odnosno 1,2% pacijenata u pNET studiji faze 3 (vidjeti dio 4.4). </w:t>
      </w:r>
    </w:p>
    <w:p w:rsidR="00A56C3F" w:rsidRPr="00D616DF" w:rsidRDefault="00A56C3F" w:rsidP="00A56C3F">
      <w:pPr>
        <w:jc w:val="both"/>
        <w:rPr>
          <w:sz w:val="22"/>
          <w:szCs w:val="22"/>
          <w:lang w:val="sr-Latn-ME"/>
        </w:rPr>
      </w:pPr>
      <w:r w:rsidRPr="00D616DF">
        <w:rPr>
          <w:sz w:val="22"/>
          <w:szCs w:val="22"/>
          <w:lang w:val="sr-Latn-ME"/>
        </w:rPr>
        <w:t>Hemoragijski događaji su zabilježeni kod 18% pacijenata koji su primali sunitinib u GIST studiji faze 3, u poređenju sa 17% pacijenata liječenih placebom. Kod pacijenata koji su primali sunitinib za liječenje do tada neliječenog (tzv. "</w:t>
      </w:r>
      <w:r w:rsidRPr="003F61A5">
        <w:rPr>
          <w:i/>
          <w:sz w:val="22"/>
          <w:szCs w:val="22"/>
          <w:lang w:val="sr-Latn-ME"/>
        </w:rPr>
        <w:t>naive</w:t>
      </w:r>
      <w:r w:rsidRPr="00D616DF">
        <w:rPr>
          <w:sz w:val="22"/>
          <w:szCs w:val="22"/>
          <w:lang w:val="sr-Latn-ME"/>
        </w:rPr>
        <w:t>") MRCC, 39% je imalo krvarenje u poređenju sa 11% pacijenata koji su liječeni interferonom-</w:t>
      </w:r>
      <w:r w:rsidRPr="00D616DF">
        <w:rPr>
          <w:sz w:val="22"/>
          <w:szCs w:val="22"/>
          <w:lang w:val="sr-Latn-ME"/>
        </w:rPr>
        <w:sym w:font="Symbol" w:char="F061"/>
      </w:r>
      <w:r w:rsidRPr="00D616DF">
        <w:rPr>
          <w:sz w:val="22"/>
          <w:szCs w:val="22"/>
          <w:lang w:val="sr-Latn-ME"/>
        </w:rPr>
        <w:t xml:space="preserve"> (IFN-</w:t>
      </w:r>
      <w:r w:rsidRPr="00D616DF">
        <w:rPr>
          <w:sz w:val="22"/>
          <w:szCs w:val="22"/>
          <w:lang w:val="sr-Latn-ME"/>
        </w:rPr>
        <w:sym w:font="Symbol" w:char="F061"/>
      </w:r>
      <w:r w:rsidRPr="00D616DF">
        <w:rPr>
          <w:sz w:val="22"/>
          <w:szCs w:val="22"/>
          <w:lang w:val="sr-Latn-ME"/>
        </w:rPr>
        <w:t>). Sedamnaest (4,5%) pacijenata koji su bili liječeni sunitinibom prema 5 (1,7%) pacijenata koji su bili na IFN-</w:t>
      </w:r>
      <w:r w:rsidRPr="00D616DF">
        <w:rPr>
          <w:sz w:val="22"/>
          <w:szCs w:val="22"/>
          <w:lang w:val="sr-Latn-ME"/>
        </w:rPr>
        <w:sym w:font="Symbol" w:char="F061"/>
      </w:r>
      <w:r w:rsidRPr="00D616DF">
        <w:rPr>
          <w:sz w:val="22"/>
          <w:szCs w:val="22"/>
          <w:lang w:val="sr-Latn-ME"/>
        </w:rPr>
        <w:t xml:space="preserve"> su imali krvarenja gradusa 3 ili većeg. Od pacijenata koji su primali sunitinib za liječenje MRCC refraktornog na citokine, 26% imalo je krvarenja. Hemoragijski događaji, isključujući epistaksu, prijavljeni su se kod 21,7% pacijenata koji su primali sunitinib u pNET studiji faze 3, u poređenju sa 9,85% pacijenata koji su primali placebo (vidjeti dio 4.4).</w:t>
      </w:r>
    </w:p>
    <w:p w:rsidR="00A56C3F" w:rsidRPr="00D616DF" w:rsidRDefault="00A56C3F" w:rsidP="00A56C3F">
      <w:pPr>
        <w:jc w:val="both"/>
        <w:rPr>
          <w:sz w:val="22"/>
          <w:szCs w:val="22"/>
          <w:lang w:val="sr-Latn-ME"/>
        </w:rPr>
      </w:pPr>
    </w:p>
    <w:p w:rsidR="00A56C3F" w:rsidRPr="00D616DF" w:rsidRDefault="00A56C3F" w:rsidP="00A56C3F">
      <w:pPr>
        <w:spacing w:line="276" w:lineRule="auto"/>
        <w:jc w:val="both"/>
        <w:rPr>
          <w:sz w:val="22"/>
          <w:szCs w:val="22"/>
          <w:lang w:val="sr-Latn-ME"/>
        </w:rPr>
      </w:pPr>
      <w:r w:rsidRPr="00D616DF">
        <w:rPr>
          <w:sz w:val="22"/>
          <w:szCs w:val="22"/>
          <w:lang w:val="sr-Latn-ME"/>
        </w:rPr>
        <w:t>U kliničkim studijama, hemoragije tumora javljale su se kod približno 2% pacijenata sa GIST.</w:t>
      </w:r>
    </w:p>
    <w:p w:rsidR="00A56C3F" w:rsidRPr="00D616DF" w:rsidRDefault="00A56C3F" w:rsidP="00A56C3F">
      <w:pPr>
        <w:spacing w:line="276" w:lineRule="auto"/>
        <w:jc w:val="both"/>
        <w:rPr>
          <w:sz w:val="22"/>
          <w:szCs w:val="22"/>
          <w:lang w:val="sr-Latn-ME"/>
        </w:rPr>
      </w:pPr>
    </w:p>
    <w:p w:rsidR="00A56C3F" w:rsidRPr="00D616DF" w:rsidRDefault="00A56C3F" w:rsidP="00A56C3F">
      <w:pPr>
        <w:jc w:val="both"/>
        <w:rPr>
          <w:i/>
          <w:sz w:val="22"/>
          <w:szCs w:val="22"/>
          <w:lang w:val="sr-Latn-ME"/>
        </w:rPr>
      </w:pPr>
      <w:r w:rsidRPr="00D616DF">
        <w:rPr>
          <w:i/>
          <w:sz w:val="22"/>
          <w:szCs w:val="22"/>
          <w:lang w:val="sr-Latn-ME"/>
        </w:rPr>
        <w:t xml:space="preserve">Poremećaji imunog sistema </w:t>
      </w:r>
    </w:p>
    <w:p w:rsidR="00A56C3F" w:rsidRPr="00D616DF" w:rsidRDefault="00A56C3F" w:rsidP="00A56C3F">
      <w:pPr>
        <w:jc w:val="both"/>
        <w:rPr>
          <w:sz w:val="22"/>
          <w:szCs w:val="22"/>
          <w:lang w:val="sr-Latn-ME"/>
        </w:rPr>
      </w:pPr>
      <w:r w:rsidRPr="00D616DF">
        <w:rPr>
          <w:sz w:val="22"/>
          <w:szCs w:val="22"/>
          <w:lang w:val="sr-Latn-ME"/>
        </w:rPr>
        <w:t>Prijavljivane su  reakcije preosjetljivosti, uključujući angioedem (vidjeti dio 4.4).</w:t>
      </w:r>
    </w:p>
    <w:p w:rsidR="008A76D8" w:rsidRDefault="008A76D8" w:rsidP="00A56C3F">
      <w:pPr>
        <w:jc w:val="both"/>
        <w:rPr>
          <w:i/>
          <w:sz w:val="22"/>
          <w:szCs w:val="22"/>
          <w:lang w:val="sr-Latn-ME"/>
        </w:rPr>
      </w:pPr>
    </w:p>
    <w:p w:rsidR="00A56C3F" w:rsidRPr="00D616DF" w:rsidRDefault="00A56C3F" w:rsidP="00A56C3F">
      <w:pPr>
        <w:jc w:val="both"/>
        <w:rPr>
          <w:i/>
          <w:sz w:val="22"/>
          <w:szCs w:val="22"/>
          <w:lang w:val="sr-Latn-ME"/>
        </w:rPr>
      </w:pPr>
      <w:r w:rsidRPr="00D616DF">
        <w:rPr>
          <w:i/>
          <w:sz w:val="22"/>
          <w:szCs w:val="22"/>
          <w:lang w:val="sr-Latn-ME"/>
        </w:rPr>
        <w:t>Endokrini poremećaji</w:t>
      </w:r>
    </w:p>
    <w:p w:rsidR="00A56C3F" w:rsidRPr="00D616DF" w:rsidRDefault="00A56C3F" w:rsidP="00A56C3F">
      <w:pPr>
        <w:jc w:val="both"/>
        <w:rPr>
          <w:sz w:val="22"/>
          <w:szCs w:val="22"/>
          <w:lang w:val="sr-Latn-ME"/>
        </w:rPr>
      </w:pPr>
      <w:r w:rsidRPr="00D616DF">
        <w:rPr>
          <w:sz w:val="22"/>
          <w:szCs w:val="22"/>
          <w:lang w:val="sr-Latn-ME"/>
        </w:rPr>
        <w:t>Hipotireoidizam je zabilježen kao neželjena reakcija kod 7 pacijenata (4%) koji su primali sunitinib u dvije studije sa MRCC refraktornim na citokine; kod 61 pacijenta (16%) koji su uzimali sunitinib i kod 3 pacijenta (&lt; 1%), liječenih IFN-α u studiji do tada neliječenog (tzv. "</w:t>
      </w:r>
      <w:r w:rsidRPr="003F61A5">
        <w:rPr>
          <w:i/>
          <w:sz w:val="22"/>
          <w:szCs w:val="22"/>
          <w:lang w:val="sr-Latn-ME"/>
        </w:rPr>
        <w:t>naive</w:t>
      </w:r>
      <w:r w:rsidRPr="00D616DF">
        <w:rPr>
          <w:sz w:val="22"/>
          <w:szCs w:val="22"/>
          <w:lang w:val="sr-Latn-ME"/>
        </w:rPr>
        <w:t>") MRCC.</w:t>
      </w:r>
    </w:p>
    <w:p w:rsidR="00A56C3F" w:rsidRPr="00D616DF" w:rsidRDefault="00A56C3F" w:rsidP="00A56C3F">
      <w:pPr>
        <w:jc w:val="both"/>
        <w:rPr>
          <w:sz w:val="22"/>
          <w:szCs w:val="22"/>
          <w:lang w:val="sr-Latn-ME"/>
        </w:rPr>
      </w:pPr>
    </w:p>
    <w:p w:rsidR="00A56C3F" w:rsidRPr="00D616DF" w:rsidRDefault="00A56C3F" w:rsidP="00A56C3F">
      <w:pPr>
        <w:jc w:val="both"/>
        <w:rPr>
          <w:sz w:val="22"/>
          <w:szCs w:val="22"/>
          <w:lang w:val="sr-Latn-ME"/>
        </w:rPr>
      </w:pPr>
      <w:r w:rsidRPr="00D616DF">
        <w:rPr>
          <w:sz w:val="22"/>
          <w:szCs w:val="22"/>
          <w:lang w:val="sr-Latn-ME"/>
        </w:rPr>
        <w:t>Osim toga, elevacija tireostimulišućeg hormona (TSH) opisana je kod 4 pacijenta sa MRCC refraktornim na citokine (2%). Ukupno, 7% pacijenata u MRCC populaciji imalo je bilo kliničke bilo laboratorijske dokaze o hipotireoidizmu koji je nastao kao posljedica terapije. Stečeni hipotireoidizam je zabilježen kod 6,2% GIST pacijenata koji su liječeni sunitinibom, u poređenju sa 1% pacijenata koji su primali placebo. U pNET studiji faze 3 hipotireoidizam je zabilježen kod 6 pacijenata (7,2%) koji su primali sunitinib i kod 1 pacijenta (1,2%) koji je primao placebo.</w:t>
      </w:r>
    </w:p>
    <w:p w:rsidR="00A56C3F" w:rsidRPr="00D616DF" w:rsidRDefault="00A56C3F" w:rsidP="00A56C3F">
      <w:pPr>
        <w:jc w:val="both"/>
        <w:rPr>
          <w:sz w:val="22"/>
          <w:szCs w:val="22"/>
          <w:lang w:val="sr-Latn-ME"/>
        </w:rPr>
      </w:pPr>
    </w:p>
    <w:p w:rsidR="00A56C3F" w:rsidRPr="00D616DF" w:rsidRDefault="00A56C3F" w:rsidP="00A56C3F">
      <w:pPr>
        <w:jc w:val="both"/>
        <w:rPr>
          <w:sz w:val="22"/>
          <w:szCs w:val="22"/>
          <w:lang w:val="sr-Latn-ME"/>
        </w:rPr>
      </w:pPr>
      <w:r w:rsidRPr="00D616DF">
        <w:rPr>
          <w:sz w:val="22"/>
          <w:szCs w:val="22"/>
          <w:lang w:val="sr-Latn-ME"/>
        </w:rPr>
        <w:lastRenderedPageBreak/>
        <w:t xml:space="preserve">Tireoidna funkcija prospektivno je praćena u 2 studije kod pacijenata sa karcinomom dojke; </w:t>
      </w:r>
      <w:r>
        <w:rPr>
          <w:sz w:val="22"/>
          <w:szCs w:val="22"/>
          <w:lang w:val="sr-Latn-ME"/>
        </w:rPr>
        <w:t>s</w:t>
      </w:r>
      <w:r w:rsidRPr="00D616DF">
        <w:rPr>
          <w:sz w:val="22"/>
          <w:szCs w:val="22"/>
          <w:lang w:val="sr-Latn-ME"/>
        </w:rPr>
        <w:t>unitinib nije odobren za liječenje karcinoma dojke. U jednoj studiji hipotireoidizam je zabilježen kod 15 (13,6%) pacijenata na terapiji</w:t>
      </w:r>
      <w:r>
        <w:rPr>
          <w:sz w:val="22"/>
          <w:szCs w:val="22"/>
          <w:lang w:val="sr-Latn-ME"/>
        </w:rPr>
        <w:t xml:space="preserve"> sunitinibom i 3 (2,9%) pacijen</w:t>
      </w:r>
      <w:r w:rsidRPr="00D616DF">
        <w:rPr>
          <w:sz w:val="22"/>
          <w:szCs w:val="22"/>
          <w:lang w:val="sr-Latn-ME"/>
        </w:rPr>
        <w:t xml:space="preserve">ta na standardnoj terapiji. Povećanje nivoa TSH u krvi je zabilježeno kod 1 (0,9%) pacijenta na terapiji sunitinibom i </w:t>
      </w:r>
      <w:r w:rsidR="00556B3C">
        <w:rPr>
          <w:sz w:val="22"/>
          <w:szCs w:val="22"/>
          <w:lang w:val="sr-Latn-ME"/>
        </w:rPr>
        <w:t>ni</w:t>
      </w:r>
      <w:r w:rsidRPr="00D616DF">
        <w:rPr>
          <w:sz w:val="22"/>
          <w:szCs w:val="22"/>
          <w:lang w:val="sr-Latn-ME"/>
        </w:rPr>
        <w:t>jednog pacijenta na standardnoj terapiji. Hipertireoidizam nije zabilježen kod pacijenata na terapiji sunitinibom, a zabilje</w:t>
      </w:r>
      <w:r>
        <w:rPr>
          <w:sz w:val="22"/>
          <w:szCs w:val="22"/>
          <w:lang w:val="sr-Latn-ME"/>
        </w:rPr>
        <w:t>žen je kod 1 (1,0%) pacijen</w:t>
      </w:r>
      <w:r w:rsidRPr="00D616DF">
        <w:rPr>
          <w:sz w:val="22"/>
          <w:szCs w:val="22"/>
          <w:lang w:val="sr-Latn-ME"/>
        </w:rPr>
        <w:t>ta na standardnoj terapiji. U drugoj studiji hipotireoidizam je zabilježen</w:t>
      </w:r>
      <w:r>
        <w:rPr>
          <w:sz w:val="22"/>
          <w:szCs w:val="22"/>
          <w:lang w:val="sr-Latn-ME"/>
        </w:rPr>
        <w:t xml:space="preserve"> kod ukupno 31 (13%) pacijen</w:t>
      </w:r>
      <w:r w:rsidRPr="00D616DF">
        <w:rPr>
          <w:sz w:val="22"/>
          <w:szCs w:val="22"/>
          <w:lang w:val="sr-Latn-ME"/>
        </w:rPr>
        <w:t>ta na terapiji sunitinibom i 2 (0,8%) ispitanika na terapiji kapecitabinom. Povećanje nivoa TSH u krvi je zabilježeno kod 12 (5,0%) pacijenata na terapiji sunitinibom, a ni kod jednog pacijenta na terapiji kapecitabinom. Hipertireoidizam je zabilježen</w:t>
      </w:r>
      <w:r>
        <w:rPr>
          <w:sz w:val="22"/>
          <w:szCs w:val="22"/>
          <w:lang w:val="sr-Latn-ME"/>
        </w:rPr>
        <w:t xml:space="preserve"> kod 4 (1,7%) pacijen</w:t>
      </w:r>
      <w:r w:rsidRPr="00D616DF">
        <w:rPr>
          <w:sz w:val="22"/>
          <w:szCs w:val="22"/>
          <w:lang w:val="sr-Latn-ME"/>
        </w:rPr>
        <w:t xml:space="preserve">ta na terapiji sunitinibom i </w:t>
      </w:r>
      <w:r w:rsidR="00556B3C">
        <w:rPr>
          <w:sz w:val="22"/>
          <w:szCs w:val="22"/>
          <w:lang w:val="sr-Latn-ME"/>
        </w:rPr>
        <w:t>ni</w:t>
      </w:r>
      <w:r w:rsidRPr="00D616DF">
        <w:rPr>
          <w:sz w:val="22"/>
          <w:szCs w:val="22"/>
          <w:lang w:val="sr-Latn-ME"/>
        </w:rPr>
        <w:t>jednog pacijenta na terapiji kapecitabinom. Sniženje nivoa TSH u krvi je zabilježeno kod 3 (1,3%) pacijenta na terapiji sunitinibom, a ni kod jednog pacijenta na terapiji kapecitabinom. Povećanje nivoa T4 je zabilježeno kod 2 (0,8%) pacijenta na terapiji sunitinibom i kod 1 (0,4%) pacijenta na terapiji kapecitabinom. Povećanje nivoa T3 je zabilježeno kod 1 (0,8%) pacijenta na terapiji sunitinibom, a ni kod jednog pacijenta na terapiji kapecitabinom. Svi događaji povezani sa tireoideom su bili gradusa 1-2 (vidjeti dio 4.4).</w:t>
      </w:r>
    </w:p>
    <w:p w:rsidR="00A56C3F" w:rsidRPr="00D616DF" w:rsidRDefault="00A56C3F" w:rsidP="00A56C3F">
      <w:pPr>
        <w:jc w:val="both"/>
        <w:rPr>
          <w:sz w:val="22"/>
          <w:szCs w:val="22"/>
          <w:lang w:val="sr-Latn-ME"/>
        </w:rPr>
      </w:pPr>
    </w:p>
    <w:p w:rsidR="00A56C3F" w:rsidRPr="00D616DF" w:rsidRDefault="00A56C3F" w:rsidP="00A56C3F">
      <w:pPr>
        <w:jc w:val="both"/>
        <w:rPr>
          <w:i/>
          <w:sz w:val="22"/>
          <w:szCs w:val="22"/>
          <w:lang w:val="sr-Latn-ME"/>
        </w:rPr>
      </w:pPr>
      <w:r w:rsidRPr="00D616DF">
        <w:rPr>
          <w:i/>
          <w:sz w:val="22"/>
          <w:szCs w:val="22"/>
          <w:lang w:val="sr-Latn-ME"/>
        </w:rPr>
        <w:t xml:space="preserve">Poremećaji metabolizma i ishrane </w:t>
      </w:r>
    </w:p>
    <w:p w:rsidR="00A56C3F" w:rsidRPr="00D616DF" w:rsidRDefault="00A56C3F" w:rsidP="00A56C3F">
      <w:pPr>
        <w:jc w:val="both"/>
        <w:rPr>
          <w:sz w:val="22"/>
          <w:szCs w:val="22"/>
          <w:lang w:val="sr-Latn-ME"/>
        </w:rPr>
      </w:pPr>
      <w:r w:rsidRPr="00D616DF">
        <w:rPr>
          <w:sz w:val="22"/>
          <w:szCs w:val="22"/>
          <w:lang w:val="sr-Latn-ME"/>
        </w:rPr>
        <w:t>Prij</w:t>
      </w:r>
      <w:r>
        <w:rPr>
          <w:sz w:val="22"/>
          <w:szCs w:val="22"/>
          <w:lang w:val="sr-Latn-ME"/>
        </w:rPr>
        <w:t>avljena je veća stopa incidenc</w:t>
      </w:r>
      <w:r w:rsidRPr="00D616DF">
        <w:rPr>
          <w:sz w:val="22"/>
          <w:szCs w:val="22"/>
          <w:lang w:val="sr-Latn-ME"/>
        </w:rPr>
        <w:t>e hipoglikemijskih događaja kod pacijenata sa pNET u poređenju sa pacijentima sa MRRC i GIST. Uprkos tome, smatra se da većina tih neželjenih događaja u kliničkim studijama nije povezana sa ispitivanim liječenjem (vidjeti dio 4.4)</w:t>
      </w:r>
    </w:p>
    <w:p w:rsidR="00A56C3F" w:rsidRPr="00D616DF" w:rsidRDefault="00A56C3F" w:rsidP="00A56C3F">
      <w:pPr>
        <w:jc w:val="both"/>
        <w:rPr>
          <w:sz w:val="22"/>
          <w:szCs w:val="22"/>
          <w:lang w:val="sr-Latn-ME"/>
        </w:rPr>
      </w:pPr>
    </w:p>
    <w:p w:rsidR="00A56C3F" w:rsidRPr="00D616DF" w:rsidRDefault="00A56C3F" w:rsidP="00A56C3F">
      <w:pPr>
        <w:jc w:val="both"/>
        <w:rPr>
          <w:i/>
          <w:sz w:val="22"/>
          <w:szCs w:val="22"/>
          <w:lang w:val="sr-Latn-ME"/>
        </w:rPr>
      </w:pPr>
      <w:r w:rsidRPr="00D616DF">
        <w:rPr>
          <w:i/>
          <w:sz w:val="22"/>
          <w:szCs w:val="22"/>
          <w:lang w:val="sr-Latn-ME"/>
        </w:rPr>
        <w:t xml:space="preserve">Poremećaji nervnog sistema </w:t>
      </w:r>
    </w:p>
    <w:p w:rsidR="00A56C3F" w:rsidRPr="00D616DF" w:rsidRDefault="00A56C3F" w:rsidP="00A56C3F">
      <w:pPr>
        <w:jc w:val="both"/>
        <w:rPr>
          <w:rFonts w:eastAsia="Calibri"/>
          <w:sz w:val="22"/>
          <w:szCs w:val="22"/>
          <w:u w:val="single"/>
          <w:lang w:val="sr-Latn-ME"/>
        </w:rPr>
      </w:pPr>
      <w:r w:rsidRPr="00D616DF">
        <w:rPr>
          <w:sz w:val="22"/>
          <w:szCs w:val="22"/>
          <w:lang w:val="sr-Latn-ME"/>
        </w:rPr>
        <w:t xml:space="preserve">U kliničkim studijama sunitiniba, kao i tokom postmarketinškog praćenja, zabilježeno je nekoliko slučajeva (&lt; 1%), od kojih su neki bili sa </w:t>
      </w:r>
      <w:r w:rsidR="00556B3C">
        <w:rPr>
          <w:sz w:val="22"/>
          <w:szCs w:val="22"/>
          <w:lang w:val="sr-Latn-ME"/>
        </w:rPr>
        <w:t xml:space="preserve">smrtnim </w:t>
      </w:r>
      <w:r w:rsidRPr="00D616DF">
        <w:rPr>
          <w:sz w:val="22"/>
          <w:szCs w:val="22"/>
          <w:lang w:val="sr-Latn-ME"/>
        </w:rPr>
        <w:t xml:space="preserve">ishodom, ispitanika koji su imali konvulzije i radiološke dokaze sindroma reverzibilne posteriorne encefalopatije (RPLS). Konvulzije su </w:t>
      </w:r>
      <w:r>
        <w:rPr>
          <w:sz w:val="22"/>
          <w:szCs w:val="22"/>
          <w:lang w:val="sr-Latn-ME"/>
        </w:rPr>
        <w:t xml:space="preserve">zabilježene </w:t>
      </w:r>
      <w:r w:rsidRPr="00D616DF">
        <w:rPr>
          <w:sz w:val="22"/>
          <w:szCs w:val="22"/>
          <w:lang w:val="sr-Latn-ME"/>
        </w:rPr>
        <w:t>kod pacijenata sa ili bez radioloških dokaza o metastazama u mozgu (vidjeti dio 4.4).</w:t>
      </w:r>
    </w:p>
    <w:p w:rsidR="00A56C3F" w:rsidRPr="00D616DF" w:rsidRDefault="00A56C3F" w:rsidP="00A56C3F">
      <w:pPr>
        <w:rPr>
          <w:rFonts w:eastAsia="Calibri"/>
          <w:sz w:val="22"/>
          <w:szCs w:val="22"/>
          <w:u w:val="single"/>
          <w:lang w:val="sr-Latn-ME"/>
        </w:rPr>
      </w:pPr>
    </w:p>
    <w:p w:rsidR="00A56C3F" w:rsidRPr="00D616DF" w:rsidRDefault="00A56C3F" w:rsidP="00A56C3F">
      <w:pPr>
        <w:jc w:val="both"/>
        <w:rPr>
          <w:i/>
          <w:sz w:val="22"/>
          <w:szCs w:val="22"/>
          <w:lang w:val="sr-Latn-ME"/>
        </w:rPr>
      </w:pPr>
      <w:r w:rsidRPr="00D616DF">
        <w:rPr>
          <w:i/>
          <w:sz w:val="22"/>
          <w:szCs w:val="22"/>
          <w:lang w:val="sr-Latn-ME"/>
        </w:rPr>
        <w:t xml:space="preserve">Kardiološki poremećaji </w:t>
      </w:r>
    </w:p>
    <w:p w:rsidR="00A56C3F" w:rsidRPr="00D616DF" w:rsidRDefault="00A56C3F" w:rsidP="00A56C3F">
      <w:pPr>
        <w:jc w:val="both"/>
        <w:rPr>
          <w:sz w:val="22"/>
          <w:szCs w:val="22"/>
          <w:lang w:val="sr-Latn-ME"/>
        </w:rPr>
      </w:pPr>
      <w:r w:rsidRPr="00D616DF">
        <w:rPr>
          <w:sz w:val="22"/>
          <w:szCs w:val="22"/>
          <w:lang w:val="sr-Latn-ME"/>
        </w:rPr>
        <w:t>U kliničkim studijama, smanjenje ejekcione frakcije lijeve komore (LVEF) od ≥ 20% i ispod donje granice normalnih vrijednosti, zabilježeno je kod približno 2% pacijenata sa GIST koji su primali sunitinib, kod 4% pacijenata sa MRCC refraktornim na citokine i kod 2% pacijenata sa GIST koji su primali placebo. Izgleda da ta smanjenja LVEF nijesu bila progresivna i često se stanje popravljalo tokom daljeg liječenja. U studiji kod do tada neliječenog MRCC, 27% pacijenata koji su primali sunitinib i 15% pacijenata koji su liječeni IFN-α imalo je vrijednosti LVEF ispod donje granice normalnih vrijednosti. Kod dva pacijenta (</w:t>
      </w:r>
      <w:r w:rsidRPr="00D616DF">
        <w:rPr>
          <w:sz w:val="22"/>
          <w:szCs w:val="22"/>
          <w:lang w:val="sr-Latn-ME"/>
        </w:rPr>
        <w:sym w:font="Symbol" w:char="F03C"/>
      </w:r>
      <w:r w:rsidRPr="00D616DF">
        <w:rPr>
          <w:sz w:val="22"/>
          <w:szCs w:val="22"/>
          <w:lang w:val="sr-Latn-ME"/>
        </w:rPr>
        <w:t>1%) koji su primali sunitinib postavljena je dijagnoza kongenstivne srčane insuficijencije.</w:t>
      </w:r>
    </w:p>
    <w:p w:rsidR="00A56C3F" w:rsidRPr="00D616DF" w:rsidRDefault="00A56C3F" w:rsidP="00A56C3F">
      <w:pPr>
        <w:jc w:val="both"/>
        <w:rPr>
          <w:rFonts w:eastAsia="Calibri"/>
          <w:sz w:val="22"/>
          <w:szCs w:val="22"/>
          <w:u w:val="single"/>
          <w:lang w:val="sr-Latn-ME"/>
        </w:rPr>
      </w:pPr>
    </w:p>
    <w:p w:rsidR="00A56C3F" w:rsidRPr="00D616DF" w:rsidRDefault="00A56C3F" w:rsidP="00A56C3F">
      <w:pPr>
        <w:jc w:val="both"/>
        <w:rPr>
          <w:rFonts w:eastAsia="Calibri"/>
          <w:sz w:val="22"/>
          <w:szCs w:val="22"/>
          <w:u w:val="single"/>
          <w:lang w:val="sr-Latn-ME"/>
        </w:rPr>
      </w:pPr>
      <w:r w:rsidRPr="00D616DF">
        <w:rPr>
          <w:sz w:val="22"/>
          <w:szCs w:val="22"/>
          <w:lang w:val="sr-Latn-ME"/>
        </w:rPr>
        <w:t xml:space="preserve">Kod pacijenata sa GIST, ‘srčana insuficijencija’, ‘kongestivna srčana insuficijencija’ ili ‘insuficijencija lijeve komore’, prijavljeni su kod 1,2% pacijenata koji su liječeni sunitinibom i kod 1% pacijenata koji su primali placebo. U pivotalnoj GIST studiji faze 3 (N=312) </w:t>
      </w:r>
      <w:r w:rsidR="00556B3C">
        <w:rPr>
          <w:sz w:val="22"/>
          <w:szCs w:val="22"/>
          <w:lang w:val="sr-Latn-ME"/>
        </w:rPr>
        <w:t xml:space="preserve">smrtni </w:t>
      </w:r>
      <w:r w:rsidRPr="00D616DF">
        <w:rPr>
          <w:sz w:val="22"/>
          <w:szCs w:val="22"/>
          <w:lang w:val="sr-Latn-ME"/>
        </w:rPr>
        <w:t xml:space="preserve">srčani događaji povezani sa terapijom zabilježeni su kod 1% pacijenata u obje terapijske grupe (tj. sunitinib i placebo grupa). U studiji faze 2 kod pacijenata sa MRCC refraktornim na citokine, kod 0,9% pacijenata došlo je do pojave </w:t>
      </w:r>
      <w:r w:rsidR="00556B3C">
        <w:rPr>
          <w:sz w:val="22"/>
          <w:szCs w:val="22"/>
          <w:lang w:val="sr-Latn-ME"/>
        </w:rPr>
        <w:t xml:space="preserve">smrtnog </w:t>
      </w:r>
      <w:r w:rsidRPr="00D616DF">
        <w:rPr>
          <w:sz w:val="22"/>
          <w:szCs w:val="22"/>
          <w:lang w:val="sr-Latn-ME"/>
        </w:rPr>
        <w:t>infarkta miokarda kao posljedice liječenja. U studiji faze 3 kod do tada neliječenog (tzv. "</w:t>
      </w:r>
      <w:r w:rsidRPr="003F61A5">
        <w:rPr>
          <w:i/>
          <w:sz w:val="22"/>
          <w:szCs w:val="22"/>
          <w:lang w:val="sr-Latn-ME"/>
        </w:rPr>
        <w:t>naive</w:t>
      </w:r>
      <w:r w:rsidRPr="00D616DF">
        <w:rPr>
          <w:sz w:val="22"/>
          <w:szCs w:val="22"/>
          <w:lang w:val="sr-Latn-ME"/>
        </w:rPr>
        <w:t xml:space="preserve">") MRCC, 0,6% pacijenata koji su liječeni IFN-α i 0% pacijenata koji su primali sunitinib su imali </w:t>
      </w:r>
      <w:r w:rsidR="00556B3C">
        <w:rPr>
          <w:sz w:val="22"/>
          <w:szCs w:val="22"/>
          <w:lang w:val="sr-Latn-ME"/>
        </w:rPr>
        <w:t xml:space="preserve">smrtne </w:t>
      </w:r>
      <w:r w:rsidRPr="00D616DF">
        <w:rPr>
          <w:sz w:val="22"/>
          <w:szCs w:val="22"/>
          <w:lang w:val="sr-Latn-ME"/>
        </w:rPr>
        <w:t xml:space="preserve">srčane događaje. U pNET studiji faze 3 jedan (1%) pacijent koji je primao sunitinib imao je </w:t>
      </w:r>
      <w:r w:rsidR="00556B3C">
        <w:rPr>
          <w:sz w:val="22"/>
          <w:szCs w:val="22"/>
          <w:lang w:val="sr-Latn-ME"/>
        </w:rPr>
        <w:t xml:space="preserve">smrtnu </w:t>
      </w:r>
      <w:r w:rsidRPr="00D616DF">
        <w:rPr>
          <w:sz w:val="22"/>
          <w:szCs w:val="22"/>
          <w:lang w:val="sr-Latn-ME"/>
        </w:rPr>
        <w:t>insuficijenciju srca povezanu sa terapijom.</w:t>
      </w:r>
    </w:p>
    <w:p w:rsidR="00A56C3F" w:rsidRPr="00D616DF" w:rsidRDefault="00A56C3F" w:rsidP="00A56C3F">
      <w:pPr>
        <w:jc w:val="both"/>
        <w:rPr>
          <w:rFonts w:eastAsia="Calibri"/>
          <w:sz w:val="22"/>
          <w:szCs w:val="22"/>
          <w:u w:val="single"/>
          <w:lang w:val="sr-Latn-ME"/>
        </w:rPr>
      </w:pPr>
    </w:p>
    <w:p w:rsidR="00A56C3F" w:rsidRPr="00D616DF" w:rsidRDefault="00A56C3F" w:rsidP="00A56C3F">
      <w:pPr>
        <w:jc w:val="both"/>
        <w:rPr>
          <w:i/>
          <w:sz w:val="22"/>
          <w:szCs w:val="22"/>
          <w:lang w:val="sr-Latn-ME"/>
        </w:rPr>
      </w:pPr>
      <w:r w:rsidRPr="00D616DF">
        <w:rPr>
          <w:i/>
          <w:sz w:val="22"/>
          <w:szCs w:val="22"/>
          <w:lang w:val="sr-Latn-ME"/>
        </w:rPr>
        <w:t xml:space="preserve">Vaskularni poremećaji </w:t>
      </w:r>
    </w:p>
    <w:p w:rsidR="00A56C3F" w:rsidRPr="00D616DF" w:rsidRDefault="00A56C3F" w:rsidP="00A56C3F">
      <w:pPr>
        <w:jc w:val="both"/>
        <w:rPr>
          <w:sz w:val="22"/>
          <w:szCs w:val="22"/>
          <w:u w:val="single"/>
          <w:lang w:val="sr-Latn-ME"/>
        </w:rPr>
      </w:pPr>
    </w:p>
    <w:p w:rsidR="00A56C3F" w:rsidRPr="00D616DF" w:rsidRDefault="00A56C3F" w:rsidP="00A56C3F">
      <w:pPr>
        <w:jc w:val="both"/>
        <w:rPr>
          <w:i/>
          <w:sz w:val="22"/>
          <w:szCs w:val="22"/>
          <w:u w:val="single"/>
          <w:lang w:val="sr-Latn-ME"/>
        </w:rPr>
      </w:pPr>
      <w:r w:rsidRPr="00D616DF">
        <w:rPr>
          <w:i/>
          <w:sz w:val="22"/>
          <w:szCs w:val="22"/>
          <w:u w:val="single"/>
          <w:lang w:val="sr-Latn-ME"/>
        </w:rPr>
        <w:t xml:space="preserve">Hipertenzija </w:t>
      </w:r>
    </w:p>
    <w:p w:rsidR="00A56C3F" w:rsidRPr="00D616DF" w:rsidRDefault="00A56C3F" w:rsidP="00A56C3F">
      <w:pPr>
        <w:jc w:val="both"/>
        <w:rPr>
          <w:rFonts w:eastAsia="Calibri"/>
          <w:sz w:val="22"/>
          <w:szCs w:val="22"/>
          <w:u w:val="single"/>
          <w:lang w:val="sr-Latn-ME"/>
        </w:rPr>
      </w:pPr>
      <w:r w:rsidRPr="00D616DF">
        <w:rPr>
          <w:sz w:val="22"/>
          <w:szCs w:val="22"/>
          <w:lang w:val="sr-Latn-ME"/>
        </w:rPr>
        <w:t>Hipertenzija je bila vrlo česta neželjena reakcija koja je prijavljena u kliničkim studijama. Doze sunitiniba bile su smanjene ili je uzimanje lijeka bilo privremeno prekinuto kod približno 2,7% pacijenata sa hipertenzijom. Terapija sunitinibom nije trajno prekinuta ni kod jednog od tih pacijenata. Teška hipertenzija (&gt; 200 mmHg za sistolni ili 110 mmHg za dijastolni pritisak) zabilježena je kod 4,7% pacijenata sa solidnim tumorima. Hipertenzija je zabilježena kod približno 33,9% pacijenata koji su uzimali sunitinib za liječenje do tada neliječenog (tzv. "</w:t>
      </w:r>
      <w:r w:rsidRPr="003F61A5">
        <w:rPr>
          <w:i/>
          <w:sz w:val="22"/>
          <w:szCs w:val="22"/>
          <w:lang w:val="sr-Latn-ME"/>
        </w:rPr>
        <w:t>naive</w:t>
      </w:r>
      <w:r w:rsidRPr="00D616DF">
        <w:rPr>
          <w:sz w:val="22"/>
          <w:szCs w:val="22"/>
          <w:lang w:val="sr-Latn-ME"/>
        </w:rPr>
        <w:t xml:space="preserve">") MRCC u poređenju sa 3,6% pacijenata </w:t>
      </w:r>
      <w:r w:rsidRPr="00D616DF">
        <w:rPr>
          <w:sz w:val="22"/>
          <w:szCs w:val="22"/>
          <w:lang w:val="sr-Latn-ME"/>
        </w:rPr>
        <w:lastRenderedPageBreak/>
        <w:t xml:space="preserve">liječenih sa IFN-α. Teška hipertenzija zabilježena je kod 12% prethodno neliječenih pacijenata koji su primali sunitinib i kod </w:t>
      </w:r>
      <w:r w:rsidRPr="00D616DF">
        <w:rPr>
          <w:sz w:val="22"/>
          <w:szCs w:val="22"/>
          <w:lang w:val="sr-Latn-ME"/>
        </w:rPr>
        <w:sym w:font="Symbol" w:char="F03C"/>
      </w:r>
      <w:r w:rsidRPr="00D616DF">
        <w:rPr>
          <w:sz w:val="22"/>
          <w:szCs w:val="22"/>
          <w:lang w:val="sr-Latn-ME"/>
        </w:rPr>
        <w:t xml:space="preserve"> 1% liječenih sa IFN-α. Hipertenzija je prijavljena kod 26,5% pacijenata koji su primali sunitinib u pNET studiji faze 3, u poređenju sa 4,9% pacijenata koji su primali placebo. Teška hipertenzija je zabilježena kod 10% pacijenata sa pNET koji su primali sunitinib i kod 3% pacijenata koji su primali placebo.</w:t>
      </w:r>
    </w:p>
    <w:p w:rsidR="00A56C3F" w:rsidRPr="00D616DF" w:rsidRDefault="00A56C3F" w:rsidP="00A56C3F">
      <w:pPr>
        <w:jc w:val="both"/>
        <w:rPr>
          <w:rFonts w:eastAsia="Calibri"/>
          <w:sz w:val="22"/>
          <w:szCs w:val="22"/>
          <w:u w:val="single"/>
          <w:lang w:val="sr-Latn-ME"/>
        </w:rPr>
      </w:pPr>
    </w:p>
    <w:p w:rsidR="00A56C3F" w:rsidRPr="00D616DF" w:rsidRDefault="00A56C3F" w:rsidP="00A56C3F">
      <w:pPr>
        <w:jc w:val="both"/>
        <w:rPr>
          <w:sz w:val="22"/>
          <w:szCs w:val="22"/>
          <w:u w:val="single"/>
          <w:lang w:val="sr-Latn-ME"/>
        </w:rPr>
      </w:pPr>
      <w:r w:rsidRPr="00D616DF">
        <w:rPr>
          <w:sz w:val="22"/>
          <w:szCs w:val="22"/>
          <w:u w:val="single"/>
          <w:lang w:val="sr-Latn-ME"/>
        </w:rPr>
        <w:t xml:space="preserve">Venski tromboembolijski događaji </w:t>
      </w:r>
    </w:p>
    <w:p w:rsidR="00A56C3F" w:rsidRPr="00D616DF" w:rsidRDefault="00A56C3F" w:rsidP="00A56C3F">
      <w:pPr>
        <w:jc w:val="both"/>
        <w:rPr>
          <w:sz w:val="22"/>
          <w:szCs w:val="22"/>
          <w:lang w:val="sr-Latn-ME"/>
        </w:rPr>
      </w:pPr>
      <w:r w:rsidRPr="00D616DF">
        <w:rPr>
          <w:sz w:val="22"/>
          <w:szCs w:val="22"/>
          <w:lang w:val="sr-Latn-ME"/>
        </w:rPr>
        <w:t xml:space="preserve">Venski tromboembolijski događaji povezani sa terapijom sunitinibom zabilježeni su kod približno 1,0% pacijenata sa solidnim tumorima koji su primali sunitinib tokom kliničkih studija, uključujući GIST i RCC. </w:t>
      </w:r>
    </w:p>
    <w:p w:rsidR="00A56C3F" w:rsidRPr="00D616DF" w:rsidRDefault="00A56C3F" w:rsidP="00A56C3F">
      <w:pPr>
        <w:jc w:val="both"/>
        <w:rPr>
          <w:sz w:val="22"/>
          <w:szCs w:val="22"/>
          <w:lang w:val="sr-Latn-ME"/>
        </w:rPr>
      </w:pPr>
    </w:p>
    <w:p w:rsidR="00A56C3F" w:rsidRPr="00D616DF" w:rsidRDefault="00A56C3F" w:rsidP="00A56C3F">
      <w:pPr>
        <w:jc w:val="both"/>
        <w:rPr>
          <w:sz w:val="22"/>
          <w:szCs w:val="22"/>
          <w:lang w:val="sr-Latn-ME"/>
        </w:rPr>
      </w:pPr>
      <w:r w:rsidRPr="00D616DF">
        <w:rPr>
          <w:sz w:val="22"/>
          <w:szCs w:val="22"/>
          <w:lang w:val="sr-Latn-ME"/>
        </w:rPr>
        <w:t>U GIST studiji faze 3, sedam pacijenata (3%) koji su primali sunitinib imalo je venske tromboembolijske događaje i ni jedan pacijent koji je liječen placebom; 5 od 7 pacijenata imalo je trombozu dubokih vena (</w:t>
      </w:r>
      <w:r w:rsidRPr="003F61A5">
        <w:rPr>
          <w:sz w:val="22"/>
          <w:szCs w:val="22"/>
          <w:lang w:val="en-GB"/>
        </w:rPr>
        <w:t xml:space="preserve">engl. </w:t>
      </w:r>
      <w:r w:rsidRPr="003F61A5">
        <w:rPr>
          <w:i/>
          <w:iCs/>
          <w:sz w:val="22"/>
          <w:szCs w:val="22"/>
          <w:lang w:val="en-GB"/>
        </w:rPr>
        <w:t>deep venous thrombosis</w:t>
      </w:r>
      <w:r>
        <w:rPr>
          <w:i/>
          <w:iCs/>
          <w:sz w:val="22"/>
          <w:szCs w:val="22"/>
          <w:lang w:val="en-GB"/>
        </w:rPr>
        <w:t xml:space="preserve">, </w:t>
      </w:r>
      <w:r w:rsidRPr="00D616DF">
        <w:rPr>
          <w:sz w:val="22"/>
          <w:szCs w:val="22"/>
          <w:lang w:val="sr-Latn-ME"/>
        </w:rPr>
        <w:t xml:space="preserve">DVT) gradusa 3, a 2 su imala gradus 1 ili 2. Četiri od tih 7 GIST pacijenata prekinulo je liječenje poslije prve opservacije tromboze dubokih vena. </w:t>
      </w:r>
    </w:p>
    <w:p w:rsidR="00A56C3F" w:rsidRPr="00D616DF" w:rsidRDefault="00A56C3F" w:rsidP="00A56C3F">
      <w:pPr>
        <w:jc w:val="both"/>
        <w:rPr>
          <w:sz w:val="22"/>
          <w:szCs w:val="22"/>
          <w:lang w:val="sr-Latn-ME"/>
        </w:rPr>
      </w:pPr>
    </w:p>
    <w:p w:rsidR="00A56C3F" w:rsidRPr="00D616DF" w:rsidRDefault="00A56C3F" w:rsidP="00A56C3F">
      <w:pPr>
        <w:jc w:val="both"/>
        <w:rPr>
          <w:sz w:val="22"/>
          <w:szCs w:val="22"/>
          <w:lang w:val="sr-Latn-ME"/>
        </w:rPr>
      </w:pPr>
      <w:r w:rsidRPr="00D616DF">
        <w:rPr>
          <w:sz w:val="22"/>
          <w:szCs w:val="22"/>
          <w:lang w:val="sr-Latn-ME"/>
        </w:rPr>
        <w:t xml:space="preserve">Trinaest pacijenata (3%) koji su primali sunitinib u studiji faze 3 sa do tada neliječenim MRCC i 4 pacijenta (2%) u 2 studije sa MRCC refraktornim na citokine, imalo je venske tromboembolijske događaje. Devet od tih pacijenata imalo je plućnu emboliju, 1 gradusa 2, a 8 gradusa 4. Osam pacijenata je imalo trombozu dubokih vena; 1 pacijent gradusa 1, 2 pacijenta gradusa 2, 4 pacijenta gradusa 3 i 1 pacijent gradusa 4. U studiji sa MRCC koji je bio refraktoran na citokine, 1 pacijent koji je imao plućnu emboliju morao je da prekine liječenje. </w:t>
      </w:r>
    </w:p>
    <w:p w:rsidR="00A56C3F" w:rsidRPr="00D616DF" w:rsidRDefault="00A56C3F" w:rsidP="00A56C3F">
      <w:pPr>
        <w:jc w:val="both"/>
        <w:rPr>
          <w:sz w:val="22"/>
          <w:szCs w:val="22"/>
          <w:lang w:val="sr-Latn-ME"/>
        </w:rPr>
      </w:pPr>
    </w:p>
    <w:p w:rsidR="00A56C3F" w:rsidRPr="00D616DF" w:rsidRDefault="00A56C3F" w:rsidP="00A56C3F">
      <w:pPr>
        <w:jc w:val="both"/>
        <w:rPr>
          <w:sz w:val="22"/>
          <w:szCs w:val="22"/>
          <w:lang w:val="sr-Latn-ME"/>
        </w:rPr>
      </w:pPr>
      <w:r w:rsidRPr="00D616DF">
        <w:rPr>
          <w:sz w:val="22"/>
          <w:szCs w:val="22"/>
          <w:lang w:val="sr-Latn-ME"/>
        </w:rPr>
        <w:t xml:space="preserve">Tokom liječenja do tada neliječenog MRCC, kod 6 pacijenata (2%) koji su liječeni IFN-α zabilježeni su venski tromboembolijski događaji: 1 pacijent (&lt; 1%) imao je trombozu dubokih vena gradusa 3, a 5 pacijenata (1%) imalo je plućnu emboliju, svi gradusa 4. </w:t>
      </w:r>
    </w:p>
    <w:p w:rsidR="00A56C3F" w:rsidRPr="00D616DF" w:rsidRDefault="00A56C3F" w:rsidP="00A56C3F">
      <w:pPr>
        <w:jc w:val="both"/>
        <w:rPr>
          <w:sz w:val="22"/>
          <w:szCs w:val="22"/>
          <w:lang w:val="sr-Latn-ME"/>
        </w:rPr>
      </w:pPr>
    </w:p>
    <w:p w:rsidR="00A56C3F" w:rsidRPr="00D616DF" w:rsidRDefault="00A56C3F" w:rsidP="00A56C3F">
      <w:pPr>
        <w:jc w:val="both"/>
        <w:rPr>
          <w:sz w:val="22"/>
          <w:szCs w:val="22"/>
          <w:lang w:val="sr-Latn-ME"/>
        </w:rPr>
      </w:pPr>
      <w:r w:rsidRPr="00D616DF">
        <w:rPr>
          <w:sz w:val="22"/>
          <w:szCs w:val="22"/>
          <w:lang w:val="sr-Latn-ME"/>
        </w:rPr>
        <w:t xml:space="preserve">U pNET studiji faze 3, venski tromboembolijski događaji prijavljeni su kod 1 pacijenta (1,2%) u grupi koja je primala sunitinib i kod 5 pacijenata (6,1%) u grupi koja je primala placebo. Dva pacijenta u grupi koja je liječena placebom imala su trombozu dubokih vena, 1 gradusa 2 i 1 gradusa 3. </w:t>
      </w:r>
    </w:p>
    <w:p w:rsidR="00A56C3F" w:rsidRPr="00D616DF" w:rsidRDefault="00A56C3F" w:rsidP="00A56C3F">
      <w:pPr>
        <w:jc w:val="both"/>
        <w:rPr>
          <w:sz w:val="22"/>
          <w:szCs w:val="22"/>
          <w:lang w:val="sr-Latn-ME"/>
        </w:rPr>
      </w:pPr>
    </w:p>
    <w:p w:rsidR="00A56C3F" w:rsidRPr="00D616DF" w:rsidRDefault="00A56C3F" w:rsidP="00A56C3F">
      <w:pPr>
        <w:jc w:val="both"/>
        <w:rPr>
          <w:sz w:val="22"/>
          <w:szCs w:val="22"/>
          <w:lang w:val="sr-Latn-ME"/>
        </w:rPr>
      </w:pPr>
      <w:r w:rsidRPr="00D616DF">
        <w:rPr>
          <w:sz w:val="22"/>
          <w:szCs w:val="22"/>
          <w:lang w:val="sr-Latn-ME"/>
        </w:rPr>
        <w:t xml:space="preserve">Nije prijavljen nijedan slučaj sa smrtnim ishodom u GIST, MRCC i pNET registracionim studijama. Slučajevi sa smrtnim ishodom zabilježeni su tokom postmarketinškog praćenja. </w:t>
      </w:r>
    </w:p>
    <w:p w:rsidR="00A56C3F" w:rsidRPr="00D616DF" w:rsidRDefault="00A56C3F" w:rsidP="00A56C3F">
      <w:pPr>
        <w:jc w:val="both"/>
        <w:rPr>
          <w:sz w:val="22"/>
          <w:szCs w:val="22"/>
          <w:lang w:val="sr-Latn-ME"/>
        </w:rPr>
      </w:pPr>
    </w:p>
    <w:p w:rsidR="00A56C3F" w:rsidRPr="00D616DF" w:rsidRDefault="00A56C3F" w:rsidP="00A56C3F">
      <w:pPr>
        <w:jc w:val="both"/>
        <w:rPr>
          <w:sz w:val="22"/>
          <w:szCs w:val="22"/>
          <w:lang w:val="sr-Latn-ME"/>
        </w:rPr>
      </w:pPr>
      <w:r w:rsidRPr="00D616DF">
        <w:rPr>
          <w:sz w:val="22"/>
          <w:szCs w:val="22"/>
          <w:lang w:val="sr-Latn-ME"/>
        </w:rPr>
        <w:t xml:space="preserve">Slučajevi plućne embolije </w:t>
      </w:r>
      <w:r>
        <w:rPr>
          <w:sz w:val="22"/>
          <w:szCs w:val="22"/>
          <w:lang w:val="sr-Latn-ME"/>
        </w:rPr>
        <w:t>zabilježeni</w:t>
      </w:r>
      <w:r w:rsidRPr="00D616DF">
        <w:rPr>
          <w:sz w:val="22"/>
          <w:szCs w:val="22"/>
          <w:lang w:val="sr-Latn-ME"/>
        </w:rPr>
        <w:t xml:space="preserve"> su kod približno 3,1% pacijenata sa GIST i kod približno 1,2% pacijenata sa MRCC, koji su primali sunitinib u kliničkim studijama faze 3. Kod pacijenata sa pNET koji su primali sunitinib u studiji faze 3, nije zabilježena embolija pluća. Rijetki slučajevi sa </w:t>
      </w:r>
      <w:r w:rsidR="00556B3C">
        <w:rPr>
          <w:sz w:val="22"/>
          <w:szCs w:val="22"/>
          <w:lang w:val="sr-Latn-ME"/>
        </w:rPr>
        <w:t xml:space="preserve">smrtnim </w:t>
      </w:r>
      <w:r w:rsidRPr="00D616DF">
        <w:rPr>
          <w:sz w:val="22"/>
          <w:szCs w:val="22"/>
          <w:lang w:val="sr-Latn-ME"/>
        </w:rPr>
        <w:t xml:space="preserve">ishodom zabilježeni su tokom postmarketinškog praćenja. </w:t>
      </w:r>
    </w:p>
    <w:p w:rsidR="00A56C3F" w:rsidRPr="00D616DF" w:rsidRDefault="00A56C3F" w:rsidP="00A56C3F">
      <w:pPr>
        <w:jc w:val="both"/>
        <w:rPr>
          <w:sz w:val="22"/>
          <w:szCs w:val="22"/>
          <w:lang w:val="sr-Latn-ME"/>
        </w:rPr>
      </w:pPr>
    </w:p>
    <w:p w:rsidR="00A56C3F" w:rsidRDefault="00A56C3F" w:rsidP="00A56C3F">
      <w:pPr>
        <w:jc w:val="both"/>
        <w:rPr>
          <w:sz w:val="22"/>
          <w:szCs w:val="22"/>
          <w:lang w:val="sr-Latn-ME"/>
        </w:rPr>
      </w:pPr>
      <w:r w:rsidRPr="00D616DF">
        <w:rPr>
          <w:sz w:val="22"/>
          <w:szCs w:val="22"/>
          <w:lang w:val="sr-Latn-ME"/>
        </w:rPr>
        <w:t xml:space="preserve">Pacijenti koji su imali plućnu emboliju u prethodnih 12 mjeseci bili su isključeni iz kliničkih studija sa sunitinibom. </w:t>
      </w:r>
    </w:p>
    <w:p w:rsidR="00A56C3F" w:rsidRPr="00D616DF" w:rsidRDefault="00A56C3F" w:rsidP="00A56C3F">
      <w:pPr>
        <w:jc w:val="both"/>
        <w:rPr>
          <w:sz w:val="22"/>
          <w:szCs w:val="22"/>
          <w:lang w:val="sr-Latn-ME"/>
        </w:rPr>
      </w:pPr>
    </w:p>
    <w:p w:rsidR="00A56C3F" w:rsidRDefault="00A56C3F" w:rsidP="00A56C3F">
      <w:pPr>
        <w:jc w:val="both"/>
        <w:rPr>
          <w:sz w:val="22"/>
          <w:szCs w:val="22"/>
          <w:lang w:val="sr-Latn-ME"/>
        </w:rPr>
      </w:pPr>
      <w:r w:rsidRPr="00D616DF">
        <w:rPr>
          <w:sz w:val="22"/>
          <w:szCs w:val="22"/>
          <w:lang w:val="sr-Latn-ME"/>
        </w:rPr>
        <w:t xml:space="preserve">Kod pacijenata koji su primali sunitinib u toku kliničkih registracionih studija faze 3, plućni događaji (tj. dispneja, pleuralna efuzija, plućna embolija ili plućni edem) opisani su kod približno 17,8% pacijenata sa GIST, kod približno 26,7% pacijenata sa MRCC i kod 12% pacijenata sa pNET. </w:t>
      </w:r>
    </w:p>
    <w:p w:rsidR="00A56C3F" w:rsidRPr="00D616DF" w:rsidRDefault="00A56C3F" w:rsidP="00A56C3F">
      <w:pPr>
        <w:jc w:val="both"/>
        <w:rPr>
          <w:sz w:val="22"/>
          <w:szCs w:val="22"/>
          <w:lang w:val="sr-Latn-ME"/>
        </w:rPr>
      </w:pPr>
    </w:p>
    <w:p w:rsidR="00A56C3F" w:rsidRPr="00D616DF" w:rsidRDefault="00A56C3F" w:rsidP="00A56C3F">
      <w:pPr>
        <w:jc w:val="both"/>
        <w:rPr>
          <w:sz w:val="22"/>
          <w:szCs w:val="22"/>
          <w:lang w:val="sr-Latn-ME"/>
        </w:rPr>
      </w:pPr>
      <w:r w:rsidRPr="00D616DF">
        <w:rPr>
          <w:sz w:val="22"/>
          <w:szCs w:val="22"/>
          <w:lang w:val="sr-Latn-ME"/>
        </w:rPr>
        <w:t>Kod približno 22,2% pacijenata sa solidnim tumorima, uključujući GIST i MRCC, koji su primali sunitinib u toku kliničkih studija, opisani su plućni događaji.</w:t>
      </w:r>
    </w:p>
    <w:p w:rsidR="00A56C3F" w:rsidRPr="00D616DF" w:rsidRDefault="00A56C3F" w:rsidP="00A56C3F">
      <w:pPr>
        <w:jc w:val="both"/>
        <w:rPr>
          <w:rFonts w:eastAsia="Calibri"/>
          <w:sz w:val="22"/>
          <w:szCs w:val="22"/>
          <w:u w:val="single"/>
          <w:lang w:val="sr-Latn-ME"/>
        </w:rPr>
      </w:pPr>
    </w:p>
    <w:p w:rsidR="00A56C3F" w:rsidRPr="00D616DF" w:rsidRDefault="00A56C3F" w:rsidP="00A56C3F">
      <w:pPr>
        <w:jc w:val="both"/>
        <w:rPr>
          <w:i/>
          <w:sz w:val="22"/>
          <w:szCs w:val="22"/>
          <w:lang w:val="sr-Latn-ME"/>
        </w:rPr>
      </w:pPr>
      <w:r w:rsidRPr="00D616DF">
        <w:rPr>
          <w:i/>
          <w:sz w:val="22"/>
          <w:szCs w:val="22"/>
          <w:lang w:val="sr-Latn-ME"/>
        </w:rPr>
        <w:t xml:space="preserve">Gastrointestinalni poremećaji </w:t>
      </w:r>
    </w:p>
    <w:p w:rsidR="00A56C3F" w:rsidRPr="00D616DF" w:rsidRDefault="00A56C3F" w:rsidP="00A56C3F">
      <w:pPr>
        <w:jc w:val="both"/>
        <w:rPr>
          <w:sz w:val="22"/>
          <w:szCs w:val="22"/>
          <w:lang w:val="sr-Latn-ME"/>
        </w:rPr>
      </w:pPr>
      <w:r w:rsidRPr="00D616DF">
        <w:rPr>
          <w:sz w:val="22"/>
          <w:szCs w:val="22"/>
          <w:lang w:val="sr-Latn-ME"/>
        </w:rPr>
        <w:t>Pankreatitis je opisan povremeno (</w:t>
      </w:r>
      <w:r w:rsidRPr="00D616DF">
        <w:rPr>
          <w:sz w:val="22"/>
          <w:szCs w:val="22"/>
          <w:lang w:val="sr-Latn-ME"/>
        </w:rPr>
        <w:sym w:font="Symbol" w:char="F03C"/>
      </w:r>
      <w:r w:rsidRPr="00D616DF">
        <w:rPr>
          <w:sz w:val="22"/>
          <w:szCs w:val="22"/>
          <w:lang w:val="sr-Latn-ME"/>
        </w:rPr>
        <w:t xml:space="preserve"> 1%) kod pacijenata koji su primali sunitinib za GIST ili MRCC. Pankreatitis povezan sa primjenom lijeka nije zabilježen u pNET studiji faze 3 (vidjeti dio 4.4). </w:t>
      </w:r>
    </w:p>
    <w:p w:rsidR="00A56C3F" w:rsidRPr="00D616DF" w:rsidRDefault="00A56C3F" w:rsidP="00A56C3F">
      <w:pPr>
        <w:jc w:val="both"/>
        <w:rPr>
          <w:sz w:val="22"/>
          <w:szCs w:val="22"/>
          <w:lang w:val="sr-Latn-ME"/>
        </w:rPr>
      </w:pPr>
    </w:p>
    <w:p w:rsidR="00A56C3F" w:rsidRPr="00D616DF" w:rsidRDefault="00AF5182" w:rsidP="00A56C3F">
      <w:pPr>
        <w:jc w:val="both"/>
        <w:rPr>
          <w:rFonts w:eastAsia="Calibri"/>
          <w:sz w:val="22"/>
          <w:szCs w:val="22"/>
          <w:u w:val="single"/>
          <w:lang w:val="sr-Latn-ME"/>
        </w:rPr>
      </w:pPr>
      <w:r>
        <w:rPr>
          <w:sz w:val="22"/>
          <w:szCs w:val="22"/>
          <w:lang w:val="sr-Latn-ME"/>
        </w:rPr>
        <w:t>G</w:t>
      </w:r>
      <w:r w:rsidR="00A56C3F" w:rsidRPr="00D616DF">
        <w:rPr>
          <w:sz w:val="22"/>
          <w:szCs w:val="22"/>
          <w:lang w:val="sr-Latn-ME"/>
        </w:rPr>
        <w:t xml:space="preserve">astrointestinalno krvarenje </w:t>
      </w:r>
      <w:r>
        <w:rPr>
          <w:sz w:val="22"/>
          <w:szCs w:val="22"/>
          <w:lang w:val="sr-Latn-ME"/>
        </w:rPr>
        <w:t xml:space="preserve">sa smrtnim ishodom </w:t>
      </w:r>
      <w:r w:rsidR="00A56C3F" w:rsidRPr="00D616DF">
        <w:rPr>
          <w:sz w:val="22"/>
          <w:szCs w:val="22"/>
          <w:lang w:val="sr-Latn-ME"/>
        </w:rPr>
        <w:t>zabilježeno je kod 0,98% pacijenata koji su primali placebo u GIST studiji 3 faze.</w:t>
      </w:r>
    </w:p>
    <w:p w:rsidR="00A56C3F" w:rsidRPr="00D616DF" w:rsidRDefault="00A56C3F" w:rsidP="00A56C3F">
      <w:pPr>
        <w:jc w:val="both"/>
        <w:rPr>
          <w:i/>
          <w:sz w:val="22"/>
          <w:szCs w:val="22"/>
          <w:lang w:val="sr-Latn-ME"/>
        </w:rPr>
      </w:pPr>
      <w:r w:rsidRPr="00D616DF">
        <w:rPr>
          <w:i/>
          <w:sz w:val="22"/>
          <w:szCs w:val="22"/>
          <w:lang w:val="sr-Latn-ME"/>
        </w:rPr>
        <w:lastRenderedPageBreak/>
        <w:t xml:space="preserve">Hepatobilijarni poremećaji </w:t>
      </w:r>
    </w:p>
    <w:p w:rsidR="00A56C3F" w:rsidRPr="00D616DF" w:rsidRDefault="00A56C3F" w:rsidP="00A56C3F">
      <w:pPr>
        <w:jc w:val="both"/>
        <w:rPr>
          <w:rFonts w:eastAsia="Calibri"/>
          <w:sz w:val="22"/>
          <w:szCs w:val="22"/>
          <w:u w:val="single"/>
          <w:lang w:val="sr-Latn-ME"/>
        </w:rPr>
      </w:pPr>
      <w:r w:rsidRPr="00D616DF">
        <w:rPr>
          <w:sz w:val="22"/>
          <w:szCs w:val="22"/>
          <w:lang w:val="sr-Latn-ME"/>
        </w:rPr>
        <w:t>Prijavljena je disfunkcija jetre, koja može uključivati poremećaj funkcionalnih testova jetre, hepatitis ili insuficijenciju jetre (vidjeti dio 4.4).</w:t>
      </w:r>
    </w:p>
    <w:p w:rsidR="00A56C3F" w:rsidRPr="00D616DF" w:rsidRDefault="00A56C3F" w:rsidP="00A56C3F">
      <w:pPr>
        <w:jc w:val="both"/>
        <w:rPr>
          <w:rFonts w:eastAsia="Calibri"/>
          <w:sz w:val="22"/>
          <w:szCs w:val="22"/>
          <w:u w:val="single"/>
          <w:lang w:val="sr-Latn-ME"/>
        </w:rPr>
      </w:pPr>
    </w:p>
    <w:p w:rsidR="00A56C3F" w:rsidRPr="00D616DF" w:rsidRDefault="00A56C3F" w:rsidP="00A56C3F">
      <w:pPr>
        <w:jc w:val="both"/>
        <w:rPr>
          <w:i/>
          <w:sz w:val="22"/>
          <w:szCs w:val="22"/>
          <w:lang w:val="sr-Latn-ME"/>
        </w:rPr>
      </w:pPr>
      <w:r w:rsidRPr="00D616DF">
        <w:rPr>
          <w:i/>
          <w:sz w:val="22"/>
          <w:szCs w:val="22"/>
          <w:lang w:val="sr-Latn-ME"/>
        </w:rPr>
        <w:t xml:space="preserve">Poremećaji kože i potkožnog tkiva </w:t>
      </w:r>
    </w:p>
    <w:p w:rsidR="00A56C3F" w:rsidRPr="00D616DF" w:rsidRDefault="00A56C3F" w:rsidP="00A56C3F">
      <w:pPr>
        <w:jc w:val="both"/>
        <w:rPr>
          <w:rFonts w:eastAsia="Calibri"/>
          <w:sz w:val="22"/>
          <w:szCs w:val="22"/>
          <w:u w:val="single"/>
          <w:lang w:val="sr-Latn-ME"/>
        </w:rPr>
      </w:pPr>
      <w:r w:rsidRPr="00D616DF">
        <w:rPr>
          <w:sz w:val="22"/>
          <w:szCs w:val="22"/>
          <w:lang w:val="sr-Latn-ME"/>
        </w:rPr>
        <w:t>Prijavljivani su slučajevi gangrenozne piodermije, koji se obično povlače nakon prekida terapije sunitinibom (vidjeti takođe dio 4.4).</w:t>
      </w:r>
    </w:p>
    <w:p w:rsidR="00A56C3F" w:rsidRPr="00D616DF" w:rsidRDefault="00A56C3F" w:rsidP="00A56C3F">
      <w:pPr>
        <w:jc w:val="both"/>
        <w:rPr>
          <w:rFonts w:eastAsia="Calibri"/>
          <w:sz w:val="22"/>
          <w:szCs w:val="22"/>
          <w:u w:val="single"/>
          <w:lang w:val="sr-Latn-ME"/>
        </w:rPr>
      </w:pPr>
    </w:p>
    <w:p w:rsidR="00A56C3F" w:rsidRPr="00D616DF" w:rsidRDefault="00A56C3F" w:rsidP="00A56C3F">
      <w:pPr>
        <w:jc w:val="both"/>
        <w:rPr>
          <w:i/>
          <w:sz w:val="22"/>
          <w:szCs w:val="22"/>
          <w:lang w:val="sr-Latn-ME"/>
        </w:rPr>
      </w:pPr>
      <w:r w:rsidRPr="00D616DF">
        <w:rPr>
          <w:i/>
          <w:sz w:val="22"/>
          <w:szCs w:val="22"/>
          <w:lang w:val="sr-Latn-ME"/>
        </w:rPr>
        <w:t xml:space="preserve">Poremećaji mišićno-koštanog sistema i vezivnog tkiva </w:t>
      </w:r>
    </w:p>
    <w:p w:rsidR="00A56C3F" w:rsidRPr="00D616DF" w:rsidRDefault="00A56C3F" w:rsidP="00A56C3F">
      <w:pPr>
        <w:jc w:val="both"/>
        <w:rPr>
          <w:sz w:val="22"/>
          <w:szCs w:val="22"/>
          <w:lang w:val="sr-Latn-ME"/>
        </w:rPr>
      </w:pPr>
      <w:r w:rsidRPr="00D616DF">
        <w:rPr>
          <w:sz w:val="22"/>
          <w:szCs w:val="22"/>
          <w:lang w:val="sr-Latn-ME"/>
        </w:rPr>
        <w:t>Prijavljivani su slučajevi miopatije i/ili rabdomiolize, ponekad sa pridruženom akutnom insuficijencijom bubrega. Pacijenti sa znacima i simptomima mišićne toksičnosti trebalo bi da budu liječeni standardnom medicinskom terapijom za ovakva stanja (vidjeti dio 4.4).</w:t>
      </w:r>
    </w:p>
    <w:p w:rsidR="00A56C3F" w:rsidRPr="00D616DF" w:rsidRDefault="00A56C3F" w:rsidP="00A56C3F">
      <w:pPr>
        <w:jc w:val="both"/>
        <w:rPr>
          <w:sz w:val="22"/>
          <w:szCs w:val="22"/>
          <w:lang w:val="sr-Latn-ME"/>
        </w:rPr>
      </w:pPr>
    </w:p>
    <w:p w:rsidR="00A56C3F" w:rsidRPr="00D616DF" w:rsidRDefault="00A56C3F" w:rsidP="00A56C3F">
      <w:pPr>
        <w:jc w:val="both"/>
        <w:rPr>
          <w:sz w:val="22"/>
          <w:szCs w:val="22"/>
          <w:lang w:val="sr-Latn-ME"/>
        </w:rPr>
      </w:pPr>
      <w:r w:rsidRPr="00D616DF">
        <w:rPr>
          <w:sz w:val="22"/>
          <w:szCs w:val="22"/>
          <w:lang w:val="sr-Latn-ME"/>
        </w:rPr>
        <w:t xml:space="preserve">Prijavljivani su slučajevi formiranja fistule, ponekad praćeni nekrozom i regresijom tumora, u nekim slučajevima sa </w:t>
      </w:r>
      <w:r w:rsidR="00AF5182">
        <w:rPr>
          <w:sz w:val="22"/>
          <w:szCs w:val="22"/>
          <w:lang w:val="sr-Latn-ME"/>
        </w:rPr>
        <w:t xml:space="preserve">smrtnim </w:t>
      </w:r>
      <w:r w:rsidRPr="00D616DF">
        <w:rPr>
          <w:sz w:val="22"/>
          <w:szCs w:val="22"/>
          <w:lang w:val="sr-Latn-ME"/>
        </w:rPr>
        <w:t xml:space="preserve">ishodom (vidjeti dio 4.4). </w:t>
      </w:r>
    </w:p>
    <w:p w:rsidR="00A56C3F" w:rsidRPr="00D616DF" w:rsidRDefault="00A56C3F" w:rsidP="00A56C3F">
      <w:pPr>
        <w:jc w:val="both"/>
        <w:rPr>
          <w:sz w:val="22"/>
          <w:szCs w:val="22"/>
          <w:lang w:val="sr-Latn-ME"/>
        </w:rPr>
      </w:pPr>
    </w:p>
    <w:p w:rsidR="00A56C3F" w:rsidRPr="00D616DF" w:rsidRDefault="00A56C3F" w:rsidP="00A56C3F">
      <w:pPr>
        <w:jc w:val="both"/>
        <w:rPr>
          <w:rFonts w:eastAsia="Calibri"/>
          <w:sz w:val="22"/>
          <w:szCs w:val="22"/>
          <w:u w:val="single"/>
          <w:lang w:val="sr-Latn-ME"/>
        </w:rPr>
      </w:pPr>
      <w:r w:rsidRPr="00D616DF">
        <w:rPr>
          <w:sz w:val="22"/>
          <w:szCs w:val="22"/>
          <w:lang w:val="sr-Latn-ME"/>
        </w:rPr>
        <w:t>Slučajevi osteonekroze vilice prijavljeni su kod pacijenata liječenih sunitinibom, a većina njih se javila kod pacijenata koji su imali identifikovane faktore rizika za pojavu osteonekroze vilice, naročito izloženost intravenskim bisfosfonatima i/ili stomatološko oboljenje u anamnezi koje je zahtijevalo invazivne stomatološke zahvate (vidjeti dio 4.4).</w:t>
      </w:r>
    </w:p>
    <w:p w:rsidR="00A56C3F" w:rsidRPr="00D616DF" w:rsidRDefault="00A56C3F" w:rsidP="00A56C3F">
      <w:pPr>
        <w:jc w:val="both"/>
        <w:rPr>
          <w:rFonts w:eastAsia="Calibri"/>
          <w:sz w:val="22"/>
          <w:szCs w:val="22"/>
          <w:u w:val="single"/>
          <w:lang w:val="sr-Latn-ME"/>
        </w:rPr>
      </w:pPr>
    </w:p>
    <w:p w:rsidR="00A56C3F" w:rsidRPr="00D616DF" w:rsidRDefault="00A56C3F" w:rsidP="00A56C3F">
      <w:pPr>
        <w:jc w:val="both"/>
        <w:rPr>
          <w:i/>
          <w:sz w:val="22"/>
          <w:szCs w:val="22"/>
          <w:lang w:val="sr-Latn-ME"/>
        </w:rPr>
      </w:pPr>
      <w:r w:rsidRPr="00D616DF">
        <w:rPr>
          <w:i/>
          <w:sz w:val="22"/>
          <w:szCs w:val="22"/>
          <w:lang w:val="sr-Latn-ME"/>
        </w:rPr>
        <w:t>Ispitivanja</w:t>
      </w:r>
    </w:p>
    <w:p w:rsidR="00A56C3F" w:rsidRPr="00D616DF" w:rsidRDefault="00A56C3F" w:rsidP="00A56C3F">
      <w:pPr>
        <w:jc w:val="both"/>
        <w:rPr>
          <w:sz w:val="22"/>
          <w:szCs w:val="22"/>
          <w:lang w:val="sr-Latn-ME"/>
        </w:rPr>
      </w:pPr>
      <w:r w:rsidRPr="00D616DF">
        <w:rPr>
          <w:sz w:val="22"/>
          <w:szCs w:val="22"/>
          <w:lang w:val="sr-Latn-ME"/>
        </w:rPr>
        <w:t xml:space="preserve">Podaci iz pretkliničkih </w:t>
      </w:r>
      <w:r w:rsidRPr="00D616DF">
        <w:rPr>
          <w:i/>
          <w:sz w:val="22"/>
          <w:szCs w:val="22"/>
          <w:lang w:val="sr-Latn-ME"/>
        </w:rPr>
        <w:t>(in vitro i in vivo)</w:t>
      </w:r>
      <w:r w:rsidRPr="00D616DF">
        <w:rPr>
          <w:sz w:val="22"/>
          <w:szCs w:val="22"/>
          <w:lang w:val="sr-Latn-ME"/>
        </w:rPr>
        <w:t xml:space="preserve"> studija, sa dozama većim od preporučenih za humanu upotrebu, ukazuju da sunitinib ima potencijal da inhibira proces repolarizacije srčanog akcionog potencijala (npr. produženje QT intervala). </w:t>
      </w:r>
    </w:p>
    <w:p w:rsidR="00A56C3F" w:rsidRPr="00D616DF" w:rsidRDefault="00A56C3F" w:rsidP="00A56C3F">
      <w:pPr>
        <w:jc w:val="both"/>
        <w:rPr>
          <w:sz w:val="22"/>
          <w:szCs w:val="22"/>
          <w:lang w:val="sr-Latn-ME"/>
        </w:rPr>
      </w:pPr>
    </w:p>
    <w:p w:rsidR="00A56C3F" w:rsidRPr="00D616DF" w:rsidRDefault="00A56C3F" w:rsidP="00A56C3F">
      <w:pPr>
        <w:jc w:val="both"/>
        <w:rPr>
          <w:sz w:val="22"/>
          <w:szCs w:val="22"/>
          <w:lang w:val="sr-Latn-ME"/>
        </w:rPr>
      </w:pPr>
      <w:r w:rsidRPr="00D616DF">
        <w:rPr>
          <w:sz w:val="22"/>
          <w:szCs w:val="22"/>
          <w:lang w:val="sr-Latn-ME"/>
        </w:rPr>
        <w:t xml:space="preserve">Produženje QTc intervala preko 500 ms zabilježeno je kod 0,5% pacijenata, a promjene u odnosu na početne vrijednosti veće od 60 ms zabilježene su kod 1,1% od 450 pacijenata sa solidnim tumorima; oba ova parametra prepoznata su kao potencijalno značajne promjene. U koncentracijama otprilike dva puta većim od terapijskih pokazano je da sunitinib produžava interval QTcF (Fridericia QT korekcija). </w:t>
      </w:r>
    </w:p>
    <w:p w:rsidR="00A56C3F" w:rsidRPr="00D616DF" w:rsidRDefault="00A56C3F" w:rsidP="00A56C3F">
      <w:pPr>
        <w:jc w:val="both"/>
        <w:rPr>
          <w:sz w:val="22"/>
          <w:szCs w:val="22"/>
          <w:lang w:val="sr-Latn-ME"/>
        </w:rPr>
      </w:pPr>
    </w:p>
    <w:p w:rsidR="00A56C3F" w:rsidRPr="00D616DF" w:rsidRDefault="00A56C3F" w:rsidP="00A56C3F">
      <w:pPr>
        <w:jc w:val="both"/>
        <w:rPr>
          <w:sz w:val="22"/>
          <w:szCs w:val="22"/>
          <w:lang w:val="sr-Latn-ME"/>
        </w:rPr>
      </w:pPr>
      <w:r w:rsidRPr="00D616DF">
        <w:rPr>
          <w:sz w:val="22"/>
          <w:szCs w:val="22"/>
          <w:lang w:val="sr-Latn-ME"/>
        </w:rPr>
        <w:t xml:space="preserve">Produženje QTc intervala ispitivano je u kliničkoj studiji sa 24 pacijenta, starosti 20-87 godina, koji su imali uznapredovalu malignu bolest. Rezultati ovog ispitivanja pokazali su da je sunitinib imao dejstvo na QTc interval (definisan kao srednja promjena podešena za placebo &gt;10 ms sa gornjom granicom 90% intervala pouzdanosti [eng. </w:t>
      </w:r>
      <w:r w:rsidRPr="00D616DF">
        <w:rPr>
          <w:i/>
          <w:sz w:val="22"/>
          <w:szCs w:val="22"/>
          <w:lang w:val="sr-Latn-ME"/>
        </w:rPr>
        <w:t>confidence interval</w:t>
      </w:r>
      <w:r w:rsidRPr="00D616DF">
        <w:rPr>
          <w:sz w:val="22"/>
          <w:szCs w:val="22"/>
          <w:lang w:val="sr-Latn-ME"/>
        </w:rPr>
        <w:t xml:space="preserve"> – CI] &gt;15 ms) pri terapijskoj koncentraciji (3. dana) korišćenjem metode korekcije osnovne vrijednosti istog dana, i pri koncentracijama većim od terapijske (9. dana) korišćenjem obje metode korekcije osnovnih vrijednosti. Nijedan pacijent nije imao vrijednosti QTc intervala &gt; 500 ms. Iako je dejstvo na QTcF interval zabilježeno 3. dana 24 časa po davanju doze (tj. pri terapijskoj koncentraciji u plazmi koja se očekuje poslije preporučene početne doze od 50 mg) sa metodom korekcije osnovne vrijednosti istog dana, klinički značaj ovog nalaza nije jasan. </w:t>
      </w:r>
    </w:p>
    <w:p w:rsidR="00A56C3F" w:rsidRPr="00D616DF" w:rsidRDefault="00A56C3F" w:rsidP="00A56C3F">
      <w:pPr>
        <w:jc w:val="both"/>
        <w:rPr>
          <w:sz w:val="22"/>
          <w:szCs w:val="22"/>
          <w:lang w:val="sr-Latn-ME"/>
        </w:rPr>
      </w:pPr>
    </w:p>
    <w:p w:rsidR="00A56C3F" w:rsidRPr="00D616DF" w:rsidRDefault="00A56C3F" w:rsidP="00A56C3F">
      <w:pPr>
        <w:jc w:val="both"/>
        <w:rPr>
          <w:sz w:val="22"/>
          <w:szCs w:val="22"/>
          <w:lang w:val="sr-Latn-ME"/>
        </w:rPr>
      </w:pPr>
      <w:r w:rsidRPr="00D616DF">
        <w:rPr>
          <w:sz w:val="22"/>
          <w:szCs w:val="22"/>
          <w:lang w:val="sr-Latn-ME"/>
        </w:rPr>
        <w:t xml:space="preserve">Korišćenjem sveobuhvatnih serijskih EKG procjena u vremenskim momentima koji odgovaraju izloženosti terapijskim dozama ili dozama koje su veće od terapijskih, ni kod jednog od pacijenata u analiziranoj populaciji i populaciji koja je trebalo da se liječi (engl. </w:t>
      </w:r>
      <w:r w:rsidRPr="00D616DF">
        <w:rPr>
          <w:i/>
          <w:sz w:val="22"/>
          <w:szCs w:val="22"/>
          <w:lang w:val="sr-Latn-ME"/>
        </w:rPr>
        <w:t>intent to treat</w:t>
      </w:r>
      <w:r w:rsidRPr="00D616DF">
        <w:rPr>
          <w:sz w:val="22"/>
          <w:szCs w:val="22"/>
          <w:lang w:val="sr-Latn-ME"/>
        </w:rPr>
        <w:t xml:space="preserve"> – ITT) nije došlo do produženja QTc intervala koje bi se smatralo „teškim“ (tj. gradusa 3 ili većem po verziji 3.0 vodiča Zajedničkih kriterijuma za terminologiju neželjenih reakcija (engl. </w:t>
      </w:r>
      <w:r w:rsidRPr="00D616DF">
        <w:rPr>
          <w:i/>
          <w:sz w:val="22"/>
          <w:szCs w:val="22"/>
          <w:lang w:val="sr-Latn-ME"/>
        </w:rPr>
        <w:t>Common Terminology Criteria for Adverse Events</w:t>
      </w:r>
      <w:r w:rsidRPr="00D616DF">
        <w:rPr>
          <w:sz w:val="22"/>
          <w:szCs w:val="22"/>
          <w:lang w:val="sr-Latn-ME"/>
        </w:rPr>
        <w:t xml:space="preserve"> - CTCAE). </w:t>
      </w:r>
    </w:p>
    <w:p w:rsidR="00A56C3F" w:rsidRPr="00D616DF" w:rsidRDefault="00A56C3F" w:rsidP="00A56C3F">
      <w:pPr>
        <w:jc w:val="both"/>
        <w:rPr>
          <w:sz w:val="22"/>
          <w:szCs w:val="22"/>
          <w:lang w:val="sr-Latn-ME"/>
        </w:rPr>
      </w:pPr>
    </w:p>
    <w:p w:rsidR="00A56C3F" w:rsidRPr="00D616DF" w:rsidRDefault="00A56C3F" w:rsidP="00A56C3F">
      <w:pPr>
        <w:jc w:val="both"/>
        <w:rPr>
          <w:rFonts w:eastAsia="Calibri"/>
          <w:sz w:val="22"/>
          <w:szCs w:val="22"/>
          <w:u w:val="single"/>
          <w:lang w:val="sr-Latn-ME"/>
        </w:rPr>
      </w:pPr>
      <w:r w:rsidRPr="00D616DF">
        <w:rPr>
          <w:sz w:val="22"/>
          <w:szCs w:val="22"/>
          <w:lang w:val="sr-Latn-ME"/>
        </w:rPr>
        <w:t>Pri terapijskim koncentracijama u plazmi, maksimalna srednja promjena QTcF intervala (</w:t>
      </w:r>
      <w:r w:rsidRPr="00D616DF">
        <w:rPr>
          <w:rStyle w:val="Emphasis"/>
          <w:bCs/>
          <w:i w:val="0"/>
          <w:iCs w:val="0"/>
          <w:sz w:val="22"/>
          <w:szCs w:val="22"/>
          <w:shd w:val="clear" w:color="auto" w:fill="FFFFFF"/>
          <w:lang w:val="sr-Latn-ME"/>
        </w:rPr>
        <w:t>Fridericia korekcija</w:t>
      </w:r>
      <w:r w:rsidRPr="00D616DF">
        <w:rPr>
          <w:sz w:val="22"/>
          <w:szCs w:val="22"/>
          <w:lang w:val="sr-Latn-ME"/>
        </w:rPr>
        <w:t>) u odnosu na početne vrijednosti je bila 9 msec (90% CI: 15,1 msec). Pri koncentracijama otprilike dva puta većim od terapijskih, maksimalna promjena QTcF intervala u odnosu na početne vrijednosti iznosila je 15,4 msec (90% CI: 22,4 msec). Moksifloksacin (400 mg) koji je korišćen kao pozitivna kontrola, pokazao je maksimalnu srednju promjenu QTcF intervala od 5,6 msec u odnosu na početne vrijednosti. Nijedan ispitanik nije iskusio veći uticaj na QTc interval od definisanog gradusom 2 (verzija 3.0 vodiča CTCAE) (vidjeti dio 4.4).</w:t>
      </w:r>
    </w:p>
    <w:p w:rsidR="00A56C3F" w:rsidRPr="00D616DF" w:rsidRDefault="00A56C3F" w:rsidP="00A56C3F">
      <w:pPr>
        <w:jc w:val="both"/>
        <w:rPr>
          <w:rFonts w:eastAsia="Calibri"/>
          <w:sz w:val="22"/>
          <w:szCs w:val="22"/>
          <w:u w:val="single"/>
          <w:lang w:val="sr-Latn-ME"/>
        </w:rPr>
      </w:pPr>
    </w:p>
    <w:p w:rsidR="00A56C3F" w:rsidRPr="00D616DF" w:rsidRDefault="00A56C3F" w:rsidP="00A56C3F">
      <w:pPr>
        <w:jc w:val="both"/>
        <w:rPr>
          <w:sz w:val="22"/>
          <w:szCs w:val="22"/>
          <w:u w:val="single"/>
          <w:lang w:val="sr-Latn-ME"/>
        </w:rPr>
      </w:pPr>
      <w:r w:rsidRPr="00D616DF">
        <w:rPr>
          <w:sz w:val="22"/>
          <w:szCs w:val="22"/>
          <w:u w:val="single"/>
          <w:lang w:val="sr-Latn-ME"/>
        </w:rPr>
        <w:lastRenderedPageBreak/>
        <w:t xml:space="preserve">Dugoročna bezbjednost kod MRCC </w:t>
      </w:r>
    </w:p>
    <w:p w:rsidR="00A56C3F" w:rsidRPr="00D616DF" w:rsidRDefault="00A56C3F" w:rsidP="00A56C3F">
      <w:pPr>
        <w:jc w:val="both"/>
        <w:rPr>
          <w:rFonts w:eastAsia="Calibri"/>
          <w:sz w:val="22"/>
          <w:szCs w:val="22"/>
          <w:u w:val="single"/>
          <w:lang w:val="sr-Latn-ME"/>
        </w:rPr>
      </w:pPr>
      <w:r w:rsidRPr="00D616DF">
        <w:rPr>
          <w:sz w:val="22"/>
          <w:szCs w:val="22"/>
          <w:lang w:val="sr-Latn-ME"/>
        </w:rPr>
        <w:t>Dugoročna bezbjednost primjene sunitiniba kod pacijenata sa MRCC analizirana je na osnovu podataka iz 9 završenih kliničkih studija sprovedenih na 5739 pacijentata refraktornih na terapiju bevacizumabom i citokinima gdje je sunitinib primjenjivan kao prva linija terapije, od kojih je 807 (14%) liječeno u periodu ≥ 2 godine do 6 godina. Kod 807 pacijenata koji su primali dugoročnu terapiju sunitinibom, većina neželjenih reakcija povezanih sa terapijom</w:t>
      </w:r>
      <w:r>
        <w:rPr>
          <w:sz w:val="22"/>
          <w:szCs w:val="22"/>
          <w:lang w:val="sr-Latn-ME"/>
        </w:rPr>
        <w:t xml:space="preserve"> (engl.</w:t>
      </w:r>
      <w:r w:rsidRPr="00D616DF">
        <w:rPr>
          <w:sz w:val="22"/>
          <w:szCs w:val="22"/>
          <w:lang w:val="sr-Latn-ME"/>
        </w:rPr>
        <w:t xml:space="preserve"> </w:t>
      </w:r>
      <w:r w:rsidRPr="00974EEB">
        <w:rPr>
          <w:i/>
          <w:iCs/>
          <w:sz w:val="22"/>
          <w:szCs w:val="22"/>
          <w:lang w:val="en-GB"/>
        </w:rPr>
        <w:t>treatment-related adverse events</w:t>
      </w:r>
      <w:r w:rsidRPr="00974EEB">
        <w:rPr>
          <w:sz w:val="22"/>
          <w:szCs w:val="22"/>
          <w:lang w:val="en-GB"/>
        </w:rPr>
        <w:t xml:space="preserve">, TRAE) </w:t>
      </w:r>
      <w:r w:rsidRPr="00D616DF">
        <w:rPr>
          <w:sz w:val="22"/>
          <w:szCs w:val="22"/>
          <w:lang w:val="sr-Latn-ME"/>
        </w:rPr>
        <w:t>inicijalno se javila tokom prvih 6 mjeseci do godinu dana, a zatim se njihova učestalost održavala ili smanjivala, sa izuzetkom hipotireoidizma koji se postepeno pojačavao tokom vremena, sa novim slučajevima zabilježenim tokom perioda od 6 godina. Produžena primjena sunitiniba nije se mogla povezati sa novim tipovima neželjenih reakcija prouzrokovanih terapijom</w:t>
      </w:r>
      <w:r>
        <w:rPr>
          <w:sz w:val="22"/>
          <w:szCs w:val="22"/>
          <w:lang w:val="sr-Latn-ME"/>
        </w:rPr>
        <w:t>.</w:t>
      </w:r>
    </w:p>
    <w:p w:rsidR="00A56C3F" w:rsidRPr="00D616DF" w:rsidRDefault="00A56C3F" w:rsidP="00A56C3F">
      <w:pPr>
        <w:jc w:val="both"/>
        <w:rPr>
          <w:rFonts w:eastAsia="Calibri"/>
          <w:sz w:val="22"/>
          <w:szCs w:val="22"/>
          <w:u w:val="single"/>
          <w:lang w:val="sr-Latn-ME"/>
        </w:rPr>
      </w:pPr>
    </w:p>
    <w:p w:rsidR="00A56C3F" w:rsidRPr="00D616DF" w:rsidRDefault="00A56C3F" w:rsidP="00A56C3F">
      <w:pPr>
        <w:jc w:val="both"/>
        <w:rPr>
          <w:sz w:val="22"/>
          <w:szCs w:val="22"/>
          <w:u w:val="single"/>
          <w:lang w:val="sr-Latn-ME"/>
        </w:rPr>
      </w:pPr>
      <w:r w:rsidRPr="00D616DF">
        <w:rPr>
          <w:sz w:val="22"/>
          <w:szCs w:val="22"/>
          <w:u w:val="single"/>
          <w:lang w:val="sr-Latn-ME"/>
        </w:rPr>
        <w:t xml:space="preserve">Pedijatrijska populacija </w:t>
      </w:r>
    </w:p>
    <w:p w:rsidR="00A56C3F" w:rsidRPr="00D616DF" w:rsidRDefault="00A56C3F" w:rsidP="00A56C3F">
      <w:pPr>
        <w:jc w:val="both"/>
        <w:rPr>
          <w:sz w:val="22"/>
          <w:szCs w:val="22"/>
          <w:lang w:val="sr-Latn-ME"/>
        </w:rPr>
      </w:pPr>
      <w:r w:rsidRPr="00D616DF">
        <w:rPr>
          <w:sz w:val="22"/>
          <w:szCs w:val="22"/>
          <w:lang w:val="sr-Latn-ME"/>
        </w:rPr>
        <w:t>Bezbjednosni profil sunitiniba ustanovljen je u studiji povećanja doze faze 1, otvorene studije faze 2 i jednostruke studije faze 1/2, kao i publikacija, kao što je opisano u nastavku.</w:t>
      </w:r>
    </w:p>
    <w:p w:rsidR="00A56C3F" w:rsidRPr="00D616DF" w:rsidRDefault="00A56C3F" w:rsidP="00A56C3F">
      <w:pPr>
        <w:jc w:val="both"/>
        <w:rPr>
          <w:sz w:val="22"/>
          <w:szCs w:val="22"/>
          <w:lang w:val="sr-Latn-ME"/>
        </w:rPr>
      </w:pPr>
    </w:p>
    <w:p w:rsidR="00A56C3F" w:rsidRPr="00D616DF" w:rsidRDefault="00A56C3F" w:rsidP="00A56C3F">
      <w:pPr>
        <w:jc w:val="both"/>
        <w:rPr>
          <w:sz w:val="22"/>
          <w:szCs w:val="22"/>
          <w:lang w:val="sr-Latn-ME"/>
        </w:rPr>
      </w:pPr>
      <w:r w:rsidRPr="00D616DF">
        <w:rPr>
          <w:sz w:val="22"/>
          <w:szCs w:val="22"/>
          <w:lang w:val="sr-Latn-ME"/>
        </w:rPr>
        <w:t xml:space="preserve">Ispitivanje povećanja doze faze 1 za oralni oblik sunitiniba sprovedeno je na 35 pacijenata od kojih 30 pedijatrijskih (uzrasta 3 do 17 godina) i 5 mlađih odraslih pacijenata (uzrasta 18 do 21 godine) sa refraktornim solidnim tumorima, od kojih je većina imala tumor na mozgu kao primarnu dijagnozu. Svi učesnici u ispitivanju su imali neželjene reakcije na lijek; većina ovih neželjenih reakcija je bila teška (gradus toksičnosti ≥ 3) i uključivala je kardiološku toksičnost. Najčešće neželjene reakcije  na lijek bile su gastrointestinalna (GI) toksičnost, neutropenija, zamor i povećanje vrijednosti ALT. Rizik od kardioloških neželjenih reakcija je bio veći kod pedijatrijskih pacijenata koji su prethodno bili izloženi zračenju srca i antraciklinima u poređenju sa pedijatrijskim pacijentima bez prethodne izloženosti. Kod ovih pedijatrijskih pacijenata bez prethodne izloženosti antraciklinima ili zračenju srca, ustanovljena je maksimalna podnošljiva doza (eng. </w:t>
      </w:r>
      <w:r w:rsidRPr="00D616DF">
        <w:rPr>
          <w:i/>
          <w:sz w:val="22"/>
          <w:szCs w:val="22"/>
          <w:lang w:val="sr-Latn-ME"/>
        </w:rPr>
        <w:t>maximum tolerated dose</w:t>
      </w:r>
      <w:r w:rsidRPr="00D616DF">
        <w:rPr>
          <w:sz w:val="22"/>
          <w:szCs w:val="22"/>
          <w:lang w:val="sr-Latn-ME"/>
        </w:rPr>
        <w:t xml:space="preserve"> - MTD) (vidjeti dio 5.1). </w:t>
      </w:r>
    </w:p>
    <w:p w:rsidR="00A56C3F" w:rsidRPr="00D616DF" w:rsidRDefault="00A56C3F" w:rsidP="00A56C3F">
      <w:pPr>
        <w:jc w:val="both"/>
        <w:rPr>
          <w:sz w:val="22"/>
          <w:szCs w:val="22"/>
          <w:lang w:val="sr-Latn-ME"/>
        </w:rPr>
      </w:pPr>
    </w:p>
    <w:p w:rsidR="00A56C3F" w:rsidRPr="00D616DF" w:rsidRDefault="00A56C3F" w:rsidP="00A56C3F">
      <w:pPr>
        <w:jc w:val="both"/>
        <w:rPr>
          <w:sz w:val="22"/>
          <w:szCs w:val="22"/>
          <w:lang w:val="sr-Latn-ME"/>
        </w:rPr>
      </w:pPr>
      <w:r w:rsidRPr="00D616DF">
        <w:rPr>
          <w:sz w:val="22"/>
          <w:szCs w:val="22"/>
          <w:lang w:val="sr-Latn-ME"/>
        </w:rPr>
        <w:t>Otvorena studija faze 2 sprovedena je na 29 pacijenata od kojih 27 pedijatrijskih pacijenata (</w:t>
      </w:r>
      <w:r>
        <w:rPr>
          <w:sz w:val="22"/>
          <w:szCs w:val="22"/>
          <w:lang w:val="sr-Latn-ME"/>
        </w:rPr>
        <w:t xml:space="preserve">uzrasta od 3 do 16 </w:t>
      </w:r>
      <w:r w:rsidRPr="00D616DF">
        <w:rPr>
          <w:sz w:val="22"/>
          <w:szCs w:val="22"/>
          <w:lang w:val="sr-Latn-ME"/>
        </w:rPr>
        <w:t>godina) i 2 mlađa odrasla pacijenta (uzrasta 18 i 19 godina) sa</w:t>
      </w:r>
      <w:r>
        <w:rPr>
          <w:sz w:val="22"/>
          <w:szCs w:val="22"/>
          <w:lang w:val="sr-Latn-ME"/>
        </w:rPr>
        <w:t xml:space="preserve"> </w:t>
      </w:r>
      <w:r w:rsidRPr="00D616DF">
        <w:rPr>
          <w:sz w:val="22"/>
          <w:szCs w:val="22"/>
          <w:lang w:val="sr-Latn-ME"/>
        </w:rPr>
        <w:t>rekurentnim</w:t>
      </w:r>
      <w:r>
        <w:rPr>
          <w:sz w:val="22"/>
          <w:szCs w:val="22"/>
          <w:lang w:val="sr-Latn-ME"/>
        </w:rPr>
        <w:t xml:space="preserve"> </w:t>
      </w:r>
      <w:r w:rsidRPr="00D616DF">
        <w:rPr>
          <w:sz w:val="22"/>
          <w:szCs w:val="22"/>
          <w:lang w:val="sr-Latn-ME"/>
        </w:rPr>
        <w:t xml:space="preserve">/progresivnim/refraktornim gliomom visokog gradusa (eng. </w:t>
      </w:r>
      <w:r w:rsidRPr="00D616DF">
        <w:rPr>
          <w:i/>
          <w:sz w:val="22"/>
          <w:szCs w:val="22"/>
          <w:lang w:val="sr-Latn-ME"/>
        </w:rPr>
        <w:t>high grade glioma</w:t>
      </w:r>
      <w:r w:rsidRPr="00D616DF">
        <w:rPr>
          <w:sz w:val="22"/>
          <w:szCs w:val="22"/>
          <w:lang w:val="sr-Latn-ME"/>
        </w:rPr>
        <w:t xml:space="preserve"> – HGG) ili ependimomom. Ni u jednoj grupi nije bilo neželjenih reakcija gradusa 5. Najčešće ( ≥ 10%) neželjene reakcije povezane sa terapijom bile su smanjenje broja neutrofila </w:t>
      </w:r>
      <w:r w:rsidRPr="00D616DF">
        <w:rPr>
          <w:rFonts w:eastAsia="TimesNewRoman"/>
          <w:sz w:val="22"/>
          <w:szCs w:val="22"/>
          <w:lang w:val="sr-Latn-ME" w:eastAsia="sr-Latn-ME"/>
        </w:rPr>
        <w:t>(6 [20,7%] pacijenata) i intrakranijalno krvarenje (3[10,3%] pacijenata).</w:t>
      </w:r>
    </w:p>
    <w:p w:rsidR="00A56C3F" w:rsidRPr="00D616DF" w:rsidRDefault="00A56C3F" w:rsidP="00A56C3F">
      <w:pPr>
        <w:jc w:val="both"/>
        <w:rPr>
          <w:sz w:val="22"/>
          <w:szCs w:val="22"/>
          <w:lang w:val="sr-Latn-ME"/>
        </w:rPr>
      </w:pPr>
    </w:p>
    <w:p w:rsidR="00A56C3F" w:rsidRPr="00A56C3F" w:rsidRDefault="00A56C3F" w:rsidP="00A56C3F">
      <w:pPr>
        <w:jc w:val="both"/>
        <w:rPr>
          <w:sz w:val="22"/>
          <w:szCs w:val="22"/>
          <w:lang w:val="sr-Latn-ME"/>
        </w:rPr>
      </w:pPr>
      <w:r w:rsidRPr="00D616DF">
        <w:rPr>
          <w:sz w:val="22"/>
          <w:szCs w:val="22"/>
          <w:lang w:val="sr-Latn-ME"/>
        </w:rPr>
        <w:t>Studija faze 1/2 u jednoj grupi sprovedena je na 6 pedijatrijskih pacijenata (uzrasta 13 do 16 godina) sa uznapredovalim neresektabilnim GIST. Najčešće neželjene reakcije na lijek bile su dijareja, mučnina, smanjenje broja bijelih krvnih ćelija, neutropenija i glavobolja, svaka kod 3 (50%) pacijenta, prvenstveno gradusa 1 ili 2 po težini. Četiri od 6 pacijenata (66,7%) imalo je neželjene događaje povezane sa terapijom gradusa 3-4 (hipofosfatemija, neutropenija i trombocitopenija, gradusa 3 kod jednog pacijenta i kod jednog pacijenta neutropenija gradusa 4). U ovoj studiji nije bilo ozbiljnih neželjenih događaja ili neželjenih reakcija na lijek gradusa 5</w:t>
      </w:r>
      <w:r>
        <w:rPr>
          <w:sz w:val="22"/>
          <w:szCs w:val="22"/>
          <w:lang w:val="sr-Latn-ME"/>
        </w:rPr>
        <w:t>. Kako</w:t>
      </w:r>
      <w:r w:rsidRPr="00D616DF">
        <w:rPr>
          <w:sz w:val="22"/>
          <w:szCs w:val="22"/>
          <w:lang w:val="sr-Latn-ME"/>
        </w:rPr>
        <w:t xml:space="preserve"> u kliničkim studijama</w:t>
      </w:r>
      <w:r>
        <w:rPr>
          <w:sz w:val="22"/>
          <w:szCs w:val="22"/>
          <w:lang w:val="sr-Latn-ME"/>
        </w:rPr>
        <w:t xml:space="preserve"> tako</w:t>
      </w:r>
      <w:r w:rsidRPr="00D616DF">
        <w:rPr>
          <w:sz w:val="22"/>
          <w:szCs w:val="22"/>
          <w:lang w:val="sr-Latn-ME"/>
        </w:rPr>
        <w:t xml:space="preserve"> i u publikacijama, bezbjednosni profil je bio u skladu sa poznatim bezbjednosnim profilom kod odraslih.</w:t>
      </w:r>
    </w:p>
    <w:p w:rsidR="00A56C3F" w:rsidRPr="00786071" w:rsidRDefault="00A56C3F" w:rsidP="00480FB1">
      <w:pPr>
        <w:tabs>
          <w:tab w:val="left" w:pos="540"/>
          <w:tab w:val="left" w:pos="569"/>
        </w:tabs>
        <w:rPr>
          <w:b/>
          <w:bCs/>
          <w:sz w:val="22"/>
          <w:szCs w:val="22"/>
        </w:rPr>
      </w:pPr>
    </w:p>
    <w:p w:rsidR="005A23D2" w:rsidRPr="00786071" w:rsidRDefault="005A23D2" w:rsidP="00A46C9A">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rsidR="005A23D2" w:rsidRPr="00786071" w:rsidRDefault="005A23D2" w:rsidP="00A46C9A">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rsidR="005A23D2" w:rsidRPr="00786071" w:rsidRDefault="004E70AD" w:rsidP="00A46C9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Odjeljenje za farmakovigilancu</w:t>
      </w:r>
    </w:p>
    <w:p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rsidR="00EA5765" w:rsidRPr="00786071" w:rsidRDefault="00EA5765" w:rsidP="00A46C9A">
      <w:pPr>
        <w:pStyle w:val="NoSpacing"/>
        <w:rPr>
          <w:rFonts w:eastAsia="Calibri"/>
          <w:sz w:val="22"/>
          <w:szCs w:val="22"/>
          <w:lang w:val="sr-Latn-RS"/>
        </w:rPr>
      </w:pPr>
    </w:p>
    <w:p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tel: +382 (0) 20 310 280</w:t>
      </w:r>
    </w:p>
    <w:p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p>
    <w:p w:rsidR="005A23D2" w:rsidRPr="00786071" w:rsidRDefault="00442CFA" w:rsidP="00A46C9A">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rsidR="00EA5765" w:rsidRPr="00786071" w:rsidRDefault="00442CFA" w:rsidP="00A46C9A">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lastRenderedPageBreak/>
        <w:t>putem IS zdravstvene zaštite</w:t>
      </w:r>
    </w:p>
    <w:p w:rsidR="00836B35" w:rsidRPr="00786071" w:rsidRDefault="00836B35" w:rsidP="00480FB1">
      <w:pPr>
        <w:tabs>
          <w:tab w:val="left" w:pos="540"/>
          <w:tab w:val="left" w:pos="569"/>
        </w:tabs>
        <w:rPr>
          <w:b/>
          <w:bCs/>
          <w:sz w:val="22"/>
          <w:szCs w:val="22"/>
        </w:rPr>
      </w:pPr>
    </w:p>
    <w:p w:rsidR="00CD6F02" w:rsidRPr="00786071" w:rsidRDefault="0072020E" w:rsidP="00480FB1">
      <w:pPr>
        <w:tabs>
          <w:tab w:val="left" w:pos="540"/>
          <w:tab w:val="left" w:pos="569"/>
        </w:tabs>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rsidR="00CD6F02" w:rsidRDefault="00CD6F02" w:rsidP="00480FB1">
      <w:pPr>
        <w:tabs>
          <w:tab w:val="left" w:pos="540"/>
          <w:tab w:val="left" w:pos="569"/>
        </w:tabs>
        <w:rPr>
          <w:b/>
          <w:bCs/>
          <w:sz w:val="22"/>
          <w:szCs w:val="22"/>
        </w:rPr>
      </w:pPr>
    </w:p>
    <w:p w:rsidR="00A41901" w:rsidRPr="00D616DF" w:rsidRDefault="00A41901" w:rsidP="00A41901">
      <w:pPr>
        <w:tabs>
          <w:tab w:val="left" w:pos="540"/>
          <w:tab w:val="left" w:pos="569"/>
        </w:tabs>
        <w:jc w:val="both"/>
        <w:rPr>
          <w:sz w:val="22"/>
          <w:szCs w:val="22"/>
          <w:lang w:val="sr-Latn-ME"/>
        </w:rPr>
      </w:pPr>
      <w:r w:rsidRPr="00D616DF">
        <w:rPr>
          <w:sz w:val="22"/>
          <w:szCs w:val="22"/>
          <w:lang w:val="sr-Latn-ME"/>
        </w:rPr>
        <w:t xml:space="preserve">Nema specifičnog antidota za liječenje predoziranja </w:t>
      </w:r>
      <w:r>
        <w:rPr>
          <w:sz w:val="22"/>
          <w:szCs w:val="22"/>
          <w:lang w:val="sr-Latn-ME"/>
        </w:rPr>
        <w:t>s</w:t>
      </w:r>
      <w:r w:rsidRPr="00D616DF">
        <w:rPr>
          <w:sz w:val="22"/>
          <w:szCs w:val="22"/>
          <w:lang w:val="sr-Latn-ME"/>
        </w:rPr>
        <w:t>unitinib</w:t>
      </w:r>
      <w:r>
        <w:rPr>
          <w:sz w:val="22"/>
          <w:szCs w:val="22"/>
          <w:lang w:val="sr-Latn-ME"/>
        </w:rPr>
        <w:t>om</w:t>
      </w:r>
      <w:r w:rsidRPr="00D616DF">
        <w:rPr>
          <w:sz w:val="22"/>
          <w:szCs w:val="22"/>
          <w:lang w:val="sr-Latn-ME"/>
        </w:rPr>
        <w:t xml:space="preserve"> i liječenje treba da se sastoji od opštih suportivnih mjera. Ako je indikovano, eliminacija neresorbovanog lijeka može se postići indukcijom povraćanja ili lavažom želuca. Prijavljeni su slučajevi predoziranja; neki slučajevi bili su povezani sa neželjenim reakcijama koje su u skladu sa poznatim bezbjednosnim profilom sunitiniba.</w:t>
      </w:r>
    </w:p>
    <w:p w:rsidR="00227BDB" w:rsidRPr="00786071" w:rsidRDefault="00227BDB" w:rsidP="00480FB1">
      <w:pPr>
        <w:tabs>
          <w:tab w:val="left" w:pos="540"/>
          <w:tab w:val="left" w:pos="569"/>
        </w:tabs>
        <w:rPr>
          <w:b/>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rsidR="0072020E" w:rsidRPr="00786071" w:rsidRDefault="0072020E" w:rsidP="00480FB1">
      <w:pPr>
        <w:tabs>
          <w:tab w:val="left" w:pos="540"/>
          <w:tab w:val="left" w:pos="569"/>
        </w:tabs>
        <w:rPr>
          <w:b/>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rsidR="00F45F77" w:rsidRPr="00786071" w:rsidRDefault="00F45F77" w:rsidP="00480FB1">
      <w:pPr>
        <w:tabs>
          <w:tab w:val="left" w:pos="540"/>
          <w:tab w:val="left" w:pos="569"/>
        </w:tabs>
        <w:rPr>
          <w:b/>
          <w:bCs/>
          <w:sz w:val="22"/>
          <w:szCs w:val="22"/>
        </w:rPr>
      </w:pPr>
    </w:p>
    <w:p w:rsidR="00466BAC" w:rsidRPr="00466BAC" w:rsidRDefault="0072020E" w:rsidP="00466BAC">
      <w:pPr>
        <w:tabs>
          <w:tab w:val="left" w:pos="540"/>
          <w:tab w:val="left" w:pos="569"/>
        </w:tabs>
        <w:rPr>
          <w:bCs/>
          <w:sz w:val="22"/>
          <w:szCs w:val="22"/>
          <w:lang w:val="sr-Latn-ME"/>
        </w:rPr>
      </w:pPr>
      <w:r w:rsidRPr="00786071">
        <w:rPr>
          <w:bCs/>
          <w:sz w:val="22"/>
          <w:szCs w:val="22"/>
        </w:rPr>
        <w:t>Farmakoterapijska grupa:</w:t>
      </w:r>
      <w:r w:rsidR="00466BAC" w:rsidRPr="00466BAC">
        <w:rPr>
          <w:sz w:val="22"/>
          <w:szCs w:val="22"/>
          <w:lang w:val="sr-Latn-ME"/>
        </w:rPr>
        <w:t xml:space="preserve"> </w:t>
      </w:r>
      <w:r w:rsidR="00466BAC" w:rsidRPr="00466BAC">
        <w:rPr>
          <w:bCs/>
          <w:sz w:val="22"/>
          <w:szCs w:val="22"/>
          <w:lang w:val="sr-Latn-ME"/>
        </w:rPr>
        <w:t>Antineoplastici, inhibitori protein kinaze</w:t>
      </w:r>
    </w:p>
    <w:p w:rsidR="0072020E" w:rsidRPr="00786071" w:rsidRDefault="0072020E" w:rsidP="00480FB1">
      <w:pPr>
        <w:tabs>
          <w:tab w:val="left" w:pos="540"/>
          <w:tab w:val="left" w:pos="569"/>
        </w:tabs>
        <w:rPr>
          <w:bCs/>
          <w:sz w:val="22"/>
          <w:szCs w:val="22"/>
        </w:rPr>
      </w:pPr>
    </w:p>
    <w:p w:rsidR="0072020E" w:rsidRPr="00786071" w:rsidRDefault="0072020E" w:rsidP="00480FB1">
      <w:pPr>
        <w:tabs>
          <w:tab w:val="left" w:pos="540"/>
          <w:tab w:val="left" w:pos="569"/>
        </w:tabs>
        <w:rPr>
          <w:bCs/>
          <w:sz w:val="22"/>
          <w:szCs w:val="22"/>
        </w:rPr>
      </w:pPr>
    </w:p>
    <w:p w:rsidR="0072020E" w:rsidRPr="00786071" w:rsidRDefault="0072020E" w:rsidP="00480FB1">
      <w:pPr>
        <w:tabs>
          <w:tab w:val="left" w:pos="540"/>
          <w:tab w:val="left" w:pos="569"/>
        </w:tabs>
        <w:rPr>
          <w:bCs/>
          <w:sz w:val="22"/>
          <w:szCs w:val="22"/>
        </w:rPr>
      </w:pPr>
      <w:r w:rsidRPr="00786071">
        <w:rPr>
          <w:bCs/>
          <w:sz w:val="22"/>
          <w:szCs w:val="22"/>
        </w:rPr>
        <w:t>ATC kod:</w:t>
      </w:r>
      <w:r w:rsidR="00466BAC" w:rsidRPr="00466BAC">
        <w:rPr>
          <w:color w:val="000000"/>
          <w:sz w:val="22"/>
          <w:szCs w:val="22"/>
          <w:lang w:val="en-GB" w:eastAsia="sr-Latn-ME"/>
        </w:rPr>
        <w:t xml:space="preserve"> </w:t>
      </w:r>
      <w:r w:rsidR="00466BAC" w:rsidRPr="00466BAC">
        <w:rPr>
          <w:bCs/>
          <w:sz w:val="22"/>
          <w:szCs w:val="22"/>
          <w:lang w:val="en-GB"/>
        </w:rPr>
        <w:t>L01EX01</w:t>
      </w:r>
    </w:p>
    <w:p w:rsidR="002E37A5" w:rsidRDefault="002E37A5" w:rsidP="00480FB1">
      <w:pPr>
        <w:tabs>
          <w:tab w:val="left" w:pos="540"/>
          <w:tab w:val="left" w:pos="569"/>
        </w:tabs>
        <w:rPr>
          <w:b/>
          <w:bCs/>
          <w:sz w:val="22"/>
          <w:szCs w:val="22"/>
        </w:rPr>
      </w:pPr>
    </w:p>
    <w:p w:rsidR="00466BAC" w:rsidRPr="00D616DF" w:rsidRDefault="00466BAC" w:rsidP="00466BAC">
      <w:pPr>
        <w:tabs>
          <w:tab w:val="left" w:pos="540"/>
          <w:tab w:val="left" w:pos="569"/>
        </w:tabs>
        <w:jc w:val="both"/>
        <w:rPr>
          <w:sz w:val="22"/>
          <w:szCs w:val="22"/>
          <w:u w:val="single"/>
          <w:lang w:val="sr-Latn-ME"/>
        </w:rPr>
      </w:pPr>
      <w:r w:rsidRPr="00D616DF">
        <w:rPr>
          <w:sz w:val="22"/>
          <w:szCs w:val="22"/>
          <w:u w:val="single"/>
          <w:lang w:val="sr-Latn-ME"/>
        </w:rPr>
        <w:t xml:space="preserve">Mehanizam dejstva </w:t>
      </w:r>
    </w:p>
    <w:p w:rsidR="00466BAC" w:rsidRPr="00D616DF" w:rsidRDefault="00466BAC" w:rsidP="00466BAC">
      <w:pPr>
        <w:tabs>
          <w:tab w:val="left" w:pos="540"/>
          <w:tab w:val="left" w:pos="569"/>
        </w:tabs>
        <w:jc w:val="both"/>
        <w:rPr>
          <w:sz w:val="22"/>
          <w:szCs w:val="22"/>
          <w:lang w:val="sr-Latn-ME"/>
        </w:rPr>
      </w:pPr>
      <w:r w:rsidRPr="00D616DF">
        <w:rPr>
          <w:sz w:val="22"/>
          <w:szCs w:val="22"/>
          <w:lang w:val="sr-Latn-ME"/>
        </w:rPr>
        <w:t>Sunitinib inhibira multiple receptore tirozin kinaze (RTKs), koji su uključeni u rast tumora, patološku angiogenezu i metastatsku progresiju karcinoma. Sunitinib je identifikovan kao inhibitor receptora za faktor rasta porijeklom od trombocita (PDGFRα i PDGFRβ), receptora za vaskularni endotelni faktor rasta (VEGFR1, VEGFR2 i VGFR3), receptora za faktor rasta matičnih ćelija (KIT), Fms-slične tirozinske kinaze-3 (FLT3), receptora za faktor stimulacije kolonija (CSF-1R) i receptora neurotrofnog faktora dobijenog iz glija ćelija (RET). Primarni metabolit ima sličnu potenciju kao i sam sunitinib, što je pokazano biohemijskim i ćelijskim testovima.</w:t>
      </w:r>
    </w:p>
    <w:p w:rsidR="00466BAC" w:rsidRPr="00D616DF" w:rsidRDefault="00466BAC" w:rsidP="00466BAC">
      <w:pPr>
        <w:tabs>
          <w:tab w:val="left" w:pos="540"/>
          <w:tab w:val="left" w:pos="569"/>
        </w:tabs>
        <w:jc w:val="both"/>
        <w:rPr>
          <w:sz w:val="22"/>
          <w:szCs w:val="22"/>
          <w:lang w:val="sr-Latn-ME"/>
        </w:rPr>
      </w:pPr>
    </w:p>
    <w:p w:rsidR="00466BAC" w:rsidRPr="00D616DF" w:rsidRDefault="00466BAC" w:rsidP="00466BAC">
      <w:pPr>
        <w:tabs>
          <w:tab w:val="left" w:pos="540"/>
          <w:tab w:val="left" w:pos="569"/>
        </w:tabs>
        <w:jc w:val="both"/>
        <w:rPr>
          <w:sz w:val="22"/>
          <w:szCs w:val="22"/>
          <w:lang w:val="sr-Latn-ME"/>
        </w:rPr>
      </w:pPr>
      <w:r w:rsidRPr="00D616DF">
        <w:rPr>
          <w:sz w:val="22"/>
          <w:szCs w:val="22"/>
          <w:u w:val="single"/>
          <w:lang w:val="sr-Latn-ME"/>
        </w:rPr>
        <w:t>Klinička efikasnost i bezbjednost</w:t>
      </w:r>
      <w:r w:rsidRPr="00D616DF">
        <w:rPr>
          <w:sz w:val="22"/>
          <w:szCs w:val="22"/>
          <w:lang w:val="sr-Latn-ME"/>
        </w:rPr>
        <w:t xml:space="preserve"> </w:t>
      </w:r>
    </w:p>
    <w:p w:rsidR="00466BAC" w:rsidRPr="00D616DF" w:rsidRDefault="00466BAC" w:rsidP="00466BAC">
      <w:pPr>
        <w:tabs>
          <w:tab w:val="left" w:pos="540"/>
          <w:tab w:val="left" w:pos="569"/>
        </w:tabs>
        <w:jc w:val="both"/>
        <w:rPr>
          <w:sz w:val="22"/>
          <w:szCs w:val="22"/>
          <w:lang w:val="sr-Latn-ME"/>
        </w:rPr>
      </w:pPr>
      <w:r w:rsidRPr="00D616DF">
        <w:rPr>
          <w:sz w:val="22"/>
          <w:szCs w:val="22"/>
          <w:lang w:val="sr-Latn-ME"/>
        </w:rPr>
        <w:t xml:space="preserve">Klinička bezbjednost i efikasnost sunitiniba ispitivana je u liječenju pacijenata sa GIST koji su bili rezistentni na imatinib (tj. koji su imali progresiju bolesti tokom ili nakon liječenja imatinibom) ili koji nijesu podnosili imatinib (tj. kod kojih je imatinib ispoljio značajnu toksičnost što je isključilo njegovu dalju primjenu), kod pacijenata sa MRCC i kod pacijenata oboljelih od neoperabilnih pNET. </w:t>
      </w:r>
    </w:p>
    <w:p w:rsidR="00466BAC" w:rsidRPr="00D616DF" w:rsidRDefault="00466BAC" w:rsidP="00466BAC">
      <w:pPr>
        <w:tabs>
          <w:tab w:val="left" w:pos="540"/>
          <w:tab w:val="left" w:pos="569"/>
        </w:tabs>
        <w:jc w:val="both"/>
        <w:rPr>
          <w:sz w:val="22"/>
          <w:szCs w:val="22"/>
          <w:lang w:val="sr-Latn-ME"/>
        </w:rPr>
      </w:pPr>
    </w:p>
    <w:p w:rsidR="00466BAC" w:rsidRPr="00D616DF" w:rsidRDefault="00466BAC" w:rsidP="00466BAC">
      <w:pPr>
        <w:tabs>
          <w:tab w:val="left" w:pos="540"/>
          <w:tab w:val="left" w:pos="569"/>
        </w:tabs>
        <w:jc w:val="both"/>
        <w:rPr>
          <w:sz w:val="22"/>
          <w:szCs w:val="22"/>
          <w:lang w:val="sr-Latn-ME"/>
        </w:rPr>
      </w:pPr>
      <w:r w:rsidRPr="00D616DF">
        <w:rPr>
          <w:sz w:val="22"/>
          <w:szCs w:val="22"/>
          <w:lang w:val="sr-Latn-ME"/>
        </w:rPr>
        <w:t xml:space="preserve">Efikasnost se zasnivala na vremenu do progresije tumora (engl. </w:t>
      </w:r>
      <w:r w:rsidRPr="00D616DF">
        <w:rPr>
          <w:i/>
          <w:sz w:val="22"/>
          <w:szCs w:val="22"/>
          <w:lang w:val="sr-Latn-ME"/>
        </w:rPr>
        <w:t xml:space="preserve">Time To Tumour Progression </w:t>
      </w:r>
      <w:r w:rsidRPr="00D616DF">
        <w:rPr>
          <w:sz w:val="22"/>
          <w:szCs w:val="22"/>
          <w:lang w:val="sr-Latn-ME"/>
        </w:rPr>
        <w:t xml:space="preserve">- TTP) i produženju preživljavanja (engl. </w:t>
      </w:r>
      <w:r w:rsidRPr="00D616DF">
        <w:rPr>
          <w:i/>
          <w:sz w:val="22"/>
          <w:szCs w:val="22"/>
          <w:lang w:val="sr-Latn-ME"/>
        </w:rPr>
        <w:t>Increase in Survival</w:t>
      </w:r>
      <w:r w:rsidRPr="00D616DF">
        <w:rPr>
          <w:sz w:val="22"/>
          <w:szCs w:val="22"/>
          <w:lang w:val="sr-Latn-ME"/>
        </w:rPr>
        <w:t xml:space="preserve">) kod GIST pacijenata, na preživljavanju bez progresije bolesti (engl. </w:t>
      </w:r>
      <w:r w:rsidRPr="00D616DF">
        <w:rPr>
          <w:i/>
          <w:sz w:val="22"/>
          <w:szCs w:val="22"/>
          <w:lang w:val="sr-Latn-ME"/>
        </w:rPr>
        <w:t xml:space="preserve">Progression Free Survival - </w:t>
      </w:r>
      <w:r w:rsidRPr="00D616DF">
        <w:rPr>
          <w:sz w:val="22"/>
          <w:szCs w:val="22"/>
          <w:lang w:val="sr-Latn-ME"/>
        </w:rPr>
        <w:t xml:space="preserve">PFS) i stopi objektivnog odgovora (engl. </w:t>
      </w:r>
      <w:r w:rsidRPr="00D616DF">
        <w:rPr>
          <w:i/>
          <w:sz w:val="22"/>
          <w:szCs w:val="22"/>
          <w:lang w:val="sr-Latn-ME"/>
        </w:rPr>
        <w:t>Objective Response Rate</w:t>
      </w:r>
      <w:r w:rsidRPr="00D616DF">
        <w:rPr>
          <w:sz w:val="22"/>
          <w:szCs w:val="22"/>
          <w:lang w:val="sr-Latn-ME"/>
        </w:rPr>
        <w:t xml:space="preserve"> - ORR) kod pacijenata sa do tada neliječenim (tzv. "</w:t>
      </w:r>
      <w:r w:rsidRPr="00D616DF">
        <w:rPr>
          <w:i/>
          <w:sz w:val="22"/>
          <w:szCs w:val="22"/>
          <w:lang w:val="sr-Latn-ME"/>
        </w:rPr>
        <w:t>naive</w:t>
      </w:r>
      <w:r w:rsidRPr="00D616DF">
        <w:rPr>
          <w:sz w:val="22"/>
          <w:szCs w:val="22"/>
          <w:lang w:val="sr-Latn-ME"/>
        </w:rPr>
        <w:t>") i kod pacijenata sa MRCC refraktornim na citokine, kao i na pPFS kod pNET.</w:t>
      </w:r>
    </w:p>
    <w:p w:rsidR="008A76D8" w:rsidRDefault="008A76D8" w:rsidP="00466BAC">
      <w:pPr>
        <w:tabs>
          <w:tab w:val="left" w:pos="540"/>
          <w:tab w:val="left" w:pos="569"/>
        </w:tabs>
        <w:jc w:val="both"/>
        <w:rPr>
          <w:i/>
          <w:sz w:val="22"/>
          <w:szCs w:val="22"/>
          <w:lang w:val="sr-Latn-ME"/>
        </w:rPr>
      </w:pPr>
    </w:p>
    <w:p w:rsidR="00466BAC" w:rsidRPr="00D616DF" w:rsidRDefault="00466BAC" w:rsidP="00466BAC">
      <w:pPr>
        <w:tabs>
          <w:tab w:val="left" w:pos="540"/>
          <w:tab w:val="left" w:pos="569"/>
        </w:tabs>
        <w:jc w:val="both"/>
        <w:rPr>
          <w:i/>
          <w:sz w:val="22"/>
          <w:szCs w:val="22"/>
          <w:lang w:val="sr-Latn-ME"/>
        </w:rPr>
      </w:pPr>
      <w:r w:rsidRPr="00D616DF">
        <w:rPr>
          <w:i/>
          <w:sz w:val="22"/>
          <w:szCs w:val="22"/>
          <w:lang w:val="sr-Latn-ME"/>
        </w:rPr>
        <w:t xml:space="preserve">Gastroinestinalni tumori strome </w:t>
      </w:r>
    </w:p>
    <w:p w:rsidR="00466BAC" w:rsidRPr="00D616DF" w:rsidRDefault="00466BAC" w:rsidP="00466BAC">
      <w:pPr>
        <w:tabs>
          <w:tab w:val="left" w:pos="540"/>
          <w:tab w:val="left" w:pos="569"/>
        </w:tabs>
        <w:jc w:val="both"/>
        <w:rPr>
          <w:sz w:val="22"/>
          <w:szCs w:val="22"/>
          <w:lang w:val="sr-Latn-ME"/>
        </w:rPr>
      </w:pPr>
      <w:r w:rsidRPr="00D616DF">
        <w:rPr>
          <w:sz w:val="22"/>
          <w:szCs w:val="22"/>
          <w:lang w:val="sr-Latn-ME"/>
        </w:rPr>
        <w:t>Inicijalna, otvorena studija, sa eskalacijom doze sprovedena je kod GIST pacijenata poslije neuspjeha liječenja imatinibom (medijana maksimalne dnevne doze 800 mg) usljed rezistencije ili netolerancije. Devedes</w:t>
      </w:r>
      <w:r>
        <w:rPr>
          <w:sz w:val="22"/>
          <w:szCs w:val="22"/>
          <w:lang w:val="sr-Latn-ME"/>
        </w:rPr>
        <w:t>e</w:t>
      </w:r>
      <w:r w:rsidRPr="00D616DF">
        <w:rPr>
          <w:sz w:val="22"/>
          <w:szCs w:val="22"/>
          <w:lang w:val="sr-Latn-ME"/>
        </w:rPr>
        <w:t>t i sedam (97) pacijenata uključeno je u studiju sa primjenom raznih doza i režima doziranja; 55 pacijenata primilo je 50 mg tokom preporučenog režima liječenja u trajanju od 4 nedjelje/2 nedjelje pauze bez lijeka (</w:t>
      </w:r>
      <w:r>
        <w:rPr>
          <w:sz w:val="22"/>
          <w:szCs w:val="22"/>
          <w:lang w:val="sr-Latn-ME"/>
        </w:rPr>
        <w:t>„</w:t>
      </w:r>
      <w:r w:rsidRPr="00D616DF">
        <w:rPr>
          <w:sz w:val="22"/>
          <w:szCs w:val="22"/>
          <w:lang w:val="sr-Latn-ME"/>
        </w:rPr>
        <w:t>režim 4/2</w:t>
      </w:r>
      <w:r>
        <w:rPr>
          <w:sz w:val="22"/>
          <w:szCs w:val="22"/>
          <w:lang w:val="sr-Latn-ME"/>
        </w:rPr>
        <w:t>“</w:t>
      </w:r>
      <w:r w:rsidRPr="00D616DF">
        <w:rPr>
          <w:sz w:val="22"/>
          <w:szCs w:val="22"/>
          <w:lang w:val="sr-Latn-ME"/>
        </w:rPr>
        <w:t xml:space="preserve">). </w:t>
      </w:r>
    </w:p>
    <w:p w:rsidR="00466BAC" w:rsidRPr="00D616DF" w:rsidRDefault="00466BAC" w:rsidP="00466BAC">
      <w:pPr>
        <w:tabs>
          <w:tab w:val="left" w:pos="540"/>
          <w:tab w:val="left" w:pos="569"/>
        </w:tabs>
        <w:jc w:val="both"/>
        <w:rPr>
          <w:sz w:val="22"/>
          <w:szCs w:val="22"/>
          <w:lang w:val="sr-Latn-ME"/>
        </w:rPr>
      </w:pPr>
    </w:p>
    <w:p w:rsidR="00466BAC" w:rsidRPr="00D616DF" w:rsidRDefault="00466BAC" w:rsidP="00466BAC">
      <w:pPr>
        <w:tabs>
          <w:tab w:val="left" w:pos="540"/>
          <w:tab w:val="left" w:pos="569"/>
        </w:tabs>
        <w:jc w:val="both"/>
        <w:rPr>
          <w:sz w:val="22"/>
          <w:szCs w:val="22"/>
          <w:lang w:val="sr-Latn-ME"/>
        </w:rPr>
      </w:pPr>
      <w:r w:rsidRPr="00D616DF">
        <w:rPr>
          <w:sz w:val="22"/>
          <w:szCs w:val="22"/>
          <w:lang w:val="sr-Latn-ME"/>
        </w:rPr>
        <w:t>U ovoj studiji medijana TTP bila je 34,0 nedjelja (95% CI = 22,0; 46,0)</w:t>
      </w:r>
    </w:p>
    <w:p w:rsidR="00466BAC" w:rsidRPr="00D616DF" w:rsidRDefault="00466BAC" w:rsidP="00466BAC">
      <w:pPr>
        <w:tabs>
          <w:tab w:val="left" w:pos="540"/>
          <w:tab w:val="left" w:pos="569"/>
        </w:tabs>
        <w:jc w:val="both"/>
        <w:rPr>
          <w:sz w:val="22"/>
          <w:szCs w:val="22"/>
          <w:lang w:val="sr-Latn-ME"/>
        </w:rPr>
      </w:pPr>
    </w:p>
    <w:p w:rsidR="00466BAC" w:rsidRPr="00D616DF" w:rsidRDefault="00466BAC" w:rsidP="00466BAC">
      <w:pPr>
        <w:tabs>
          <w:tab w:val="left" w:pos="540"/>
          <w:tab w:val="left" w:pos="569"/>
        </w:tabs>
        <w:jc w:val="both"/>
        <w:rPr>
          <w:sz w:val="22"/>
          <w:szCs w:val="22"/>
          <w:lang w:val="sr-Latn-ME"/>
        </w:rPr>
      </w:pPr>
      <w:r w:rsidRPr="00D616DF">
        <w:rPr>
          <w:sz w:val="22"/>
          <w:szCs w:val="22"/>
          <w:lang w:val="sr-Latn-ME"/>
        </w:rPr>
        <w:t xml:space="preserve">Randomizovana, placebo kontrolisana, dvostruko-slijepa studija faze III, sprovedena je kod GIST pacijenata koji nijesu tolerisali imatinib, ili su imali progresiju bolesti tokom i poslije liječenja imatinibom (medijana maksimalne dnevne doze 800 mg). U ovoj studiji, 312 pacijenata je randomizovano (2:1) u grupe koje su primale sunitinib u dozi od 50 mg ili placebo, oralno, jednom dnevno po režimu 4/2 do progresije bolesti ili isključenja iz studije usljed nekog drugog razloga (207 pacijenata bilo je na terapiji sunitinibom, dok je 105 pacijenata liječeno placebom). Primarni cilj efikasnosti studije bio je TTP, definisan kao vrijeme od randomizacije do prve objektivne potvrde progresije tumora. U vrijeme unaprijed definisane privremene interim analize (međuanalize), medijana TTP kod pacijenata na terapiji </w:t>
      </w:r>
      <w:r w:rsidRPr="00D616DF">
        <w:rPr>
          <w:sz w:val="22"/>
          <w:szCs w:val="22"/>
          <w:lang w:val="sr-Latn-ME"/>
        </w:rPr>
        <w:lastRenderedPageBreak/>
        <w:t xml:space="preserve">sunitinibom iznosila je 28,9 nedjelja (95% CI = 21,3; 34,1), kako je procijenjeno od strane istraživača, i 27,3 nedjelja (95% CI = 16,0; 32,1), kako je procijenjeno od strane nezavisne recenzije, i bila je statistički značajno duža nego TTP kod pacijenata koji su primali placebo i kod kojih je iznosila 5,1 nedjelju (95% CI = 4,4; 10,1), procijenjeno od strane istraživača, i 6,4 nedjelje (95% CI = 4,4; 10,0), procijenjeno od strane nezavisne recenzije. Razlika u ukupnom preživljavanju (engl. </w:t>
      </w:r>
      <w:r w:rsidRPr="00D616DF">
        <w:rPr>
          <w:i/>
          <w:sz w:val="22"/>
          <w:szCs w:val="22"/>
          <w:lang w:val="sr-Latn-ME"/>
        </w:rPr>
        <w:t xml:space="preserve">Overall Survival </w:t>
      </w:r>
      <w:r w:rsidRPr="00D616DF">
        <w:rPr>
          <w:sz w:val="22"/>
          <w:szCs w:val="22"/>
          <w:lang w:val="sr-Latn-ME"/>
        </w:rPr>
        <w:t xml:space="preserve">-  OS) bila je statistički povoljna za sunitinib [odnos rizika – eng. </w:t>
      </w:r>
      <w:r w:rsidRPr="00D616DF">
        <w:rPr>
          <w:i/>
          <w:sz w:val="22"/>
          <w:szCs w:val="22"/>
          <w:lang w:val="sr-Latn-ME"/>
        </w:rPr>
        <w:t>hazard ratio</w:t>
      </w:r>
      <w:r w:rsidRPr="00D616DF">
        <w:rPr>
          <w:sz w:val="22"/>
          <w:szCs w:val="22"/>
          <w:lang w:val="sr-Latn-ME"/>
        </w:rPr>
        <w:t xml:space="preserve"> (HR): 0,491 (95% CI = 0,290; 0,831)]; rizik od smrti je bio dvostruko veći kod pacijenata liječenih placebom u poređenju sa pacijentima na terapiji sunitinibom.</w:t>
      </w:r>
    </w:p>
    <w:p w:rsidR="00466BAC" w:rsidRPr="00D616DF" w:rsidRDefault="00466BAC" w:rsidP="00466BAC">
      <w:pPr>
        <w:tabs>
          <w:tab w:val="left" w:pos="540"/>
          <w:tab w:val="left" w:pos="569"/>
        </w:tabs>
        <w:jc w:val="both"/>
        <w:rPr>
          <w:sz w:val="22"/>
          <w:szCs w:val="22"/>
          <w:lang w:val="sr-Latn-ME"/>
        </w:rPr>
      </w:pPr>
    </w:p>
    <w:p w:rsidR="00466BAC" w:rsidRPr="00D616DF" w:rsidRDefault="00466BAC" w:rsidP="00466BAC">
      <w:pPr>
        <w:tabs>
          <w:tab w:val="left" w:pos="540"/>
          <w:tab w:val="left" w:pos="569"/>
        </w:tabs>
        <w:jc w:val="both"/>
        <w:rPr>
          <w:sz w:val="22"/>
          <w:szCs w:val="22"/>
          <w:lang w:val="sr-Latn-ME"/>
        </w:rPr>
      </w:pPr>
      <w:r w:rsidRPr="00D616DF">
        <w:rPr>
          <w:sz w:val="22"/>
          <w:szCs w:val="22"/>
          <w:lang w:val="sr-Latn-ME"/>
        </w:rPr>
        <w:t xml:space="preserve">Nakon izvršene interim analize efikasnosti i bezbjednosti, po preporuci nezavisnog komiteta za praćenje bezbjednosti i podataka (engl. </w:t>
      </w:r>
      <w:r w:rsidRPr="00D616DF">
        <w:rPr>
          <w:i/>
          <w:sz w:val="22"/>
          <w:szCs w:val="22"/>
          <w:lang w:val="sr-Latn-ME"/>
        </w:rPr>
        <w:t>independent Data and Safety Monitoring Board</w:t>
      </w:r>
      <w:r w:rsidRPr="00D616DF">
        <w:rPr>
          <w:sz w:val="22"/>
          <w:szCs w:val="22"/>
          <w:lang w:val="sr-Latn-ME"/>
        </w:rPr>
        <w:t xml:space="preserve"> - DSMB) studija je postala otvorena i pacijentima koji su bili na placebu je omogućeno da primaju sunitinib. </w:t>
      </w:r>
    </w:p>
    <w:p w:rsidR="00466BAC" w:rsidRPr="00D616DF" w:rsidRDefault="00466BAC" w:rsidP="00466BAC">
      <w:pPr>
        <w:tabs>
          <w:tab w:val="left" w:pos="540"/>
          <w:tab w:val="left" w:pos="569"/>
        </w:tabs>
        <w:jc w:val="both"/>
        <w:rPr>
          <w:sz w:val="22"/>
          <w:szCs w:val="22"/>
          <w:lang w:val="sr-Latn-ME"/>
        </w:rPr>
      </w:pPr>
    </w:p>
    <w:p w:rsidR="00466BAC" w:rsidRPr="00D616DF" w:rsidRDefault="00466BAC" w:rsidP="00466BAC">
      <w:pPr>
        <w:tabs>
          <w:tab w:val="left" w:pos="540"/>
          <w:tab w:val="left" w:pos="569"/>
        </w:tabs>
        <w:jc w:val="both"/>
        <w:rPr>
          <w:sz w:val="22"/>
          <w:szCs w:val="22"/>
          <w:lang w:val="sr-Latn-ME"/>
        </w:rPr>
      </w:pPr>
      <w:r w:rsidRPr="00D616DF">
        <w:rPr>
          <w:sz w:val="22"/>
          <w:szCs w:val="22"/>
          <w:lang w:val="sr-Latn-ME"/>
        </w:rPr>
        <w:t xml:space="preserve">Ukupno 255 pacijenata je primilo sunitinib u otvorenom dijelu studije, uključujući 99 pacijenata koji su u početku primali placebo. </w:t>
      </w:r>
    </w:p>
    <w:p w:rsidR="00466BAC" w:rsidRPr="00D616DF" w:rsidRDefault="00466BAC" w:rsidP="00466BAC">
      <w:pPr>
        <w:tabs>
          <w:tab w:val="left" w:pos="540"/>
          <w:tab w:val="left" w:pos="569"/>
        </w:tabs>
        <w:jc w:val="both"/>
        <w:rPr>
          <w:sz w:val="22"/>
          <w:szCs w:val="22"/>
          <w:lang w:val="sr-Latn-ME"/>
        </w:rPr>
      </w:pPr>
    </w:p>
    <w:p w:rsidR="00466BAC" w:rsidRPr="00D616DF" w:rsidRDefault="00466BAC" w:rsidP="00466BAC">
      <w:pPr>
        <w:tabs>
          <w:tab w:val="left" w:pos="540"/>
          <w:tab w:val="left" w:pos="569"/>
        </w:tabs>
        <w:jc w:val="both"/>
        <w:rPr>
          <w:sz w:val="22"/>
          <w:szCs w:val="22"/>
          <w:lang w:val="sr-Latn-ME"/>
        </w:rPr>
      </w:pPr>
      <w:r w:rsidRPr="00D616DF">
        <w:rPr>
          <w:sz w:val="22"/>
          <w:szCs w:val="22"/>
          <w:lang w:val="sr-Latn-ME"/>
        </w:rPr>
        <w:t>Analize primarnih i sekundarnih ciljeva u toku otvorene faze studije su potvrdile rezultate dobijene interim anali</w:t>
      </w:r>
      <w:r w:rsidR="0079393F">
        <w:rPr>
          <w:sz w:val="22"/>
          <w:szCs w:val="22"/>
          <w:lang w:val="sr-Latn-ME"/>
        </w:rPr>
        <w:t>zom, kao što je prikazano u Tabeli 2.</w:t>
      </w:r>
    </w:p>
    <w:p w:rsidR="00466BAC" w:rsidRPr="00D616DF" w:rsidRDefault="00466BAC" w:rsidP="00466BAC">
      <w:pPr>
        <w:tabs>
          <w:tab w:val="left" w:pos="540"/>
          <w:tab w:val="left" w:pos="569"/>
        </w:tabs>
        <w:rPr>
          <w:sz w:val="22"/>
          <w:szCs w:val="22"/>
          <w:lang w:val="sr-Latn-ME"/>
        </w:rPr>
      </w:pPr>
    </w:p>
    <w:p w:rsidR="00466BAC" w:rsidRDefault="00466BAC" w:rsidP="00466BAC">
      <w:pPr>
        <w:tabs>
          <w:tab w:val="left" w:pos="426"/>
          <w:tab w:val="left" w:pos="569"/>
        </w:tabs>
        <w:rPr>
          <w:b/>
          <w:sz w:val="22"/>
          <w:szCs w:val="22"/>
          <w:lang w:val="sr-Latn-ME"/>
        </w:rPr>
      </w:pPr>
      <w:r>
        <w:rPr>
          <w:b/>
          <w:sz w:val="22"/>
          <w:szCs w:val="22"/>
          <w:lang w:val="sr-Latn-ME"/>
        </w:rPr>
        <w:t xml:space="preserve">Tabela 2- </w:t>
      </w:r>
      <w:r w:rsidRPr="00D616DF">
        <w:rPr>
          <w:b/>
          <w:sz w:val="22"/>
          <w:szCs w:val="22"/>
          <w:lang w:val="sr-Latn-ME"/>
        </w:rPr>
        <w:t xml:space="preserve">Kratak pregled </w:t>
      </w:r>
      <w:r w:rsidR="002745B0">
        <w:rPr>
          <w:b/>
          <w:sz w:val="22"/>
          <w:szCs w:val="22"/>
          <w:lang w:val="sr-Latn-ME"/>
        </w:rPr>
        <w:t xml:space="preserve">mjera ishoda </w:t>
      </w:r>
      <w:r w:rsidRPr="00D616DF">
        <w:rPr>
          <w:b/>
          <w:sz w:val="22"/>
          <w:szCs w:val="22"/>
          <w:lang w:val="sr-Latn-ME"/>
        </w:rPr>
        <w:t>koje se odn</w:t>
      </w:r>
      <w:r>
        <w:rPr>
          <w:b/>
          <w:sz w:val="22"/>
          <w:szCs w:val="22"/>
          <w:lang w:val="sr-Latn-ME"/>
        </w:rPr>
        <w:t>ose na efikasnost kod GIST (ITT populacija)</w:t>
      </w:r>
    </w:p>
    <w:tbl>
      <w:tblPr>
        <w:tblStyle w:val="TableGrid"/>
        <w:tblW w:w="9218" w:type="dxa"/>
        <w:jc w:val="center"/>
        <w:tblLayout w:type="fixed"/>
        <w:tblLook w:val="04A0" w:firstRow="1" w:lastRow="0" w:firstColumn="1" w:lastColumn="0" w:noHBand="0" w:noVBand="1"/>
      </w:tblPr>
      <w:tblGrid>
        <w:gridCol w:w="1623"/>
        <w:gridCol w:w="1488"/>
        <w:gridCol w:w="1482"/>
        <w:gridCol w:w="2157"/>
        <w:gridCol w:w="982"/>
        <w:gridCol w:w="10"/>
        <w:gridCol w:w="1476"/>
      </w:tblGrid>
      <w:tr w:rsidR="0079393F" w:rsidRPr="00D616DF" w:rsidTr="0079393F">
        <w:trPr>
          <w:trHeight w:val="252"/>
          <w:jc w:val="center"/>
        </w:trPr>
        <w:tc>
          <w:tcPr>
            <w:tcW w:w="1623" w:type="dxa"/>
          </w:tcPr>
          <w:p w:rsidR="0079393F" w:rsidRPr="00D616DF" w:rsidRDefault="0079393F" w:rsidP="00354CB8">
            <w:pPr>
              <w:tabs>
                <w:tab w:val="left" w:pos="540"/>
                <w:tab w:val="left" w:pos="569"/>
              </w:tabs>
              <w:rPr>
                <w:b/>
                <w:bCs/>
                <w:sz w:val="22"/>
                <w:szCs w:val="22"/>
                <w:lang w:val="sr-Latn-ME"/>
              </w:rPr>
            </w:pPr>
          </w:p>
        </w:tc>
        <w:tc>
          <w:tcPr>
            <w:tcW w:w="6119" w:type="dxa"/>
            <w:gridSpan w:val="5"/>
          </w:tcPr>
          <w:p w:rsidR="0079393F" w:rsidRPr="00D616DF" w:rsidRDefault="0079393F" w:rsidP="00354CB8">
            <w:pPr>
              <w:tabs>
                <w:tab w:val="left" w:pos="540"/>
                <w:tab w:val="left" w:pos="569"/>
              </w:tabs>
              <w:jc w:val="center"/>
              <w:rPr>
                <w:b/>
                <w:bCs/>
                <w:sz w:val="22"/>
                <w:szCs w:val="22"/>
                <w:lang w:val="sr-Latn-ME"/>
              </w:rPr>
            </w:pPr>
            <w:r w:rsidRPr="00D616DF">
              <w:rPr>
                <w:b/>
                <w:sz w:val="22"/>
                <w:szCs w:val="22"/>
                <w:lang w:val="sr-Latn-ME"/>
              </w:rPr>
              <w:t xml:space="preserve">Dvostruko slijepa terapija </w:t>
            </w:r>
            <w:r w:rsidRPr="00D616DF">
              <w:rPr>
                <w:b/>
                <w:sz w:val="22"/>
                <w:szCs w:val="22"/>
                <w:vertAlign w:val="superscript"/>
                <w:lang w:val="sr-Latn-ME"/>
              </w:rPr>
              <w:t>a</w:t>
            </w:r>
          </w:p>
        </w:tc>
        <w:tc>
          <w:tcPr>
            <w:tcW w:w="1476" w:type="dxa"/>
          </w:tcPr>
          <w:p w:rsidR="0079393F" w:rsidRPr="00D616DF" w:rsidRDefault="0079393F" w:rsidP="00354CB8">
            <w:pPr>
              <w:tabs>
                <w:tab w:val="left" w:pos="540"/>
                <w:tab w:val="left" w:pos="569"/>
              </w:tabs>
              <w:jc w:val="center"/>
              <w:rPr>
                <w:b/>
                <w:bCs/>
                <w:sz w:val="22"/>
                <w:szCs w:val="22"/>
                <w:lang w:val="sr-Latn-ME"/>
              </w:rPr>
            </w:pPr>
          </w:p>
        </w:tc>
      </w:tr>
      <w:tr w:rsidR="0079393F" w:rsidRPr="00D616DF" w:rsidTr="0079393F">
        <w:trPr>
          <w:trHeight w:val="482"/>
          <w:jc w:val="center"/>
        </w:trPr>
        <w:tc>
          <w:tcPr>
            <w:tcW w:w="1623" w:type="dxa"/>
          </w:tcPr>
          <w:p w:rsidR="0079393F" w:rsidRPr="00D616DF" w:rsidRDefault="0079393F" w:rsidP="00354CB8">
            <w:pPr>
              <w:tabs>
                <w:tab w:val="left" w:pos="540"/>
                <w:tab w:val="left" w:pos="569"/>
              </w:tabs>
              <w:rPr>
                <w:b/>
                <w:bCs/>
                <w:sz w:val="22"/>
                <w:szCs w:val="22"/>
                <w:lang w:val="sr-Latn-ME"/>
              </w:rPr>
            </w:pPr>
          </w:p>
        </w:tc>
        <w:tc>
          <w:tcPr>
            <w:tcW w:w="2970" w:type="dxa"/>
            <w:gridSpan w:val="2"/>
          </w:tcPr>
          <w:p w:rsidR="0079393F" w:rsidRPr="00D616DF" w:rsidRDefault="0079393F" w:rsidP="00354CB8">
            <w:pPr>
              <w:tabs>
                <w:tab w:val="left" w:pos="540"/>
                <w:tab w:val="left" w:pos="569"/>
              </w:tabs>
              <w:jc w:val="center"/>
              <w:rPr>
                <w:b/>
                <w:bCs/>
                <w:sz w:val="22"/>
                <w:szCs w:val="22"/>
                <w:lang w:val="sr-Latn-ME"/>
              </w:rPr>
            </w:pPr>
            <w:r w:rsidRPr="00D616DF">
              <w:rPr>
                <w:b/>
                <w:bCs/>
                <w:sz w:val="22"/>
                <w:szCs w:val="22"/>
                <w:lang w:val="sr-Latn-ME"/>
              </w:rPr>
              <w:t>Medijana (95% CI)</w:t>
            </w:r>
          </w:p>
        </w:tc>
        <w:tc>
          <w:tcPr>
            <w:tcW w:w="3139" w:type="dxa"/>
            <w:gridSpan w:val="2"/>
          </w:tcPr>
          <w:p w:rsidR="0079393F" w:rsidRPr="00D616DF" w:rsidRDefault="0079393F" w:rsidP="00354CB8">
            <w:pPr>
              <w:tabs>
                <w:tab w:val="left" w:pos="540"/>
                <w:tab w:val="left" w:pos="569"/>
              </w:tabs>
              <w:jc w:val="center"/>
              <w:rPr>
                <w:b/>
                <w:bCs/>
                <w:sz w:val="22"/>
                <w:szCs w:val="22"/>
                <w:lang w:val="sr-Latn-ME"/>
              </w:rPr>
            </w:pPr>
            <w:r w:rsidRPr="00D616DF">
              <w:rPr>
                <w:b/>
                <w:bCs/>
                <w:sz w:val="22"/>
                <w:szCs w:val="22"/>
                <w:lang w:val="sr-Latn-ME"/>
              </w:rPr>
              <w:t xml:space="preserve">Odnos rizika </w:t>
            </w:r>
          </w:p>
          <w:p w:rsidR="0079393F" w:rsidRPr="00D616DF" w:rsidRDefault="0079393F" w:rsidP="00354CB8">
            <w:pPr>
              <w:tabs>
                <w:tab w:val="left" w:pos="540"/>
                <w:tab w:val="left" w:pos="569"/>
              </w:tabs>
              <w:jc w:val="center"/>
              <w:rPr>
                <w:b/>
                <w:bCs/>
                <w:sz w:val="22"/>
                <w:szCs w:val="22"/>
                <w:lang w:val="sr-Latn-ME"/>
              </w:rPr>
            </w:pPr>
            <w:r w:rsidRPr="00D616DF">
              <w:rPr>
                <w:b/>
                <w:bCs/>
                <w:sz w:val="22"/>
                <w:szCs w:val="22"/>
                <w:lang w:val="sr-Latn-ME"/>
              </w:rPr>
              <w:t>(</w:t>
            </w:r>
            <w:r w:rsidRPr="00D616DF">
              <w:rPr>
                <w:b/>
                <w:bCs/>
                <w:i/>
                <w:sz w:val="22"/>
                <w:szCs w:val="22"/>
                <w:lang w:val="sr-Latn-ME"/>
              </w:rPr>
              <w:t>Hazard ratio</w:t>
            </w:r>
            <w:r w:rsidRPr="00D616DF">
              <w:rPr>
                <w:b/>
                <w:bCs/>
                <w:sz w:val="22"/>
                <w:szCs w:val="22"/>
                <w:lang w:val="sr-Latn-ME"/>
              </w:rPr>
              <w:t xml:space="preserve"> – HR)</w:t>
            </w:r>
          </w:p>
        </w:tc>
        <w:tc>
          <w:tcPr>
            <w:tcW w:w="1486" w:type="dxa"/>
            <w:gridSpan w:val="2"/>
            <w:vMerge w:val="restart"/>
            <w:shd w:val="clear" w:color="auto" w:fill="auto"/>
          </w:tcPr>
          <w:p w:rsidR="0079393F" w:rsidRPr="00D616DF" w:rsidRDefault="0079393F" w:rsidP="00354CB8">
            <w:pPr>
              <w:tabs>
                <w:tab w:val="left" w:pos="540"/>
                <w:tab w:val="left" w:pos="569"/>
              </w:tabs>
              <w:jc w:val="center"/>
              <w:rPr>
                <w:b/>
                <w:bCs/>
                <w:sz w:val="22"/>
                <w:szCs w:val="22"/>
                <w:lang w:val="sr-Latn-ME"/>
              </w:rPr>
            </w:pPr>
            <w:r w:rsidRPr="00D616DF">
              <w:rPr>
                <w:b/>
                <w:sz w:val="22"/>
                <w:szCs w:val="22"/>
                <w:lang w:val="sr-Latn-ME"/>
              </w:rPr>
              <w:t>Terapija u grupi koja je nakon placeba primala sunitinib</w:t>
            </w:r>
            <w:r w:rsidRPr="00D616DF">
              <w:rPr>
                <w:b/>
                <w:sz w:val="22"/>
                <w:szCs w:val="22"/>
                <w:vertAlign w:val="superscript"/>
                <w:lang w:val="sr-Latn-ME"/>
              </w:rPr>
              <w:t>b</w:t>
            </w:r>
          </w:p>
        </w:tc>
      </w:tr>
      <w:tr w:rsidR="0079393F" w:rsidRPr="00D616DF" w:rsidTr="0079393F">
        <w:trPr>
          <w:trHeight w:val="1003"/>
          <w:jc w:val="center"/>
        </w:trPr>
        <w:tc>
          <w:tcPr>
            <w:tcW w:w="1623" w:type="dxa"/>
          </w:tcPr>
          <w:p w:rsidR="0079393F" w:rsidRPr="00D616DF" w:rsidRDefault="0079393F" w:rsidP="00354CB8">
            <w:pPr>
              <w:tabs>
                <w:tab w:val="left" w:pos="540"/>
                <w:tab w:val="left" w:pos="569"/>
              </w:tabs>
              <w:rPr>
                <w:b/>
                <w:bCs/>
                <w:sz w:val="22"/>
                <w:szCs w:val="22"/>
                <w:lang w:val="sr-Latn-ME"/>
              </w:rPr>
            </w:pPr>
            <w:r w:rsidRPr="00D616DF">
              <w:rPr>
                <w:b/>
                <w:bCs/>
                <w:sz w:val="22"/>
                <w:szCs w:val="22"/>
                <w:lang w:val="sr-Latn-ME"/>
              </w:rPr>
              <w:t>Krajnji cilj</w:t>
            </w:r>
          </w:p>
        </w:tc>
        <w:tc>
          <w:tcPr>
            <w:tcW w:w="1488" w:type="dxa"/>
          </w:tcPr>
          <w:p w:rsidR="0079393F" w:rsidRPr="00D616DF" w:rsidRDefault="0079393F" w:rsidP="00354CB8">
            <w:pPr>
              <w:tabs>
                <w:tab w:val="left" w:pos="540"/>
                <w:tab w:val="left" w:pos="569"/>
              </w:tabs>
              <w:jc w:val="center"/>
              <w:rPr>
                <w:b/>
                <w:bCs/>
                <w:sz w:val="22"/>
                <w:szCs w:val="22"/>
                <w:lang w:val="sr-Latn-ME"/>
              </w:rPr>
            </w:pPr>
            <w:r w:rsidRPr="00D616DF">
              <w:rPr>
                <w:b/>
                <w:bCs/>
                <w:sz w:val="22"/>
                <w:szCs w:val="22"/>
                <w:lang w:val="sr-Latn-ME"/>
              </w:rPr>
              <w:t>Sunitinib</w:t>
            </w:r>
          </w:p>
        </w:tc>
        <w:tc>
          <w:tcPr>
            <w:tcW w:w="1482" w:type="dxa"/>
          </w:tcPr>
          <w:p w:rsidR="0079393F" w:rsidRPr="00D616DF" w:rsidRDefault="0079393F" w:rsidP="00354CB8">
            <w:pPr>
              <w:tabs>
                <w:tab w:val="left" w:pos="540"/>
                <w:tab w:val="left" w:pos="569"/>
              </w:tabs>
              <w:jc w:val="center"/>
              <w:rPr>
                <w:b/>
                <w:bCs/>
                <w:sz w:val="22"/>
                <w:szCs w:val="22"/>
                <w:lang w:val="sr-Latn-ME"/>
              </w:rPr>
            </w:pPr>
            <w:r w:rsidRPr="00D616DF">
              <w:rPr>
                <w:b/>
                <w:bCs/>
                <w:sz w:val="22"/>
                <w:szCs w:val="22"/>
                <w:lang w:val="sr-Latn-ME"/>
              </w:rPr>
              <w:t>Placebo</w:t>
            </w:r>
          </w:p>
        </w:tc>
        <w:tc>
          <w:tcPr>
            <w:tcW w:w="2157" w:type="dxa"/>
          </w:tcPr>
          <w:p w:rsidR="0079393F" w:rsidRPr="00D616DF" w:rsidRDefault="0079393F" w:rsidP="00354CB8">
            <w:pPr>
              <w:tabs>
                <w:tab w:val="left" w:pos="540"/>
                <w:tab w:val="left" w:pos="569"/>
              </w:tabs>
              <w:jc w:val="center"/>
              <w:rPr>
                <w:b/>
                <w:bCs/>
                <w:sz w:val="22"/>
                <w:szCs w:val="22"/>
                <w:lang w:val="sr-Latn-ME"/>
              </w:rPr>
            </w:pPr>
            <w:r w:rsidRPr="00D616DF">
              <w:rPr>
                <w:b/>
                <w:bCs/>
                <w:sz w:val="22"/>
                <w:szCs w:val="22"/>
                <w:lang w:val="sr-Latn-ME"/>
              </w:rPr>
              <w:t>(95% CI)</w:t>
            </w:r>
          </w:p>
        </w:tc>
        <w:tc>
          <w:tcPr>
            <w:tcW w:w="982" w:type="dxa"/>
          </w:tcPr>
          <w:p w:rsidR="0079393F" w:rsidRPr="00D616DF" w:rsidRDefault="0079393F" w:rsidP="00354CB8">
            <w:pPr>
              <w:tabs>
                <w:tab w:val="left" w:pos="540"/>
                <w:tab w:val="left" w:pos="569"/>
              </w:tabs>
              <w:jc w:val="center"/>
              <w:rPr>
                <w:b/>
                <w:bCs/>
                <w:sz w:val="22"/>
                <w:szCs w:val="22"/>
                <w:lang w:val="sr-Latn-ME"/>
              </w:rPr>
            </w:pPr>
            <w:r w:rsidRPr="00D616DF">
              <w:rPr>
                <w:b/>
                <w:bCs/>
                <w:sz w:val="22"/>
                <w:szCs w:val="22"/>
                <w:lang w:val="sr-Latn-ME"/>
              </w:rPr>
              <w:t>p-vrijednost</w:t>
            </w:r>
          </w:p>
        </w:tc>
        <w:tc>
          <w:tcPr>
            <w:tcW w:w="1486" w:type="dxa"/>
            <w:gridSpan w:val="2"/>
            <w:vMerge/>
            <w:shd w:val="clear" w:color="auto" w:fill="auto"/>
          </w:tcPr>
          <w:p w:rsidR="0079393F" w:rsidRPr="00D616DF" w:rsidRDefault="0079393F" w:rsidP="00354CB8">
            <w:pPr>
              <w:tabs>
                <w:tab w:val="left" w:pos="540"/>
                <w:tab w:val="left" w:pos="569"/>
              </w:tabs>
              <w:rPr>
                <w:b/>
                <w:bCs/>
                <w:sz w:val="22"/>
                <w:szCs w:val="22"/>
                <w:lang w:val="sr-Latn-ME"/>
              </w:rPr>
            </w:pPr>
          </w:p>
        </w:tc>
      </w:tr>
      <w:tr w:rsidR="0079393F" w:rsidRPr="00D616DF" w:rsidTr="0079393F">
        <w:trPr>
          <w:trHeight w:val="260"/>
          <w:jc w:val="center"/>
        </w:trPr>
        <w:tc>
          <w:tcPr>
            <w:tcW w:w="1623" w:type="dxa"/>
          </w:tcPr>
          <w:p w:rsidR="0079393F" w:rsidRPr="00D616DF" w:rsidRDefault="0079393F" w:rsidP="00354CB8">
            <w:pPr>
              <w:tabs>
                <w:tab w:val="left" w:pos="540"/>
                <w:tab w:val="left" w:pos="569"/>
              </w:tabs>
              <w:rPr>
                <w:b/>
                <w:bCs/>
                <w:sz w:val="22"/>
                <w:szCs w:val="22"/>
                <w:lang w:val="sr-Latn-ME"/>
              </w:rPr>
            </w:pPr>
            <w:r w:rsidRPr="00D616DF">
              <w:rPr>
                <w:b/>
                <w:bCs/>
                <w:sz w:val="22"/>
                <w:szCs w:val="22"/>
                <w:lang w:val="sr-Latn-ME"/>
              </w:rPr>
              <w:t>Primarni</w:t>
            </w:r>
          </w:p>
        </w:tc>
        <w:tc>
          <w:tcPr>
            <w:tcW w:w="7595" w:type="dxa"/>
            <w:gridSpan w:val="6"/>
          </w:tcPr>
          <w:p w:rsidR="0079393F" w:rsidRPr="00D616DF" w:rsidRDefault="0079393F" w:rsidP="00354CB8">
            <w:pPr>
              <w:tabs>
                <w:tab w:val="left" w:pos="540"/>
                <w:tab w:val="left" w:pos="569"/>
              </w:tabs>
              <w:rPr>
                <w:b/>
                <w:bCs/>
                <w:sz w:val="22"/>
                <w:szCs w:val="22"/>
                <w:lang w:val="sr-Latn-ME"/>
              </w:rPr>
            </w:pPr>
          </w:p>
        </w:tc>
      </w:tr>
      <w:tr w:rsidR="0079393F" w:rsidRPr="00D616DF" w:rsidTr="0079393F">
        <w:trPr>
          <w:trHeight w:val="252"/>
          <w:jc w:val="center"/>
        </w:trPr>
        <w:tc>
          <w:tcPr>
            <w:tcW w:w="1623" w:type="dxa"/>
          </w:tcPr>
          <w:p w:rsidR="0079393F" w:rsidRPr="00D616DF" w:rsidRDefault="0079393F" w:rsidP="00354CB8">
            <w:pPr>
              <w:tabs>
                <w:tab w:val="left" w:pos="540"/>
                <w:tab w:val="left" w:pos="569"/>
              </w:tabs>
              <w:rPr>
                <w:bCs/>
                <w:sz w:val="22"/>
                <w:szCs w:val="22"/>
                <w:lang w:val="sr-Latn-ME"/>
              </w:rPr>
            </w:pPr>
            <w:r w:rsidRPr="00D616DF">
              <w:rPr>
                <w:bCs/>
                <w:sz w:val="22"/>
                <w:szCs w:val="22"/>
                <w:lang w:val="sr-Latn-ME"/>
              </w:rPr>
              <w:t>TTP (nedjelje)</w:t>
            </w:r>
          </w:p>
        </w:tc>
        <w:tc>
          <w:tcPr>
            <w:tcW w:w="7595" w:type="dxa"/>
            <w:gridSpan w:val="6"/>
          </w:tcPr>
          <w:p w:rsidR="0079393F" w:rsidRPr="00D616DF" w:rsidRDefault="0079393F" w:rsidP="00354CB8">
            <w:pPr>
              <w:tabs>
                <w:tab w:val="left" w:pos="540"/>
                <w:tab w:val="left" w:pos="569"/>
              </w:tabs>
              <w:rPr>
                <w:b/>
                <w:bCs/>
                <w:sz w:val="22"/>
                <w:szCs w:val="22"/>
                <w:lang w:val="sr-Latn-ME"/>
              </w:rPr>
            </w:pPr>
          </w:p>
        </w:tc>
      </w:tr>
      <w:tr w:rsidR="0079393F" w:rsidRPr="00D616DF" w:rsidTr="0079393F">
        <w:trPr>
          <w:trHeight w:val="505"/>
          <w:jc w:val="center"/>
        </w:trPr>
        <w:tc>
          <w:tcPr>
            <w:tcW w:w="1623" w:type="dxa"/>
          </w:tcPr>
          <w:p w:rsidR="0079393F" w:rsidRPr="00D616DF" w:rsidRDefault="0079393F" w:rsidP="00354CB8">
            <w:pPr>
              <w:tabs>
                <w:tab w:val="left" w:pos="540"/>
                <w:tab w:val="left" w:pos="569"/>
              </w:tabs>
              <w:rPr>
                <w:bCs/>
                <w:sz w:val="22"/>
                <w:szCs w:val="22"/>
                <w:lang w:val="sr-Latn-ME"/>
              </w:rPr>
            </w:pPr>
            <w:r w:rsidRPr="00D616DF">
              <w:rPr>
                <w:bCs/>
                <w:sz w:val="22"/>
                <w:szCs w:val="22"/>
                <w:lang w:val="sr-Latn-ME"/>
              </w:rPr>
              <w:t>Međuanaliza</w:t>
            </w:r>
          </w:p>
        </w:tc>
        <w:tc>
          <w:tcPr>
            <w:tcW w:w="1488" w:type="dxa"/>
          </w:tcPr>
          <w:p w:rsidR="0079393F" w:rsidRPr="00D616DF" w:rsidRDefault="0079393F" w:rsidP="00354CB8">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27,3 (16,0;</w:t>
            </w:r>
          </w:p>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32,1)</w:t>
            </w:r>
          </w:p>
        </w:tc>
        <w:tc>
          <w:tcPr>
            <w:tcW w:w="1482" w:type="dxa"/>
          </w:tcPr>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6,4 (4,4; 10,0)</w:t>
            </w:r>
          </w:p>
        </w:tc>
        <w:tc>
          <w:tcPr>
            <w:tcW w:w="2157" w:type="dxa"/>
          </w:tcPr>
          <w:p w:rsidR="0079393F" w:rsidRPr="00D616DF" w:rsidRDefault="0079393F" w:rsidP="00354CB8">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0,329 (0,233;</w:t>
            </w:r>
          </w:p>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0,466)</w:t>
            </w:r>
          </w:p>
        </w:tc>
        <w:tc>
          <w:tcPr>
            <w:tcW w:w="982" w:type="dxa"/>
          </w:tcPr>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&lt;0,001</w:t>
            </w:r>
          </w:p>
        </w:tc>
        <w:tc>
          <w:tcPr>
            <w:tcW w:w="1486" w:type="dxa"/>
            <w:gridSpan w:val="2"/>
          </w:tcPr>
          <w:p w:rsidR="0079393F" w:rsidRPr="00D616DF" w:rsidRDefault="0079393F" w:rsidP="00354CB8">
            <w:pPr>
              <w:tabs>
                <w:tab w:val="left" w:pos="540"/>
                <w:tab w:val="left" w:pos="569"/>
              </w:tabs>
              <w:jc w:val="center"/>
              <w:rPr>
                <w:b/>
                <w:bCs/>
                <w:sz w:val="22"/>
                <w:szCs w:val="22"/>
                <w:lang w:val="sr-Latn-ME"/>
              </w:rPr>
            </w:pPr>
            <w:r w:rsidRPr="00D616DF">
              <w:rPr>
                <w:b/>
                <w:bCs/>
                <w:sz w:val="22"/>
                <w:szCs w:val="22"/>
                <w:lang w:val="sr-Latn-ME"/>
              </w:rPr>
              <w:t>-</w:t>
            </w:r>
          </w:p>
        </w:tc>
      </w:tr>
      <w:tr w:rsidR="0079393F" w:rsidRPr="00D616DF" w:rsidTr="0079393F">
        <w:trPr>
          <w:trHeight w:val="505"/>
          <w:jc w:val="center"/>
        </w:trPr>
        <w:tc>
          <w:tcPr>
            <w:tcW w:w="1623" w:type="dxa"/>
          </w:tcPr>
          <w:p w:rsidR="0079393F" w:rsidRPr="00D616DF" w:rsidRDefault="0079393F" w:rsidP="00354CB8">
            <w:pPr>
              <w:tabs>
                <w:tab w:val="left" w:pos="540"/>
                <w:tab w:val="left" w:pos="569"/>
              </w:tabs>
              <w:rPr>
                <w:bCs/>
                <w:sz w:val="22"/>
                <w:szCs w:val="22"/>
                <w:lang w:val="sr-Latn-ME"/>
              </w:rPr>
            </w:pPr>
            <w:r w:rsidRPr="00D616DF">
              <w:rPr>
                <w:bCs/>
                <w:sz w:val="22"/>
                <w:szCs w:val="22"/>
                <w:lang w:val="sr-Latn-ME"/>
              </w:rPr>
              <w:t>Finalna analiza</w:t>
            </w:r>
          </w:p>
        </w:tc>
        <w:tc>
          <w:tcPr>
            <w:tcW w:w="1488" w:type="dxa"/>
          </w:tcPr>
          <w:p w:rsidR="0079393F" w:rsidRPr="00D616DF" w:rsidRDefault="0079393F" w:rsidP="00354CB8">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26,6 (16,0;</w:t>
            </w:r>
          </w:p>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32,1)</w:t>
            </w:r>
          </w:p>
        </w:tc>
        <w:tc>
          <w:tcPr>
            <w:tcW w:w="1482" w:type="dxa"/>
          </w:tcPr>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6,4 (4,4; 10,0)</w:t>
            </w:r>
          </w:p>
        </w:tc>
        <w:tc>
          <w:tcPr>
            <w:tcW w:w="2157" w:type="dxa"/>
          </w:tcPr>
          <w:p w:rsidR="0079393F" w:rsidRPr="00D616DF" w:rsidRDefault="0079393F" w:rsidP="00354CB8">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0,339 (0,244;</w:t>
            </w:r>
          </w:p>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0,472)</w:t>
            </w:r>
          </w:p>
        </w:tc>
        <w:tc>
          <w:tcPr>
            <w:tcW w:w="982" w:type="dxa"/>
          </w:tcPr>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&lt;0,001</w:t>
            </w:r>
          </w:p>
        </w:tc>
        <w:tc>
          <w:tcPr>
            <w:tcW w:w="1486" w:type="dxa"/>
            <w:gridSpan w:val="2"/>
          </w:tcPr>
          <w:p w:rsidR="0079393F" w:rsidRPr="00D616DF" w:rsidRDefault="0079393F" w:rsidP="00354CB8">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10,4 (4,3;</w:t>
            </w:r>
          </w:p>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22,0)</w:t>
            </w:r>
          </w:p>
        </w:tc>
      </w:tr>
      <w:tr w:rsidR="0079393F" w:rsidRPr="00D616DF" w:rsidTr="0079393F">
        <w:trPr>
          <w:trHeight w:val="252"/>
          <w:jc w:val="center"/>
        </w:trPr>
        <w:tc>
          <w:tcPr>
            <w:tcW w:w="1623" w:type="dxa"/>
          </w:tcPr>
          <w:p w:rsidR="0079393F" w:rsidRPr="00D616DF" w:rsidRDefault="0079393F" w:rsidP="00354CB8">
            <w:pPr>
              <w:tabs>
                <w:tab w:val="left" w:pos="540"/>
                <w:tab w:val="left" w:pos="569"/>
              </w:tabs>
              <w:rPr>
                <w:b/>
                <w:bCs/>
                <w:sz w:val="22"/>
                <w:szCs w:val="22"/>
                <w:lang w:val="sr-Latn-ME"/>
              </w:rPr>
            </w:pPr>
            <w:r w:rsidRPr="00D616DF">
              <w:rPr>
                <w:b/>
                <w:bCs/>
                <w:sz w:val="22"/>
                <w:szCs w:val="22"/>
                <w:lang w:val="sr-Latn-ME"/>
              </w:rPr>
              <w:t>Sekundarni</w:t>
            </w:r>
          </w:p>
        </w:tc>
        <w:tc>
          <w:tcPr>
            <w:tcW w:w="7595" w:type="dxa"/>
            <w:gridSpan w:val="6"/>
          </w:tcPr>
          <w:p w:rsidR="0079393F" w:rsidRPr="00D616DF" w:rsidRDefault="0079393F" w:rsidP="00354CB8">
            <w:pPr>
              <w:tabs>
                <w:tab w:val="left" w:pos="540"/>
                <w:tab w:val="left" w:pos="569"/>
              </w:tabs>
              <w:rPr>
                <w:b/>
                <w:bCs/>
                <w:sz w:val="22"/>
                <w:szCs w:val="22"/>
                <w:lang w:val="sr-Latn-ME"/>
              </w:rPr>
            </w:pPr>
          </w:p>
        </w:tc>
      </w:tr>
      <w:tr w:rsidR="0079393F" w:rsidRPr="00D616DF" w:rsidTr="0079393F">
        <w:trPr>
          <w:trHeight w:val="513"/>
          <w:jc w:val="center"/>
        </w:trPr>
        <w:tc>
          <w:tcPr>
            <w:tcW w:w="1623" w:type="dxa"/>
          </w:tcPr>
          <w:p w:rsidR="0079393F" w:rsidRPr="00D616DF" w:rsidRDefault="0079393F" w:rsidP="00354CB8">
            <w:pPr>
              <w:tabs>
                <w:tab w:val="left" w:pos="540"/>
                <w:tab w:val="left" w:pos="569"/>
              </w:tabs>
              <w:rPr>
                <w:bCs/>
                <w:sz w:val="22"/>
                <w:szCs w:val="22"/>
                <w:lang w:val="sr-Latn-ME"/>
              </w:rPr>
            </w:pPr>
            <w:r w:rsidRPr="00D616DF">
              <w:rPr>
                <w:bCs/>
                <w:sz w:val="22"/>
                <w:szCs w:val="22"/>
                <w:lang w:val="sr-Latn-ME"/>
              </w:rPr>
              <w:t>PFS (nedjelje)</w:t>
            </w:r>
            <w:r w:rsidRPr="00D616DF">
              <w:rPr>
                <w:bCs/>
                <w:sz w:val="22"/>
                <w:szCs w:val="22"/>
                <w:vertAlign w:val="superscript"/>
                <w:lang w:val="sr-Latn-ME"/>
              </w:rPr>
              <w:t>c</w:t>
            </w:r>
          </w:p>
        </w:tc>
        <w:tc>
          <w:tcPr>
            <w:tcW w:w="7595" w:type="dxa"/>
            <w:gridSpan w:val="6"/>
          </w:tcPr>
          <w:p w:rsidR="0079393F" w:rsidRPr="00D616DF" w:rsidRDefault="0079393F" w:rsidP="00354CB8">
            <w:pPr>
              <w:tabs>
                <w:tab w:val="left" w:pos="540"/>
                <w:tab w:val="left" w:pos="569"/>
              </w:tabs>
              <w:rPr>
                <w:b/>
                <w:bCs/>
                <w:sz w:val="22"/>
                <w:szCs w:val="22"/>
                <w:lang w:val="sr-Latn-ME"/>
              </w:rPr>
            </w:pPr>
          </w:p>
        </w:tc>
      </w:tr>
      <w:tr w:rsidR="0079393F" w:rsidRPr="00D616DF" w:rsidTr="0079393F">
        <w:trPr>
          <w:trHeight w:val="505"/>
          <w:jc w:val="center"/>
        </w:trPr>
        <w:tc>
          <w:tcPr>
            <w:tcW w:w="1623" w:type="dxa"/>
          </w:tcPr>
          <w:p w:rsidR="0079393F" w:rsidRPr="00D616DF" w:rsidRDefault="0079393F" w:rsidP="00354CB8">
            <w:pPr>
              <w:tabs>
                <w:tab w:val="left" w:pos="540"/>
                <w:tab w:val="left" w:pos="569"/>
              </w:tabs>
              <w:rPr>
                <w:bCs/>
                <w:sz w:val="22"/>
                <w:szCs w:val="22"/>
                <w:lang w:val="sr-Latn-ME"/>
              </w:rPr>
            </w:pPr>
            <w:r w:rsidRPr="00D616DF">
              <w:rPr>
                <w:bCs/>
                <w:sz w:val="22"/>
                <w:szCs w:val="22"/>
                <w:lang w:val="sr-Latn-ME"/>
              </w:rPr>
              <w:t>Međuanaliza</w:t>
            </w:r>
          </w:p>
        </w:tc>
        <w:tc>
          <w:tcPr>
            <w:tcW w:w="1488" w:type="dxa"/>
          </w:tcPr>
          <w:p w:rsidR="0079393F" w:rsidRPr="00D616DF" w:rsidRDefault="0079393F" w:rsidP="00354CB8">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24,1 (11,1;</w:t>
            </w:r>
          </w:p>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28,3)</w:t>
            </w:r>
          </w:p>
        </w:tc>
        <w:tc>
          <w:tcPr>
            <w:tcW w:w="1482" w:type="dxa"/>
          </w:tcPr>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6,0 (4,4; 9,9)</w:t>
            </w:r>
          </w:p>
        </w:tc>
        <w:tc>
          <w:tcPr>
            <w:tcW w:w="2157" w:type="dxa"/>
          </w:tcPr>
          <w:p w:rsidR="0079393F" w:rsidRPr="00D616DF" w:rsidRDefault="0079393F" w:rsidP="00354CB8">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0,333 (0,238;</w:t>
            </w:r>
          </w:p>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0.467)</w:t>
            </w:r>
          </w:p>
        </w:tc>
        <w:tc>
          <w:tcPr>
            <w:tcW w:w="982" w:type="dxa"/>
          </w:tcPr>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&lt;0,001</w:t>
            </w:r>
          </w:p>
        </w:tc>
        <w:tc>
          <w:tcPr>
            <w:tcW w:w="1486" w:type="dxa"/>
            <w:gridSpan w:val="2"/>
          </w:tcPr>
          <w:p w:rsidR="0079393F" w:rsidRPr="00D616DF" w:rsidRDefault="0079393F" w:rsidP="00354CB8">
            <w:pPr>
              <w:tabs>
                <w:tab w:val="left" w:pos="540"/>
                <w:tab w:val="left" w:pos="569"/>
              </w:tabs>
              <w:jc w:val="center"/>
              <w:rPr>
                <w:b/>
                <w:bCs/>
                <w:sz w:val="22"/>
                <w:szCs w:val="22"/>
                <w:lang w:val="sr-Latn-ME"/>
              </w:rPr>
            </w:pPr>
            <w:r w:rsidRPr="00D616DF">
              <w:rPr>
                <w:b/>
                <w:bCs/>
                <w:sz w:val="22"/>
                <w:szCs w:val="22"/>
                <w:lang w:val="sr-Latn-ME"/>
              </w:rPr>
              <w:t>-</w:t>
            </w:r>
          </w:p>
        </w:tc>
      </w:tr>
      <w:tr w:rsidR="0079393F" w:rsidRPr="00D616DF" w:rsidTr="0079393F">
        <w:trPr>
          <w:trHeight w:val="505"/>
          <w:jc w:val="center"/>
        </w:trPr>
        <w:tc>
          <w:tcPr>
            <w:tcW w:w="1623" w:type="dxa"/>
          </w:tcPr>
          <w:p w:rsidR="0079393F" w:rsidRPr="00D616DF" w:rsidRDefault="0079393F" w:rsidP="00354CB8">
            <w:pPr>
              <w:tabs>
                <w:tab w:val="left" w:pos="540"/>
                <w:tab w:val="left" w:pos="569"/>
              </w:tabs>
              <w:rPr>
                <w:bCs/>
                <w:sz w:val="22"/>
                <w:szCs w:val="22"/>
                <w:lang w:val="sr-Latn-ME"/>
              </w:rPr>
            </w:pPr>
            <w:r w:rsidRPr="00D616DF">
              <w:rPr>
                <w:bCs/>
                <w:sz w:val="22"/>
                <w:szCs w:val="22"/>
                <w:lang w:val="sr-Latn-ME"/>
              </w:rPr>
              <w:t>Finalna analiza</w:t>
            </w:r>
          </w:p>
        </w:tc>
        <w:tc>
          <w:tcPr>
            <w:tcW w:w="1488" w:type="dxa"/>
          </w:tcPr>
          <w:p w:rsidR="0079393F" w:rsidRPr="00D616DF" w:rsidRDefault="0079393F" w:rsidP="00354CB8">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22,9 (10,9;</w:t>
            </w:r>
          </w:p>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28,0)</w:t>
            </w:r>
          </w:p>
        </w:tc>
        <w:tc>
          <w:tcPr>
            <w:tcW w:w="1482" w:type="dxa"/>
          </w:tcPr>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6,0 (4,4; 9,7)</w:t>
            </w:r>
          </w:p>
        </w:tc>
        <w:tc>
          <w:tcPr>
            <w:tcW w:w="2157" w:type="dxa"/>
          </w:tcPr>
          <w:p w:rsidR="0079393F" w:rsidRPr="00D616DF" w:rsidRDefault="0079393F" w:rsidP="00354CB8">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0,347 (0.253:</w:t>
            </w:r>
          </w:p>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0,475)</w:t>
            </w:r>
          </w:p>
        </w:tc>
        <w:tc>
          <w:tcPr>
            <w:tcW w:w="982" w:type="dxa"/>
          </w:tcPr>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&lt;0,001</w:t>
            </w:r>
          </w:p>
        </w:tc>
        <w:tc>
          <w:tcPr>
            <w:tcW w:w="1486" w:type="dxa"/>
            <w:gridSpan w:val="2"/>
          </w:tcPr>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w:t>
            </w:r>
          </w:p>
        </w:tc>
      </w:tr>
      <w:tr w:rsidR="0079393F" w:rsidRPr="00D616DF" w:rsidTr="0079393F">
        <w:trPr>
          <w:trHeight w:val="252"/>
          <w:jc w:val="center"/>
        </w:trPr>
        <w:tc>
          <w:tcPr>
            <w:tcW w:w="1623" w:type="dxa"/>
          </w:tcPr>
          <w:p w:rsidR="0079393F" w:rsidRPr="00D616DF" w:rsidRDefault="0079393F" w:rsidP="00354CB8">
            <w:pPr>
              <w:tabs>
                <w:tab w:val="left" w:pos="540"/>
                <w:tab w:val="left" w:pos="569"/>
              </w:tabs>
              <w:rPr>
                <w:bCs/>
                <w:sz w:val="22"/>
                <w:szCs w:val="22"/>
                <w:vertAlign w:val="superscript"/>
                <w:lang w:val="sr-Latn-ME"/>
              </w:rPr>
            </w:pPr>
            <w:r w:rsidRPr="00D616DF">
              <w:rPr>
                <w:bCs/>
                <w:sz w:val="22"/>
                <w:szCs w:val="22"/>
                <w:lang w:val="sr-Latn-ME"/>
              </w:rPr>
              <w:t>ORR (%)</w:t>
            </w:r>
            <w:r w:rsidRPr="00D616DF">
              <w:rPr>
                <w:bCs/>
                <w:sz w:val="22"/>
                <w:szCs w:val="22"/>
                <w:vertAlign w:val="superscript"/>
                <w:lang w:val="sr-Latn-ME"/>
              </w:rPr>
              <w:t>d</w:t>
            </w:r>
          </w:p>
        </w:tc>
        <w:tc>
          <w:tcPr>
            <w:tcW w:w="7595" w:type="dxa"/>
            <w:gridSpan w:val="6"/>
          </w:tcPr>
          <w:p w:rsidR="0079393F" w:rsidRPr="00D616DF" w:rsidRDefault="0079393F" w:rsidP="00354CB8">
            <w:pPr>
              <w:tabs>
                <w:tab w:val="left" w:pos="540"/>
                <w:tab w:val="left" w:pos="569"/>
              </w:tabs>
              <w:jc w:val="center"/>
              <w:rPr>
                <w:b/>
                <w:bCs/>
                <w:sz w:val="22"/>
                <w:szCs w:val="22"/>
                <w:lang w:val="sr-Latn-ME"/>
              </w:rPr>
            </w:pPr>
          </w:p>
        </w:tc>
      </w:tr>
      <w:tr w:rsidR="0079393F" w:rsidRPr="00D616DF" w:rsidTr="0079393F">
        <w:trPr>
          <w:trHeight w:val="260"/>
          <w:jc w:val="center"/>
        </w:trPr>
        <w:tc>
          <w:tcPr>
            <w:tcW w:w="1623" w:type="dxa"/>
          </w:tcPr>
          <w:p w:rsidR="0079393F" w:rsidRPr="00D616DF" w:rsidRDefault="0079393F" w:rsidP="00354CB8">
            <w:pPr>
              <w:tabs>
                <w:tab w:val="left" w:pos="540"/>
                <w:tab w:val="left" w:pos="569"/>
              </w:tabs>
              <w:rPr>
                <w:bCs/>
                <w:sz w:val="22"/>
                <w:szCs w:val="22"/>
                <w:lang w:val="sr-Latn-ME"/>
              </w:rPr>
            </w:pPr>
            <w:r w:rsidRPr="00D616DF">
              <w:rPr>
                <w:bCs/>
                <w:sz w:val="22"/>
                <w:szCs w:val="22"/>
                <w:lang w:val="sr-Latn-ME"/>
              </w:rPr>
              <w:t>Međuanaliza</w:t>
            </w:r>
          </w:p>
        </w:tc>
        <w:tc>
          <w:tcPr>
            <w:tcW w:w="1488" w:type="dxa"/>
          </w:tcPr>
          <w:p w:rsidR="0079393F" w:rsidRPr="00D616DF" w:rsidRDefault="0079393F" w:rsidP="00354CB8">
            <w:pPr>
              <w:tabs>
                <w:tab w:val="left" w:pos="540"/>
                <w:tab w:val="left" w:pos="569"/>
              </w:tabs>
              <w:jc w:val="center"/>
              <w:rPr>
                <w:b/>
                <w:bCs/>
                <w:sz w:val="22"/>
                <w:szCs w:val="22"/>
                <w:lang w:val="sr-Latn-ME"/>
              </w:rPr>
            </w:pPr>
            <w:r w:rsidRPr="00D616DF">
              <w:rPr>
                <w:sz w:val="22"/>
                <w:szCs w:val="22"/>
                <w:lang w:val="sr-Latn-ME"/>
              </w:rPr>
              <w:t>6,8 (3,7; 11,1)</w:t>
            </w:r>
          </w:p>
        </w:tc>
        <w:tc>
          <w:tcPr>
            <w:tcW w:w="1482" w:type="dxa"/>
          </w:tcPr>
          <w:p w:rsidR="0079393F" w:rsidRPr="00D616DF" w:rsidRDefault="0079393F" w:rsidP="00354CB8">
            <w:pPr>
              <w:tabs>
                <w:tab w:val="left" w:pos="540"/>
                <w:tab w:val="left" w:pos="569"/>
              </w:tabs>
              <w:jc w:val="center"/>
              <w:rPr>
                <w:bCs/>
                <w:sz w:val="22"/>
                <w:szCs w:val="22"/>
                <w:lang w:val="sr-Latn-ME"/>
              </w:rPr>
            </w:pPr>
            <w:r w:rsidRPr="00D616DF">
              <w:rPr>
                <w:bCs/>
                <w:sz w:val="22"/>
                <w:szCs w:val="22"/>
                <w:lang w:val="sr-Latn-ME"/>
              </w:rPr>
              <w:t>0 (-)</w:t>
            </w:r>
          </w:p>
        </w:tc>
        <w:tc>
          <w:tcPr>
            <w:tcW w:w="2157" w:type="dxa"/>
          </w:tcPr>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NA</w:t>
            </w:r>
          </w:p>
        </w:tc>
        <w:tc>
          <w:tcPr>
            <w:tcW w:w="982" w:type="dxa"/>
          </w:tcPr>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0,006</w:t>
            </w:r>
          </w:p>
        </w:tc>
        <w:tc>
          <w:tcPr>
            <w:tcW w:w="1486" w:type="dxa"/>
            <w:gridSpan w:val="2"/>
          </w:tcPr>
          <w:p w:rsidR="0079393F" w:rsidRPr="00D616DF" w:rsidRDefault="0079393F" w:rsidP="00354CB8">
            <w:pPr>
              <w:tabs>
                <w:tab w:val="left" w:pos="540"/>
                <w:tab w:val="left" w:pos="569"/>
              </w:tabs>
              <w:jc w:val="center"/>
              <w:rPr>
                <w:b/>
                <w:bCs/>
                <w:sz w:val="22"/>
                <w:szCs w:val="22"/>
                <w:lang w:val="sr-Latn-ME"/>
              </w:rPr>
            </w:pPr>
            <w:r w:rsidRPr="00D616DF">
              <w:rPr>
                <w:b/>
                <w:bCs/>
                <w:sz w:val="22"/>
                <w:szCs w:val="22"/>
                <w:lang w:val="sr-Latn-ME"/>
              </w:rPr>
              <w:t>-</w:t>
            </w:r>
          </w:p>
        </w:tc>
      </w:tr>
      <w:tr w:rsidR="0079393F" w:rsidRPr="00D616DF" w:rsidTr="0079393F">
        <w:trPr>
          <w:trHeight w:val="505"/>
          <w:jc w:val="center"/>
        </w:trPr>
        <w:tc>
          <w:tcPr>
            <w:tcW w:w="1623" w:type="dxa"/>
          </w:tcPr>
          <w:p w:rsidR="0079393F" w:rsidRPr="00D616DF" w:rsidRDefault="0079393F" w:rsidP="00354CB8">
            <w:pPr>
              <w:tabs>
                <w:tab w:val="left" w:pos="540"/>
                <w:tab w:val="left" w:pos="569"/>
              </w:tabs>
              <w:rPr>
                <w:bCs/>
                <w:sz w:val="22"/>
                <w:szCs w:val="22"/>
                <w:lang w:val="sr-Latn-ME"/>
              </w:rPr>
            </w:pPr>
            <w:r w:rsidRPr="00D616DF">
              <w:rPr>
                <w:bCs/>
                <w:sz w:val="22"/>
                <w:szCs w:val="22"/>
                <w:lang w:val="sr-Latn-ME"/>
              </w:rPr>
              <w:t>Finalna analiza</w:t>
            </w:r>
          </w:p>
        </w:tc>
        <w:tc>
          <w:tcPr>
            <w:tcW w:w="1488" w:type="dxa"/>
          </w:tcPr>
          <w:p w:rsidR="0079393F" w:rsidRPr="00D616DF" w:rsidRDefault="0079393F" w:rsidP="00354CB8">
            <w:pPr>
              <w:tabs>
                <w:tab w:val="left" w:pos="540"/>
                <w:tab w:val="left" w:pos="569"/>
              </w:tabs>
              <w:jc w:val="center"/>
              <w:rPr>
                <w:b/>
                <w:bCs/>
                <w:sz w:val="22"/>
                <w:szCs w:val="22"/>
                <w:lang w:val="sr-Latn-ME"/>
              </w:rPr>
            </w:pPr>
            <w:r w:rsidRPr="00D616DF">
              <w:rPr>
                <w:sz w:val="22"/>
                <w:szCs w:val="22"/>
                <w:lang w:val="sr-Latn-ME"/>
              </w:rPr>
              <w:t>6,6 (3,8; 10,5)</w:t>
            </w:r>
          </w:p>
        </w:tc>
        <w:tc>
          <w:tcPr>
            <w:tcW w:w="1482" w:type="dxa"/>
          </w:tcPr>
          <w:p w:rsidR="0079393F" w:rsidRPr="00D616DF" w:rsidRDefault="0079393F" w:rsidP="00354CB8">
            <w:pPr>
              <w:tabs>
                <w:tab w:val="left" w:pos="540"/>
                <w:tab w:val="left" w:pos="569"/>
              </w:tabs>
              <w:jc w:val="center"/>
              <w:rPr>
                <w:b/>
                <w:bCs/>
                <w:sz w:val="22"/>
                <w:szCs w:val="22"/>
                <w:lang w:val="sr-Latn-ME"/>
              </w:rPr>
            </w:pPr>
            <w:r w:rsidRPr="00D616DF">
              <w:rPr>
                <w:bCs/>
                <w:sz w:val="22"/>
                <w:szCs w:val="22"/>
                <w:lang w:val="sr-Latn-ME"/>
              </w:rPr>
              <w:t>0 (-)</w:t>
            </w:r>
          </w:p>
        </w:tc>
        <w:tc>
          <w:tcPr>
            <w:tcW w:w="2157" w:type="dxa"/>
          </w:tcPr>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NA</w:t>
            </w:r>
          </w:p>
        </w:tc>
        <w:tc>
          <w:tcPr>
            <w:tcW w:w="982" w:type="dxa"/>
          </w:tcPr>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0,004</w:t>
            </w:r>
          </w:p>
        </w:tc>
        <w:tc>
          <w:tcPr>
            <w:tcW w:w="1486" w:type="dxa"/>
            <w:gridSpan w:val="2"/>
          </w:tcPr>
          <w:p w:rsidR="0079393F" w:rsidRPr="00D616DF" w:rsidRDefault="0079393F" w:rsidP="00354CB8">
            <w:pPr>
              <w:tabs>
                <w:tab w:val="left" w:pos="540"/>
                <w:tab w:val="left" w:pos="569"/>
              </w:tabs>
              <w:jc w:val="center"/>
              <w:rPr>
                <w:rFonts w:eastAsia="TimesNewRoman"/>
                <w:sz w:val="22"/>
                <w:szCs w:val="22"/>
                <w:lang w:val="sr-Latn-ME" w:eastAsia="sr-Latn-ME"/>
              </w:rPr>
            </w:pPr>
            <w:r w:rsidRPr="00D616DF">
              <w:rPr>
                <w:rFonts w:eastAsia="TimesNewRoman"/>
                <w:sz w:val="22"/>
                <w:szCs w:val="22"/>
                <w:lang w:val="sr-Latn-ME" w:eastAsia="sr-Latn-ME"/>
              </w:rPr>
              <w:t xml:space="preserve">10,1 </w:t>
            </w:r>
          </w:p>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(5,0; 17,8)</w:t>
            </w:r>
          </w:p>
        </w:tc>
      </w:tr>
      <w:tr w:rsidR="0079393F" w:rsidRPr="00D616DF" w:rsidTr="0079393F">
        <w:trPr>
          <w:trHeight w:val="252"/>
          <w:jc w:val="center"/>
        </w:trPr>
        <w:tc>
          <w:tcPr>
            <w:tcW w:w="1623" w:type="dxa"/>
          </w:tcPr>
          <w:p w:rsidR="0079393F" w:rsidRPr="00D616DF" w:rsidRDefault="0079393F" w:rsidP="00354CB8">
            <w:pPr>
              <w:tabs>
                <w:tab w:val="left" w:pos="540"/>
                <w:tab w:val="left" w:pos="569"/>
              </w:tabs>
              <w:rPr>
                <w:bCs/>
                <w:sz w:val="22"/>
                <w:szCs w:val="22"/>
                <w:vertAlign w:val="superscript"/>
                <w:lang w:val="sr-Latn-ME"/>
              </w:rPr>
            </w:pPr>
            <w:r w:rsidRPr="00D616DF">
              <w:rPr>
                <w:bCs/>
                <w:sz w:val="22"/>
                <w:szCs w:val="22"/>
                <w:lang w:val="sr-Latn-ME"/>
              </w:rPr>
              <w:t>OS (nedjelje)</w:t>
            </w:r>
            <w:r w:rsidRPr="00D616DF">
              <w:rPr>
                <w:bCs/>
                <w:sz w:val="22"/>
                <w:szCs w:val="22"/>
                <w:vertAlign w:val="superscript"/>
                <w:lang w:val="sr-Latn-ME"/>
              </w:rPr>
              <w:t>e</w:t>
            </w:r>
          </w:p>
        </w:tc>
        <w:tc>
          <w:tcPr>
            <w:tcW w:w="7595" w:type="dxa"/>
            <w:gridSpan w:val="6"/>
          </w:tcPr>
          <w:p w:rsidR="0079393F" w:rsidRPr="00D616DF" w:rsidRDefault="0079393F" w:rsidP="00354CB8">
            <w:pPr>
              <w:tabs>
                <w:tab w:val="left" w:pos="540"/>
                <w:tab w:val="left" w:pos="569"/>
              </w:tabs>
              <w:jc w:val="center"/>
              <w:rPr>
                <w:b/>
                <w:bCs/>
                <w:sz w:val="22"/>
                <w:szCs w:val="22"/>
                <w:lang w:val="sr-Latn-ME"/>
              </w:rPr>
            </w:pPr>
          </w:p>
        </w:tc>
      </w:tr>
      <w:tr w:rsidR="0079393F" w:rsidRPr="00D616DF" w:rsidTr="0079393F">
        <w:trPr>
          <w:trHeight w:val="260"/>
          <w:jc w:val="center"/>
        </w:trPr>
        <w:tc>
          <w:tcPr>
            <w:tcW w:w="1623" w:type="dxa"/>
          </w:tcPr>
          <w:p w:rsidR="0079393F" w:rsidRPr="00D616DF" w:rsidRDefault="0079393F" w:rsidP="00354CB8">
            <w:pPr>
              <w:tabs>
                <w:tab w:val="left" w:pos="540"/>
                <w:tab w:val="left" w:pos="569"/>
              </w:tabs>
              <w:rPr>
                <w:bCs/>
                <w:sz w:val="22"/>
                <w:szCs w:val="22"/>
                <w:lang w:val="sr-Latn-ME"/>
              </w:rPr>
            </w:pPr>
            <w:r w:rsidRPr="00D616DF">
              <w:rPr>
                <w:bCs/>
                <w:sz w:val="22"/>
                <w:szCs w:val="22"/>
                <w:lang w:val="sr-Latn-ME"/>
              </w:rPr>
              <w:t>Međuanaliza</w:t>
            </w:r>
          </w:p>
        </w:tc>
        <w:tc>
          <w:tcPr>
            <w:tcW w:w="1488" w:type="dxa"/>
          </w:tcPr>
          <w:p w:rsidR="0079393F" w:rsidRPr="00D616DF" w:rsidRDefault="0079393F" w:rsidP="00354CB8">
            <w:pPr>
              <w:tabs>
                <w:tab w:val="left" w:pos="540"/>
                <w:tab w:val="left" w:pos="569"/>
              </w:tabs>
              <w:jc w:val="center"/>
              <w:rPr>
                <w:b/>
                <w:bCs/>
                <w:sz w:val="22"/>
                <w:szCs w:val="22"/>
                <w:lang w:val="sr-Latn-ME"/>
              </w:rPr>
            </w:pPr>
            <w:r w:rsidRPr="00D616DF">
              <w:rPr>
                <w:b/>
                <w:bCs/>
                <w:sz w:val="22"/>
                <w:szCs w:val="22"/>
                <w:lang w:val="sr-Latn-ME"/>
              </w:rPr>
              <w:t>-</w:t>
            </w:r>
          </w:p>
        </w:tc>
        <w:tc>
          <w:tcPr>
            <w:tcW w:w="1482" w:type="dxa"/>
          </w:tcPr>
          <w:p w:rsidR="0079393F" w:rsidRPr="00D616DF" w:rsidRDefault="0079393F" w:rsidP="00354CB8">
            <w:pPr>
              <w:tabs>
                <w:tab w:val="left" w:pos="540"/>
                <w:tab w:val="left" w:pos="569"/>
              </w:tabs>
              <w:jc w:val="center"/>
              <w:rPr>
                <w:b/>
                <w:bCs/>
                <w:sz w:val="22"/>
                <w:szCs w:val="22"/>
                <w:lang w:val="sr-Latn-ME"/>
              </w:rPr>
            </w:pPr>
            <w:r w:rsidRPr="00D616DF">
              <w:rPr>
                <w:b/>
                <w:bCs/>
                <w:sz w:val="22"/>
                <w:szCs w:val="22"/>
                <w:lang w:val="sr-Latn-ME"/>
              </w:rPr>
              <w:t>-</w:t>
            </w:r>
          </w:p>
        </w:tc>
        <w:tc>
          <w:tcPr>
            <w:tcW w:w="2157" w:type="dxa"/>
          </w:tcPr>
          <w:p w:rsidR="0079393F" w:rsidRPr="00D616DF" w:rsidRDefault="0079393F" w:rsidP="00354CB8">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0,491 (0,290;</w:t>
            </w:r>
          </w:p>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0,831)</w:t>
            </w:r>
          </w:p>
        </w:tc>
        <w:tc>
          <w:tcPr>
            <w:tcW w:w="982" w:type="dxa"/>
          </w:tcPr>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0,007</w:t>
            </w:r>
          </w:p>
        </w:tc>
        <w:tc>
          <w:tcPr>
            <w:tcW w:w="1486" w:type="dxa"/>
            <w:gridSpan w:val="2"/>
          </w:tcPr>
          <w:p w:rsidR="0079393F" w:rsidRPr="00D616DF" w:rsidRDefault="0079393F" w:rsidP="00354CB8">
            <w:pPr>
              <w:tabs>
                <w:tab w:val="left" w:pos="540"/>
                <w:tab w:val="left" w:pos="569"/>
              </w:tabs>
              <w:jc w:val="center"/>
              <w:rPr>
                <w:b/>
                <w:bCs/>
                <w:sz w:val="22"/>
                <w:szCs w:val="22"/>
                <w:lang w:val="sr-Latn-ME"/>
              </w:rPr>
            </w:pPr>
            <w:r w:rsidRPr="00D616DF">
              <w:rPr>
                <w:b/>
                <w:bCs/>
                <w:sz w:val="22"/>
                <w:szCs w:val="22"/>
                <w:lang w:val="sr-Latn-ME"/>
              </w:rPr>
              <w:t>-</w:t>
            </w:r>
          </w:p>
        </w:tc>
      </w:tr>
      <w:tr w:rsidR="0079393F" w:rsidRPr="00D616DF" w:rsidTr="0079393F">
        <w:trPr>
          <w:trHeight w:val="513"/>
          <w:jc w:val="center"/>
        </w:trPr>
        <w:tc>
          <w:tcPr>
            <w:tcW w:w="1623" w:type="dxa"/>
          </w:tcPr>
          <w:p w:rsidR="0079393F" w:rsidRPr="00D616DF" w:rsidRDefault="0079393F" w:rsidP="00354CB8">
            <w:pPr>
              <w:tabs>
                <w:tab w:val="left" w:pos="540"/>
                <w:tab w:val="left" w:pos="569"/>
              </w:tabs>
              <w:rPr>
                <w:bCs/>
                <w:sz w:val="22"/>
                <w:szCs w:val="22"/>
                <w:lang w:val="sr-Latn-ME"/>
              </w:rPr>
            </w:pPr>
            <w:r w:rsidRPr="00D616DF">
              <w:rPr>
                <w:bCs/>
                <w:sz w:val="22"/>
                <w:szCs w:val="22"/>
                <w:lang w:val="sr-Latn-ME"/>
              </w:rPr>
              <w:t>Finalna analiza</w:t>
            </w:r>
          </w:p>
        </w:tc>
        <w:tc>
          <w:tcPr>
            <w:tcW w:w="1488" w:type="dxa"/>
          </w:tcPr>
          <w:p w:rsidR="0079393F" w:rsidRPr="00D616DF" w:rsidRDefault="0079393F" w:rsidP="00354CB8">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72,7 (61,3;</w:t>
            </w:r>
          </w:p>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83,0)</w:t>
            </w:r>
          </w:p>
        </w:tc>
        <w:tc>
          <w:tcPr>
            <w:tcW w:w="1482" w:type="dxa"/>
          </w:tcPr>
          <w:p w:rsidR="0079393F" w:rsidRPr="00D616DF" w:rsidRDefault="0079393F" w:rsidP="00354CB8">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64,9 (45,7;</w:t>
            </w:r>
          </w:p>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96,0)</w:t>
            </w:r>
          </w:p>
        </w:tc>
        <w:tc>
          <w:tcPr>
            <w:tcW w:w="2157" w:type="dxa"/>
          </w:tcPr>
          <w:p w:rsidR="0079393F" w:rsidRPr="00D616DF" w:rsidRDefault="0079393F" w:rsidP="00354CB8">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0,876 (0,679;</w:t>
            </w:r>
          </w:p>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1,129)</w:t>
            </w:r>
          </w:p>
        </w:tc>
        <w:tc>
          <w:tcPr>
            <w:tcW w:w="982" w:type="dxa"/>
          </w:tcPr>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0,306</w:t>
            </w:r>
          </w:p>
        </w:tc>
        <w:tc>
          <w:tcPr>
            <w:tcW w:w="1486" w:type="dxa"/>
            <w:gridSpan w:val="2"/>
          </w:tcPr>
          <w:p w:rsidR="0079393F" w:rsidRPr="00D616DF" w:rsidRDefault="0079393F" w:rsidP="00354CB8">
            <w:pPr>
              <w:tabs>
                <w:tab w:val="left" w:pos="540"/>
                <w:tab w:val="left" w:pos="569"/>
              </w:tabs>
              <w:jc w:val="center"/>
              <w:rPr>
                <w:b/>
                <w:bCs/>
                <w:sz w:val="22"/>
                <w:szCs w:val="22"/>
                <w:lang w:val="sr-Latn-ME"/>
              </w:rPr>
            </w:pPr>
            <w:r w:rsidRPr="00D616DF">
              <w:rPr>
                <w:rFonts w:eastAsia="TimesNewRoman"/>
                <w:sz w:val="22"/>
                <w:szCs w:val="22"/>
                <w:lang w:val="sr-Latn-ME" w:eastAsia="sr-Latn-ME"/>
              </w:rPr>
              <w:t>-</w:t>
            </w:r>
          </w:p>
        </w:tc>
      </w:tr>
    </w:tbl>
    <w:p w:rsidR="0079393F" w:rsidRPr="00D616DF" w:rsidRDefault="0079393F" w:rsidP="0079393F">
      <w:pPr>
        <w:tabs>
          <w:tab w:val="left" w:pos="540"/>
          <w:tab w:val="left" w:pos="569"/>
        </w:tabs>
        <w:jc w:val="both"/>
        <w:rPr>
          <w:sz w:val="22"/>
          <w:szCs w:val="22"/>
          <w:lang w:val="sr-Latn-ME"/>
        </w:rPr>
      </w:pPr>
      <w:r w:rsidRPr="00F84901">
        <w:rPr>
          <w:sz w:val="20"/>
          <w:szCs w:val="20"/>
          <w:lang w:val="sr-Latn-ME"/>
        </w:rPr>
        <w:t>Skraćenice:</w:t>
      </w:r>
      <w:r w:rsidRPr="00D616DF">
        <w:rPr>
          <w:sz w:val="22"/>
          <w:szCs w:val="22"/>
          <w:lang w:val="sr-Latn-ME"/>
        </w:rPr>
        <w:t xml:space="preserve"> </w:t>
      </w:r>
      <w:r w:rsidRPr="00D616DF">
        <w:rPr>
          <w:sz w:val="20"/>
          <w:szCs w:val="20"/>
          <w:lang w:val="sr-Latn-ME"/>
        </w:rPr>
        <w:t xml:space="preserve">CI=interval pouzdanosti (eng. </w:t>
      </w:r>
      <w:r w:rsidRPr="00D616DF">
        <w:rPr>
          <w:i/>
          <w:sz w:val="20"/>
          <w:szCs w:val="20"/>
          <w:lang w:val="sr-Latn-ME"/>
        </w:rPr>
        <w:t>confidence interval</w:t>
      </w:r>
      <w:r w:rsidRPr="00D616DF">
        <w:rPr>
          <w:sz w:val="20"/>
          <w:szCs w:val="20"/>
          <w:lang w:val="sr-Latn-ME"/>
        </w:rPr>
        <w:t xml:space="preserve">); ITT= planirana populacija koja je trebalo da prima terapiju (eng. </w:t>
      </w:r>
      <w:r w:rsidRPr="00D616DF">
        <w:rPr>
          <w:i/>
          <w:sz w:val="20"/>
          <w:szCs w:val="20"/>
          <w:lang w:val="sr-Latn-ME"/>
        </w:rPr>
        <w:t>intent-to-treat</w:t>
      </w:r>
      <w:r w:rsidRPr="00D616DF">
        <w:rPr>
          <w:sz w:val="20"/>
          <w:szCs w:val="20"/>
          <w:lang w:val="sr-Latn-ME"/>
        </w:rPr>
        <w:t xml:space="preserve">); NA=nije primjenjivo (eng. </w:t>
      </w:r>
      <w:r w:rsidRPr="00D616DF">
        <w:rPr>
          <w:i/>
          <w:sz w:val="20"/>
          <w:szCs w:val="20"/>
          <w:lang w:val="sr-Latn-ME"/>
        </w:rPr>
        <w:t>not applicable</w:t>
      </w:r>
      <w:r w:rsidRPr="00D616DF">
        <w:rPr>
          <w:sz w:val="20"/>
          <w:szCs w:val="20"/>
          <w:lang w:val="sr-Latn-ME"/>
        </w:rPr>
        <w:t xml:space="preserve">); ORR=stopa objektivnog odgovora (eng. </w:t>
      </w:r>
      <w:r w:rsidRPr="00D616DF">
        <w:rPr>
          <w:i/>
          <w:sz w:val="20"/>
          <w:szCs w:val="20"/>
          <w:lang w:val="sr-Latn-ME"/>
        </w:rPr>
        <w:t>objective response rate</w:t>
      </w:r>
      <w:r w:rsidRPr="00D616DF">
        <w:rPr>
          <w:sz w:val="20"/>
          <w:szCs w:val="20"/>
          <w:lang w:val="sr-Latn-ME"/>
        </w:rPr>
        <w:t xml:space="preserve">); OS=ukupno preživljavanje (eng. </w:t>
      </w:r>
      <w:r w:rsidRPr="00D616DF">
        <w:rPr>
          <w:i/>
          <w:sz w:val="20"/>
          <w:szCs w:val="20"/>
          <w:lang w:val="sr-Latn-ME"/>
        </w:rPr>
        <w:t>overall survival</w:t>
      </w:r>
      <w:r w:rsidRPr="00D616DF">
        <w:rPr>
          <w:sz w:val="20"/>
          <w:szCs w:val="20"/>
          <w:lang w:val="sr-Latn-ME"/>
        </w:rPr>
        <w:t xml:space="preserve">); PFS=preživljavanje bez progresije bolesti (eng. </w:t>
      </w:r>
      <w:r w:rsidRPr="00D616DF">
        <w:rPr>
          <w:i/>
          <w:sz w:val="20"/>
          <w:szCs w:val="20"/>
          <w:lang w:val="sr-Latn-ME"/>
        </w:rPr>
        <w:t>progression-free survival</w:t>
      </w:r>
      <w:r w:rsidRPr="00D616DF">
        <w:rPr>
          <w:sz w:val="20"/>
          <w:szCs w:val="20"/>
          <w:lang w:val="sr-Latn-ME"/>
        </w:rPr>
        <w:t xml:space="preserve">); TTP=vreme do progresije tumora (eng. </w:t>
      </w:r>
      <w:r w:rsidRPr="00D616DF">
        <w:rPr>
          <w:i/>
          <w:sz w:val="20"/>
          <w:szCs w:val="20"/>
          <w:lang w:val="sr-Latn-ME"/>
        </w:rPr>
        <w:t>time-to-tumour progression</w:t>
      </w:r>
      <w:r w:rsidRPr="00D616DF">
        <w:rPr>
          <w:sz w:val="20"/>
          <w:szCs w:val="20"/>
          <w:lang w:val="sr-Latn-ME"/>
        </w:rPr>
        <w:t>).</w:t>
      </w:r>
    </w:p>
    <w:p w:rsidR="0079393F" w:rsidRPr="00D616DF" w:rsidRDefault="0079393F" w:rsidP="0079393F">
      <w:pPr>
        <w:tabs>
          <w:tab w:val="left" w:pos="540"/>
          <w:tab w:val="left" w:pos="569"/>
        </w:tabs>
        <w:jc w:val="both"/>
        <w:rPr>
          <w:sz w:val="22"/>
          <w:szCs w:val="22"/>
          <w:lang w:val="sr-Latn-ME"/>
        </w:rPr>
      </w:pPr>
    </w:p>
    <w:p w:rsidR="0079393F" w:rsidRPr="00D616DF" w:rsidRDefault="0079393F" w:rsidP="0079393F">
      <w:pPr>
        <w:pStyle w:val="ListParagraph"/>
        <w:numPr>
          <w:ilvl w:val="0"/>
          <w:numId w:val="13"/>
        </w:numPr>
        <w:tabs>
          <w:tab w:val="left" w:pos="426"/>
          <w:tab w:val="left" w:pos="540"/>
        </w:tabs>
        <w:ind w:left="284" w:hanging="284"/>
        <w:jc w:val="both"/>
        <w:rPr>
          <w:sz w:val="20"/>
          <w:szCs w:val="20"/>
          <w:lang w:val="sr-Latn-ME"/>
        </w:rPr>
      </w:pPr>
      <w:r w:rsidRPr="00D616DF">
        <w:rPr>
          <w:sz w:val="20"/>
          <w:szCs w:val="20"/>
          <w:lang w:val="sr-Latn-ME"/>
        </w:rPr>
        <w:lastRenderedPageBreak/>
        <w:t>Rezultati dvostruko slijepe terapije su iz ITT populacije i dobijeni su primjenom centralnog radiološkog mj</w:t>
      </w:r>
      <w:r>
        <w:rPr>
          <w:sz w:val="20"/>
          <w:szCs w:val="20"/>
          <w:lang w:val="sr-Latn-ME"/>
        </w:rPr>
        <w:t>erenja, kada</w:t>
      </w:r>
      <w:r w:rsidRPr="00D616DF">
        <w:rPr>
          <w:sz w:val="20"/>
          <w:szCs w:val="20"/>
          <w:lang w:val="sr-Latn-ME"/>
        </w:rPr>
        <w:t xml:space="preserve"> je odgovarajuće.</w:t>
      </w:r>
    </w:p>
    <w:p w:rsidR="0079393F" w:rsidRPr="00D616DF" w:rsidRDefault="0079393F" w:rsidP="0079393F">
      <w:pPr>
        <w:pStyle w:val="ListParagraph"/>
        <w:numPr>
          <w:ilvl w:val="0"/>
          <w:numId w:val="13"/>
        </w:numPr>
        <w:tabs>
          <w:tab w:val="left" w:pos="426"/>
          <w:tab w:val="left" w:pos="540"/>
        </w:tabs>
        <w:ind w:left="284" w:hanging="284"/>
        <w:jc w:val="both"/>
        <w:rPr>
          <w:sz w:val="20"/>
          <w:szCs w:val="20"/>
          <w:lang w:val="sr-Latn-ME"/>
        </w:rPr>
      </w:pPr>
      <w:r w:rsidRPr="00D616DF">
        <w:rPr>
          <w:sz w:val="20"/>
          <w:szCs w:val="20"/>
          <w:lang w:val="sr-Latn-ME"/>
        </w:rPr>
        <w:t>Rezultati efikasnosti za 99 ispitanika koji su prešli sa terapije placebom na terapiju sunitinibom nakon završetka slijepe faze studije. Tačka prelaska na terapiju sunitinibom je uzeta kao polazna tačka, i analize efikasnosti su zasnovane na procjeni istraživača.</w:t>
      </w:r>
    </w:p>
    <w:p w:rsidR="0079393F" w:rsidRPr="00D616DF" w:rsidRDefault="0079393F" w:rsidP="0079393F">
      <w:pPr>
        <w:pStyle w:val="ListParagraph"/>
        <w:numPr>
          <w:ilvl w:val="0"/>
          <w:numId w:val="13"/>
        </w:numPr>
        <w:tabs>
          <w:tab w:val="left" w:pos="426"/>
          <w:tab w:val="left" w:pos="540"/>
        </w:tabs>
        <w:ind w:left="284" w:hanging="284"/>
        <w:jc w:val="both"/>
        <w:rPr>
          <w:sz w:val="20"/>
          <w:szCs w:val="20"/>
          <w:lang w:val="sr-Latn-ME"/>
        </w:rPr>
      </w:pPr>
      <w:r w:rsidRPr="00D616DF">
        <w:rPr>
          <w:sz w:val="20"/>
          <w:szCs w:val="20"/>
          <w:lang w:val="sr-Latn-ME"/>
        </w:rPr>
        <w:t>Vrijednosti PFS korišćene u međuanalizi su ažurirane u skadu sa ponovo izračunatim originalnim podacima.</w:t>
      </w:r>
    </w:p>
    <w:p w:rsidR="0079393F" w:rsidRPr="00D616DF" w:rsidRDefault="0079393F" w:rsidP="0079393F">
      <w:pPr>
        <w:pStyle w:val="ListParagraph"/>
        <w:numPr>
          <w:ilvl w:val="0"/>
          <w:numId w:val="13"/>
        </w:numPr>
        <w:tabs>
          <w:tab w:val="left" w:pos="426"/>
          <w:tab w:val="left" w:pos="540"/>
        </w:tabs>
        <w:ind w:left="284" w:hanging="284"/>
        <w:jc w:val="both"/>
        <w:rPr>
          <w:sz w:val="20"/>
          <w:szCs w:val="20"/>
          <w:lang w:val="sr-Latn-ME"/>
        </w:rPr>
      </w:pPr>
      <w:r w:rsidRPr="00D616DF">
        <w:rPr>
          <w:sz w:val="20"/>
          <w:szCs w:val="20"/>
          <w:lang w:val="sr-Latn-ME"/>
        </w:rPr>
        <w:t>Rezultati za ORR su prikazani kao procenat ispitanika sa potvrđenim odgovorom sa 95% intervalom pouzdanosti.</w:t>
      </w:r>
    </w:p>
    <w:p w:rsidR="0079393F" w:rsidRPr="00D616DF" w:rsidRDefault="0079393F" w:rsidP="0079393F">
      <w:pPr>
        <w:pStyle w:val="ListParagraph"/>
        <w:numPr>
          <w:ilvl w:val="0"/>
          <w:numId w:val="13"/>
        </w:numPr>
        <w:tabs>
          <w:tab w:val="left" w:pos="426"/>
          <w:tab w:val="left" w:pos="540"/>
        </w:tabs>
        <w:ind w:left="284" w:hanging="284"/>
        <w:jc w:val="both"/>
        <w:rPr>
          <w:sz w:val="20"/>
          <w:szCs w:val="20"/>
          <w:lang w:val="sr-Latn-ME"/>
        </w:rPr>
      </w:pPr>
      <w:r w:rsidRPr="00D616DF">
        <w:rPr>
          <w:sz w:val="20"/>
          <w:szCs w:val="20"/>
          <w:lang w:val="sr-Latn-ME"/>
        </w:rPr>
        <w:t>Medijana nije postignuta zato što podaci još nijesu upotpunjeni.</w:t>
      </w:r>
    </w:p>
    <w:p w:rsidR="00466BAC" w:rsidRPr="00D616DF" w:rsidRDefault="00466BAC" w:rsidP="00466BAC">
      <w:pPr>
        <w:tabs>
          <w:tab w:val="left" w:pos="426"/>
          <w:tab w:val="left" w:pos="569"/>
        </w:tabs>
        <w:rPr>
          <w:b/>
          <w:sz w:val="22"/>
          <w:szCs w:val="22"/>
          <w:lang w:val="sr-Latn-ME"/>
        </w:rPr>
      </w:pPr>
    </w:p>
    <w:p w:rsidR="0079393F" w:rsidRPr="00D616DF" w:rsidRDefault="0079393F" w:rsidP="0079393F">
      <w:pPr>
        <w:tabs>
          <w:tab w:val="left" w:pos="426"/>
          <w:tab w:val="left" w:pos="540"/>
        </w:tabs>
        <w:jc w:val="both"/>
        <w:rPr>
          <w:sz w:val="22"/>
          <w:szCs w:val="22"/>
          <w:lang w:val="sr-Latn-ME"/>
        </w:rPr>
      </w:pPr>
      <w:r w:rsidRPr="00D616DF">
        <w:rPr>
          <w:sz w:val="22"/>
          <w:szCs w:val="22"/>
          <w:lang w:val="sr-Latn-ME"/>
        </w:rPr>
        <w:t>Medijana OS u ITT populaciji je iznosila, redom, 72,7 nedjelja i 64,9 nedjelja (HR 0,876; 95% CI = 0,679; 1,129; p=0,306) za pacijente koji su primali sunitinib i one koji su primali placebo. U ovoj analizi, grupa koja je primala placebo uključivala je i one pacijente koji su randomizovani da primaju placebo, a koji su nakon toga primali terapiju sunitinibom u otvorenoj fazi  ispitivanja.</w:t>
      </w:r>
    </w:p>
    <w:p w:rsidR="0079393F" w:rsidRPr="00D616DF" w:rsidRDefault="0079393F" w:rsidP="0079393F">
      <w:pPr>
        <w:tabs>
          <w:tab w:val="left" w:pos="426"/>
          <w:tab w:val="left" w:pos="540"/>
        </w:tabs>
        <w:jc w:val="both"/>
        <w:rPr>
          <w:sz w:val="22"/>
          <w:szCs w:val="22"/>
          <w:lang w:val="sr-Latn-ME"/>
        </w:rPr>
      </w:pPr>
    </w:p>
    <w:p w:rsidR="0079393F" w:rsidRPr="00D616DF" w:rsidRDefault="0079393F" w:rsidP="0079393F">
      <w:pPr>
        <w:tabs>
          <w:tab w:val="left" w:pos="426"/>
          <w:tab w:val="left" w:pos="540"/>
        </w:tabs>
        <w:jc w:val="both"/>
        <w:rPr>
          <w:sz w:val="22"/>
          <w:szCs w:val="22"/>
          <w:lang w:val="sr-Latn-ME"/>
        </w:rPr>
      </w:pPr>
      <w:r w:rsidRPr="00D616DF">
        <w:rPr>
          <w:i/>
          <w:sz w:val="22"/>
          <w:szCs w:val="22"/>
          <w:lang w:val="sr-Latn-ME"/>
        </w:rPr>
        <w:t xml:space="preserve">Liječenje neliječenog metastatskog karcinoma bubrežnih ćelija </w:t>
      </w:r>
    </w:p>
    <w:p w:rsidR="0079393F" w:rsidRPr="00D616DF" w:rsidRDefault="0079393F" w:rsidP="0079393F">
      <w:pPr>
        <w:tabs>
          <w:tab w:val="left" w:pos="426"/>
          <w:tab w:val="left" w:pos="540"/>
        </w:tabs>
        <w:jc w:val="both"/>
        <w:rPr>
          <w:sz w:val="22"/>
          <w:szCs w:val="22"/>
          <w:lang w:val="sr-Latn-ME"/>
        </w:rPr>
      </w:pPr>
      <w:r w:rsidRPr="00D616DF">
        <w:rPr>
          <w:sz w:val="22"/>
          <w:szCs w:val="22"/>
          <w:lang w:val="sr-Latn-ME"/>
        </w:rPr>
        <w:t xml:space="preserve">Sprovedena je randomizovana, multicentrična, internacionalna, studija faze III u svrhu procjene efikasnost i bezbjednost sunitiniba u poređenju sa terapijom IFN-α kod pacijenata sa do tada neliječenim MRCC. Sedamsto pedeset pacijenata randomizovano je u odnosu 1:1; oni su liječeni ili sunitinibom u ponovljenim ciklusima od 6 nedjelja: ciklus se sastojao od 4 nedjelje terapije sa 50 mg lijeka oralno, jednom dnevno, a zatim je nastupila pauza od 2 nedjelje (režim 4/2) ili IFN-α, koji je primjenjivan s.c. u dozi od 3 miliona jedinica tokom prve nedjelje, 6 miliona jedinica tokom druge nedjelje i 9 miliona jedinica treće nedjelje i nadalje, tokom 3 neuzastopna dana svake nedjelje. </w:t>
      </w:r>
    </w:p>
    <w:p w:rsidR="0079393F" w:rsidRPr="00D616DF" w:rsidRDefault="0079393F" w:rsidP="0079393F">
      <w:pPr>
        <w:tabs>
          <w:tab w:val="left" w:pos="426"/>
          <w:tab w:val="left" w:pos="540"/>
        </w:tabs>
        <w:jc w:val="both"/>
        <w:rPr>
          <w:sz w:val="22"/>
          <w:szCs w:val="22"/>
          <w:lang w:val="sr-Latn-ME"/>
        </w:rPr>
      </w:pPr>
    </w:p>
    <w:p w:rsidR="0079393F" w:rsidRDefault="0079393F" w:rsidP="0079393F">
      <w:pPr>
        <w:tabs>
          <w:tab w:val="left" w:pos="426"/>
          <w:tab w:val="left" w:pos="540"/>
        </w:tabs>
        <w:jc w:val="both"/>
        <w:rPr>
          <w:sz w:val="22"/>
          <w:szCs w:val="22"/>
          <w:lang w:val="sr-Latn-ME"/>
        </w:rPr>
      </w:pPr>
      <w:r w:rsidRPr="00D616DF">
        <w:rPr>
          <w:sz w:val="22"/>
          <w:szCs w:val="22"/>
          <w:lang w:val="sr-Latn-ME"/>
        </w:rPr>
        <w:t xml:space="preserve">Medijana trajanja terapije iznosila je 11,1 mjesec (raspon: 0,4; 46,1) za terapiju sunitinibom i 4,1 mjesec (raspon: 0,1; 45,6) za terapiju sa IFN-α. Ozbiljni neželjeni događaji povezani sa terapijom (TRSAEs – engl. </w:t>
      </w:r>
      <w:r w:rsidRPr="00D616DF">
        <w:rPr>
          <w:i/>
          <w:sz w:val="22"/>
          <w:szCs w:val="22"/>
          <w:lang w:val="sr-Latn-ME"/>
        </w:rPr>
        <w:t>Treatment-related serious adverse events</w:t>
      </w:r>
      <w:r w:rsidRPr="00D616DF">
        <w:rPr>
          <w:sz w:val="22"/>
          <w:szCs w:val="22"/>
          <w:lang w:val="sr-Latn-ME"/>
        </w:rPr>
        <w:t xml:space="preserve">) prijavljeni su kod 23,7% pacijenata koji su primali sunitinib i kod 6,9% pacijenata koji su primali IFN-α. </w:t>
      </w:r>
    </w:p>
    <w:p w:rsidR="0079393F" w:rsidRPr="00D616DF" w:rsidRDefault="0079393F" w:rsidP="0079393F">
      <w:pPr>
        <w:tabs>
          <w:tab w:val="left" w:pos="426"/>
          <w:tab w:val="left" w:pos="540"/>
        </w:tabs>
        <w:jc w:val="both"/>
        <w:rPr>
          <w:sz w:val="22"/>
          <w:szCs w:val="22"/>
          <w:lang w:val="sr-Latn-ME"/>
        </w:rPr>
      </w:pPr>
      <w:r w:rsidRPr="00D616DF">
        <w:rPr>
          <w:sz w:val="22"/>
          <w:szCs w:val="22"/>
          <w:lang w:val="sr-Latn-ME"/>
        </w:rPr>
        <w:t>Međutim, procenat prekida terapije zbog neželjenih događaja iznosio je 20% za sunitinib i 23% za IFN-α. Prekidi doziranja javili su se kod 202 pacijenta (54%) koji su primali sunitinib i kod 141 pacijenta (39%) koji su primali IFN-α. Doze su smanjene kod 194 pacijenta (52%) koji su primali sunitinib i kod 98 pacijenata (27%) koji su primali IFN-α. Pacijenti su dobijali terapiju do progresije bolesti ili do povlačenja iz ispitivanja. Primarni cilj efikasnosti bilo je preživljavanje bez progresije bolesti (PFS). Planirana međuanaliza u toku ispitivanja pokazala je statistički značajnu prednost sunitiniba u odnosu na IFN-α. U ovoj studiji, medijana PFS za grupu pacijenata liječenih sunitinibom bila je 47,3 nedjelje prema 22,0 nedjelje kod pacijenata liječenih IFN-α; odnos rizika (</w:t>
      </w:r>
      <w:r w:rsidRPr="00D616DF">
        <w:rPr>
          <w:i/>
          <w:sz w:val="22"/>
          <w:szCs w:val="22"/>
          <w:lang w:val="sr-Latn-ME"/>
        </w:rPr>
        <w:t>hazard ratio</w:t>
      </w:r>
      <w:r w:rsidRPr="00D616DF">
        <w:rPr>
          <w:sz w:val="22"/>
          <w:szCs w:val="22"/>
          <w:lang w:val="sr-Latn-ME"/>
        </w:rPr>
        <w:t xml:space="preserve">) bio je 0,415 (95% CI = 0,320-0,539, p-vrijednost </w:t>
      </w:r>
      <w:r w:rsidRPr="00D616DF">
        <w:rPr>
          <w:sz w:val="22"/>
          <w:szCs w:val="22"/>
          <w:lang w:val="sr-Latn-ME"/>
        </w:rPr>
        <w:sym w:font="Symbol" w:char="F03C"/>
      </w:r>
      <w:r w:rsidRPr="00D616DF">
        <w:rPr>
          <w:sz w:val="22"/>
          <w:szCs w:val="22"/>
          <w:lang w:val="sr-Latn-ME"/>
        </w:rPr>
        <w:t xml:space="preserve">0,001). Drugi ciljevi efikasnosti uključivali su stopu objektivnog odgovora (engl. </w:t>
      </w:r>
      <w:r w:rsidRPr="00D616DF">
        <w:rPr>
          <w:i/>
          <w:sz w:val="22"/>
          <w:szCs w:val="22"/>
          <w:lang w:val="sr-Latn-ME"/>
        </w:rPr>
        <w:t>Objective Response Rate</w:t>
      </w:r>
      <w:r w:rsidRPr="00D616DF">
        <w:rPr>
          <w:sz w:val="22"/>
          <w:szCs w:val="22"/>
          <w:lang w:val="sr-Latn-ME"/>
        </w:rPr>
        <w:t xml:space="preserve"> - ORR), ukupno preživljavanje (engl. </w:t>
      </w:r>
      <w:r w:rsidRPr="00D616DF">
        <w:rPr>
          <w:i/>
          <w:sz w:val="22"/>
          <w:szCs w:val="22"/>
          <w:lang w:val="sr-Latn-ME"/>
        </w:rPr>
        <w:t>Overall Survival</w:t>
      </w:r>
      <w:r w:rsidRPr="00D616DF">
        <w:rPr>
          <w:sz w:val="22"/>
          <w:szCs w:val="22"/>
          <w:lang w:val="sr-Latn-ME"/>
        </w:rPr>
        <w:t xml:space="preserve"> - OS) i bezbjednost. Ključna radiološka procjena (engl. </w:t>
      </w:r>
      <w:r w:rsidRPr="00D616DF">
        <w:rPr>
          <w:i/>
          <w:sz w:val="22"/>
          <w:szCs w:val="22"/>
          <w:lang w:val="sr-Latn-ME"/>
        </w:rPr>
        <w:t>core radiology assessment</w:t>
      </w:r>
      <w:r w:rsidRPr="00D616DF">
        <w:rPr>
          <w:sz w:val="22"/>
          <w:szCs w:val="22"/>
          <w:lang w:val="sr-Latn-ME"/>
        </w:rPr>
        <w:t>) prekinuta je nakon postizanja primarnog cilja efikasnosti. Prilikom konačne analize, ORR utvrđen na osnovu procjene istraživača iznosio je 46% (95% CI: 41%; 51%) za grupu koja je primala sunitinib, i 12,0% (95% CI: 9%; 16%) za grupu koja je primala IFN-α (p&lt;0,001).</w:t>
      </w:r>
    </w:p>
    <w:p w:rsidR="0079393F" w:rsidRPr="00D616DF" w:rsidRDefault="0079393F" w:rsidP="0079393F">
      <w:pPr>
        <w:tabs>
          <w:tab w:val="left" w:pos="426"/>
          <w:tab w:val="left" w:pos="540"/>
        </w:tabs>
        <w:jc w:val="both"/>
        <w:rPr>
          <w:sz w:val="22"/>
          <w:szCs w:val="22"/>
          <w:lang w:val="sr-Latn-ME"/>
        </w:rPr>
      </w:pPr>
    </w:p>
    <w:p w:rsidR="0079393F" w:rsidRPr="00D616DF" w:rsidRDefault="0079393F" w:rsidP="0079393F">
      <w:pPr>
        <w:tabs>
          <w:tab w:val="left" w:pos="426"/>
          <w:tab w:val="left" w:pos="540"/>
        </w:tabs>
        <w:jc w:val="both"/>
        <w:rPr>
          <w:sz w:val="22"/>
          <w:szCs w:val="22"/>
          <w:lang w:val="sr-Latn-ME"/>
        </w:rPr>
      </w:pPr>
      <w:r w:rsidRPr="00D616DF">
        <w:rPr>
          <w:sz w:val="22"/>
          <w:szCs w:val="22"/>
          <w:lang w:val="sr-Latn-ME"/>
        </w:rPr>
        <w:t xml:space="preserve">Terapija sunitinibom povezana je sa dužim preživljavanjem u poređenju sa IFN-α. Medijana OS iznosila je 114,6 nedjelja za grupu koja je primala sunitinib (95% CI: 100,1 ; 142,9) i 94,9 nedjelja za grupu koja je primala IFN-α (95% CI: 77,7; 117,0), gdje je odnos rizika iznosio 0,821 (95% CI: 0,673 – 1,001; p=0,0510, za nestratifikovani log-rank test). </w:t>
      </w:r>
    </w:p>
    <w:p w:rsidR="0079393F" w:rsidRPr="00D616DF" w:rsidRDefault="0079393F" w:rsidP="0079393F">
      <w:pPr>
        <w:tabs>
          <w:tab w:val="left" w:pos="426"/>
          <w:tab w:val="left" w:pos="540"/>
        </w:tabs>
        <w:jc w:val="both"/>
        <w:rPr>
          <w:sz w:val="22"/>
          <w:szCs w:val="22"/>
          <w:lang w:val="sr-Latn-ME"/>
        </w:rPr>
      </w:pPr>
    </w:p>
    <w:p w:rsidR="0079393F" w:rsidRDefault="0079393F" w:rsidP="0079393F">
      <w:pPr>
        <w:tabs>
          <w:tab w:val="left" w:pos="426"/>
          <w:tab w:val="left" w:pos="540"/>
        </w:tabs>
        <w:jc w:val="both"/>
        <w:rPr>
          <w:sz w:val="22"/>
          <w:szCs w:val="22"/>
          <w:lang w:val="sr-Latn-ME"/>
        </w:rPr>
      </w:pPr>
      <w:r w:rsidRPr="00D616DF">
        <w:rPr>
          <w:sz w:val="22"/>
          <w:szCs w:val="22"/>
          <w:lang w:val="sr-Latn-ME"/>
        </w:rPr>
        <w:t>Ukupni PFS i OS, zabilježeni u ITT populaciji, utvrđeni pomoću ključne radiološke laboratorijske procj</w:t>
      </w:r>
      <w:r>
        <w:rPr>
          <w:sz w:val="22"/>
          <w:szCs w:val="22"/>
          <w:lang w:val="sr-Latn-ME"/>
        </w:rPr>
        <w:t>ene, su sažeto izloženi u Tabeli 3.</w:t>
      </w:r>
    </w:p>
    <w:p w:rsidR="0079393F" w:rsidRDefault="0079393F" w:rsidP="0079393F">
      <w:pPr>
        <w:tabs>
          <w:tab w:val="left" w:pos="426"/>
          <w:tab w:val="left" w:pos="540"/>
        </w:tabs>
        <w:jc w:val="both"/>
        <w:rPr>
          <w:sz w:val="22"/>
          <w:szCs w:val="22"/>
          <w:lang w:val="sr-Latn-ME"/>
        </w:rPr>
      </w:pPr>
    </w:p>
    <w:p w:rsidR="0079393F" w:rsidRPr="0079393F" w:rsidRDefault="0079393F" w:rsidP="0079393F">
      <w:pPr>
        <w:tabs>
          <w:tab w:val="left" w:pos="426"/>
          <w:tab w:val="left" w:pos="540"/>
        </w:tabs>
        <w:jc w:val="both"/>
        <w:rPr>
          <w:b/>
          <w:sz w:val="22"/>
          <w:szCs w:val="22"/>
          <w:lang w:val="sr-Latn-ME"/>
        </w:rPr>
      </w:pPr>
      <w:r w:rsidRPr="0079393F">
        <w:rPr>
          <w:b/>
          <w:sz w:val="22"/>
          <w:szCs w:val="22"/>
          <w:lang w:val="sr-Latn-ME"/>
        </w:rPr>
        <w:t xml:space="preserve">Tabela 3 - Pregled </w:t>
      </w:r>
      <w:r w:rsidR="002745B0">
        <w:rPr>
          <w:b/>
          <w:sz w:val="22"/>
          <w:szCs w:val="22"/>
          <w:lang w:val="sr-Latn-ME"/>
        </w:rPr>
        <w:t xml:space="preserve">mjera ishoda </w:t>
      </w:r>
      <w:r w:rsidRPr="0079393F">
        <w:rPr>
          <w:b/>
          <w:sz w:val="22"/>
          <w:szCs w:val="22"/>
          <w:lang w:val="sr-Latn-ME"/>
        </w:rPr>
        <w:t>za efikasnost kod prethodno neliječenih  mRCC (ITT populacija)</w:t>
      </w:r>
    </w:p>
    <w:tbl>
      <w:tblPr>
        <w:tblStyle w:val="TableGrid"/>
        <w:tblW w:w="0" w:type="auto"/>
        <w:jc w:val="center"/>
        <w:tblLook w:val="04A0" w:firstRow="1" w:lastRow="0" w:firstColumn="1" w:lastColumn="0" w:noHBand="0" w:noVBand="1"/>
      </w:tblPr>
      <w:tblGrid>
        <w:gridCol w:w="4992"/>
        <w:gridCol w:w="11"/>
        <w:gridCol w:w="2098"/>
        <w:gridCol w:w="2103"/>
      </w:tblGrid>
      <w:tr w:rsidR="0079393F" w:rsidRPr="00D616DF" w:rsidTr="0079393F">
        <w:trPr>
          <w:trHeight w:val="524"/>
          <w:jc w:val="center"/>
        </w:trPr>
        <w:tc>
          <w:tcPr>
            <w:tcW w:w="4992" w:type="dxa"/>
          </w:tcPr>
          <w:p w:rsidR="0079393F" w:rsidRPr="00D616DF" w:rsidRDefault="0079393F" w:rsidP="00354CB8">
            <w:pPr>
              <w:tabs>
                <w:tab w:val="left" w:pos="426"/>
                <w:tab w:val="left" w:pos="540"/>
              </w:tabs>
              <w:jc w:val="both"/>
              <w:rPr>
                <w:b/>
                <w:sz w:val="22"/>
                <w:szCs w:val="22"/>
                <w:lang w:val="sr-Latn-ME"/>
              </w:rPr>
            </w:pPr>
            <w:r w:rsidRPr="00D616DF">
              <w:rPr>
                <w:b/>
                <w:sz w:val="22"/>
                <w:szCs w:val="22"/>
                <w:lang w:val="sr-Latn-ME"/>
              </w:rPr>
              <w:t>Pregled preživljavanja bez progresije bolesti</w:t>
            </w:r>
          </w:p>
        </w:tc>
        <w:tc>
          <w:tcPr>
            <w:tcW w:w="2109" w:type="dxa"/>
            <w:gridSpan w:val="2"/>
          </w:tcPr>
          <w:p w:rsidR="0079393F" w:rsidRPr="00D616DF" w:rsidRDefault="0079393F" w:rsidP="00354CB8">
            <w:pPr>
              <w:tabs>
                <w:tab w:val="left" w:pos="426"/>
                <w:tab w:val="left" w:pos="540"/>
              </w:tabs>
              <w:jc w:val="center"/>
              <w:rPr>
                <w:b/>
                <w:sz w:val="22"/>
                <w:szCs w:val="22"/>
                <w:lang w:val="sr-Latn-ME"/>
              </w:rPr>
            </w:pPr>
            <w:r w:rsidRPr="00D616DF">
              <w:rPr>
                <w:b/>
                <w:sz w:val="22"/>
                <w:szCs w:val="22"/>
                <w:lang w:val="sr-Latn-ME"/>
              </w:rPr>
              <w:t>sunitinib</w:t>
            </w:r>
          </w:p>
          <w:p w:rsidR="0079393F" w:rsidRPr="00D616DF" w:rsidRDefault="0079393F" w:rsidP="00354CB8">
            <w:pPr>
              <w:tabs>
                <w:tab w:val="left" w:pos="426"/>
                <w:tab w:val="left" w:pos="540"/>
              </w:tabs>
              <w:jc w:val="center"/>
              <w:rPr>
                <w:b/>
                <w:sz w:val="22"/>
                <w:szCs w:val="22"/>
                <w:lang w:val="sr-Latn-ME"/>
              </w:rPr>
            </w:pPr>
            <w:r w:rsidRPr="00D616DF">
              <w:rPr>
                <w:b/>
                <w:sz w:val="22"/>
                <w:szCs w:val="22"/>
                <w:lang w:val="sr-Latn-ME"/>
              </w:rPr>
              <w:t>(N=375)</w:t>
            </w:r>
          </w:p>
        </w:tc>
        <w:tc>
          <w:tcPr>
            <w:tcW w:w="2103" w:type="dxa"/>
          </w:tcPr>
          <w:p w:rsidR="0079393F" w:rsidRPr="00D616DF" w:rsidRDefault="0079393F" w:rsidP="00354CB8">
            <w:pPr>
              <w:tabs>
                <w:tab w:val="left" w:pos="426"/>
                <w:tab w:val="left" w:pos="540"/>
              </w:tabs>
              <w:jc w:val="center"/>
              <w:rPr>
                <w:b/>
                <w:sz w:val="22"/>
                <w:szCs w:val="22"/>
                <w:lang w:val="sr-Latn-ME"/>
              </w:rPr>
            </w:pPr>
            <w:r w:rsidRPr="00D616DF">
              <w:rPr>
                <w:b/>
                <w:sz w:val="22"/>
                <w:szCs w:val="22"/>
                <w:lang w:val="sr-Latn-ME"/>
              </w:rPr>
              <w:t>IFN-</w:t>
            </w:r>
            <w:r w:rsidRPr="00D616DF">
              <w:rPr>
                <w:b/>
                <w:sz w:val="22"/>
                <w:szCs w:val="22"/>
                <w:lang w:val="sr-Latn-ME"/>
              </w:rPr>
              <w:sym w:font="Symbol" w:char="F061"/>
            </w:r>
          </w:p>
          <w:p w:rsidR="0079393F" w:rsidRPr="00D616DF" w:rsidRDefault="0079393F" w:rsidP="00354CB8">
            <w:pPr>
              <w:tabs>
                <w:tab w:val="left" w:pos="426"/>
                <w:tab w:val="left" w:pos="540"/>
              </w:tabs>
              <w:jc w:val="center"/>
              <w:rPr>
                <w:b/>
                <w:sz w:val="22"/>
                <w:szCs w:val="22"/>
                <w:lang w:val="sr-Latn-ME"/>
              </w:rPr>
            </w:pPr>
            <w:r w:rsidRPr="00D616DF">
              <w:rPr>
                <w:b/>
                <w:sz w:val="22"/>
                <w:szCs w:val="22"/>
                <w:lang w:val="sr-Latn-ME"/>
              </w:rPr>
              <w:t>(N=375)</w:t>
            </w:r>
          </w:p>
        </w:tc>
      </w:tr>
      <w:tr w:rsidR="0079393F" w:rsidRPr="00D616DF" w:rsidTr="0079393F">
        <w:trPr>
          <w:trHeight w:val="516"/>
          <w:jc w:val="center"/>
        </w:trPr>
        <w:tc>
          <w:tcPr>
            <w:tcW w:w="4992" w:type="dxa"/>
          </w:tcPr>
          <w:p w:rsidR="0079393F" w:rsidRPr="00D616DF" w:rsidRDefault="0079393F" w:rsidP="00354CB8">
            <w:pPr>
              <w:tabs>
                <w:tab w:val="left" w:pos="426"/>
                <w:tab w:val="left" w:pos="540"/>
              </w:tabs>
              <w:rPr>
                <w:b/>
                <w:sz w:val="22"/>
                <w:szCs w:val="22"/>
                <w:lang w:val="sr-Latn-ME"/>
              </w:rPr>
            </w:pPr>
            <w:r w:rsidRPr="00D616DF">
              <w:rPr>
                <w:sz w:val="22"/>
                <w:szCs w:val="22"/>
                <w:lang w:val="sr-Latn-ME"/>
              </w:rPr>
              <w:t>Ispitanici kod kojih nije došlo do progresije bolesti ili smrti [n (%)]</w:t>
            </w:r>
          </w:p>
        </w:tc>
        <w:tc>
          <w:tcPr>
            <w:tcW w:w="2109" w:type="dxa"/>
            <w:gridSpan w:val="2"/>
          </w:tcPr>
          <w:p w:rsidR="0079393F" w:rsidRPr="00D616DF" w:rsidRDefault="0079393F" w:rsidP="00354CB8">
            <w:pPr>
              <w:tabs>
                <w:tab w:val="left" w:pos="426"/>
                <w:tab w:val="left" w:pos="540"/>
              </w:tabs>
              <w:jc w:val="center"/>
              <w:rPr>
                <w:b/>
                <w:sz w:val="22"/>
                <w:szCs w:val="22"/>
                <w:lang w:val="sr-Latn-ME"/>
              </w:rPr>
            </w:pPr>
            <w:r w:rsidRPr="00D616DF">
              <w:rPr>
                <w:sz w:val="22"/>
                <w:szCs w:val="22"/>
                <w:lang w:val="sr-Latn-ME"/>
              </w:rPr>
              <w:t>161 (42,9)</w:t>
            </w:r>
          </w:p>
        </w:tc>
        <w:tc>
          <w:tcPr>
            <w:tcW w:w="2103" w:type="dxa"/>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176 (46,9)</w:t>
            </w:r>
          </w:p>
        </w:tc>
      </w:tr>
      <w:tr w:rsidR="0079393F" w:rsidRPr="00D616DF" w:rsidTr="0079393F">
        <w:trPr>
          <w:trHeight w:val="508"/>
          <w:jc w:val="center"/>
        </w:trPr>
        <w:tc>
          <w:tcPr>
            <w:tcW w:w="4992" w:type="dxa"/>
          </w:tcPr>
          <w:p w:rsidR="0079393F" w:rsidRPr="00D616DF" w:rsidRDefault="0079393F" w:rsidP="00354CB8">
            <w:pPr>
              <w:tabs>
                <w:tab w:val="left" w:pos="426"/>
                <w:tab w:val="left" w:pos="540"/>
              </w:tabs>
              <w:rPr>
                <w:b/>
                <w:sz w:val="22"/>
                <w:szCs w:val="22"/>
                <w:lang w:val="sr-Latn-ME"/>
              </w:rPr>
            </w:pPr>
            <w:r w:rsidRPr="00D616DF">
              <w:rPr>
                <w:sz w:val="22"/>
                <w:szCs w:val="22"/>
                <w:lang w:val="sr-Latn-ME"/>
              </w:rPr>
              <w:lastRenderedPageBreak/>
              <w:t>Ispitanici kod kojih je došlo do progresije bolesti ili smrti [n (%)]</w:t>
            </w:r>
          </w:p>
        </w:tc>
        <w:tc>
          <w:tcPr>
            <w:tcW w:w="2109" w:type="dxa"/>
            <w:gridSpan w:val="2"/>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214 (57,1)</w:t>
            </w:r>
          </w:p>
        </w:tc>
        <w:tc>
          <w:tcPr>
            <w:tcW w:w="2103" w:type="dxa"/>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199 (53,1)</w:t>
            </w:r>
          </w:p>
        </w:tc>
      </w:tr>
      <w:tr w:rsidR="0079393F" w:rsidRPr="00D616DF" w:rsidTr="0079393F">
        <w:trPr>
          <w:trHeight w:val="254"/>
          <w:jc w:val="center"/>
        </w:trPr>
        <w:tc>
          <w:tcPr>
            <w:tcW w:w="9204" w:type="dxa"/>
            <w:gridSpan w:val="4"/>
          </w:tcPr>
          <w:p w:rsidR="0079393F" w:rsidRPr="00D616DF" w:rsidRDefault="0079393F" w:rsidP="00354CB8">
            <w:pPr>
              <w:tabs>
                <w:tab w:val="left" w:pos="426"/>
                <w:tab w:val="left" w:pos="540"/>
              </w:tabs>
              <w:rPr>
                <w:b/>
                <w:sz w:val="22"/>
                <w:szCs w:val="22"/>
                <w:lang w:val="sr-Latn-ME"/>
              </w:rPr>
            </w:pPr>
            <w:r w:rsidRPr="00D616DF">
              <w:rPr>
                <w:sz w:val="22"/>
                <w:szCs w:val="22"/>
                <w:lang w:val="sr-Latn-ME"/>
              </w:rPr>
              <w:t>PFS (nedjelje)</w:t>
            </w:r>
          </w:p>
        </w:tc>
      </w:tr>
      <w:tr w:rsidR="0079393F" w:rsidRPr="00D616DF" w:rsidTr="0079393F">
        <w:trPr>
          <w:trHeight w:val="254"/>
          <w:jc w:val="center"/>
        </w:trPr>
        <w:tc>
          <w:tcPr>
            <w:tcW w:w="9204" w:type="dxa"/>
            <w:gridSpan w:val="4"/>
          </w:tcPr>
          <w:p w:rsidR="0079393F" w:rsidRPr="00D616DF" w:rsidRDefault="0079393F" w:rsidP="00354CB8">
            <w:pPr>
              <w:tabs>
                <w:tab w:val="left" w:pos="426"/>
                <w:tab w:val="left" w:pos="540"/>
              </w:tabs>
              <w:rPr>
                <w:b/>
                <w:sz w:val="22"/>
                <w:szCs w:val="22"/>
                <w:lang w:val="sr-Latn-ME"/>
              </w:rPr>
            </w:pPr>
            <w:r w:rsidRPr="00D616DF">
              <w:rPr>
                <w:sz w:val="22"/>
                <w:szCs w:val="22"/>
                <w:lang w:val="sr-Latn-ME"/>
              </w:rPr>
              <w:t>Kvartila (95% CI)</w:t>
            </w:r>
          </w:p>
        </w:tc>
      </w:tr>
      <w:tr w:rsidR="0079393F" w:rsidRPr="00D616DF" w:rsidTr="0079393F">
        <w:trPr>
          <w:trHeight w:val="254"/>
          <w:jc w:val="center"/>
        </w:trPr>
        <w:tc>
          <w:tcPr>
            <w:tcW w:w="5003" w:type="dxa"/>
            <w:gridSpan w:val="2"/>
          </w:tcPr>
          <w:p w:rsidR="0079393F" w:rsidRPr="00D616DF" w:rsidRDefault="0079393F" w:rsidP="00354CB8">
            <w:pPr>
              <w:tabs>
                <w:tab w:val="left" w:pos="426"/>
                <w:tab w:val="left" w:pos="540"/>
              </w:tabs>
              <w:rPr>
                <w:b/>
                <w:sz w:val="22"/>
                <w:szCs w:val="22"/>
                <w:lang w:val="sr-Latn-ME"/>
              </w:rPr>
            </w:pPr>
            <w:r w:rsidRPr="00D616DF">
              <w:rPr>
                <w:sz w:val="22"/>
                <w:szCs w:val="22"/>
                <w:lang w:val="sr-Latn-ME"/>
              </w:rPr>
              <w:t>25%</w:t>
            </w:r>
          </w:p>
        </w:tc>
        <w:tc>
          <w:tcPr>
            <w:tcW w:w="2098" w:type="dxa"/>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22,7 (18,0; 34.0)</w:t>
            </w:r>
          </w:p>
        </w:tc>
        <w:tc>
          <w:tcPr>
            <w:tcW w:w="2103" w:type="dxa"/>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10,0 (7,3; 10,3)</w:t>
            </w:r>
          </w:p>
        </w:tc>
      </w:tr>
      <w:tr w:rsidR="0079393F" w:rsidRPr="00D616DF" w:rsidTr="0079393F">
        <w:trPr>
          <w:trHeight w:val="262"/>
          <w:jc w:val="center"/>
        </w:trPr>
        <w:tc>
          <w:tcPr>
            <w:tcW w:w="5003" w:type="dxa"/>
            <w:gridSpan w:val="2"/>
          </w:tcPr>
          <w:p w:rsidR="0079393F" w:rsidRPr="00D616DF" w:rsidRDefault="0079393F" w:rsidP="00354CB8">
            <w:pPr>
              <w:tabs>
                <w:tab w:val="left" w:pos="426"/>
                <w:tab w:val="left" w:pos="540"/>
              </w:tabs>
              <w:rPr>
                <w:sz w:val="22"/>
                <w:szCs w:val="22"/>
                <w:lang w:val="sr-Latn-ME"/>
              </w:rPr>
            </w:pPr>
            <w:r w:rsidRPr="00D616DF">
              <w:rPr>
                <w:sz w:val="22"/>
                <w:szCs w:val="22"/>
                <w:lang w:val="sr-Latn-ME"/>
              </w:rPr>
              <w:t>50%</w:t>
            </w:r>
          </w:p>
        </w:tc>
        <w:tc>
          <w:tcPr>
            <w:tcW w:w="2098" w:type="dxa"/>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48,3 (46,4; 58,3)</w:t>
            </w:r>
          </w:p>
        </w:tc>
        <w:tc>
          <w:tcPr>
            <w:tcW w:w="2103" w:type="dxa"/>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22,1 (17,1; 24,0)</w:t>
            </w:r>
          </w:p>
        </w:tc>
      </w:tr>
      <w:tr w:rsidR="0079393F" w:rsidRPr="00D616DF" w:rsidTr="0079393F">
        <w:trPr>
          <w:trHeight w:val="254"/>
          <w:jc w:val="center"/>
        </w:trPr>
        <w:tc>
          <w:tcPr>
            <w:tcW w:w="5003" w:type="dxa"/>
            <w:gridSpan w:val="2"/>
          </w:tcPr>
          <w:p w:rsidR="0079393F" w:rsidRPr="00D616DF" w:rsidRDefault="0079393F" w:rsidP="00354CB8">
            <w:pPr>
              <w:tabs>
                <w:tab w:val="left" w:pos="426"/>
                <w:tab w:val="left" w:pos="540"/>
              </w:tabs>
              <w:rPr>
                <w:sz w:val="22"/>
                <w:szCs w:val="22"/>
                <w:lang w:val="sr-Latn-ME"/>
              </w:rPr>
            </w:pPr>
            <w:r w:rsidRPr="00D616DF">
              <w:rPr>
                <w:sz w:val="22"/>
                <w:szCs w:val="22"/>
                <w:lang w:val="sr-Latn-ME"/>
              </w:rPr>
              <w:t>75%</w:t>
            </w:r>
          </w:p>
        </w:tc>
        <w:tc>
          <w:tcPr>
            <w:tcW w:w="2098" w:type="dxa"/>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84,3 (72,9; 95,1)</w:t>
            </w:r>
          </w:p>
        </w:tc>
        <w:tc>
          <w:tcPr>
            <w:tcW w:w="2103" w:type="dxa"/>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58,1 (45,6; 82,1)</w:t>
            </w:r>
          </w:p>
        </w:tc>
      </w:tr>
      <w:tr w:rsidR="0079393F" w:rsidRPr="00D616DF" w:rsidTr="0079393F">
        <w:trPr>
          <w:trHeight w:val="254"/>
          <w:jc w:val="center"/>
        </w:trPr>
        <w:tc>
          <w:tcPr>
            <w:tcW w:w="5003" w:type="dxa"/>
            <w:gridSpan w:val="2"/>
          </w:tcPr>
          <w:p w:rsidR="0079393F" w:rsidRPr="00D616DF" w:rsidRDefault="0079393F" w:rsidP="00354CB8">
            <w:pPr>
              <w:tabs>
                <w:tab w:val="left" w:pos="426"/>
                <w:tab w:val="left" w:pos="540"/>
              </w:tabs>
              <w:rPr>
                <w:b/>
                <w:sz w:val="22"/>
                <w:szCs w:val="22"/>
                <w:lang w:val="sr-Latn-ME"/>
              </w:rPr>
            </w:pPr>
            <w:r w:rsidRPr="00D616DF">
              <w:rPr>
                <w:sz w:val="22"/>
                <w:szCs w:val="22"/>
                <w:lang w:val="sr-Latn-ME"/>
              </w:rPr>
              <w:t>Nestratifikovana analiza</w:t>
            </w:r>
          </w:p>
        </w:tc>
        <w:tc>
          <w:tcPr>
            <w:tcW w:w="4201" w:type="dxa"/>
            <w:gridSpan w:val="2"/>
          </w:tcPr>
          <w:p w:rsidR="0079393F" w:rsidRPr="00D616DF" w:rsidRDefault="0079393F" w:rsidP="00354CB8">
            <w:pPr>
              <w:tabs>
                <w:tab w:val="left" w:pos="426"/>
                <w:tab w:val="left" w:pos="540"/>
              </w:tabs>
              <w:jc w:val="both"/>
              <w:rPr>
                <w:b/>
                <w:sz w:val="22"/>
                <w:szCs w:val="22"/>
                <w:lang w:val="sr-Latn-ME"/>
              </w:rPr>
            </w:pPr>
          </w:p>
        </w:tc>
      </w:tr>
      <w:tr w:rsidR="0079393F" w:rsidRPr="00D616DF" w:rsidTr="0079393F">
        <w:trPr>
          <w:trHeight w:val="524"/>
          <w:jc w:val="center"/>
        </w:trPr>
        <w:tc>
          <w:tcPr>
            <w:tcW w:w="5003" w:type="dxa"/>
            <w:gridSpan w:val="2"/>
          </w:tcPr>
          <w:p w:rsidR="0079393F" w:rsidRPr="00D616DF" w:rsidRDefault="0079393F" w:rsidP="00354CB8">
            <w:pPr>
              <w:tabs>
                <w:tab w:val="left" w:pos="426"/>
                <w:tab w:val="left" w:pos="540"/>
              </w:tabs>
              <w:rPr>
                <w:b/>
                <w:sz w:val="22"/>
                <w:szCs w:val="22"/>
                <w:lang w:val="sr-Latn-ME"/>
              </w:rPr>
            </w:pPr>
            <w:r w:rsidRPr="00D616DF">
              <w:rPr>
                <w:sz w:val="22"/>
                <w:szCs w:val="22"/>
                <w:lang w:val="sr-Latn-ME"/>
              </w:rPr>
              <w:t>Odnos rizika (</w:t>
            </w:r>
            <w:r w:rsidRPr="00D616DF">
              <w:rPr>
                <w:i/>
                <w:sz w:val="22"/>
                <w:szCs w:val="22"/>
                <w:lang w:val="sr-Latn-ME"/>
              </w:rPr>
              <w:t>Hazard Ratio</w:t>
            </w:r>
            <w:r w:rsidRPr="00D616DF">
              <w:rPr>
                <w:sz w:val="22"/>
                <w:szCs w:val="22"/>
                <w:lang w:val="sr-Latn-ME"/>
              </w:rPr>
              <w:t>) (sunitinib prema IFN-</w:t>
            </w:r>
            <w:r w:rsidRPr="00D616DF">
              <w:rPr>
                <w:sz w:val="22"/>
                <w:szCs w:val="22"/>
                <w:lang w:val="sr-Latn-ME"/>
              </w:rPr>
              <w:sym w:font="Symbol" w:char="F061"/>
            </w:r>
            <w:r w:rsidRPr="00D616DF">
              <w:rPr>
                <w:sz w:val="22"/>
                <w:szCs w:val="22"/>
                <w:lang w:val="sr-Latn-ME"/>
              </w:rPr>
              <w:t>)</w:t>
            </w:r>
          </w:p>
        </w:tc>
        <w:tc>
          <w:tcPr>
            <w:tcW w:w="4201" w:type="dxa"/>
            <w:gridSpan w:val="2"/>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0,5268</w:t>
            </w:r>
          </w:p>
        </w:tc>
      </w:tr>
      <w:tr w:rsidR="0079393F" w:rsidRPr="00D616DF" w:rsidTr="0079393F">
        <w:trPr>
          <w:trHeight w:val="262"/>
          <w:jc w:val="center"/>
        </w:trPr>
        <w:tc>
          <w:tcPr>
            <w:tcW w:w="5003" w:type="dxa"/>
            <w:gridSpan w:val="2"/>
          </w:tcPr>
          <w:p w:rsidR="0079393F" w:rsidRPr="00D616DF" w:rsidRDefault="0079393F" w:rsidP="00354CB8">
            <w:pPr>
              <w:tabs>
                <w:tab w:val="left" w:pos="426"/>
                <w:tab w:val="left" w:pos="540"/>
              </w:tabs>
              <w:rPr>
                <w:b/>
                <w:sz w:val="22"/>
                <w:szCs w:val="22"/>
                <w:lang w:val="sr-Latn-ME"/>
              </w:rPr>
            </w:pPr>
            <w:r w:rsidRPr="00D616DF">
              <w:rPr>
                <w:sz w:val="22"/>
                <w:szCs w:val="22"/>
                <w:lang w:val="sr-Latn-ME"/>
              </w:rPr>
              <w:t>95% CI za odnos rizika</w:t>
            </w:r>
          </w:p>
        </w:tc>
        <w:tc>
          <w:tcPr>
            <w:tcW w:w="4201" w:type="dxa"/>
            <w:gridSpan w:val="2"/>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(0,4316; 0,6430)</w:t>
            </w:r>
          </w:p>
        </w:tc>
      </w:tr>
      <w:tr w:rsidR="0079393F" w:rsidRPr="00D616DF" w:rsidTr="0079393F">
        <w:trPr>
          <w:trHeight w:val="270"/>
          <w:jc w:val="center"/>
        </w:trPr>
        <w:tc>
          <w:tcPr>
            <w:tcW w:w="5003" w:type="dxa"/>
            <w:gridSpan w:val="2"/>
          </w:tcPr>
          <w:p w:rsidR="0079393F" w:rsidRPr="00D616DF" w:rsidRDefault="0079393F" w:rsidP="00354CB8">
            <w:pPr>
              <w:tabs>
                <w:tab w:val="left" w:pos="426"/>
                <w:tab w:val="left" w:pos="540"/>
              </w:tabs>
              <w:rPr>
                <w:b/>
                <w:sz w:val="22"/>
                <w:szCs w:val="22"/>
                <w:lang w:val="sr-Latn-ME"/>
              </w:rPr>
            </w:pPr>
            <w:r w:rsidRPr="00D616DF">
              <w:rPr>
                <w:sz w:val="22"/>
                <w:szCs w:val="22"/>
                <w:lang w:val="sr-Latn-ME"/>
              </w:rPr>
              <w:t>p-vrijednost</w:t>
            </w:r>
            <w:r w:rsidRPr="00D616DF">
              <w:rPr>
                <w:sz w:val="22"/>
                <w:szCs w:val="22"/>
                <w:vertAlign w:val="superscript"/>
                <w:lang w:val="sr-Latn-ME"/>
              </w:rPr>
              <w:t>a</w:t>
            </w:r>
          </w:p>
        </w:tc>
        <w:tc>
          <w:tcPr>
            <w:tcW w:w="4201" w:type="dxa"/>
            <w:gridSpan w:val="2"/>
          </w:tcPr>
          <w:p w:rsidR="0079393F" w:rsidRPr="00D616DF" w:rsidRDefault="0079393F" w:rsidP="00354CB8">
            <w:pPr>
              <w:tabs>
                <w:tab w:val="left" w:pos="426"/>
                <w:tab w:val="left" w:pos="540"/>
              </w:tabs>
              <w:jc w:val="center"/>
              <w:rPr>
                <w:sz w:val="22"/>
                <w:szCs w:val="22"/>
                <w:lang w:val="sr-Latn-ME"/>
              </w:rPr>
            </w:pPr>
            <w:r w:rsidRPr="00D616DF">
              <w:rPr>
                <w:sz w:val="22"/>
                <w:szCs w:val="22"/>
                <w:lang w:val="sr-Latn-ME"/>
              </w:rPr>
              <w:sym w:font="Symbol" w:char="F03C"/>
            </w:r>
            <w:r w:rsidRPr="00D616DF">
              <w:rPr>
                <w:sz w:val="22"/>
                <w:szCs w:val="22"/>
                <w:lang w:val="sr-Latn-ME"/>
              </w:rPr>
              <w:t>0,0001</w:t>
            </w:r>
          </w:p>
        </w:tc>
      </w:tr>
      <w:tr w:rsidR="0079393F" w:rsidRPr="00D616DF" w:rsidTr="0079393F">
        <w:trPr>
          <w:trHeight w:val="254"/>
          <w:jc w:val="center"/>
        </w:trPr>
        <w:tc>
          <w:tcPr>
            <w:tcW w:w="9204" w:type="dxa"/>
            <w:gridSpan w:val="4"/>
          </w:tcPr>
          <w:p w:rsidR="0079393F" w:rsidRPr="00D616DF" w:rsidRDefault="0079393F" w:rsidP="00354CB8">
            <w:pPr>
              <w:tabs>
                <w:tab w:val="left" w:pos="426"/>
                <w:tab w:val="left" w:pos="540"/>
              </w:tabs>
              <w:rPr>
                <w:b/>
                <w:sz w:val="22"/>
                <w:szCs w:val="22"/>
                <w:lang w:val="sr-Latn-ME"/>
              </w:rPr>
            </w:pPr>
            <w:r w:rsidRPr="00D616DF">
              <w:rPr>
                <w:b/>
                <w:sz w:val="22"/>
                <w:szCs w:val="22"/>
                <w:lang w:val="sr-Latn-ME"/>
              </w:rPr>
              <w:t>Pregled ukupnog preživljavanja</w:t>
            </w:r>
          </w:p>
        </w:tc>
      </w:tr>
      <w:tr w:rsidR="0079393F" w:rsidRPr="00D616DF" w:rsidTr="0079393F">
        <w:trPr>
          <w:trHeight w:val="254"/>
          <w:jc w:val="center"/>
        </w:trPr>
        <w:tc>
          <w:tcPr>
            <w:tcW w:w="5003" w:type="dxa"/>
            <w:gridSpan w:val="2"/>
          </w:tcPr>
          <w:p w:rsidR="0079393F" w:rsidRPr="00D616DF" w:rsidRDefault="0079393F" w:rsidP="00354CB8">
            <w:pPr>
              <w:tabs>
                <w:tab w:val="left" w:pos="535"/>
              </w:tabs>
              <w:rPr>
                <w:sz w:val="22"/>
                <w:szCs w:val="22"/>
                <w:lang w:val="sr-Latn-ME"/>
              </w:rPr>
            </w:pPr>
            <w:r w:rsidRPr="00D616DF">
              <w:rPr>
                <w:sz w:val="22"/>
                <w:szCs w:val="22"/>
                <w:lang w:val="sr-Latn-ME"/>
              </w:rPr>
              <w:t>Ispitanici za koje nije poznato da su umrli [n (%)]</w:t>
            </w:r>
          </w:p>
        </w:tc>
        <w:tc>
          <w:tcPr>
            <w:tcW w:w="2098" w:type="dxa"/>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185 (49,3)</w:t>
            </w:r>
          </w:p>
        </w:tc>
        <w:tc>
          <w:tcPr>
            <w:tcW w:w="2103" w:type="dxa"/>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175 (46,7)</w:t>
            </w:r>
          </w:p>
        </w:tc>
      </w:tr>
      <w:tr w:rsidR="0079393F" w:rsidRPr="00D616DF" w:rsidTr="0079393F">
        <w:trPr>
          <w:trHeight w:val="262"/>
          <w:jc w:val="center"/>
        </w:trPr>
        <w:tc>
          <w:tcPr>
            <w:tcW w:w="5003" w:type="dxa"/>
            <w:gridSpan w:val="2"/>
          </w:tcPr>
          <w:p w:rsidR="0079393F" w:rsidRPr="00D616DF" w:rsidRDefault="0079393F" w:rsidP="00354CB8">
            <w:pPr>
              <w:tabs>
                <w:tab w:val="left" w:pos="426"/>
                <w:tab w:val="left" w:pos="540"/>
              </w:tabs>
              <w:rPr>
                <w:sz w:val="22"/>
                <w:szCs w:val="22"/>
                <w:lang w:val="sr-Latn-ME"/>
              </w:rPr>
            </w:pPr>
            <w:r w:rsidRPr="00D616DF">
              <w:rPr>
                <w:sz w:val="22"/>
                <w:szCs w:val="22"/>
                <w:lang w:val="sr-Latn-ME"/>
              </w:rPr>
              <w:t>Ispitanici za koje je zabilježeno da su umrli [n (%)]</w:t>
            </w:r>
          </w:p>
        </w:tc>
        <w:tc>
          <w:tcPr>
            <w:tcW w:w="2098" w:type="dxa"/>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190 (50,7)</w:t>
            </w:r>
          </w:p>
        </w:tc>
        <w:tc>
          <w:tcPr>
            <w:tcW w:w="2103" w:type="dxa"/>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200 (53,3)</w:t>
            </w:r>
          </w:p>
        </w:tc>
      </w:tr>
      <w:tr w:rsidR="0079393F" w:rsidRPr="00D616DF" w:rsidTr="0079393F">
        <w:trPr>
          <w:trHeight w:val="254"/>
          <w:jc w:val="center"/>
        </w:trPr>
        <w:tc>
          <w:tcPr>
            <w:tcW w:w="9204" w:type="dxa"/>
            <w:gridSpan w:val="4"/>
          </w:tcPr>
          <w:p w:rsidR="0079393F" w:rsidRPr="00D616DF" w:rsidRDefault="0079393F" w:rsidP="00354CB8">
            <w:pPr>
              <w:tabs>
                <w:tab w:val="left" w:pos="426"/>
                <w:tab w:val="left" w:pos="540"/>
              </w:tabs>
              <w:jc w:val="both"/>
              <w:rPr>
                <w:b/>
                <w:sz w:val="22"/>
                <w:szCs w:val="22"/>
                <w:lang w:val="sr-Latn-ME"/>
              </w:rPr>
            </w:pPr>
            <w:r w:rsidRPr="00D616DF">
              <w:rPr>
                <w:sz w:val="22"/>
                <w:szCs w:val="22"/>
                <w:lang w:val="sr-Latn-ME"/>
              </w:rPr>
              <w:t>OS (nedjelje)</w:t>
            </w:r>
          </w:p>
        </w:tc>
      </w:tr>
      <w:tr w:rsidR="0079393F" w:rsidRPr="00D616DF" w:rsidTr="0079393F">
        <w:trPr>
          <w:trHeight w:val="254"/>
          <w:jc w:val="center"/>
        </w:trPr>
        <w:tc>
          <w:tcPr>
            <w:tcW w:w="9204" w:type="dxa"/>
            <w:gridSpan w:val="4"/>
          </w:tcPr>
          <w:p w:rsidR="0079393F" w:rsidRPr="00D616DF" w:rsidRDefault="0079393F" w:rsidP="00354CB8">
            <w:pPr>
              <w:tabs>
                <w:tab w:val="left" w:pos="426"/>
                <w:tab w:val="left" w:pos="540"/>
              </w:tabs>
              <w:jc w:val="both"/>
              <w:rPr>
                <w:b/>
                <w:sz w:val="22"/>
                <w:szCs w:val="22"/>
                <w:lang w:val="sr-Latn-ME"/>
              </w:rPr>
            </w:pPr>
            <w:r w:rsidRPr="00D616DF">
              <w:rPr>
                <w:sz w:val="22"/>
                <w:szCs w:val="22"/>
                <w:lang w:val="sr-Latn-ME"/>
              </w:rPr>
              <w:t>Kvartila (95% CI)</w:t>
            </w:r>
          </w:p>
        </w:tc>
      </w:tr>
      <w:tr w:rsidR="0079393F" w:rsidRPr="00D616DF" w:rsidTr="0079393F">
        <w:trPr>
          <w:trHeight w:val="254"/>
          <w:jc w:val="center"/>
        </w:trPr>
        <w:tc>
          <w:tcPr>
            <w:tcW w:w="5003" w:type="dxa"/>
            <w:gridSpan w:val="2"/>
          </w:tcPr>
          <w:p w:rsidR="0079393F" w:rsidRPr="00D616DF" w:rsidRDefault="0079393F" w:rsidP="00354CB8">
            <w:pPr>
              <w:tabs>
                <w:tab w:val="left" w:pos="426"/>
                <w:tab w:val="left" w:pos="540"/>
              </w:tabs>
              <w:rPr>
                <w:sz w:val="22"/>
                <w:szCs w:val="22"/>
                <w:lang w:val="sr-Latn-ME"/>
              </w:rPr>
            </w:pPr>
            <w:r w:rsidRPr="00D616DF">
              <w:rPr>
                <w:sz w:val="22"/>
                <w:szCs w:val="22"/>
                <w:lang w:val="sr-Latn-ME"/>
              </w:rPr>
              <w:t>25%</w:t>
            </w:r>
          </w:p>
        </w:tc>
        <w:tc>
          <w:tcPr>
            <w:tcW w:w="2098" w:type="dxa"/>
          </w:tcPr>
          <w:p w:rsidR="0079393F" w:rsidRPr="00D616DF" w:rsidRDefault="0079393F" w:rsidP="00354CB8">
            <w:pPr>
              <w:tabs>
                <w:tab w:val="left" w:pos="426"/>
                <w:tab w:val="left" w:pos="540"/>
              </w:tabs>
              <w:jc w:val="center"/>
              <w:rPr>
                <w:b/>
                <w:sz w:val="22"/>
                <w:szCs w:val="22"/>
                <w:lang w:val="sr-Latn-ME"/>
              </w:rPr>
            </w:pPr>
            <w:r w:rsidRPr="00D616DF">
              <w:rPr>
                <w:sz w:val="22"/>
                <w:szCs w:val="22"/>
                <w:lang w:val="sr-Latn-ME"/>
              </w:rPr>
              <w:t>56,6 (48,7; 68,4)</w:t>
            </w:r>
          </w:p>
        </w:tc>
        <w:tc>
          <w:tcPr>
            <w:tcW w:w="2103" w:type="dxa"/>
          </w:tcPr>
          <w:p w:rsidR="0079393F" w:rsidRPr="00D616DF" w:rsidRDefault="0079393F" w:rsidP="00354CB8">
            <w:pPr>
              <w:tabs>
                <w:tab w:val="left" w:pos="426"/>
                <w:tab w:val="left" w:pos="540"/>
              </w:tabs>
              <w:jc w:val="center"/>
              <w:rPr>
                <w:b/>
                <w:sz w:val="22"/>
                <w:szCs w:val="22"/>
                <w:lang w:val="sr-Latn-ME"/>
              </w:rPr>
            </w:pPr>
            <w:r w:rsidRPr="00D616DF">
              <w:rPr>
                <w:sz w:val="22"/>
                <w:szCs w:val="22"/>
                <w:lang w:val="sr-Latn-ME"/>
              </w:rPr>
              <w:t>41,7 (32,6; 51,6)</w:t>
            </w:r>
          </w:p>
        </w:tc>
      </w:tr>
      <w:tr w:rsidR="0079393F" w:rsidRPr="00D616DF" w:rsidTr="0079393F">
        <w:trPr>
          <w:trHeight w:val="262"/>
          <w:jc w:val="center"/>
        </w:trPr>
        <w:tc>
          <w:tcPr>
            <w:tcW w:w="5003" w:type="dxa"/>
            <w:gridSpan w:val="2"/>
          </w:tcPr>
          <w:p w:rsidR="0079393F" w:rsidRPr="00D616DF" w:rsidRDefault="0079393F" w:rsidP="00354CB8">
            <w:pPr>
              <w:tabs>
                <w:tab w:val="left" w:pos="426"/>
                <w:tab w:val="left" w:pos="540"/>
              </w:tabs>
              <w:rPr>
                <w:sz w:val="22"/>
                <w:szCs w:val="22"/>
                <w:lang w:val="sr-Latn-ME"/>
              </w:rPr>
            </w:pPr>
            <w:r w:rsidRPr="00D616DF">
              <w:rPr>
                <w:sz w:val="22"/>
                <w:szCs w:val="22"/>
                <w:lang w:val="sr-Latn-ME"/>
              </w:rPr>
              <w:t>50%</w:t>
            </w:r>
          </w:p>
        </w:tc>
        <w:tc>
          <w:tcPr>
            <w:tcW w:w="2098" w:type="dxa"/>
          </w:tcPr>
          <w:p w:rsidR="0079393F" w:rsidRPr="00D616DF" w:rsidRDefault="0079393F" w:rsidP="00354CB8">
            <w:pPr>
              <w:tabs>
                <w:tab w:val="left" w:pos="426"/>
                <w:tab w:val="left" w:pos="540"/>
              </w:tabs>
              <w:jc w:val="both"/>
              <w:rPr>
                <w:b/>
                <w:sz w:val="22"/>
                <w:szCs w:val="22"/>
                <w:lang w:val="sr-Latn-ME"/>
              </w:rPr>
            </w:pPr>
            <w:r w:rsidRPr="00D616DF">
              <w:rPr>
                <w:sz w:val="22"/>
                <w:szCs w:val="22"/>
                <w:lang w:val="sr-Latn-ME"/>
              </w:rPr>
              <w:t>114,6 (100,1; 142,9)</w:t>
            </w:r>
          </w:p>
        </w:tc>
        <w:tc>
          <w:tcPr>
            <w:tcW w:w="2103" w:type="dxa"/>
          </w:tcPr>
          <w:p w:rsidR="0079393F" w:rsidRPr="00D616DF" w:rsidRDefault="0079393F" w:rsidP="00354CB8">
            <w:pPr>
              <w:tabs>
                <w:tab w:val="left" w:pos="426"/>
                <w:tab w:val="left" w:pos="540"/>
              </w:tabs>
              <w:jc w:val="both"/>
              <w:rPr>
                <w:b/>
                <w:sz w:val="22"/>
                <w:szCs w:val="22"/>
                <w:lang w:val="sr-Latn-ME"/>
              </w:rPr>
            </w:pPr>
            <w:r w:rsidRPr="00D616DF">
              <w:rPr>
                <w:sz w:val="22"/>
                <w:szCs w:val="22"/>
                <w:lang w:val="sr-Latn-ME"/>
              </w:rPr>
              <w:t>94,9 (77,7; 117,0)</w:t>
            </w:r>
          </w:p>
        </w:tc>
      </w:tr>
      <w:tr w:rsidR="0079393F" w:rsidRPr="00D616DF" w:rsidTr="0079393F">
        <w:trPr>
          <w:trHeight w:val="254"/>
          <w:jc w:val="center"/>
        </w:trPr>
        <w:tc>
          <w:tcPr>
            <w:tcW w:w="5003" w:type="dxa"/>
            <w:gridSpan w:val="2"/>
          </w:tcPr>
          <w:p w:rsidR="0079393F" w:rsidRPr="00D616DF" w:rsidRDefault="0079393F" w:rsidP="00354CB8">
            <w:pPr>
              <w:tabs>
                <w:tab w:val="left" w:pos="426"/>
                <w:tab w:val="left" w:pos="540"/>
              </w:tabs>
              <w:rPr>
                <w:sz w:val="22"/>
                <w:szCs w:val="22"/>
                <w:lang w:val="sr-Latn-ME"/>
              </w:rPr>
            </w:pPr>
            <w:r w:rsidRPr="00D616DF">
              <w:rPr>
                <w:sz w:val="22"/>
                <w:szCs w:val="22"/>
                <w:lang w:val="sr-Latn-ME"/>
              </w:rPr>
              <w:t>75%</w:t>
            </w:r>
          </w:p>
        </w:tc>
        <w:tc>
          <w:tcPr>
            <w:tcW w:w="2098" w:type="dxa"/>
          </w:tcPr>
          <w:p w:rsidR="0079393F" w:rsidRPr="00047FBA" w:rsidRDefault="0079393F" w:rsidP="00354CB8">
            <w:pPr>
              <w:tabs>
                <w:tab w:val="left" w:pos="426"/>
                <w:tab w:val="left" w:pos="540"/>
              </w:tabs>
              <w:jc w:val="center"/>
              <w:rPr>
                <w:sz w:val="22"/>
                <w:szCs w:val="22"/>
                <w:lang w:val="sr-Latn-ME"/>
              </w:rPr>
            </w:pPr>
            <w:r w:rsidRPr="00047FBA">
              <w:rPr>
                <w:sz w:val="22"/>
                <w:szCs w:val="22"/>
                <w:lang w:val="sr-Latn-ME"/>
              </w:rPr>
              <w:t>NA (NA; NA)</w:t>
            </w:r>
          </w:p>
        </w:tc>
        <w:tc>
          <w:tcPr>
            <w:tcW w:w="2103" w:type="dxa"/>
          </w:tcPr>
          <w:p w:rsidR="0079393F" w:rsidRPr="00047FBA" w:rsidRDefault="0079393F" w:rsidP="00354CB8">
            <w:pPr>
              <w:tabs>
                <w:tab w:val="left" w:pos="426"/>
                <w:tab w:val="left" w:pos="540"/>
              </w:tabs>
              <w:jc w:val="center"/>
              <w:rPr>
                <w:sz w:val="22"/>
                <w:szCs w:val="22"/>
                <w:lang w:val="sr-Latn-ME"/>
              </w:rPr>
            </w:pPr>
            <w:r w:rsidRPr="00047FBA">
              <w:rPr>
                <w:sz w:val="22"/>
                <w:szCs w:val="22"/>
                <w:lang w:val="sr-Latn-ME"/>
              </w:rPr>
              <w:t>NA (NA; NA)</w:t>
            </w:r>
          </w:p>
        </w:tc>
      </w:tr>
      <w:tr w:rsidR="0079393F" w:rsidRPr="00D616DF" w:rsidTr="0079393F">
        <w:trPr>
          <w:trHeight w:val="254"/>
          <w:jc w:val="center"/>
        </w:trPr>
        <w:tc>
          <w:tcPr>
            <w:tcW w:w="9204" w:type="dxa"/>
            <w:gridSpan w:val="4"/>
          </w:tcPr>
          <w:p w:rsidR="0079393F" w:rsidRPr="00D616DF" w:rsidRDefault="0079393F" w:rsidP="00354CB8">
            <w:pPr>
              <w:tabs>
                <w:tab w:val="left" w:pos="426"/>
                <w:tab w:val="left" w:pos="540"/>
              </w:tabs>
              <w:rPr>
                <w:b/>
                <w:sz w:val="22"/>
                <w:szCs w:val="22"/>
                <w:lang w:val="sr-Latn-ME"/>
              </w:rPr>
            </w:pPr>
            <w:r w:rsidRPr="00D616DF">
              <w:rPr>
                <w:sz w:val="22"/>
                <w:szCs w:val="22"/>
                <w:lang w:val="sr-Latn-ME"/>
              </w:rPr>
              <w:t>Nestratifikovana analiza</w:t>
            </w:r>
          </w:p>
        </w:tc>
      </w:tr>
      <w:tr w:rsidR="0079393F" w:rsidRPr="00D616DF" w:rsidTr="0079393F">
        <w:trPr>
          <w:trHeight w:val="270"/>
          <w:jc w:val="center"/>
        </w:trPr>
        <w:tc>
          <w:tcPr>
            <w:tcW w:w="5003" w:type="dxa"/>
            <w:gridSpan w:val="2"/>
          </w:tcPr>
          <w:p w:rsidR="0079393F" w:rsidRPr="00D616DF" w:rsidRDefault="0079393F" w:rsidP="00354CB8">
            <w:pPr>
              <w:tabs>
                <w:tab w:val="left" w:pos="426"/>
                <w:tab w:val="left" w:pos="540"/>
              </w:tabs>
              <w:rPr>
                <w:sz w:val="22"/>
                <w:szCs w:val="22"/>
                <w:lang w:val="sr-Latn-ME"/>
              </w:rPr>
            </w:pPr>
            <w:r w:rsidRPr="00D616DF">
              <w:rPr>
                <w:sz w:val="22"/>
                <w:szCs w:val="22"/>
                <w:lang w:val="sr-Latn-ME"/>
              </w:rPr>
              <w:t>Odnos rizka (</w:t>
            </w:r>
            <w:r w:rsidRPr="00D616DF">
              <w:rPr>
                <w:i/>
                <w:sz w:val="22"/>
                <w:szCs w:val="22"/>
                <w:lang w:val="sr-Latn-ME"/>
              </w:rPr>
              <w:t>Hazard ratio</w:t>
            </w:r>
            <w:r w:rsidRPr="00D616DF">
              <w:rPr>
                <w:sz w:val="22"/>
                <w:szCs w:val="22"/>
                <w:lang w:val="sr-Latn-ME"/>
              </w:rPr>
              <w:t>) (sunitinib prema IFN-</w:t>
            </w:r>
            <w:r w:rsidRPr="00D616DF">
              <w:rPr>
                <w:sz w:val="22"/>
                <w:szCs w:val="22"/>
                <w:lang w:val="sr-Latn-ME"/>
              </w:rPr>
              <w:sym w:font="Symbol" w:char="F061"/>
            </w:r>
            <w:r w:rsidRPr="00D616DF">
              <w:rPr>
                <w:sz w:val="22"/>
                <w:szCs w:val="22"/>
                <w:lang w:val="sr-Latn-ME"/>
              </w:rPr>
              <w:t>)</w:t>
            </w:r>
          </w:p>
        </w:tc>
        <w:tc>
          <w:tcPr>
            <w:tcW w:w="4201" w:type="dxa"/>
            <w:gridSpan w:val="2"/>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0,8209</w:t>
            </w:r>
          </w:p>
        </w:tc>
      </w:tr>
      <w:tr w:rsidR="0079393F" w:rsidRPr="00D616DF" w:rsidTr="0079393F">
        <w:trPr>
          <w:trHeight w:val="262"/>
          <w:jc w:val="center"/>
        </w:trPr>
        <w:tc>
          <w:tcPr>
            <w:tcW w:w="5003" w:type="dxa"/>
            <w:gridSpan w:val="2"/>
          </w:tcPr>
          <w:p w:rsidR="0079393F" w:rsidRPr="00D616DF" w:rsidRDefault="0079393F" w:rsidP="00354CB8">
            <w:pPr>
              <w:tabs>
                <w:tab w:val="left" w:pos="426"/>
                <w:tab w:val="left" w:pos="540"/>
              </w:tabs>
              <w:rPr>
                <w:sz w:val="22"/>
                <w:szCs w:val="22"/>
                <w:lang w:val="sr-Latn-ME"/>
              </w:rPr>
            </w:pPr>
            <w:r w:rsidRPr="00D616DF">
              <w:rPr>
                <w:sz w:val="22"/>
                <w:szCs w:val="22"/>
                <w:lang w:val="sr-Latn-ME"/>
              </w:rPr>
              <w:t>95% CI za odnos rizika</w:t>
            </w:r>
          </w:p>
        </w:tc>
        <w:tc>
          <w:tcPr>
            <w:tcW w:w="4201" w:type="dxa"/>
            <w:gridSpan w:val="2"/>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(0,6730, 1,0013)</w:t>
            </w:r>
          </w:p>
        </w:tc>
      </w:tr>
      <w:tr w:rsidR="0079393F" w:rsidRPr="00D616DF" w:rsidTr="0079393F">
        <w:trPr>
          <w:trHeight w:val="254"/>
          <w:jc w:val="center"/>
        </w:trPr>
        <w:tc>
          <w:tcPr>
            <w:tcW w:w="5003" w:type="dxa"/>
            <w:gridSpan w:val="2"/>
          </w:tcPr>
          <w:p w:rsidR="0079393F" w:rsidRPr="00D616DF" w:rsidRDefault="0079393F" w:rsidP="00354CB8">
            <w:pPr>
              <w:tabs>
                <w:tab w:val="left" w:pos="426"/>
                <w:tab w:val="left" w:pos="540"/>
              </w:tabs>
              <w:rPr>
                <w:sz w:val="22"/>
                <w:szCs w:val="22"/>
                <w:lang w:val="sr-Latn-ME"/>
              </w:rPr>
            </w:pPr>
            <w:r w:rsidRPr="00D616DF">
              <w:rPr>
                <w:sz w:val="22"/>
                <w:szCs w:val="22"/>
                <w:lang w:val="sr-Latn-ME"/>
              </w:rPr>
              <w:t>p-vrijednost</w:t>
            </w:r>
            <w:r w:rsidRPr="00D616DF">
              <w:rPr>
                <w:sz w:val="22"/>
                <w:szCs w:val="22"/>
                <w:vertAlign w:val="superscript"/>
                <w:lang w:val="sr-Latn-ME"/>
              </w:rPr>
              <w:t>a</w:t>
            </w:r>
          </w:p>
        </w:tc>
        <w:tc>
          <w:tcPr>
            <w:tcW w:w="4201" w:type="dxa"/>
            <w:gridSpan w:val="2"/>
          </w:tcPr>
          <w:p w:rsidR="0079393F" w:rsidRPr="00D616DF" w:rsidRDefault="0079393F" w:rsidP="00354CB8">
            <w:pPr>
              <w:tabs>
                <w:tab w:val="left" w:pos="426"/>
                <w:tab w:val="left" w:pos="540"/>
              </w:tabs>
              <w:jc w:val="center"/>
              <w:rPr>
                <w:b/>
                <w:sz w:val="22"/>
                <w:szCs w:val="22"/>
                <w:lang w:val="sr-Latn-ME"/>
              </w:rPr>
            </w:pPr>
            <w:r w:rsidRPr="00D616DF">
              <w:rPr>
                <w:rFonts w:eastAsia="TimesNewRoman"/>
                <w:sz w:val="22"/>
                <w:szCs w:val="22"/>
                <w:lang w:val="sr-Latn-ME" w:eastAsia="sr-Latn-ME"/>
              </w:rPr>
              <w:t>0,0510</w:t>
            </w:r>
          </w:p>
        </w:tc>
      </w:tr>
    </w:tbl>
    <w:p w:rsidR="0079393F" w:rsidRPr="00D616DF" w:rsidRDefault="0079393F" w:rsidP="0079393F">
      <w:pPr>
        <w:tabs>
          <w:tab w:val="left" w:pos="426"/>
          <w:tab w:val="left" w:pos="540"/>
        </w:tabs>
        <w:jc w:val="both"/>
        <w:rPr>
          <w:sz w:val="20"/>
          <w:szCs w:val="20"/>
          <w:lang w:val="sr-Latn-ME"/>
        </w:rPr>
      </w:pPr>
      <w:r w:rsidRPr="00D616DF">
        <w:rPr>
          <w:sz w:val="20"/>
          <w:szCs w:val="20"/>
          <w:lang w:val="sr-Latn-ME"/>
        </w:rPr>
        <w:t xml:space="preserve">Skraćenice: CI=interval pouzdanosti (eng. </w:t>
      </w:r>
      <w:r w:rsidRPr="00D616DF">
        <w:rPr>
          <w:i/>
          <w:sz w:val="20"/>
          <w:szCs w:val="20"/>
          <w:lang w:val="sr-Latn-ME"/>
        </w:rPr>
        <w:t>confidence interval</w:t>
      </w:r>
      <w:r w:rsidRPr="00D616DF">
        <w:rPr>
          <w:sz w:val="20"/>
          <w:szCs w:val="20"/>
          <w:lang w:val="sr-Latn-ME"/>
        </w:rPr>
        <w:t xml:space="preserve">); IFN-α=interferon-alfa; ITT=populacija koja je trebalo da prima terapiju (eng. </w:t>
      </w:r>
      <w:r w:rsidRPr="00D616DF">
        <w:rPr>
          <w:i/>
          <w:sz w:val="20"/>
          <w:szCs w:val="20"/>
          <w:lang w:val="sr-Latn-ME"/>
        </w:rPr>
        <w:t>intent-to-treat</w:t>
      </w:r>
      <w:r w:rsidRPr="00D616DF">
        <w:rPr>
          <w:sz w:val="20"/>
          <w:szCs w:val="20"/>
          <w:lang w:val="sr-Latn-ME"/>
        </w:rPr>
        <w:t xml:space="preserve">); N=broj pacijenata; NA=nije primjenljivo (eng. </w:t>
      </w:r>
      <w:r w:rsidRPr="00D616DF">
        <w:rPr>
          <w:i/>
          <w:sz w:val="20"/>
          <w:szCs w:val="20"/>
          <w:lang w:val="sr-Latn-ME"/>
        </w:rPr>
        <w:t>not applicable</w:t>
      </w:r>
      <w:r w:rsidRPr="00D616DF">
        <w:rPr>
          <w:sz w:val="20"/>
          <w:szCs w:val="20"/>
          <w:lang w:val="sr-Latn-ME"/>
        </w:rPr>
        <w:t xml:space="preserve">); OS=ukupno preživljavanje (eng. overall survival); PFS=preživljavanje bez progresije bolesti (eng. </w:t>
      </w:r>
      <w:r w:rsidRPr="00D616DF">
        <w:rPr>
          <w:i/>
          <w:sz w:val="20"/>
          <w:szCs w:val="20"/>
          <w:lang w:val="sr-Latn-ME"/>
        </w:rPr>
        <w:t>progression-free survival</w:t>
      </w:r>
      <w:r w:rsidRPr="00D616DF">
        <w:rPr>
          <w:sz w:val="20"/>
          <w:szCs w:val="20"/>
          <w:lang w:val="sr-Latn-ME"/>
        </w:rPr>
        <w:t>).</w:t>
      </w:r>
    </w:p>
    <w:p w:rsidR="0079393F" w:rsidRPr="00D616DF" w:rsidRDefault="0079393F" w:rsidP="0079393F">
      <w:pPr>
        <w:tabs>
          <w:tab w:val="left" w:pos="426"/>
          <w:tab w:val="left" w:pos="540"/>
        </w:tabs>
        <w:jc w:val="both"/>
        <w:rPr>
          <w:sz w:val="20"/>
          <w:szCs w:val="20"/>
          <w:lang w:val="sr-Latn-ME"/>
        </w:rPr>
      </w:pPr>
      <w:r w:rsidRPr="00D616DF">
        <w:rPr>
          <w:sz w:val="20"/>
          <w:szCs w:val="20"/>
          <w:vertAlign w:val="superscript"/>
          <w:lang w:val="sr-Latn-ME"/>
        </w:rPr>
        <w:t>a</w:t>
      </w:r>
      <w:r w:rsidRPr="00D616DF">
        <w:rPr>
          <w:sz w:val="20"/>
          <w:szCs w:val="20"/>
          <w:lang w:val="sr-Latn-ME"/>
        </w:rPr>
        <w:t xml:space="preserve"> Iz dvostranog log-rank testa.</w:t>
      </w:r>
    </w:p>
    <w:p w:rsidR="0079393F" w:rsidRPr="00D616DF" w:rsidRDefault="0079393F" w:rsidP="0079393F">
      <w:pPr>
        <w:tabs>
          <w:tab w:val="left" w:pos="426"/>
          <w:tab w:val="left" w:pos="540"/>
        </w:tabs>
        <w:jc w:val="both"/>
        <w:rPr>
          <w:i/>
          <w:sz w:val="22"/>
          <w:szCs w:val="22"/>
          <w:lang w:val="sr-Latn-ME"/>
        </w:rPr>
      </w:pPr>
    </w:p>
    <w:p w:rsidR="00F0748A" w:rsidRPr="00D616DF" w:rsidRDefault="00F0748A" w:rsidP="00F0748A">
      <w:pPr>
        <w:tabs>
          <w:tab w:val="left" w:pos="426"/>
          <w:tab w:val="left" w:pos="540"/>
        </w:tabs>
        <w:jc w:val="both"/>
        <w:rPr>
          <w:i/>
          <w:sz w:val="22"/>
          <w:szCs w:val="22"/>
          <w:lang w:val="sr-Latn-ME"/>
        </w:rPr>
      </w:pPr>
      <w:r w:rsidRPr="00D616DF">
        <w:rPr>
          <w:i/>
          <w:sz w:val="22"/>
          <w:szCs w:val="22"/>
          <w:lang w:val="sr-Latn-ME"/>
        </w:rPr>
        <w:t>Metastatski karcinom bubrega (MRCC) refraktoran na citokine</w:t>
      </w:r>
    </w:p>
    <w:p w:rsidR="00F0748A" w:rsidRPr="00D616DF" w:rsidRDefault="00F0748A" w:rsidP="00F0748A">
      <w:pPr>
        <w:tabs>
          <w:tab w:val="left" w:pos="426"/>
          <w:tab w:val="left" w:pos="540"/>
        </w:tabs>
        <w:jc w:val="both"/>
        <w:rPr>
          <w:sz w:val="22"/>
          <w:szCs w:val="22"/>
          <w:lang w:val="sr-Latn-ME"/>
        </w:rPr>
      </w:pPr>
      <w:r w:rsidRPr="00D616DF">
        <w:rPr>
          <w:sz w:val="22"/>
          <w:szCs w:val="22"/>
          <w:lang w:val="sr-Latn-ME"/>
        </w:rPr>
        <w:t xml:space="preserve">Studija faze II sa sunitinibom sprovedena je na pacijentima koji nijesu reagovali na prethodnu terapiju citokinima interleukinom-2 ili IFN-α. Šezdeset tri pacijenta primalo je početnu dozu od 50 mg sunitiniba oralno, jednom dnevno tokom 4 uzastopne nedjelje, a zatim je terapija obustavljena naredne 2 nedjelje da bi se završio ciklus od 6 nedjelja (režim 4/2). Primarni cilj efikasnosti u ovoj studiji bila je stopa objektivnog odgovora (ORR), zasnovana na RECIST kriterijumima za procjenu odgovora solidnih tumora (RECIST – engl. </w:t>
      </w:r>
      <w:r w:rsidRPr="00D616DF">
        <w:rPr>
          <w:i/>
          <w:sz w:val="22"/>
          <w:szCs w:val="22"/>
          <w:lang w:val="sr-Latn-ME"/>
        </w:rPr>
        <w:t>Response Evaluation Criteria in Solid Tumors</w:t>
      </w:r>
      <w:r w:rsidRPr="00D616DF">
        <w:rPr>
          <w:sz w:val="22"/>
          <w:szCs w:val="22"/>
          <w:lang w:val="sr-Latn-ME"/>
        </w:rPr>
        <w:t xml:space="preserve">). </w:t>
      </w:r>
    </w:p>
    <w:p w:rsidR="00F0748A" w:rsidRPr="00D616DF" w:rsidRDefault="00F0748A" w:rsidP="00F0748A">
      <w:pPr>
        <w:tabs>
          <w:tab w:val="left" w:pos="426"/>
          <w:tab w:val="left" w:pos="540"/>
        </w:tabs>
        <w:jc w:val="both"/>
        <w:rPr>
          <w:sz w:val="22"/>
          <w:szCs w:val="22"/>
          <w:lang w:val="sr-Latn-ME"/>
        </w:rPr>
      </w:pPr>
    </w:p>
    <w:p w:rsidR="00F0748A" w:rsidRPr="00D616DF" w:rsidRDefault="00F0748A" w:rsidP="00F0748A">
      <w:pPr>
        <w:tabs>
          <w:tab w:val="left" w:pos="426"/>
          <w:tab w:val="left" w:pos="540"/>
        </w:tabs>
        <w:jc w:val="both"/>
        <w:rPr>
          <w:sz w:val="22"/>
          <w:szCs w:val="22"/>
          <w:lang w:val="sr-Latn-ME"/>
        </w:rPr>
      </w:pPr>
      <w:r w:rsidRPr="00D616DF">
        <w:rPr>
          <w:sz w:val="22"/>
          <w:szCs w:val="22"/>
          <w:lang w:val="sr-Latn-ME"/>
        </w:rPr>
        <w:t>U ovoj studiji, stopa objektivnog odgovora iznosila je 36,5% (95% CI = 24,7%; 49,6%) i medijana TTP iznosila je 37,7 nedjelja (95% CI = 24,0; 46,4).</w:t>
      </w:r>
    </w:p>
    <w:p w:rsidR="00F0748A" w:rsidRPr="00D616DF" w:rsidRDefault="00F0748A" w:rsidP="00F0748A">
      <w:pPr>
        <w:tabs>
          <w:tab w:val="left" w:pos="426"/>
          <w:tab w:val="left" w:pos="540"/>
        </w:tabs>
        <w:jc w:val="both"/>
        <w:rPr>
          <w:sz w:val="22"/>
          <w:szCs w:val="22"/>
          <w:lang w:val="sr-Latn-ME"/>
        </w:rPr>
      </w:pPr>
    </w:p>
    <w:p w:rsidR="00F0748A" w:rsidRPr="00D616DF" w:rsidRDefault="00F0748A" w:rsidP="00F0748A">
      <w:pPr>
        <w:tabs>
          <w:tab w:val="left" w:pos="426"/>
          <w:tab w:val="left" w:pos="540"/>
        </w:tabs>
        <w:jc w:val="both"/>
        <w:rPr>
          <w:sz w:val="22"/>
          <w:szCs w:val="22"/>
          <w:lang w:val="sr-Latn-ME"/>
        </w:rPr>
      </w:pPr>
      <w:r w:rsidRPr="00D616DF">
        <w:rPr>
          <w:sz w:val="22"/>
          <w:szCs w:val="22"/>
          <w:lang w:val="sr-Latn-ME"/>
        </w:rPr>
        <w:t xml:space="preserve">Potvrdna, otvorena, multicentrična studija sa ispitanicima u jednoj grupi, koja je ispitivala efikasnost i bezbjednost sunitiniba, sprovedena je kod pacijenata sa MRCC refraktornim na citokine. Sto šest (106) pacijenata primalo je najmanje jednu dozu lijeka od 50 mg prema režimu 4/2. </w:t>
      </w:r>
    </w:p>
    <w:p w:rsidR="00F0748A" w:rsidRPr="00D616DF" w:rsidRDefault="00F0748A" w:rsidP="00F0748A">
      <w:pPr>
        <w:tabs>
          <w:tab w:val="left" w:pos="426"/>
          <w:tab w:val="left" w:pos="540"/>
        </w:tabs>
        <w:jc w:val="both"/>
        <w:rPr>
          <w:sz w:val="22"/>
          <w:szCs w:val="22"/>
          <w:lang w:val="sr-Latn-ME"/>
        </w:rPr>
      </w:pPr>
    </w:p>
    <w:p w:rsidR="00F0748A" w:rsidRPr="00D616DF" w:rsidRDefault="00F0748A" w:rsidP="00F0748A">
      <w:pPr>
        <w:tabs>
          <w:tab w:val="left" w:pos="426"/>
          <w:tab w:val="left" w:pos="540"/>
        </w:tabs>
        <w:jc w:val="both"/>
        <w:rPr>
          <w:sz w:val="22"/>
          <w:szCs w:val="22"/>
          <w:lang w:val="sr-Latn-ME"/>
        </w:rPr>
      </w:pPr>
      <w:r w:rsidRPr="00D616DF">
        <w:rPr>
          <w:sz w:val="22"/>
          <w:szCs w:val="22"/>
          <w:lang w:val="sr-Latn-ME"/>
        </w:rPr>
        <w:t xml:space="preserve">Primarni cilj efikasnosti u ovoj studiji bio je ORR. Sekundarni cilj uključio je TTP, trajanje odgovora (eng. </w:t>
      </w:r>
      <w:r w:rsidRPr="00D616DF">
        <w:rPr>
          <w:i/>
          <w:sz w:val="22"/>
          <w:szCs w:val="22"/>
          <w:lang w:val="sr-Latn-ME"/>
        </w:rPr>
        <w:t>Duration of Response</w:t>
      </w:r>
      <w:r w:rsidRPr="00D616DF">
        <w:rPr>
          <w:sz w:val="22"/>
          <w:szCs w:val="22"/>
          <w:lang w:val="sr-Latn-ME"/>
        </w:rPr>
        <w:t xml:space="preserve"> - DR) i OS. </w:t>
      </w:r>
    </w:p>
    <w:p w:rsidR="00F0748A" w:rsidRPr="00D616DF" w:rsidRDefault="00F0748A" w:rsidP="00F0748A">
      <w:pPr>
        <w:tabs>
          <w:tab w:val="left" w:pos="426"/>
          <w:tab w:val="left" w:pos="540"/>
        </w:tabs>
        <w:jc w:val="both"/>
        <w:rPr>
          <w:sz w:val="22"/>
          <w:szCs w:val="22"/>
          <w:lang w:val="sr-Latn-ME"/>
        </w:rPr>
      </w:pPr>
      <w:r w:rsidRPr="00D616DF">
        <w:rPr>
          <w:sz w:val="22"/>
          <w:szCs w:val="22"/>
          <w:lang w:val="sr-Latn-ME"/>
        </w:rPr>
        <w:t>U ovoj studiji, ORR je iznosio 35,8% (95% CI = 26,8%; 47,5%). Medijana DR i OS još nije bila postignuta.</w:t>
      </w:r>
    </w:p>
    <w:p w:rsidR="00F0748A" w:rsidRPr="00D616DF" w:rsidRDefault="00F0748A" w:rsidP="00F0748A">
      <w:pPr>
        <w:tabs>
          <w:tab w:val="left" w:pos="426"/>
          <w:tab w:val="left" w:pos="540"/>
        </w:tabs>
        <w:jc w:val="both"/>
        <w:rPr>
          <w:sz w:val="22"/>
          <w:szCs w:val="22"/>
          <w:lang w:val="sr-Latn-ME"/>
        </w:rPr>
      </w:pPr>
    </w:p>
    <w:p w:rsidR="00F0748A" w:rsidRPr="00D616DF" w:rsidRDefault="00F0748A" w:rsidP="00F0748A">
      <w:pPr>
        <w:tabs>
          <w:tab w:val="left" w:pos="426"/>
          <w:tab w:val="left" w:pos="540"/>
        </w:tabs>
        <w:jc w:val="both"/>
        <w:rPr>
          <w:i/>
          <w:sz w:val="22"/>
          <w:szCs w:val="22"/>
          <w:lang w:val="sr-Latn-ME"/>
        </w:rPr>
      </w:pPr>
      <w:r w:rsidRPr="00D616DF">
        <w:rPr>
          <w:i/>
          <w:sz w:val="22"/>
          <w:szCs w:val="22"/>
          <w:lang w:val="sr-Latn-ME"/>
        </w:rPr>
        <w:t>Neuroendokrini tumori pankreasa</w:t>
      </w:r>
    </w:p>
    <w:p w:rsidR="00F0748A" w:rsidRPr="00D616DF" w:rsidRDefault="00F0748A" w:rsidP="00F0748A">
      <w:pPr>
        <w:tabs>
          <w:tab w:val="left" w:pos="426"/>
          <w:tab w:val="left" w:pos="540"/>
        </w:tabs>
        <w:jc w:val="both"/>
        <w:rPr>
          <w:sz w:val="22"/>
          <w:szCs w:val="22"/>
          <w:lang w:val="sr-Latn-ME"/>
        </w:rPr>
      </w:pPr>
      <w:r w:rsidRPr="00D616DF">
        <w:rPr>
          <w:sz w:val="22"/>
          <w:szCs w:val="22"/>
          <w:lang w:val="sr-Latn-ME"/>
        </w:rPr>
        <w:t xml:space="preserve">U suportivnoj, otvorenoj, multicentričnoj studija faze II procjenjivala se efikasnost i bezbjednost sunitiniba, primijenjenog kao monoterapija u dozi od 50 mg dnevno prema režimu 4/2 kod pacijenata sa neoperabilnim pNET. U kohorti sa 66 pacijenata sa tumorom ostrvskih ćelija pankreasa, stopa primarnog odgovora iznosila je 17%. </w:t>
      </w:r>
    </w:p>
    <w:p w:rsidR="00F0748A" w:rsidRPr="00D616DF" w:rsidRDefault="00F0748A" w:rsidP="00F0748A">
      <w:pPr>
        <w:tabs>
          <w:tab w:val="left" w:pos="426"/>
          <w:tab w:val="left" w:pos="540"/>
        </w:tabs>
        <w:jc w:val="both"/>
        <w:rPr>
          <w:sz w:val="22"/>
          <w:szCs w:val="22"/>
          <w:lang w:val="sr-Latn-ME"/>
        </w:rPr>
      </w:pPr>
      <w:r w:rsidRPr="00D616DF">
        <w:rPr>
          <w:sz w:val="22"/>
          <w:szCs w:val="22"/>
          <w:lang w:val="sr-Latn-ME"/>
        </w:rPr>
        <w:lastRenderedPageBreak/>
        <w:t xml:space="preserve">Sprovedena je pivotalna, multicentrična, internacionalna, randomizovana, dvostruko slijepa, placebo kontrolisana studija faze III kod pacijenata sa neoperabilnim pNET primjenom sunitiniba u monoterapiji. </w:t>
      </w:r>
    </w:p>
    <w:p w:rsidR="00F0748A" w:rsidRPr="00D616DF" w:rsidRDefault="00F0748A" w:rsidP="00F0748A">
      <w:pPr>
        <w:tabs>
          <w:tab w:val="left" w:pos="426"/>
          <w:tab w:val="left" w:pos="540"/>
        </w:tabs>
        <w:jc w:val="both"/>
        <w:rPr>
          <w:sz w:val="22"/>
          <w:szCs w:val="22"/>
          <w:lang w:val="sr-Latn-ME"/>
        </w:rPr>
      </w:pPr>
    </w:p>
    <w:p w:rsidR="00F0748A" w:rsidRPr="00D616DF" w:rsidRDefault="00F0748A" w:rsidP="00F0748A">
      <w:pPr>
        <w:tabs>
          <w:tab w:val="left" w:pos="426"/>
          <w:tab w:val="left" w:pos="540"/>
        </w:tabs>
        <w:jc w:val="both"/>
        <w:rPr>
          <w:sz w:val="22"/>
          <w:szCs w:val="22"/>
          <w:lang w:val="sr-Latn-ME"/>
        </w:rPr>
      </w:pPr>
      <w:r w:rsidRPr="00D616DF">
        <w:rPr>
          <w:sz w:val="22"/>
          <w:szCs w:val="22"/>
          <w:lang w:val="sr-Latn-ME"/>
        </w:rPr>
        <w:t xml:space="preserve">Pacijenti su morali da imaju dokumentovane podatke o progresiji bolesti, na osnovu RECIST kriterijuma, u okviru proteklih 12 mjeseci, i randomizovani su (1:1) tako da primaju ili 37,5 mg sunitiniba jednom dnevno bez planiranog perioda odmora (N=86) ili da primaju placebo (N=85). </w:t>
      </w:r>
    </w:p>
    <w:p w:rsidR="00F0748A" w:rsidRPr="00D616DF" w:rsidRDefault="00F0748A" w:rsidP="00F0748A">
      <w:pPr>
        <w:tabs>
          <w:tab w:val="left" w:pos="426"/>
          <w:tab w:val="left" w:pos="540"/>
        </w:tabs>
        <w:jc w:val="both"/>
        <w:rPr>
          <w:sz w:val="22"/>
          <w:szCs w:val="22"/>
          <w:lang w:val="sr-Latn-ME"/>
        </w:rPr>
      </w:pPr>
    </w:p>
    <w:p w:rsidR="00F0748A" w:rsidRPr="00D616DF" w:rsidRDefault="00F0748A" w:rsidP="00F0748A">
      <w:pPr>
        <w:tabs>
          <w:tab w:val="left" w:pos="426"/>
          <w:tab w:val="left" w:pos="540"/>
        </w:tabs>
        <w:jc w:val="both"/>
        <w:rPr>
          <w:sz w:val="22"/>
          <w:szCs w:val="22"/>
          <w:lang w:val="sr-Latn-ME"/>
        </w:rPr>
      </w:pPr>
      <w:r w:rsidRPr="00D616DF">
        <w:rPr>
          <w:sz w:val="22"/>
          <w:szCs w:val="22"/>
          <w:lang w:val="sr-Latn-ME"/>
        </w:rPr>
        <w:t xml:space="preserve">Primarni cilj bio je poređenje PFS kod pacijenata koji su primali sunitinib u odnosu na pacijente koji su primali placebo. Ostali ciljevi uključivali su OS, ORR, ishode prijavljene od strane pacijenata (eng. </w:t>
      </w:r>
      <w:r w:rsidRPr="00D616DF">
        <w:rPr>
          <w:i/>
          <w:sz w:val="22"/>
          <w:szCs w:val="22"/>
          <w:lang w:val="sr-Latn-ME"/>
        </w:rPr>
        <w:t>Patient Reported Outcomes</w:t>
      </w:r>
      <w:r w:rsidRPr="00D616DF">
        <w:rPr>
          <w:sz w:val="22"/>
          <w:szCs w:val="22"/>
          <w:lang w:val="sr-Latn-ME"/>
        </w:rPr>
        <w:t xml:space="preserve"> - PRO) i bezbjednost. </w:t>
      </w:r>
    </w:p>
    <w:p w:rsidR="00F0748A" w:rsidRPr="00D616DF" w:rsidRDefault="00F0748A" w:rsidP="00F0748A">
      <w:pPr>
        <w:tabs>
          <w:tab w:val="left" w:pos="426"/>
          <w:tab w:val="left" w:pos="540"/>
        </w:tabs>
        <w:jc w:val="both"/>
        <w:rPr>
          <w:sz w:val="22"/>
          <w:szCs w:val="22"/>
          <w:lang w:val="sr-Latn-ME"/>
        </w:rPr>
      </w:pPr>
    </w:p>
    <w:p w:rsidR="00F0748A" w:rsidRPr="00D616DF" w:rsidRDefault="00F0748A" w:rsidP="00F0748A">
      <w:pPr>
        <w:tabs>
          <w:tab w:val="left" w:pos="426"/>
          <w:tab w:val="left" w:pos="540"/>
        </w:tabs>
        <w:jc w:val="both"/>
        <w:rPr>
          <w:sz w:val="22"/>
          <w:szCs w:val="22"/>
          <w:lang w:val="sr-Latn-ME"/>
        </w:rPr>
      </w:pPr>
      <w:r w:rsidRPr="00D616DF">
        <w:rPr>
          <w:sz w:val="22"/>
          <w:szCs w:val="22"/>
          <w:lang w:val="sr-Latn-ME"/>
        </w:rPr>
        <w:t xml:space="preserve">Demografski podaci između grupa pacijenata koji su primali sunitinib u odnosu na pacijente koji su primali placebo bili su slični. Dodatno, 49% pacijenata koji su primali sunitinib imali su nefunkcionalne tumore u odnosu na 52% pacijenata koji su primali placebo, a 92% pacijenata u obje grupe imalo je metastaze na jetri. </w:t>
      </w:r>
    </w:p>
    <w:p w:rsidR="00F0748A" w:rsidRPr="00D616DF" w:rsidRDefault="00F0748A" w:rsidP="00F0748A">
      <w:pPr>
        <w:tabs>
          <w:tab w:val="left" w:pos="426"/>
          <w:tab w:val="left" w:pos="540"/>
        </w:tabs>
        <w:jc w:val="both"/>
        <w:rPr>
          <w:sz w:val="22"/>
          <w:szCs w:val="22"/>
          <w:lang w:val="sr-Latn-ME"/>
        </w:rPr>
      </w:pPr>
    </w:p>
    <w:p w:rsidR="00F0748A" w:rsidRPr="00D616DF" w:rsidRDefault="00F0748A" w:rsidP="00F0748A">
      <w:pPr>
        <w:tabs>
          <w:tab w:val="left" w:pos="426"/>
          <w:tab w:val="left" w:pos="540"/>
        </w:tabs>
        <w:jc w:val="both"/>
        <w:rPr>
          <w:sz w:val="22"/>
          <w:szCs w:val="22"/>
          <w:lang w:val="sr-Latn-ME"/>
        </w:rPr>
      </w:pPr>
      <w:r w:rsidRPr="00D616DF">
        <w:rPr>
          <w:sz w:val="22"/>
          <w:szCs w:val="22"/>
          <w:lang w:val="sr-Latn-ME"/>
        </w:rPr>
        <w:t>Tokom ispitivanja bila je dozvoljena primjena analoga somatostatina.</w:t>
      </w:r>
    </w:p>
    <w:p w:rsidR="00F0748A" w:rsidRPr="00D616DF" w:rsidRDefault="00F0748A" w:rsidP="00F0748A">
      <w:pPr>
        <w:tabs>
          <w:tab w:val="left" w:pos="426"/>
          <w:tab w:val="left" w:pos="540"/>
        </w:tabs>
        <w:jc w:val="both"/>
        <w:rPr>
          <w:sz w:val="22"/>
          <w:szCs w:val="22"/>
          <w:lang w:val="sr-Latn-ME"/>
        </w:rPr>
      </w:pPr>
    </w:p>
    <w:p w:rsidR="00F0748A" w:rsidRPr="00D616DF" w:rsidRDefault="00F0748A" w:rsidP="00F0748A">
      <w:pPr>
        <w:tabs>
          <w:tab w:val="left" w:pos="426"/>
          <w:tab w:val="left" w:pos="540"/>
        </w:tabs>
        <w:jc w:val="both"/>
        <w:rPr>
          <w:sz w:val="22"/>
          <w:szCs w:val="22"/>
          <w:lang w:val="sr-Latn-ME"/>
        </w:rPr>
      </w:pPr>
      <w:r w:rsidRPr="00D616DF">
        <w:rPr>
          <w:sz w:val="22"/>
          <w:szCs w:val="22"/>
          <w:lang w:val="sr-Latn-ME"/>
        </w:rPr>
        <w:t xml:space="preserve">Ukupno 66% pacijenata koji su primali sunitinib prethodno su primali sistemsku terapiju, u poređenju sa 72% pacijenata koji su primali placebo. Dodatno, 24% pacijenata koji su primali sunitinib su primali analoge somatostatina, u poređenju sa 22% pacijenata koji su primali placebo. </w:t>
      </w:r>
    </w:p>
    <w:p w:rsidR="00F0748A" w:rsidRPr="00D616DF" w:rsidRDefault="00F0748A" w:rsidP="00F0748A">
      <w:pPr>
        <w:tabs>
          <w:tab w:val="left" w:pos="426"/>
          <w:tab w:val="left" w:pos="540"/>
        </w:tabs>
        <w:jc w:val="both"/>
        <w:rPr>
          <w:sz w:val="22"/>
          <w:szCs w:val="22"/>
          <w:lang w:val="sr-Latn-ME"/>
        </w:rPr>
      </w:pPr>
    </w:p>
    <w:p w:rsidR="00F0748A" w:rsidRPr="00D616DF" w:rsidRDefault="00F0748A" w:rsidP="00F0748A">
      <w:pPr>
        <w:tabs>
          <w:tab w:val="left" w:pos="426"/>
          <w:tab w:val="left" w:pos="540"/>
        </w:tabs>
        <w:jc w:val="both"/>
        <w:rPr>
          <w:sz w:val="22"/>
          <w:szCs w:val="22"/>
          <w:lang w:val="sr-Latn-ME"/>
        </w:rPr>
      </w:pPr>
      <w:r w:rsidRPr="00D616DF">
        <w:rPr>
          <w:sz w:val="22"/>
          <w:szCs w:val="22"/>
          <w:lang w:val="sr-Latn-ME"/>
        </w:rPr>
        <w:t>Zabilježena je klinički značajna prednost sunitiniba u poređenju sa placebom u PFS procijenjenog od strane istraživača. Medijana PFS iznosila je 11,4 mjeseca za grupu koja je primala sunitinib u poređenju sa 5,5 mjeseci za grupu koja je primala placebo [</w:t>
      </w:r>
      <w:r w:rsidRPr="00D616DF">
        <w:rPr>
          <w:i/>
          <w:sz w:val="22"/>
          <w:szCs w:val="22"/>
          <w:lang w:val="sr-Latn-ME"/>
        </w:rPr>
        <w:t>hazard ratio</w:t>
      </w:r>
      <w:r w:rsidRPr="00D616DF">
        <w:rPr>
          <w:sz w:val="22"/>
          <w:szCs w:val="22"/>
          <w:lang w:val="sr-Latn-ME"/>
        </w:rPr>
        <w:t>: 0,418 (95% CI: 0,263; 0,662), p-vrijednost =0,0001]; slični rezultati su zabilježeni kada su za utvrđivanje progresije bolesti korišćene izvedene procjene odgovora tumora, zasnovane na primjeni RECIST kriterijuma na mjerenja tumora od strane istraživača, kao što je pokazano u Tabeli 4.</w:t>
      </w:r>
    </w:p>
    <w:p w:rsidR="00F0748A" w:rsidRPr="00D616DF" w:rsidRDefault="00F0748A" w:rsidP="00F0748A">
      <w:pPr>
        <w:tabs>
          <w:tab w:val="left" w:pos="426"/>
          <w:tab w:val="left" w:pos="540"/>
        </w:tabs>
        <w:jc w:val="both"/>
        <w:rPr>
          <w:sz w:val="22"/>
          <w:szCs w:val="22"/>
          <w:lang w:val="sr-Latn-ME"/>
        </w:rPr>
      </w:pPr>
      <w:r w:rsidRPr="00D616DF">
        <w:rPr>
          <w:sz w:val="22"/>
          <w:szCs w:val="22"/>
          <w:lang w:val="sr-Latn-ME"/>
        </w:rPr>
        <w:t xml:space="preserve"> </w:t>
      </w:r>
    </w:p>
    <w:p w:rsidR="00F0748A" w:rsidRPr="00D616DF" w:rsidRDefault="00F0748A" w:rsidP="00F0748A">
      <w:pPr>
        <w:tabs>
          <w:tab w:val="left" w:pos="426"/>
          <w:tab w:val="left" w:pos="540"/>
        </w:tabs>
        <w:jc w:val="both"/>
        <w:rPr>
          <w:sz w:val="22"/>
          <w:szCs w:val="22"/>
          <w:lang w:val="sr-Latn-ME"/>
        </w:rPr>
      </w:pPr>
      <w:r w:rsidRPr="00D616DF">
        <w:rPr>
          <w:i/>
          <w:sz w:val="22"/>
          <w:szCs w:val="22"/>
          <w:lang w:val="sr-Latn-ME"/>
        </w:rPr>
        <w:t>Hazard ratio</w:t>
      </w:r>
      <w:r w:rsidRPr="00D616DF">
        <w:rPr>
          <w:sz w:val="22"/>
          <w:szCs w:val="22"/>
          <w:lang w:val="sr-Latn-ME"/>
        </w:rPr>
        <w:t xml:space="preserve"> (stopa rizika) u korist sunitiniba zabilježen je u svim podgrupama procjenjivanih osnovnih karakteristika, uključujući analizu prema broju prethodnih sistemskih terapija. Ukupno 29 pacijenata u grupi koja je primala sunitinib i 24 pacijenta u grupi koja je primala placebo nije prethodno primalo sistemsku terapiju; među ovim pacijentima stopa rizika za PFS iznosila je 0,365 (95% CI 0,156; 0,857), p=0,0156. Kod ukupno 57 pacijenata u grupi koja je primala sunitinib (uključujući 28 sa jednom prethodnom sistemskom terapijom i 29 sa 2 ili više prethodnih sistemskih terapija), kao i kod 61 pacijenta u grupi koja je primala placebo (uključujući 25 sa jednom prethodnom sistemskom terapijom i 36 sa 2 ili više prethodnih sistemskih terapija), stopa rizika za PFS iznosila je 0,456 (95% CI: 0,264; 0,787), p=0,0036.</w:t>
      </w:r>
    </w:p>
    <w:p w:rsidR="00F0748A" w:rsidRPr="00D616DF" w:rsidRDefault="00F0748A" w:rsidP="00F0748A">
      <w:pPr>
        <w:tabs>
          <w:tab w:val="left" w:pos="426"/>
          <w:tab w:val="left" w:pos="540"/>
        </w:tabs>
        <w:jc w:val="both"/>
        <w:rPr>
          <w:sz w:val="22"/>
          <w:szCs w:val="22"/>
          <w:lang w:val="sr-Latn-ME"/>
        </w:rPr>
      </w:pPr>
    </w:p>
    <w:p w:rsidR="00F0748A" w:rsidRPr="00D616DF" w:rsidRDefault="00F0748A" w:rsidP="00F0748A">
      <w:pPr>
        <w:tabs>
          <w:tab w:val="left" w:pos="426"/>
          <w:tab w:val="left" w:pos="540"/>
        </w:tabs>
        <w:jc w:val="both"/>
        <w:rPr>
          <w:sz w:val="22"/>
          <w:szCs w:val="22"/>
          <w:lang w:val="sr-Latn-ME"/>
        </w:rPr>
      </w:pPr>
      <w:r w:rsidRPr="00D616DF">
        <w:rPr>
          <w:sz w:val="22"/>
          <w:szCs w:val="22"/>
          <w:lang w:val="sr-Latn-ME"/>
        </w:rPr>
        <w:t xml:space="preserve">Analiza osjetljivosti PFS sprovedena je tamo gdje je progresija zasnovana na mjerenjima tumora koju je zabilježio istraživač i u kojoj su svi ispitanici pregledani iz razloga koji nemaju veze sa prekidom ispitivanja tretirani kao PFS događaji. Ova analiza pružila je konzervativnu procjenu terapijskog efekta sunitiniba i podržala je primarnu analizu, pokazujući </w:t>
      </w:r>
      <w:r w:rsidRPr="00D616DF">
        <w:rPr>
          <w:i/>
          <w:sz w:val="22"/>
          <w:szCs w:val="22"/>
          <w:lang w:val="sr-Latn-ME"/>
        </w:rPr>
        <w:t>hazard ratio</w:t>
      </w:r>
      <w:r w:rsidRPr="00D616DF">
        <w:rPr>
          <w:sz w:val="22"/>
          <w:szCs w:val="22"/>
          <w:lang w:val="sr-Latn-ME"/>
        </w:rPr>
        <w:t xml:space="preserve"> od 0,507 (95% CI: 0,350; 0,733), p=0,000193. Pivotalna pNET studija prije vremena je prekinuta po preporuci nezavisne Komisije za praćenje lijeka, a primarni cilj je zasnovan na procjeni istraživača. Oba ova elementa mogla su da utiču na procjenu terapijskog efekta. </w:t>
      </w:r>
    </w:p>
    <w:p w:rsidR="00F0748A" w:rsidRPr="00D616DF" w:rsidRDefault="00F0748A" w:rsidP="00F0748A">
      <w:pPr>
        <w:tabs>
          <w:tab w:val="left" w:pos="426"/>
          <w:tab w:val="left" w:pos="540"/>
        </w:tabs>
        <w:jc w:val="both"/>
        <w:rPr>
          <w:sz w:val="22"/>
          <w:szCs w:val="22"/>
          <w:lang w:val="sr-Latn-ME"/>
        </w:rPr>
      </w:pPr>
    </w:p>
    <w:p w:rsidR="00F0748A" w:rsidRDefault="00F0748A" w:rsidP="00F0748A">
      <w:pPr>
        <w:tabs>
          <w:tab w:val="left" w:pos="426"/>
          <w:tab w:val="left" w:pos="540"/>
        </w:tabs>
        <w:jc w:val="both"/>
        <w:rPr>
          <w:sz w:val="22"/>
          <w:szCs w:val="22"/>
          <w:lang w:val="sr-Latn-ME"/>
        </w:rPr>
      </w:pPr>
      <w:r w:rsidRPr="00D616DF">
        <w:rPr>
          <w:sz w:val="22"/>
          <w:szCs w:val="22"/>
          <w:lang w:val="sr-Latn-ME"/>
        </w:rPr>
        <w:t>Da bi se isključila pristrasnost u procjeni PFS od strane istraživača, sproveden je slijep, nezavisan, centralni pregled snimaka. Taj pregled je podržao procjene istraživača, kao što je prikazano u Tabeli 4.</w:t>
      </w:r>
    </w:p>
    <w:p w:rsidR="00386214" w:rsidRDefault="00386214" w:rsidP="00F0748A">
      <w:pPr>
        <w:tabs>
          <w:tab w:val="left" w:pos="426"/>
          <w:tab w:val="left" w:pos="540"/>
        </w:tabs>
        <w:jc w:val="both"/>
        <w:rPr>
          <w:sz w:val="22"/>
          <w:szCs w:val="22"/>
          <w:lang w:val="sr-Latn-ME"/>
        </w:rPr>
      </w:pPr>
    </w:p>
    <w:p w:rsidR="00386214" w:rsidRDefault="00386214" w:rsidP="00F0748A">
      <w:pPr>
        <w:tabs>
          <w:tab w:val="left" w:pos="426"/>
          <w:tab w:val="left" w:pos="540"/>
        </w:tabs>
        <w:jc w:val="both"/>
        <w:rPr>
          <w:sz w:val="22"/>
          <w:szCs w:val="22"/>
          <w:lang w:val="sr-Latn-ME"/>
        </w:rPr>
      </w:pPr>
    </w:p>
    <w:p w:rsidR="00386214" w:rsidRDefault="00386214" w:rsidP="00F0748A">
      <w:pPr>
        <w:tabs>
          <w:tab w:val="left" w:pos="426"/>
          <w:tab w:val="left" w:pos="540"/>
        </w:tabs>
        <w:jc w:val="both"/>
        <w:rPr>
          <w:sz w:val="22"/>
          <w:szCs w:val="22"/>
          <w:lang w:val="sr-Latn-ME"/>
        </w:rPr>
      </w:pPr>
    </w:p>
    <w:p w:rsidR="00386214" w:rsidRDefault="00386214" w:rsidP="00F0748A">
      <w:pPr>
        <w:tabs>
          <w:tab w:val="left" w:pos="426"/>
          <w:tab w:val="left" w:pos="540"/>
        </w:tabs>
        <w:jc w:val="both"/>
        <w:rPr>
          <w:sz w:val="22"/>
          <w:szCs w:val="22"/>
          <w:lang w:val="sr-Latn-ME"/>
        </w:rPr>
      </w:pPr>
    </w:p>
    <w:p w:rsidR="00386214" w:rsidRDefault="00386214" w:rsidP="00F0748A">
      <w:pPr>
        <w:tabs>
          <w:tab w:val="left" w:pos="426"/>
          <w:tab w:val="left" w:pos="540"/>
        </w:tabs>
        <w:jc w:val="both"/>
        <w:rPr>
          <w:sz w:val="22"/>
          <w:szCs w:val="22"/>
          <w:lang w:val="sr-Latn-ME"/>
        </w:rPr>
      </w:pPr>
    </w:p>
    <w:p w:rsidR="00386214" w:rsidRPr="00D616DF" w:rsidRDefault="00386214" w:rsidP="00F0748A">
      <w:pPr>
        <w:tabs>
          <w:tab w:val="left" w:pos="426"/>
          <w:tab w:val="left" w:pos="540"/>
        </w:tabs>
        <w:jc w:val="both"/>
        <w:rPr>
          <w:sz w:val="22"/>
          <w:szCs w:val="22"/>
          <w:lang w:val="sr-Latn-ME"/>
        </w:rPr>
      </w:pPr>
    </w:p>
    <w:p w:rsidR="0079393F" w:rsidRPr="00D616DF" w:rsidRDefault="0079393F" w:rsidP="0079393F">
      <w:pPr>
        <w:tabs>
          <w:tab w:val="left" w:pos="426"/>
          <w:tab w:val="left" w:pos="540"/>
        </w:tabs>
        <w:jc w:val="both"/>
        <w:rPr>
          <w:sz w:val="22"/>
          <w:szCs w:val="22"/>
          <w:lang w:val="sr-Latn-ME"/>
        </w:rPr>
      </w:pPr>
    </w:p>
    <w:p w:rsidR="00466BAC" w:rsidRDefault="00F0748A" w:rsidP="00480FB1">
      <w:pPr>
        <w:tabs>
          <w:tab w:val="left" w:pos="540"/>
          <w:tab w:val="left" w:pos="569"/>
        </w:tabs>
        <w:rPr>
          <w:b/>
          <w:bCs/>
          <w:sz w:val="22"/>
          <w:szCs w:val="22"/>
          <w:lang w:val="sr-Latn-ME"/>
        </w:rPr>
      </w:pPr>
      <w:r w:rsidRPr="00F0748A">
        <w:rPr>
          <w:b/>
          <w:bCs/>
          <w:sz w:val="22"/>
          <w:szCs w:val="22"/>
          <w:lang w:val="sr-Latn-ME"/>
        </w:rPr>
        <w:lastRenderedPageBreak/>
        <w:t>Tabela 4 - Rezultati u pogledu efikasnosti iz pNET studije faze III</w:t>
      </w:r>
    </w:p>
    <w:tbl>
      <w:tblPr>
        <w:tblStyle w:val="TableGrid"/>
        <w:tblW w:w="0" w:type="auto"/>
        <w:tblLook w:val="04A0" w:firstRow="1" w:lastRow="0" w:firstColumn="1" w:lastColumn="0" w:noHBand="0" w:noVBand="1"/>
      </w:tblPr>
      <w:tblGrid>
        <w:gridCol w:w="2767"/>
        <w:gridCol w:w="1408"/>
        <w:gridCol w:w="1350"/>
        <w:gridCol w:w="1836"/>
        <w:gridCol w:w="1843"/>
      </w:tblGrid>
      <w:tr w:rsidR="00F0748A" w:rsidRPr="00D616DF" w:rsidTr="00F0748A">
        <w:tc>
          <w:tcPr>
            <w:tcW w:w="2767" w:type="dxa"/>
          </w:tcPr>
          <w:p w:rsidR="00F0748A" w:rsidRPr="00D616DF" w:rsidRDefault="00F0748A" w:rsidP="00354CB8">
            <w:pPr>
              <w:tabs>
                <w:tab w:val="left" w:pos="426"/>
                <w:tab w:val="left" w:pos="540"/>
              </w:tabs>
              <w:rPr>
                <w:b/>
                <w:sz w:val="22"/>
                <w:szCs w:val="22"/>
                <w:lang w:val="sr-Latn-ME"/>
              </w:rPr>
            </w:pPr>
            <w:r w:rsidRPr="00D616DF">
              <w:rPr>
                <w:b/>
                <w:sz w:val="22"/>
                <w:szCs w:val="22"/>
                <w:lang w:val="sr-Latn-ME"/>
              </w:rPr>
              <w:t>Parametar efikasnosti</w:t>
            </w:r>
          </w:p>
        </w:tc>
        <w:tc>
          <w:tcPr>
            <w:tcW w:w="1408" w:type="dxa"/>
          </w:tcPr>
          <w:p w:rsidR="00F0748A" w:rsidRPr="00D616DF" w:rsidRDefault="00F0748A" w:rsidP="00354CB8">
            <w:pPr>
              <w:tabs>
                <w:tab w:val="left" w:pos="426"/>
                <w:tab w:val="left" w:pos="540"/>
              </w:tabs>
              <w:jc w:val="center"/>
              <w:rPr>
                <w:b/>
                <w:sz w:val="22"/>
                <w:szCs w:val="22"/>
                <w:lang w:val="sr-Latn-ME"/>
              </w:rPr>
            </w:pPr>
            <w:r w:rsidRPr="00D616DF">
              <w:rPr>
                <w:b/>
                <w:sz w:val="22"/>
                <w:szCs w:val="22"/>
                <w:lang w:val="sr-Latn-ME"/>
              </w:rPr>
              <w:t>Sunitinib (N=86)</w:t>
            </w:r>
          </w:p>
        </w:tc>
        <w:tc>
          <w:tcPr>
            <w:tcW w:w="1350" w:type="dxa"/>
          </w:tcPr>
          <w:p w:rsidR="00F0748A" w:rsidRPr="00D616DF" w:rsidRDefault="00F0748A" w:rsidP="00354CB8">
            <w:pPr>
              <w:tabs>
                <w:tab w:val="left" w:pos="426"/>
                <w:tab w:val="left" w:pos="540"/>
              </w:tabs>
              <w:jc w:val="center"/>
              <w:rPr>
                <w:b/>
                <w:sz w:val="22"/>
                <w:szCs w:val="22"/>
                <w:lang w:val="sr-Latn-ME"/>
              </w:rPr>
            </w:pPr>
            <w:r w:rsidRPr="00D616DF">
              <w:rPr>
                <w:b/>
                <w:sz w:val="22"/>
                <w:szCs w:val="22"/>
                <w:lang w:val="sr-Latn-ME"/>
              </w:rPr>
              <w:t>Placebo (N=85)</w:t>
            </w:r>
          </w:p>
        </w:tc>
        <w:tc>
          <w:tcPr>
            <w:tcW w:w="1836" w:type="dxa"/>
          </w:tcPr>
          <w:p w:rsidR="00F0748A" w:rsidRPr="00D616DF" w:rsidRDefault="00F0748A" w:rsidP="00354CB8">
            <w:pPr>
              <w:tabs>
                <w:tab w:val="left" w:pos="426"/>
                <w:tab w:val="left" w:pos="540"/>
              </w:tabs>
              <w:jc w:val="center"/>
              <w:rPr>
                <w:b/>
                <w:sz w:val="22"/>
                <w:szCs w:val="22"/>
                <w:lang w:val="sr-Latn-ME"/>
              </w:rPr>
            </w:pPr>
            <w:r w:rsidRPr="00D616DF">
              <w:rPr>
                <w:b/>
                <w:sz w:val="22"/>
                <w:szCs w:val="22"/>
                <w:lang w:val="sr-Latn-ME"/>
              </w:rPr>
              <w:t xml:space="preserve">Odnos </w:t>
            </w:r>
            <w:r w:rsidR="002745B0">
              <w:rPr>
                <w:b/>
                <w:sz w:val="22"/>
                <w:szCs w:val="22"/>
                <w:lang w:val="sr-Latn-ME"/>
              </w:rPr>
              <w:t xml:space="preserve">stope </w:t>
            </w:r>
            <w:r w:rsidRPr="00D616DF">
              <w:rPr>
                <w:b/>
                <w:sz w:val="22"/>
                <w:szCs w:val="22"/>
                <w:lang w:val="sr-Latn-ME"/>
              </w:rPr>
              <w:t>rizika (</w:t>
            </w:r>
            <w:r w:rsidRPr="00D616DF">
              <w:rPr>
                <w:b/>
                <w:i/>
                <w:sz w:val="22"/>
                <w:szCs w:val="22"/>
                <w:lang w:val="sr-Latn-ME"/>
              </w:rPr>
              <w:t>Hazard Ratio</w:t>
            </w:r>
            <w:r w:rsidRPr="00D616DF">
              <w:rPr>
                <w:b/>
                <w:sz w:val="22"/>
                <w:szCs w:val="22"/>
                <w:lang w:val="sr-Latn-ME"/>
              </w:rPr>
              <w:t>) (95% CI)</w:t>
            </w:r>
          </w:p>
        </w:tc>
        <w:tc>
          <w:tcPr>
            <w:tcW w:w="1843" w:type="dxa"/>
          </w:tcPr>
          <w:p w:rsidR="00F0748A" w:rsidRPr="00D616DF" w:rsidRDefault="00F0748A" w:rsidP="00354CB8">
            <w:pPr>
              <w:tabs>
                <w:tab w:val="left" w:pos="426"/>
                <w:tab w:val="left" w:pos="540"/>
              </w:tabs>
              <w:jc w:val="center"/>
              <w:rPr>
                <w:b/>
                <w:sz w:val="22"/>
                <w:szCs w:val="22"/>
                <w:lang w:val="sr-Latn-ME"/>
              </w:rPr>
            </w:pPr>
            <w:r w:rsidRPr="00D616DF">
              <w:rPr>
                <w:b/>
                <w:sz w:val="22"/>
                <w:szCs w:val="22"/>
                <w:lang w:val="sr-Latn-ME"/>
              </w:rPr>
              <w:t>p-vrijednost</w:t>
            </w:r>
          </w:p>
        </w:tc>
      </w:tr>
      <w:tr w:rsidR="00F0748A" w:rsidRPr="00D616DF" w:rsidTr="00F0748A">
        <w:tc>
          <w:tcPr>
            <w:tcW w:w="2767" w:type="dxa"/>
          </w:tcPr>
          <w:p w:rsidR="00F0748A" w:rsidRPr="00D616DF" w:rsidRDefault="00F0748A" w:rsidP="00354CB8">
            <w:pPr>
              <w:tabs>
                <w:tab w:val="left" w:pos="426"/>
                <w:tab w:val="left" w:pos="540"/>
              </w:tabs>
              <w:rPr>
                <w:b/>
                <w:sz w:val="22"/>
                <w:szCs w:val="22"/>
                <w:lang w:val="sr-Latn-ME"/>
              </w:rPr>
            </w:pPr>
            <w:r w:rsidRPr="00D616DF">
              <w:rPr>
                <w:sz w:val="22"/>
                <w:szCs w:val="22"/>
                <w:lang w:val="sr-Latn-ME"/>
              </w:rPr>
              <w:t>Preživljavanje bez progresije bolesti [medijana, mjeseci (95% CI)] na osnovu procjene od strane istraživača</w:t>
            </w:r>
          </w:p>
        </w:tc>
        <w:tc>
          <w:tcPr>
            <w:tcW w:w="1408" w:type="dxa"/>
            <w:vAlign w:val="center"/>
          </w:tcPr>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11,4</w:t>
            </w:r>
          </w:p>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(7,4; 19,8)</w:t>
            </w:r>
          </w:p>
        </w:tc>
        <w:tc>
          <w:tcPr>
            <w:tcW w:w="1350" w:type="dxa"/>
            <w:vAlign w:val="center"/>
          </w:tcPr>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 xml:space="preserve">5,5 </w:t>
            </w:r>
          </w:p>
          <w:p w:rsidR="00F0748A" w:rsidRPr="00D616DF" w:rsidRDefault="00F0748A" w:rsidP="00354CB8">
            <w:pPr>
              <w:tabs>
                <w:tab w:val="left" w:pos="426"/>
                <w:tab w:val="left" w:pos="540"/>
              </w:tabs>
              <w:jc w:val="center"/>
              <w:rPr>
                <w:b/>
                <w:sz w:val="22"/>
                <w:szCs w:val="22"/>
                <w:lang w:val="sr-Latn-ME"/>
              </w:rPr>
            </w:pPr>
            <w:r w:rsidRPr="00D616DF">
              <w:rPr>
                <w:sz w:val="22"/>
                <w:szCs w:val="22"/>
                <w:lang w:val="sr-Latn-ME"/>
              </w:rPr>
              <w:t>(3,6; 7,4)</w:t>
            </w:r>
          </w:p>
        </w:tc>
        <w:tc>
          <w:tcPr>
            <w:tcW w:w="1836" w:type="dxa"/>
            <w:vAlign w:val="center"/>
          </w:tcPr>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 xml:space="preserve">0,418 </w:t>
            </w:r>
          </w:p>
          <w:p w:rsidR="00F0748A" w:rsidRPr="00D616DF" w:rsidRDefault="00F0748A" w:rsidP="00354CB8">
            <w:pPr>
              <w:tabs>
                <w:tab w:val="left" w:pos="426"/>
                <w:tab w:val="left" w:pos="540"/>
              </w:tabs>
              <w:jc w:val="center"/>
              <w:rPr>
                <w:b/>
                <w:sz w:val="22"/>
                <w:szCs w:val="22"/>
                <w:lang w:val="sr-Latn-ME"/>
              </w:rPr>
            </w:pPr>
            <w:r w:rsidRPr="00D616DF">
              <w:rPr>
                <w:sz w:val="22"/>
                <w:szCs w:val="22"/>
                <w:lang w:val="sr-Latn-ME"/>
              </w:rPr>
              <w:t>(0,263; 0,662)</w:t>
            </w:r>
          </w:p>
        </w:tc>
        <w:tc>
          <w:tcPr>
            <w:tcW w:w="1843" w:type="dxa"/>
            <w:vAlign w:val="center"/>
          </w:tcPr>
          <w:p w:rsidR="00F0748A" w:rsidRPr="00D616DF" w:rsidRDefault="00F0748A" w:rsidP="00354CB8">
            <w:pPr>
              <w:tabs>
                <w:tab w:val="left" w:pos="426"/>
                <w:tab w:val="left" w:pos="540"/>
              </w:tabs>
              <w:jc w:val="center"/>
              <w:rPr>
                <w:b/>
                <w:sz w:val="22"/>
                <w:szCs w:val="22"/>
                <w:lang w:val="sr-Latn-ME"/>
              </w:rPr>
            </w:pPr>
            <w:r w:rsidRPr="00D616DF">
              <w:rPr>
                <w:sz w:val="22"/>
                <w:szCs w:val="22"/>
                <w:lang w:val="sr-Latn-ME"/>
              </w:rPr>
              <w:t>0,0001</w:t>
            </w:r>
            <w:r w:rsidRPr="00D616DF">
              <w:rPr>
                <w:sz w:val="22"/>
                <w:szCs w:val="22"/>
                <w:vertAlign w:val="superscript"/>
                <w:lang w:val="sr-Latn-ME"/>
              </w:rPr>
              <w:t>a</w:t>
            </w:r>
          </w:p>
        </w:tc>
      </w:tr>
      <w:tr w:rsidR="00F0748A" w:rsidRPr="00D616DF" w:rsidTr="00F0748A">
        <w:tc>
          <w:tcPr>
            <w:tcW w:w="2767" w:type="dxa"/>
          </w:tcPr>
          <w:p w:rsidR="00F0748A" w:rsidRPr="00D616DF" w:rsidRDefault="00F0748A" w:rsidP="00354CB8">
            <w:pPr>
              <w:tabs>
                <w:tab w:val="left" w:pos="426"/>
                <w:tab w:val="left" w:pos="540"/>
              </w:tabs>
              <w:rPr>
                <w:b/>
                <w:sz w:val="22"/>
                <w:szCs w:val="22"/>
                <w:lang w:val="sr-Latn-ME"/>
              </w:rPr>
            </w:pPr>
            <w:r w:rsidRPr="00D616DF">
              <w:rPr>
                <w:sz w:val="22"/>
                <w:szCs w:val="22"/>
                <w:lang w:val="sr-Latn-ME"/>
              </w:rPr>
              <w:t>Preživljavanje bez progresije bolesti [medijana, mjeseci (95% CI)] na osnovu izvedene procjene odgovora tumora zasnovane na primjeni RECIST kriterijuma na mjerenja tumora od strane istraživača</w:t>
            </w:r>
          </w:p>
        </w:tc>
        <w:tc>
          <w:tcPr>
            <w:tcW w:w="1408" w:type="dxa"/>
            <w:vAlign w:val="center"/>
          </w:tcPr>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 xml:space="preserve">12,6 </w:t>
            </w:r>
          </w:p>
          <w:p w:rsidR="00F0748A" w:rsidRPr="00D616DF" w:rsidRDefault="00F0748A" w:rsidP="00354CB8">
            <w:pPr>
              <w:tabs>
                <w:tab w:val="left" w:pos="426"/>
                <w:tab w:val="left" w:pos="540"/>
              </w:tabs>
              <w:jc w:val="center"/>
              <w:rPr>
                <w:b/>
                <w:sz w:val="22"/>
                <w:szCs w:val="22"/>
                <w:lang w:val="sr-Latn-ME"/>
              </w:rPr>
            </w:pPr>
            <w:r w:rsidRPr="00D616DF">
              <w:rPr>
                <w:sz w:val="22"/>
                <w:szCs w:val="22"/>
                <w:lang w:val="sr-Latn-ME"/>
              </w:rPr>
              <w:t>(7,4; 16,9)</w:t>
            </w:r>
          </w:p>
        </w:tc>
        <w:tc>
          <w:tcPr>
            <w:tcW w:w="1350" w:type="dxa"/>
            <w:vAlign w:val="center"/>
          </w:tcPr>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 xml:space="preserve">5,4 </w:t>
            </w:r>
          </w:p>
          <w:p w:rsidR="00F0748A" w:rsidRPr="00D616DF" w:rsidRDefault="00F0748A" w:rsidP="00354CB8">
            <w:pPr>
              <w:tabs>
                <w:tab w:val="left" w:pos="426"/>
                <w:tab w:val="left" w:pos="540"/>
              </w:tabs>
              <w:jc w:val="center"/>
              <w:rPr>
                <w:b/>
                <w:sz w:val="22"/>
                <w:szCs w:val="22"/>
                <w:lang w:val="sr-Latn-ME"/>
              </w:rPr>
            </w:pPr>
            <w:r w:rsidRPr="00D616DF">
              <w:rPr>
                <w:sz w:val="22"/>
                <w:szCs w:val="22"/>
                <w:lang w:val="sr-Latn-ME"/>
              </w:rPr>
              <w:t>(3,5; 6,0)</w:t>
            </w:r>
          </w:p>
        </w:tc>
        <w:tc>
          <w:tcPr>
            <w:tcW w:w="1836" w:type="dxa"/>
            <w:vAlign w:val="center"/>
          </w:tcPr>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 xml:space="preserve">0,401 </w:t>
            </w:r>
          </w:p>
          <w:p w:rsidR="00F0748A" w:rsidRPr="00D616DF" w:rsidRDefault="00F0748A" w:rsidP="00354CB8">
            <w:pPr>
              <w:tabs>
                <w:tab w:val="left" w:pos="426"/>
                <w:tab w:val="left" w:pos="540"/>
              </w:tabs>
              <w:jc w:val="center"/>
              <w:rPr>
                <w:b/>
                <w:sz w:val="22"/>
                <w:szCs w:val="22"/>
                <w:lang w:val="sr-Latn-ME"/>
              </w:rPr>
            </w:pPr>
            <w:r w:rsidRPr="00D616DF">
              <w:rPr>
                <w:sz w:val="22"/>
                <w:szCs w:val="22"/>
                <w:lang w:val="sr-Latn-ME"/>
              </w:rPr>
              <w:t>(0,252; 0,640)</w:t>
            </w:r>
          </w:p>
        </w:tc>
        <w:tc>
          <w:tcPr>
            <w:tcW w:w="1843" w:type="dxa"/>
            <w:vAlign w:val="center"/>
          </w:tcPr>
          <w:p w:rsidR="00F0748A" w:rsidRPr="00D616DF" w:rsidRDefault="00F0748A" w:rsidP="00354CB8">
            <w:pPr>
              <w:tabs>
                <w:tab w:val="left" w:pos="426"/>
                <w:tab w:val="left" w:pos="540"/>
              </w:tabs>
              <w:jc w:val="center"/>
              <w:rPr>
                <w:b/>
                <w:sz w:val="22"/>
                <w:szCs w:val="22"/>
                <w:lang w:val="sr-Latn-ME"/>
              </w:rPr>
            </w:pPr>
            <w:r w:rsidRPr="00D616DF">
              <w:rPr>
                <w:sz w:val="22"/>
                <w:szCs w:val="22"/>
                <w:lang w:val="sr-Latn-ME"/>
              </w:rPr>
              <w:t>0,000066</w:t>
            </w:r>
            <w:r w:rsidRPr="00D616DF">
              <w:rPr>
                <w:sz w:val="22"/>
                <w:szCs w:val="22"/>
                <w:vertAlign w:val="superscript"/>
                <w:lang w:val="sr-Latn-ME"/>
              </w:rPr>
              <w:t>a</w:t>
            </w:r>
          </w:p>
        </w:tc>
      </w:tr>
      <w:tr w:rsidR="00F0748A" w:rsidRPr="00D616DF" w:rsidTr="00F0748A">
        <w:tc>
          <w:tcPr>
            <w:tcW w:w="2767" w:type="dxa"/>
          </w:tcPr>
          <w:p w:rsidR="00F0748A" w:rsidRPr="00D616DF" w:rsidRDefault="00F0748A" w:rsidP="00354CB8">
            <w:pPr>
              <w:tabs>
                <w:tab w:val="left" w:pos="426"/>
                <w:tab w:val="left" w:pos="540"/>
              </w:tabs>
              <w:rPr>
                <w:b/>
                <w:sz w:val="22"/>
                <w:szCs w:val="22"/>
                <w:lang w:val="sr-Latn-ME"/>
              </w:rPr>
            </w:pPr>
            <w:r w:rsidRPr="00D616DF">
              <w:rPr>
                <w:sz w:val="22"/>
                <w:szCs w:val="22"/>
                <w:lang w:val="sr-Latn-ME"/>
              </w:rPr>
              <w:t>Preživljavanje bez progresije bolesti [medijana, mjeseci (95% CI)] na osnovu slijepog, nezavisnog, centralnog pregleda procjene tumora</w:t>
            </w:r>
          </w:p>
        </w:tc>
        <w:tc>
          <w:tcPr>
            <w:tcW w:w="1408" w:type="dxa"/>
            <w:vAlign w:val="center"/>
          </w:tcPr>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 xml:space="preserve">12,6 </w:t>
            </w:r>
          </w:p>
          <w:p w:rsidR="00F0748A" w:rsidRPr="00D616DF" w:rsidRDefault="00F0748A" w:rsidP="00354CB8">
            <w:pPr>
              <w:tabs>
                <w:tab w:val="left" w:pos="426"/>
                <w:tab w:val="left" w:pos="540"/>
              </w:tabs>
              <w:jc w:val="center"/>
              <w:rPr>
                <w:b/>
                <w:sz w:val="22"/>
                <w:szCs w:val="22"/>
                <w:lang w:val="sr-Latn-ME"/>
              </w:rPr>
            </w:pPr>
            <w:r w:rsidRPr="00D616DF">
              <w:rPr>
                <w:sz w:val="22"/>
                <w:szCs w:val="22"/>
                <w:lang w:val="sr-Latn-ME"/>
              </w:rPr>
              <w:t>(11,1; 20,6)</w:t>
            </w:r>
          </w:p>
        </w:tc>
        <w:tc>
          <w:tcPr>
            <w:tcW w:w="1350" w:type="dxa"/>
            <w:vAlign w:val="center"/>
          </w:tcPr>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 xml:space="preserve">5,8 </w:t>
            </w:r>
          </w:p>
          <w:p w:rsidR="00F0748A" w:rsidRPr="00D616DF" w:rsidRDefault="00F0748A" w:rsidP="00354CB8">
            <w:pPr>
              <w:tabs>
                <w:tab w:val="left" w:pos="426"/>
                <w:tab w:val="left" w:pos="540"/>
              </w:tabs>
              <w:jc w:val="center"/>
              <w:rPr>
                <w:b/>
                <w:sz w:val="22"/>
                <w:szCs w:val="22"/>
                <w:lang w:val="sr-Latn-ME"/>
              </w:rPr>
            </w:pPr>
            <w:r w:rsidRPr="00D616DF">
              <w:rPr>
                <w:sz w:val="22"/>
                <w:szCs w:val="22"/>
                <w:lang w:val="sr-Latn-ME"/>
              </w:rPr>
              <w:t>(3,8; 7,2)</w:t>
            </w:r>
          </w:p>
        </w:tc>
        <w:tc>
          <w:tcPr>
            <w:tcW w:w="1836" w:type="dxa"/>
            <w:vAlign w:val="center"/>
          </w:tcPr>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 xml:space="preserve">0,315 </w:t>
            </w:r>
          </w:p>
          <w:p w:rsidR="00F0748A" w:rsidRPr="00D616DF" w:rsidRDefault="00F0748A" w:rsidP="00354CB8">
            <w:pPr>
              <w:tabs>
                <w:tab w:val="left" w:pos="426"/>
                <w:tab w:val="left" w:pos="540"/>
              </w:tabs>
              <w:jc w:val="center"/>
              <w:rPr>
                <w:b/>
                <w:sz w:val="22"/>
                <w:szCs w:val="22"/>
                <w:lang w:val="sr-Latn-ME"/>
              </w:rPr>
            </w:pPr>
            <w:r w:rsidRPr="00D616DF">
              <w:rPr>
                <w:sz w:val="22"/>
                <w:szCs w:val="22"/>
                <w:lang w:val="sr-Latn-ME"/>
              </w:rPr>
              <w:t>(0,181; 0,546)</w:t>
            </w:r>
          </w:p>
        </w:tc>
        <w:tc>
          <w:tcPr>
            <w:tcW w:w="1843" w:type="dxa"/>
            <w:vAlign w:val="center"/>
          </w:tcPr>
          <w:p w:rsidR="00F0748A" w:rsidRPr="00D616DF" w:rsidRDefault="00F0748A" w:rsidP="00354CB8">
            <w:pPr>
              <w:tabs>
                <w:tab w:val="left" w:pos="426"/>
                <w:tab w:val="left" w:pos="540"/>
              </w:tabs>
              <w:jc w:val="center"/>
              <w:rPr>
                <w:b/>
                <w:sz w:val="22"/>
                <w:szCs w:val="22"/>
                <w:lang w:val="sr-Latn-ME"/>
              </w:rPr>
            </w:pPr>
            <w:r w:rsidRPr="00D616DF">
              <w:rPr>
                <w:sz w:val="22"/>
                <w:szCs w:val="22"/>
                <w:lang w:val="sr-Latn-ME"/>
              </w:rPr>
              <w:t>0,000015</w:t>
            </w:r>
            <w:r w:rsidRPr="00D616DF">
              <w:rPr>
                <w:sz w:val="22"/>
                <w:szCs w:val="22"/>
                <w:vertAlign w:val="superscript"/>
                <w:lang w:val="sr-Latn-ME"/>
              </w:rPr>
              <w:t>a</w:t>
            </w:r>
          </w:p>
        </w:tc>
      </w:tr>
      <w:tr w:rsidR="00F0748A" w:rsidRPr="00D616DF" w:rsidTr="00F0748A">
        <w:tc>
          <w:tcPr>
            <w:tcW w:w="2767" w:type="dxa"/>
          </w:tcPr>
          <w:p w:rsidR="00F0748A" w:rsidRPr="00D616DF" w:rsidRDefault="00F0748A" w:rsidP="00354CB8">
            <w:pPr>
              <w:tabs>
                <w:tab w:val="left" w:pos="426"/>
                <w:tab w:val="left" w:pos="540"/>
              </w:tabs>
              <w:rPr>
                <w:b/>
                <w:sz w:val="22"/>
                <w:szCs w:val="22"/>
                <w:lang w:val="sr-Latn-ME"/>
              </w:rPr>
            </w:pPr>
            <w:r w:rsidRPr="00D616DF">
              <w:rPr>
                <w:sz w:val="22"/>
                <w:szCs w:val="22"/>
                <w:lang w:val="sr-Latn-ME"/>
              </w:rPr>
              <w:t>Ukupno preživljavanje [nakon 5 godina praćenja] [medijana, mjeseci (95% CI)]</w:t>
            </w:r>
          </w:p>
        </w:tc>
        <w:tc>
          <w:tcPr>
            <w:tcW w:w="1408" w:type="dxa"/>
            <w:vAlign w:val="center"/>
          </w:tcPr>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 xml:space="preserve">38,6 </w:t>
            </w:r>
          </w:p>
          <w:p w:rsidR="00F0748A" w:rsidRPr="00D616DF" w:rsidRDefault="00F0748A" w:rsidP="00354CB8">
            <w:pPr>
              <w:tabs>
                <w:tab w:val="left" w:pos="426"/>
                <w:tab w:val="left" w:pos="540"/>
              </w:tabs>
              <w:jc w:val="center"/>
              <w:rPr>
                <w:b/>
                <w:sz w:val="22"/>
                <w:szCs w:val="22"/>
                <w:lang w:val="sr-Latn-ME"/>
              </w:rPr>
            </w:pPr>
            <w:r w:rsidRPr="00D616DF">
              <w:rPr>
                <w:sz w:val="22"/>
                <w:szCs w:val="22"/>
                <w:lang w:val="sr-Latn-ME"/>
              </w:rPr>
              <w:t>(25,6; 56,4)</w:t>
            </w:r>
          </w:p>
        </w:tc>
        <w:tc>
          <w:tcPr>
            <w:tcW w:w="1350" w:type="dxa"/>
            <w:vAlign w:val="center"/>
          </w:tcPr>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 xml:space="preserve">29,1 </w:t>
            </w:r>
          </w:p>
          <w:p w:rsidR="00F0748A" w:rsidRPr="00D616DF" w:rsidRDefault="00F0748A" w:rsidP="00354CB8">
            <w:pPr>
              <w:tabs>
                <w:tab w:val="left" w:pos="426"/>
                <w:tab w:val="left" w:pos="540"/>
              </w:tabs>
              <w:jc w:val="center"/>
              <w:rPr>
                <w:b/>
                <w:sz w:val="22"/>
                <w:szCs w:val="22"/>
                <w:lang w:val="sr-Latn-ME"/>
              </w:rPr>
            </w:pPr>
            <w:r w:rsidRPr="00D616DF">
              <w:rPr>
                <w:sz w:val="22"/>
                <w:szCs w:val="22"/>
                <w:lang w:val="sr-Latn-ME"/>
              </w:rPr>
              <w:t>(16,4; 36,8)</w:t>
            </w:r>
          </w:p>
        </w:tc>
        <w:tc>
          <w:tcPr>
            <w:tcW w:w="1836" w:type="dxa"/>
            <w:vAlign w:val="center"/>
          </w:tcPr>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 xml:space="preserve">0,730 </w:t>
            </w:r>
          </w:p>
          <w:p w:rsidR="00F0748A" w:rsidRPr="00D616DF" w:rsidRDefault="00F0748A" w:rsidP="00354CB8">
            <w:pPr>
              <w:tabs>
                <w:tab w:val="left" w:pos="426"/>
                <w:tab w:val="left" w:pos="540"/>
              </w:tabs>
              <w:jc w:val="center"/>
              <w:rPr>
                <w:b/>
                <w:sz w:val="22"/>
                <w:szCs w:val="22"/>
                <w:lang w:val="sr-Latn-ME"/>
              </w:rPr>
            </w:pPr>
            <w:r w:rsidRPr="00D616DF">
              <w:rPr>
                <w:sz w:val="22"/>
                <w:szCs w:val="22"/>
                <w:lang w:val="sr-Latn-ME"/>
              </w:rPr>
              <w:t>(0,504; 1,057)</w:t>
            </w:r>
          </w:p>
        </w:tc>
        <w:tc>
          <w:tcPr>
            <w:tcW w:w="1843" w:type="dxa"/>
            <w:vAlign w:val="center"/>
          </w:tcPr>
          <w:p w:rsidR="00F0748A" w:rsidRPr="00D616DF" w:rsidRDefault="00F0748A" w:rsidP="00354CB8">
            <w:pPr>
              <w:tabs>
                <w:tab w:val="left" w:pos="426"/>
                <w:tab w:val="left" w:pos="540"/>
              </w:tabs>
              <w:jc w:val="center"/>
              <w:rPr>
                <w:b/>
                <w:sz w:val="22"/>
                <w:szCs w:val="22"/>
                <w:lang w:val="sr-Latn-ME"/>
              </w:rPr>
            </w:pPr>
            <w:r w:rsidRPr="00D616DF">
              <w:rPr>
                <w:sz w:val="22"/>
                <w:szCs w:val="22"/>
                <w:lang w:val="sr-Latn-ME"/>
              </w:rPr>
              <w:t>0,0940</w:t>
            </w:r>
            <w:r w:rsidRPr="00D616DF">
              <w:rPr>
                <w:sz w:val="22"/>
                <w:szCs w:val="22"/>
                <w:vertAlign w:val="superscript"/>
                <w:lang w:val="sr-Latn-ME"/>
              </w:rPr>
              <w:t>a</w:t>
            </w:r>
          </w:p>
        </w:tc>
      </w:tr>
      <w:tr w:rsidR="00F0748A" w:rsidRPr="00D616DF" w:rsidTr="00F0748A">
        <w:tc>
          <w:tcPr>
            <w:tcW w:w="2767" w:type="dxa"/>
          </w:tcPr>
          <w:p w:rsidR="00F0748A" w:rsidRPr="00D616DF" w:rsidRDefault="00F0748A" w:rsidP="00354CB8">
            <w:pPr>
              <w:tabs>
                <w:tab w:val="left" w:pos="426"/>
                <w:tab w:val="left" w:pos="540"/>
              </w:tabs>
              <w:rPr>
                <w:b/>
                <w:sz w:val="22"/>
                <w:szCs w:val="22"/>
                <w:lang w:val="sr-Latn-ME"/>
              </w:rPr>
            </w:pPr>
            <w:r w:rsidRPr="00D616DF">
              <w:rPr>
                <w:sz w:val="22"/>
                <w:szCs w:val="22"/>
                <w:lang w:val="sr-Latn-ME"/>
              </w:rPr>
              <w:t>Stopa objektivnog odgovora [%, (95% CI)]</w:t>
            </w:r>
          </w:p>
        </w:tc>
        <w:tc>
          <w:tcPr>
            <w:tcW w:w="1408" w:type="dxa"/>
            <w:vAlign w:val="center"/>
          </w:tcPr>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 xml:space="preserve">9,3 </w:t>
            </w:r>
          </w:p>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(3,2, 15,4)</w:t>
            </w:r>
          </w:p>
        </w:tc>
        <w:tc>
          <w:tcPr>
            <w:tcW w:w="1350" w:type="dxa"/>
            <w:vAlign w:val="center"/>
          </w:tcPr>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0</w:t>
            </w:r>
          </w:p>
        </w:tc>
        <w:tc>
          <w:tcPr>
            <w:tcW w:w="1836" w:type="dxa"/>
            <w:vAlign w:val="center"/>
          </w:tcPr>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NA</w:t>
            </w:r>
          </w:p>
        </w:tc>
        <w:tc>
          <w:tcPr>
            <w:tcW w:w="1843" w:type="dxa"/>
            <w:vAlign w:val="center"/>
          </w:tcPr>
          <w:p w:rsidR="00F0748A" w:rsidRPr="00D616DF" w:rsidRDefault="00F0748A" w:rsidP="00354CB8">
            <w:pPr>
              <w:tabs>
                <w:tab w:val="left" w:pos="426"/>
                <w:tab w:val="left" w:pos="540"/>
              </w:tabs>
              <w:jc w:val="center"/>
              <w:rPr>
                <w:sz w:val="22"/>
                <w:szCs w:val="22"/>
                <w:lang w:val="sr-Latn-ME"/>
              </w:rPr>
            </w:pPr>
            <w:r w:rsidRPr="00D616DF">
              <w:rPr>
                <w:sz w:val="22"/>
                <w:szCs w:val="22"/>
                <w:lang w:val="sr-Latn-ME"/>
              </w:rPr>
              <w:t>0,0066</w:t>
            </w:r>
            <w:r w:rsidRPr="00D616DF">
              <w:rPr>
                <w:sz w:val="22"/>
                <w:szCs w:val="22"/>
                <w:vertAlign w:val="superscript"/>
                <w:lang w:val="sr-Latn-ME"/>
              </w:rPr>
              <w:t>b</w:t>
            </w:r>
          </w:p>
        </w:tc>
      </w:tr>
    </w:tbl>
    <w:p w:rsidR="00F0748A" w:rsidRPr="00D616DF" w:rsidRDefault="00F0748A" w:rsidP="00F0748A">
      <w:pPr>
        <w:tabs>
          <w:tab w:val="left" w:pos="426"/>
          <w:tab w:val="left" w:pos="540"/>
        </w:tabs>
        <w:jc w:val="both"/>
        <w:rPr>
          <w:sz w:val="20"/>
          <w:szCs w:val="20"/>
          <w:lang w:val="sr-Latn-ME"/>
        </w:rPr>
      </w:pPr>
      <w:r w:rsidRPr="00D616DF">
        <w:rPr>
          <w:sz w:val="20"/>
          <w:szCs w:val="20"/>
          <w:lang w:val="sr-Latn-ME"/>
        </w:rPr>
        <w:t xml:space="preserve">Skraćenice: CI=interval pouzdanosti (eng. </w:t>
      </w:r>
      <w:r w:rsidRPr="00D616DF">
        <w:rPr>
          <w:i/>
          <w:sz w:val="20"/>
          <w:szCs w:val="20"/>
          <w:lang w:val="sr-Latn-ME"/>
        </w:rPr>
        <w:t>confidence interval</w:t>
      </w:r>
      <w:r w:rsidRPr="00D616DF">
        <w:rPr>
          <w:sz w:val="20"/>
          <w:szCs w:val="20"/>
          <w:lang w:val="sr-Latn-ME"/>
        </w:rPr>
        <w:t xml:space="preserve">); N=broj pacijenata; NA=nije primjenljivo (eng. </w:t>
      </w:r>
      <w:r w:rsidRPr="00D616DF">
        <w:rPr>
          <w:i/>
          <w:sz w:val="20"/>
          <w:szCs w:val="20"/>
          <w:lang w:val="sr-Latn-ME"/>
        </w:rPr>
        <w:t>not applicable</w:t>
      </w:r>
      <w:r w:rsidRPr="00D616DF">
        <w:rPr>
          <w:sz w:val="20"/>
          <w:szCs w:val="20"/>
          <w:lang w:val="sr-Latn-ME"/>
        </w:rPr>
        <w:t xml:space="preserve">); pNET=neuroendokrini tumori pankreasa (eng. </w:t>
      </w:r>
      <w:r w:rsidRPr="00D616DF">
        <w:rPr>
          <w:i/>
          <w:sz w:val="20"/>
          <w:szCs w:val="20"/>
          <w:lang w:val="sr-Latn-ME"/>
        </w:rPr>
        <w:t>pancreatic neuroendocrine tumours</w:t>
      </w:r>
      <w:r w:rsidRPr="00D616DF">
        <w:rPr>
          <w:sz w:val="20"/>
          <w:szCs w:val="20"/>
          <w:lang w:val="sr-Latn-ME"/>
        </w:rPr>
        <w:t xml:space="preserve">); RECIST= kriterijumima za procjenu odgovora solidnih tumora (RECIST – (eng. </w:t>
      </w:r>
      <w:r w:rsidRPr="00D616DF">
        <w:rPr>
          <w:i/>
          <w:sz w:val="20"/>
          <w:szCs w:val="20"/>
          <w:lang w:val="sr-Latn-ME"/>
        </w:rPr>
        <w:t>response evaluation criteria in solid tumours</w:t>
      </w:r>
      <w:r w:rsidRPr="00D616DF">
        <w:rPr>
          <w:sz w:val="20"/>
          <w:szCs w:val="20"/>
          <w:lang w:val="sr-Latn-ME"/>
        </w:rPr>
        <w:t>).</w:t>
      </w:r>
    </w:p>
    <w:p w:rsidR="00F0748A" w:rsidRPr="00D616DF" w:rsidRDefault="00F0748A" w:rsidP="00F0748A">
      <w:pPr>
        <w:pStyle w:val="ListParagraph"/>
        <w:numPr>
          <w:ilvl w:val="0"/>
          <w:numId w:val="14"/>
        </w:numPr>
        <w:tabs>
          <w:tab w:val="left" w:pos="426"/>
          <w:tab w:val="left" w:pos="540"/>
          <w:tab w:val="left" w:pos="4536"/>
        </w:tabs>
        <w:jc w:val="both"/>
        <w:rPr>
          <w:sz w:val="20"/>
          <w:szCs w:val="20"/>
          <w:lang w:val="sr-Latn-ME"/>
        </w:rPr>
      </w:pPr>
      <w:r w:rsidRPr="00D616DF">
        <w:rPr>
          <w:sz w:val="20"/>
          <w:szCs w:val="20"/>
          <w:lang w:val="sr-Latn-ME"/>
        </w:rPr>
        <w:t xml:space="preserve">dvostrani nestratifikovani </w:t>
      </w:r>
      <w:r w:rsidRPr="00D616DF">
        <w:rPr>
          <w:i/>
          <w:sz w:val="20"/>
          <w:szCs w:val="20"/>
          <w:lang w:val="sr-Latn-ME"/>
        </w:rPr>
        <w:t>log-rank</w:t>
      </w:r>
      <w:r w:rsidRPr="00D616DF">
        <w:rPr>
          <w:sz w:val="20"/>
          <w:szCs w:val="20"/>
          <w:lang w:val="sr-Latn-ME"/>
        </w:rPr>
        <w:t xml:space="preserve"> test</w:t>
      </w:r>
    </w:p>
    <w:p w:rsidR="008A76D8" w:rsidRPr="00386214" w:rsidRDefault="00F0748A" w:rsidP="00386214">
      <w:pPr>
        <w:pStyle w:val="ListParagraph"/>
        <w:numPr>
          <w:ilvl w:val="0"/>
          <w:numId w:val="14"/>
        </w:numPr>
        <w:tabs>
          <w:tab w:val="left" w:pos="426"/>
          <w:tab w:val="left" w:pos="540"/>
          <w:tab w:val="left" w:pos="4536"/>
        </w:tabs>
        <w:jc w:val="both"/>
        <w:rPr>
          <w:sz w:val="20"/>
          <w:szCs w:val="20"/>
          <w:lang w:val="sr-Latn-ME"/>
        </w:rPr>
      </w:pPr>
      <w:r w:rsidRPr="00D616DF">
        <w:rPr>
          <w:sz w:val="20"/>
          <w:szCs w:val="20"/>
          <w:lang w:val="sr-Latn-ME"/>
        </w:rPr>
        <w:t xml:space="preserve">Fišerov </w:t>
      </w:r>
      <w:r>
        <w:rPr>
          <w:sz w:val="20"/>
          <w:szCs w:val="20"/>
          <w:lang w:val="sr-Latn-ME"/>
        </w:rPr>
        <w:t xml:space="preserve">egzaktni </w:t>
      </w:r>
      <w:r w:rsidRPr="00D616DF">
        <w:rPr>
          <w:sz w:val="20"/>
          <w:szCs w:val="20"/>
          <w:lang w:val="sr-Latn-ME"/>
        </w:rPr>
        <w:t>test</w:t>
      </w:r>
    </w:p>
    <w:p w:rsidR="008A76D8" w:rsidRDefault="008A76D8" w:rsidP="00F0748A">
      <w:pPr>
        <w:tabs>
          <w:tab w:val="left" w:pos="540"/>
          <w:tab w:val="left" w:pos="569"/>
        </w:tabs>
        <w:jc w:val="center"/>
        <w:rPr>
          <w:b/>
          <w:bCs/>
          <w:sz w:val="22"/>
          <w:szCs w:val="22"/>
          <w:u w:val="single"/>
          <w:lang w:val="sr-Latn-ME"/>
        </w:rPr>
      </w:pPr>
    </w:p>
    <w:p w:rsidR="00F0748A" w:rsidRDefault="00F0748A" w:rsidP="00F0748A">
      <w:pPr>
        <w:tabs>
          <w:tab w:val="left" w:pos="540"/>
          <w:tab w:val="left" w:pos="569"/>
        </w:tabs>
        <w:jc w:val="center"/>
        <w:rPr>
          <w:b/>
          <w:bCs/>
          <w:sz w:val="22"/>
          <w:szCs w:val="22"/>
          <w:u w:val="single"/>
          <w:lang w:val="sr-Latn-ME"/>
        </w:rPr>
      </w:pPr>
      <w:r w:rsidRPr="00F0748A">
        <w:rPr>
          <w:b/>
          <w:bCs/>
          <w:sz w:val="22"/>
          <w:szCs w:val="22"/>
          <w:u w:val="single"/>
          <w:lang w:val="sr-Latn-ME"/>
        </w:rPr>
        <w:t>Slika 1 - Kaplan-Majerova kriva PFS u pNET studiji faze III</w:t>
      </w:r>
    </w:p>
    <w:p w:rsidR="00F0748A" w:rsidRDefault="00F0748A" w:rsidP="00F0748A">
      <w:pPr>
        <w:tabs>
          <w:tab w:val="left" w:pos="540"/>
          <w:tab w:val="left" w:pos="569"/>
        </w:tabs>
        <w:jc w:val="center"/>
        <w:rPr>
          <w:b/>
          <w:bCs/>
          <w:sz w:val="22"/>
          <w:szCs w:val="22"/>
        </w:rPr>
      </w:pPr>
      <w:r>
        <w:rPr>
          <w:b/>
          <w:bCs/>
          <w:noProof/>
          <w:sz w:val="22"/>
          <w:szCs w:val="22"/>
        </w:rPr>
        <w:drawing>
          <wp:inline distT="0" distB="0" distL="0" distR="0" wp14:anchorId="474342E6">
            <wp:extent cx="3797935" cy="2847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7935" cy="2847340"/>
                    </a:xfrm>
                    <a:prstGeom prst="rect">
                      <a:avLst/>
                    </a:prstGeom>
                    <a:noFill/>
                  </pic:spPr>
                </pic:pic>
              </a:graphicData>
            </a:graphic>
          </wp:inline>
        </w:drawing>
      </w:r>
    </w:p>
    <w:p w:rsidR="00F0748A" w:rsidRPr="00D616DF" w:rsidRDefault="00F0748A" w:rsidP="00F0748A">
      <w:pPr>
        <w:tabs>
          <w:tab w:val="left" w:pos="540"/>
          <w:tab w:val="left" w:pos="569"/>
        </w:tabs>
        <w:jc w:val="both"/>
        <w:rPr>
          <w:sz w:val="20"/>
          <w:szCs w:val="20"/>
          <w:lang w:val="sr-Latn-ME"/>
        </w:rPr>
      </w:pPr>
      <w:r w:rsidRPr="00D616DF">
        <w:rPr>
          <w:sz w:val="20"/>
          <w:szCs w:val="20"/>
          <w:lang w:val="sr-Latn-ME"/>
        </w:rPr>
        <w:lastRenderedPageBreak/>
        <w:t xml:space="preserve">Skraćenice: CI=interval pouzdanosti (eng. </w:t>
      </w:r>
      <w:r w:rsidRPr="00D616DF">
        <w:rPr>
          <w:i/>
          <w:sz w:val="20"/>
          <w:szCs w:val="20"/>
          <w:lang w:val="sr-Latn-ME"/>
        </w:rPr>
        <w:t>confidence interval</w:t>
      </w:r>
      <w:r w:rsidRPr="00D616DF">
        <w:rPr>
          <w:sz w:val="20"/>
          <w:szCs w:val="20"/>
          <w:lang w:val="sr-Latn-ME"/>
        </w:rPr>
        <w:t xml:space="preserve">); N=broj pacijenata; PFS=preživljavanje bez progresije bolesti (eng. </w:t>
      </w:r>
      <w:r w:rsidRPr="00D616DF">
        <w:rPr>
          <w:i/>
          <w:sz w:val="20"/>
          <w:szCs w:val="20"/>
          <w:lang w:val="sr-Latn-ME"/>
        </w:rPr>
        <w:t>progression-free survival</w:t>
      </w:r>
      <w:r w:rsidRPr="00D616DF">
        <w:rPr>
          <w:sz w:val="20"/>
          <w:szCs w:val="20"/>
          <w:lang w:val="sr-Latn-ME"/>
        </w:rPr>
        <w:t xml:space="preserve">); pNET=neuroendokrini tumori pankreasa (eng. </w:t>
      </w:r>
      <w:r w:rsidRPr="00D616DF">
        <w:rPr>
          <w:i/>
          <w:sz w:val="20"/>
          <w:szCs w:val="20"/>
          <w:lang w:val="sr-Latn-ME"/>
        </w:rPr>
        <w:t>pancreatic neuroendocrine tumours</w:t>
      </w:r>
      <w:r w:rsidRPr="00D616DF">
        <w:rPr>
          <w:sz w:val="20"/>
          <w:szCs w:val="20"/>
          <w:lang w:val="sr-Latn-ME"/>
        </w:rPr>
        <w:t>)</w:t>
      </w:r>
    </w:p>
    <w:p w:rsidR="00F0748A" w:rsidRDefault="00F0748A" w:rsidP="00F0748A">
      <w:pPr>
        <w:tabs>
          <w:tab w:val="left" w:pos="540"/>
          <w:tab w:val="left" w:pos="569"/>
        </w:tabs>
        <w:jc w:val="center"/>
        <w:rPr>
          <w:b/>
          <w:bCs/>
          <w:sz w:val="22"/>
          <w:szCs w:val="22"/>
        </w:rPr>
      </w:pPr>
    </w:p>
    <w:p w:rsidR="00F0748A" w:rsidRPr="00D616DF" w:rsidRDefault="00F0748A" w:rsidP="00F0748A">
      <w:pPr>
        <w:tabs>
          <w:tab w:val="left" w:pos="540"/>
          <w:tab w:val="left" w:pos="569"/>
        </w:tabs>
        <w:jc w:val="both"/>
        <w:rPr>
          <w:sz w:val="22"/>
          <w:szCs w:val="22"/>
          <w:lang w:val="sr-Latn-ME"/>
        </w:rPr>
      </w:pPr>
      <w:r w:rsidRPr="00D616DF">
        <w:rPr>
          <w:sz w:val="22"/>
          <w:szCs w:val="22"/>
          <w:lang w:val="sr-Latn-ME"/>
        </w:rPr>
        <w:t xml:space="preserve">Podaci o </w:t>
      </w:r>
      <w:r w:rsidR="002745B0">
        <w:rPr>
          <w:sz w:val="22"/>
          <w:szCs w:val="22"/>
          <w:lang w:val="sr-Latn-ME"/>
        </w:rPr>
        <w:t>–za ukupno preživljavanje</w:t>
      </w:r>
      <w:r w:rsidR="002745B0" w:rsidRPr="00D616DF">
        <w:rPr>
          <w:sz w:val="22"/>
          <w:szCs w:val="22"/>
          <w:lang w:val="sr-Latn-ME"/>
        </w:rPr>
        <w:t xml:space="preserve"> </w:t>
      </w:r>
      <w:r w:rsidRPr="00D616DF">
        <w:rPr>
          <w:sz w:val="22"/>
          <w:szCs w:val="22"/>
          <w:lang w:val="sr-Latn-ME"/>
        </w:rPr>
        <w:t xml:space="preserve">nijesu bili potpuni u trenutku zatvaranja studije [20,6 mjeseci (95% CI: 20,6; nije postignuto) u grupi koja je primala sunitinib u poređenju sa „nije postignuto” (95% CI: 15,5; nije postignuto) u grupi koja je primala placebo, </w:t>
      </w:r>
      <w:r w:rsidRPr="00D616DF">
        <w:rPr>
          <w:i/>
          <w:sz w:val="22"/>
          <w:szCs w:val="22"/>
          <w:lang w:val="sr-Latn-ME"/>
        </w:rPr>
        <w:t>hazard ratio</w:t>
      </w:r>
      <w:r w:rsidRPr="00D616DF">
        <w:rPr>
          <w:sz w:val="22"/>
          <w:szCs w:val="22"/>
          <w:lang w:val="sr-Latn-ME"/>
        </w:rPr>
        <w:t xml:space="preserve">: 0,409 (95% CI: 0,187; 0,894), p-vrijednost = 0,0204]. Bilo je 9 smrtnih ishoda u grupi koja je primala sunitinib i 21 smrtni ishod u grupi koja je primala placebo. </w:t>
      </w:r>
    </w:p>
    <w:p w:rsidR="00F0748A" w:rsidRPr="00D616DF" w:rsidRDefault="00F0748A" w:rsidP="00F0748A">
      <w:pPr>
        <w:tabs>
          <w:tab w:val="left" w:pos="540"/>
          <w:tab w:val="left" w:pos="569"/>
        </w:tabs>
        <w:rPr>
          <w:sz w:val="22"/>
          <w:szCs w:val="22"/>
          <w:lang w:val="sr-Latn-ME"/>
        </w:rPr>
      </w:pPr>
    </w:p>
    <w:p w:rsidR="00F0748A" w:rsidRPr="00D616DF" w:rsidRDefault="00F0748A" w:rsidP="00F0748A">
      <w:pPr>
        <w:tabs>
          <w:tab w:val="left" w:pos="540"/>
          <w:tab w:val="left" w:pos="569"/>
        </w:tabs>
        <w:jc w:val="both"/>
        <w:rPr>
          <w:sz w:val="22"/>
          <w:szCs w:val="22"/>
          <w:lang w:val="sr-Latn-ME"/>
        </w:rPr>
      </w:pPr>
      <w:r w:rsidRPr="00D616DF">
        <w:rPr>
          <w:sz w:val="22"/>
          <w:szCs w:val="22"/>
          <w:lang w:val="sr-Latn-ME"/>
        </w:rPr>
        <w:t>Nakon progresije bolesti, pacijenti su saznali koju su terapiju primali</w:t>
      </w:r>
      <w:r w:rsidR="002745B0">
        <w:rPr>
          <w:sz w:val="22"/>
          <w:szCs w:val="22"/>
          <w:lang w:val="sr-Latn-ME"/>
        </w:rPr>
        <w:t>(otkrivena je slijepa šifra terapije)</w:t>
      </w:r>
      <w:r w:rsidRPr="00D616DF">
        <w:rPr>
          <w:sz w:val="22"/>
          <w:szCs w:val="22"/>
          <w:lang w:val="sr-Latn-ME"/>
        </w:rPr>
        <w:t xml:space="preserve"> i pacijentima koji su primali placebo ponuđeno je otvoreno liječenje sunitinibom u odvojenoj produženoj studiji. Kao rezultat ranog zatvaranja ispitivanja, preostali pacijenti su saznali koju su terapiju primali</w:t>
      </w:r>
      <w:r w:rsidR="002745B0" w:rsidRPr="002745B0">
        <w:t xml:space="preserve"> </w:t>
      </w:r>
      <w:r w:rsidR="002745B0">
        <w:t>(</w:t>
      </w:r>
      <w:r w:rsidR="002745B0" w:rsidRPr="002745B0">
        <w:rPr>
          <w:sz w:val="22"/>
          <w:szCs w:val="22"/>
          <w:lang w:val="sr-Latn-ME"/>
        </w:rPr>
        <w:t xml:space="preserve">otkrivena je slijepa šifra terapije) </w:t>
      </w:r>
      <w:r w:rsidRPr="00D616DF">
        <w:rPr>
          <w:sz w:val="22"/>
          <w:szCs w:val="22"/>
          <w:lang w:val="sr-Latn-ME"/>
        </w:rPr>
        <w:t>i ponuđeno im je otvoreno liječenje sunitinibom u produženoj studiji. Ukupno 59 od 85 pacijenata (69,4%) iz grupe koja je primala placebo prebačeno je na otvoreno liječenje sunitinibom nakon progresije bolesti odnosno nakon otvaranja šifre na završetku studije. Odnos rizika za ukupno preživljavanje nakon 5 godina praćenja u produženoj studiji iznosio je 0,730 (95% CI: 0,504; 1,057).</w:t>
      </w:r>
    </w:p>
    <w:p w:rsidR="00F0748A" w:rsidRPr="00D616DF" w:rsidRDefault="00F0748A" w:rsidP="00F0748A">
      <w:pPr>
        <w:tabs>
          <w:tab w:val="left" w:pos="540"/>
          <w:tab w:val="left" w:pos="569"/>
        </w:tabs>
        <w:rPr>
          <w:sz w:val="22"/>
          <w:szCs w:val="22"/>
          <w:lang w:val="sr-Latn-ME"/>
        </w:rPr>
      </w:pPr>
    </w:p>
    <w:p w:rsidR="00F0748A" w:rsidRPr="00D616DF" w:rsidRDefault="00F0748A" w:rsidP="00F0748A">
      <w:pPr>
        <w:tabs>
          <w:tab w:val="left" w:pos="540"/>
          <w:tab w:val="left" w:pos="569"/>
        </w:tabs>
        <w:jc w:val="both"/>
        <w:rPr>
          <w:sz w:val="22"/>
          <w:szCs w:val="22"/>
          <w:lang w:val="sr-Latn-ME"/>
        </w:rPr>
      </w:pPr>
      <w:r w:rsidRPr="00D616DF">
        <w:rPr>
          <w:sz w:val="22"/>
          <w:szCs w:val="22"/>
          <w:lang w:val="sr-Latn-ME"/>
        </w:rPr>
        <w:t xml:space="preserve">Rezultati Upitnika o kvalitetu života Evropske organizacije za istraživanje i liječenje karcinoma (eng. </w:t>
      </w:r>
      <w:r w:rsidRPr="00D616DF">
        <w:rPr>
          <w:i/>
          <w:sz w:val="22"/>
          <w:szCs w:val="22"/>
          <w:lang w:val="sr-Latn-ME"/>
        </w:rPr>
        <w:t>European Organization for Research and Treatment of Cancer Quality of Life Questionnaire</w:t>
      </w:r>
      <w:r w:rsidRPr="00D616DF">
        <w:rPr>
          <w:sz w:val="22"/>
          <w:szCs w:val="22"/>
          <w:lang w:val="sr-Latn-ME"/>
        </w:rPr>
        <w:t xml:space="preserve">, EORTC QLQC-30) pokazali su da sveukupni globalni kvalitet života u vezi sa zdravljem u 5 životnih aspekata (fizički, funkcionalni, kognitivni, emotivni i socijalni) održani kod pacijenata koji su primali terapiju sunitinibom u poređenju sa placebom, uz ograničene neželjene simptomatske efekte. </w:t>
      </w:r>
    </w:p>
    <w:p w:rsidR="00F0748A" w:rsidRPr="00D616DF" w:rsidRDefault="00F0748A" w:rsidP="00F0748A">
      <w:pPr>
        <w:tabs>
          <w:tab w:val="left" w:pos="540"/>
          <w:tab w:val="left" w:pos="569"/>
        </w:tabs>
        <w:jc w:val="both"/>
        <w:rPr>
          <w:sz w:val="22"/>
          <w:szCs w:val="22"/>
          <w:lang w:val="sr-Latn-ME"/>
        </w:rPr>
      </w:pPr>
    </w:p>
    <w:p w:rsidR="00F0748A" w:rsidRPr="00D616DF" w:rsidRDefault="00F0748A" w:rsidP="00F0748A">
      <w:pPr>
        <w:tabs>
          <w:tab w:val="left" w:pos="540"/>
          <w:tab w:val="left" w:pos="569"/>
        </w:tabs>
        <w:jc w:val="both"/>
        <w:rPr>
          <w:sz w:val="22"/>
          <w:szCs w:val="22"/>
          <w:lang w:val="sr-Latn-ME"/>
        </w:rPr>
      </w:pPr>
      <w:r w:rsidRPr="00D616DF">
        <w:rPr>
          <w:sz w:val="22"/>
          <w:szCs w:val="22"/>
          <w:lang w:val="sr-Latn-ME"/>
        </w:rPr>
        <w:t xml:space="preserve">Multinacionalna, multicentrična, otvorena studija faze IV sa jednom grupom, koja je procjenjivala efikasnost i bezbjednost sunitiniba, sprovedena je kod pacijenata sa progresivnim, uznapredovalim/metastatskim, dobro diferenciranim, neoperabilnim pNET. </w:t>
      </w:r>
    </w:p>
    <w:p w:rsidR="00F0748A" w:rsidRPr="00D616DF" w:rsidRDefault="00F0748A" w:rsidP="00F0748A">
      <w:pPr>
        <w:tabs>
          <w:tab w:val="left" w:pos="540"/>
          <w:tab w:val="left" w:pos="569"/>
        </w:tabs>
        <w:jc w:val="both"/>
        <w:rPr>
          <w:sz w:val="22"/>
          <w:szCs w:val="22"/>
          <w:lang w:val="sr-Latn-ME"/>
        </w:rPr>
      </w:pPr>
    </w:p>
    <w:p w:rsidR="00F0748A" w:rsidRPr="00D616DF" w:rsidRDefault="00F0748A" w:rsidP="00F0748A">
      <w:pPr>
        <w:tabs>
          <w:tab w:val="left" w:pos="540"/>
          <w:tab w:val="left" w:pos="569"/>
        </w:tabs>
        <w:jc w:val="both"/>
        <w:rPr>
          <w:sz w:val="22"/>
          <w:szCs w:val="22"/>
          <w:lang w:val="sr-Latn-ME"/>
        </w:rPr>
      </w:pPr>
      <w:r w:rsidRPr="00D616DF">
        <w:rPr>
          <w:sz w:val="22"/>
          <w:szCs w:val="22"/>
          <w:lang w:val="sr-Latn-ME"/>
        </w:rPr>
        <w:t xml:space="preserve">Sto šest pacijenata (od kojih 61 u kohorti prethodno neliječenih pacijenata i 45 u kohorti sa više linija terapije) dobijali su terapiju sunitinibom oralno, u dozi od 37,5 mg jednom dnevno, u vidu kontinuiranog dnevnog režima doziranja. </w:t>
      </w:r>
    </w:p>
    <w:p w:rsidR="00F0748A" w:rsidRPr="00D616DF" w:rsidRDefault="00F0748A" w:rsidP="00F0748A">
      <w:pPr>
        <w:tabs>
          <w:tab w:val="left" w:pos="540"/>
          <w:tab w:val="left" w:pos="569"/>
        </w:tabs>
        <w:jc w:val="both"/>
        <w:rPr>
          <w:sz w:val="22"/>
          <w:szCs w:val="22"/>
          <w:lang w:val="sr-Latn-ME"/>
        </w:rPr>
      </w:pPr>
    </w:p>
    <w:p w:rsidR="00F0748A" w:rsidRPr="00D616DF" w:rsidRDefault="00F0748A" w:rsidP="00F0748A">
      <w:pPr>
        <w:tabs>
          <w:tab w:val="left" w:pos="540"/>
          <w:tab w:val="left" w:pos="569"/>
        </w:tabs>
        <w:jc w:val="both"/>
        <w:rPr>
          <w:sz w:val="22"/>
          <w:szCs w:val="22"/>
          <w:lang w:val="sr-Latn-ME"/>
        </w:rPr>
      </w:pPr>
      <w:r w:rsidRPr="00D616DF">
        <w:rPr>
          <w:sz w:val="22"/>
          <w:szCs w:val="22"/>
          <w:lang w:val="sr-Latn-ME"/>
        </w:rPr>
        <w:t>Medijana PFS procijenjena od strane istraživača iznosila je 13,2 mjeseca, kako u ukupnoj populaciji (95% CI: 10,9; 16,7), tako i u kohorti prethodno neliječenih pacijenata (95% CI: 7,4; 16,8).</w:t>
      </w:r>
    </w:p>
    <w:p w:rsidR="008A76D8" w:rsidRDefault="008A76D8" w:rsidP="00F0748A">
      <w:pPr>
        <w:tabs>
          <w:tab w:val="left" w:pos="540"/>
          <w:tab w:val="left" w:pos="569"/>
        </w:tabs>
        <w:jc w:val="both"/>
        <w:rPr>
          <w:sz w:val="22"/>
          <w:szCs w:val="22"/>
          <w:u w:val="single"/>
          <w:lang w:val="sr-Latn-ME"/>
        </w:rPr>
      </w:pPr>
    </w:p>
    <w:p w:rsidR="00F0748A" w:rsidRPr="00D616DF" w:rsidRDefault="00F0748A" w:rsidP="00F0748A">
      <w:pPr>
        <w:tabs>
          <w:tab w:val="left" w:pos="540"/>
          <w:tab w:val="left" w:pos="569"/>
        </w:tabs>
        <w:jc w:val="both"/>
        <w:rPr>
          <w:sz w:val="22"/>
          <w:szCs w:val="22"/>
          <w:u w:val="single"/>
          <w:lang w:val="sr-Latn-ME"/>
        </w:rPr>
      </w:pPr>
      <w:r w:rsidRPr="00D616DF">
        <w:rPr>
          <w:sz w:val="22"/>
          <w:szCs w:val="22"/>
          <w:u w:val="single"/>
          <w:lang w:val="sr-Latn-ME"/>
        </w:rPr>
        <w:t xml:space="preserve">Pedijatrijska populacija </w:t>
      </w:r>
    </w:p>
    <w:p w:rsidR="00F0748A" w:rsidRPr="00D616DF" w:rsidRDefault="00F0748A" w:rsidP="00F0748A">
      <w:pPr>
        <w:tabs>
          <w:tab w:val="left" w:pos="540"/>
          <w:tab w:val="left" w:pos="569"/>
        </w:tabs>
        <w:jc w:val="both"/>
        <w:rPr>
          <w:sz w:val="22"/>
          <w:szCs w:val="22"/>
          <w:lang w:val="sr-Latn-ME"/>
        </w:rPr>
      </w:pPr>
      <w:r w:rsidRPr="00D616DF">
        <w:rPr>
          <w:sz w:val="22"/>
          <w:szCs w:val="22"/>
          <w:lang w:val="sr-Latn-ME"/>
        </w:rPr>
        <w:t>Iskustvo sa primjenom sunitiniba kod pedijatrijskih pacijenata je ograničeno (vidjeti dio 4.2).</w:t>
      </w:r>
    </w:p>
    <w:p w:rsidR="00F0748A" w:rsidRPr="00D616DF" w:rsidRDefault="00F0748A" w:rsidP="00F0748A">
      <w:pPr>
        <w:tabs>
          <w:tab w:val="left" w:pos="540"/>
          <w:tab w:val="left" w:pos="569"/>
        </w:tabs>
        <w:jc w:val="both"/>
        <w:rPr>
          <w:sz w:val="22"/>
          <w:szCs w:val="22"/>
          <w:lang w:val="sr-Latn-ME"/>
        </w:rPr>
      </w:pPr>
    </w:p>
    <w:p w:rsidR="00F0748A" w:rsidRPr="00D616DF" w:rsidRDefault="00F0748A" w:rsidP="00F0748A">
      <w:pPr>
        <w:tabs>
          <w:tab w:val="left" w:pos="540"/>
          <w:tab w:val="left" w:pos="569"/>
        </w:tabs>
        <w:jc w:val="both"/>
        <w:rPr>
          <w:sz w:val="22"/>
          <w:szCs w:val="22"/>
          <w:lang w:val="sr-Latn-ME"/>
        </w:rPr>
      </w:pPr>
      <w:r w:rsidRPr="00D616DF">
        <w:rPr>
          <w:sz w:val="22"/>
          <w:szCs w:val="22"/>
          <w:lang w:val="sr-Latn-ME"/>
        </w:rPr>
        <w:t>Ispitivanje povećanja doze faze I za oralni oblik sunitiniba sprovedeno je na 35 pacijenata i obuhvatalo je 30 pedijatrijskih pacijenata (uzrasta od 3 do 17 godina) i 5 mlađih odraslih pacijenata (uzrasta 18-21 godine) sa refraktornim solidnim tumorima, od kojih je većina imala tumor na mozgu kao primarnu dijagnozu. Kardiološka toksičnost koja ograničava dozu je uočena u prvoj polovini ispitivanja koje je iz tog razloga izmijenjeno kako bi se isključili pacijenti koji su prethodno bili izloženi potencijalno kardiotoksičnim terapijama (uključujući antracikline) ili zračenju srca. U drugom dijelu ispitivanja koje je uključivalo pacijente sa prethodnom antikancerskom terapijom, ali bez rizika za pojavu kardiološke toksičnosti, sunitinib je uglavnom bio podnošljiv i klinički se mogao primjenjivati u dozi od 15 mg/m</w:t>
      </w:r>
      <w:r w:rsidRPr="00D616DF">
        <w:rPr>
          <w:sz w:val="22"/>
          <w:szCs w:val="22"/>
          <w:vertAlign w:val="superscript"/>
          <w:lang w:val="sr-Latn-ME"/>
        </w:rPr>
        <w:t>2</w:t>
      </w:r>
      <w:r w:rsidRPr="00D616DF">
        <w:rPr>
          <w:sz w:val="22"/>
          <w:szCs w:val="22"/>
          <w:lang w:val="sr-Latn-ME"/>
        </w:rPr>
        <w:t xml:space="preserve"> /dan po režimu 4/2. Nijedan od ispitanika nije postigao potpuni odgovor ili djelimični odgovor. Stabilna bolest je uočena kod 6 pacijenata (17%). Jedan pacijent sa GIST je uključen u ispitivanje sa dozom 15 mg/m</w:t>
      </w:r>
      <w:r w:rsidRPr="00D616DF">
        <w:rPr>
          <w:sz w:val="22"/>
          <w:szCs w:val="22"/>
          <w:vertAlign w:val="superscript"/>
          <w:lang w:val="sr-Latn-ME"/>
        </w:rPr>
        <w:t>2</w:t>
      </w:r>
      <w:r w:rsidRPr="00D616DF">
        <w:rPr>
          <w:sz w:val="22"/>
          <w:szCs w:val="22"/>
          <w:lang w:val="sr-Latn-ME"/>
        </w:rPr>
        <w:t xml:space="preserve"> bez dokaza o koristi. Uočene neželjene reakcije sveukupno su bile slične onima koje su zabilježene kod odraslih (vidjeti dio 4.8).</w:t>
      </w:r>
    </w:p>
    <w:p w:rsidR="00F0748A" w:rsidRPr="00D616DF" w:rsidRDefault="00F0748A" w:rsidP="00F0748A">
      <w:pPr>
        <w:tabs>
          <w:tab w:val="left" w:pos="540"/>
          <w:tab w:val="left" w:pos="569"/>
        </w:tabs>
        <w:rPr>
          <w:b/>
          <w:bCs/>
          <w:sz w:val="22"/>
          <w:szCs w:val="22"/>
          <w:lang w:val="sr-Latn-ME"/>
        </w:rPr>
      </w:pPr>
    </w:p>
    <w:p w:rsidR="00F0748A" w:rsidRPr="00D616DF" w:rsidRDefault="00F0748A" w:rsidP="00F0748A">
      <w:pPr>
        <w:jc w:val="both"/>
        <w:rPr>
          <w:rFonts w:eastAsia="TimesNewRoman"/>
          <w:sz w:val="22"/>
          <w:szCs w:val="22"/>
          <w:lang w:val="sr-Latn-ME" w:eastAsia="sr-Latn-ME"/>
        </w:rPr>
      </w:pPr>
      <w:r w:rsidRPr="00D616DF">
        <w:rPr>
          <w:sz w:val="22"/>
          <w:szCs w:val="22"/>
          <w:lang w:val="sr-Latn-ME"/>
        </w:rPr>
        <w:t xml:space="preserve">Otvorena studija faze II sprovedena je na 29 pacijenata od kojih 27 pedijatrijskih pacijenata (uzrasta od 3 do 16 godina) i 2 mlađa odrasla pacijenta (uzrasta 18 i 19 godina) sa gliomom visokog gradusa (eng. </w:t>
      </w:r>
      <w:r w:rsidRPr="00D616DF">
        <w:rPr>
          <w:i/>
          <w:sz w:val="22"/>
          <w:szCs w:val="22"/>
          <w:lang w:val="sr-Latn-ME"/>
        </w:rPr>
        <w:t>high grade glioma</w:t>
      </w:r>
      <w:r w:rsidRPr="00D616DF">
        <w:rPr>
          <w:sz w:val="22"/>
          <w:szCs w:val="22"/>
          <w:lang w:val="sr-Latn-ME"/>
        </w:rPr>
        <w:t xml:space="preserve"> – HGG) ili ependimomom. Studija je zatvorena u vrijeme planirane međuanalize zbog nedovoljne kontrole bolesti. Medijana PFS bila je 2,3 mjeseca u HGG grupi i 2,7 mjeseci u grupi sa </w:t>
      </w:r>
      <w:r w:rsidRPr="00D616DF">
        <w:rPr>
          <w:sz w:val="22"/>
          <w:szCs w:val="22"/>
          <w:lang w:val="sr-Latn-ME"/>
        </w:rPr>
        <w:lastRenderedPageBreak/>
        <w:t xml:space="preserve">ependimomom. Medijana ukupnog OS iznosila je 5,1 mjesec u HGG grupi i 12,3 mjeseci u grupi sa ependimomom. Najčešće ( ≥ 10%) prijavljene neželjene reakcije povezane sa terapijom kod pacijenata obje grupe bile su smanjenje broja neutrofila </w:t>
      </w:r>
      <w:r w:rsidRPr="00D616DF">
        <w:rPr>
          <w:rFonts w:eastAsia="TimesNewRoman"/>
          <w:sz w:val="22"/>
          <w:szCs w:val="22"/>
          <w:lang w:val="sr-Latn-ME" w:eastAsia="sr-Latn-ME"/>
        </w:rPr>
        <w:t>(6 pacijenata [20,7%]) i intrakranijalno krvarenje (3 pacijenta [10,3%]) (vidjeti dio 4.8).</w:t>
      </w:r>
    </w:p>
    <w:p w:rsidR="00F0748A" w:rsidRPr="00D616DF" w:rsidRDefault="00F0748A" w:rsidP="00F0748A">
      <w:pPr>
        <w:jc w:val="both"/>
        <w:rPr>
          <w:sz w:val="22"/>
          <w:szCs w:val="22"/>
          <w:highlight w:val="magenta"/>
          <w:lang w:val="sr-Latn-ME"/>
        </w:rPr>
      </w:pPr>
    </w:p>
    <w:p w:rsidR="00F0748A" w:rsidRPr="00D616DF" w:rsidRDefault="00F0748A" w:rsidP="00F0748A">
      <w:pPr>
        <w:jc w:val="both"/>
        <w:rPr>
          <w:sz w:val="22"/>
          <w:szCs w:val="22"/>
          <w:lang w:val="sr-Latn-ME"/>
        </w:rPr>
      </w:pPr>
      <w:r w:rsidRPr="00D616DF">
        <w:rPr>
          <w:sz w:val="22"/>
          <w:szCs w:val="22"/>
          <w:lang w:val="sr-Latn-ME"/>
        </w:rPr>
        <w:t>Dokazi iz studije faze I/II za peroralni sunitinib sprovedene kod 6 pedijatrijskih pacijenata sa GIST-om uzrasta od 13 do 16 godina koji su primali sunitinib prema režimu 4/2, u dozama u rasponu od 15mg/m</w:t>
      </w:r>
      <w:r w:rsidRPr="00D616DF">
        <w:rPr>
          <w:sz w:val="22"/>
          <w:szCs w:val="22"/>
          <w:vertAlign w:val="superscript"/>
          <w:lang w:val="sr-Latn-ME"/>
        </w:rPr>
        <w:t>2</w:t>
      </w:r>
      <w:r w:rsidRPr="00D616DF">
        <w:rPr>
          <w:sz w:val="22"/>
          <w:szCs w:val="22"/>
          <w:lang w:val="sr-Latn-ME"/>
        </w:rPr>
        <w:t>/dan do 30mg/m</w:t>
      </w:r>
      <w:r w:rsidRPr="00D616DF">
        <w:rPr>
          <w:sz w:val="22"/>
          <w:szCs w:val="22"/>
          <w:vertAlign w:val="superscript"/>
          <w:lang w:val="sr-Latn-ME"/>
        </w:rPr>
        <w:t>2</w:t>
      </w:r>
      <w:r w:rsidRPr="00D616DF">
        <w:rPr>
          <w:sz w:val="22"/>
          <w:szCs w:val="22"/>
          <w:lang w:val="sr-Latn-ME"/>
        </w:rPr>
        <w:t xml:space="preserve">/dan i dostupni objavljeni podaci (20 pedijatrijskih i mlađih odraslih pacijenata sa GIST-om) ukazuju da je liječenje sunitinibom dovolo do stabilizacije bolesti kod 18 od 26 (69,2%) pacijenata, bilo nakon neuspješnog liječenja imatinibom ili nepodnošenja imatiniba (od 21 pacijenta, 16 pacijenata je postiglo stabilnu bolest), odnosno </w:t>
      </w:r>
      <w:r w:rsidRPr="00D616DF">
        <w:rPr>
          <w:i/>
          <w:sz w:val="22"/>
          <w:szCs w:val="22"/>
          <w:lang w:val="sr-Latn-ME"/>
        </w:rPr>
        <w:t>de novo</w:t>
      </w:r>
      <w:r w:rsidRPr="00D616DF">
        <w:rPr>
          <w:sz w:val="22"/>
          <w:szCs w:val="22"/>
          <w:lang w:val="sr-Latn-ME"/>
        </w:rPr>
        <w:t>/nakon operacije (od 5 pacijenata, 2 su postigla stabilnu bolest). U studiji faze I/II, stabilna bolest i progresija bolesti primijećena je kod 3 od 6 pacijenata (1 pacijent je primio neoadjuvantnu terapiju, a 1 adjuvantnu terapiju imatinibom). U istoj studiji, 4 od 6 pacijenata (66,7%) imalo je neželjene događaje povezane sa terapijom, gradusa 3-4 (hipofosfatemija, neutropenija i trombocitopenija, gradusa 3 prijavljene su svaka kod po jednog pacijenta, dok je neutropenija gradusa 4 prijavljena kod 1 pacijenta). Pored toga, u publikacijama su kod 5 pacijenata zabilježene sljedeće neželjene reakcije na lijek, gradusa 3: zamor (2), gastrointestinalne neželjene reakcije na lijek (uključujući dijareju) (2), hematološke neželjene reakcije (uključujući anemiju) (2), holecistitis (1), hipertireoza (1) i mukozitis (1).</w:t>
      </w:r>
    </w:p>
    <w:p w:rsidR="00F0748A" w:rsidRPr="00D616DF" w:rsidRDefault="00F0748A" w:rsidP="00F0748A">
      <w:pPr>
        <w:jc w:val="both"/>
        <w:rPr>
          <w:sz w:val="22"/>
          <w:szCs w:val="22"/>
          <w:lang w:val="sr-Latn-ME"/>
        </w:rPr>
      </w:pPr>
    </w:p>
    <w:p w:rsidR="00F0748A" w:rsidRPr="00D616DF" w:rsidRDefault="00F0748A" w:rsidP="00F0748A">
      <w:pPr>
        <w:tabs>
          <w:tab w:val="left" w:pos="540"/>
          <w:tab w:val="left" w:pos="569"/>
        </w:tabs>
        <w:jc w:val="both"/>
        <w:rPr>
          <w:b/>
          <w:bCs/>
          <w:sz w:val="22"/>
          <w:szCs w:val="22"/>
          <w:lang w:val="sr-Latn-ME"/>
        </w:rPr>
      </w:pPr>
      <w:r w:rsidRPr="00D616DF">
        <w:rPr>
          <w:sz w:val="22"/>
          <w:szCs w:val="22"/>
          <w:lang w:val="sr-Latn-ME"/>
        </w:rPr>
        <w:t>Populaciona farmakokinetička (FK) i farmakokinetička/farmakodinamička (FK/FD) analiza je sprovedena sa ciljem da se ekstrapolira FK i ključne krajnje tačke za bezbjednost i efikasnost sunitiniba kod pedijatrijskih pacijenata sa GIST (uzrasta 6-17 godina). Ova analiza je zasnovana na podacima koji su prikupljeni od odraslih osoba sa GIST-om ili solidnim tumorima i od pedijatrijskih pacijenata sa solidnim tumorima. Na osnovu modeling analize, mlađi uzrast i manja tjelesna veličina nijesu negativno uticali na bezbjednost i efikasnost izloženosti sunitinibu u plazmi. Na odnos koristi/rizika za sunitinib nije negativno uticao mlađi uzrast ili manja tjelesna veličina i uglavnom je zavisio od izloženosti lijeku u plazmi.</w:t>
      </w:r>
    </w:p>
    <w:p w:rsidR="00F0748A" w:rsidRPr="00D616DF" w:rsidRDefault="00F0748A" w:rsidP="00F0748A">
      <w:pPr>
        <w:tabs>
          <w:tab w:val="left" w:pos="540"/>
          <w:tab w:val="left" w:pos="569"/>
        </w:tabs>
        <w:rPr>
          <w:b/>
          <w:bCs/>
          <w:sz w:val="22"/>
          <w:szCs w:val="22"/>
          <w:lang w:val="sr-Latn-ME"/>
        </w:rPr>
      </w:pPr>
    </w:p>
    <w:p w:rsidR="00F0748A" w:rsidRPr="00D616DF" w:rsidRDefault="00F0748A" w:rsidP="00F0748A">
      <w:pPr>
        <w:tabs>
          <w:tab w:val="left" w:pos="540"/>
          <w:tab w:val="left" w:pos="569"/>
        </w:tabs>
        <w:jc w:val="both"/>
        <w:rPr>
          <w:sz w:val="22"/>
          <w:szCs w:val="22"/>
          <w:lang w:val="sr-Latn-ME"/>
        </w:rPr>
      </w:pPr>
      <w:r w:rsidRPr="00D616DF">
        <w:rPr>
          <w:sz w:val="22"/>
          <w:szCs w:val="22"/>
          <w:lang w:val="sr-Latn-ME"/>
        </w:rPr>
        <w:t xml:space="preserve">Evropska agencija za lijekove (EMA) izuzela je obavezu podnošenja rezultata ispitivanja referentnog lijeka koji sadrži sunitinib kod svih podgrupa pedijatrijske populacije u terapiji karcinoma bubrega ili bubrežne karlice (izuzev nefroblastoma, nefroblastomatoze, sarkoma svijetlih ćelija (engl. </w:t>
      </w:r>
      <w:r w:rsidRPr="00D616DF">
        <w:rPr>
          <w:i/>
          <w:sz w:val="22"/>
          <w:szCs w:val="22"/>
          <w:lang w:val="sr-Latn-ME"/>
        </w:rPr>
        <w:t>clear cell</w:t>
      </w:r>
      <w:r w:rsidRPr="00D616DF">
        <w:rPr>
          <w:sz w:val="22"/>
          <w:szCs w:val="22"/>
          <w:lang w:val="sr-Latn-ME"/>
        </w:rPr>
        <w:t xml:space="preserve">), mezoblastičnog nefroma, renalnog medularnog karcinoma i rabdoidnog tumora bubrega) (vidjeti dio 4.2). </w:t>
      </w:r>
    </w:p>
    <w:p w:rsidR="00F0748A" w:rsidRPr="00D616DF" w:rsidRDefault="00F0748A" w:rsidP="00F0748A">
      <w:pPr>
        <w:tabs>
          <w:tab w:val="left" w:pos="540"/>
          <w:tab w:val="left" w:pos="569"/>
        </w:tabs>
        <w:jc w:val="both"/>
        <w:rPr>
          <w:sz w:val="22"/>
          <w:szCs w:val="22"/>
          <w:lang w:val="sr-Latn-ME"/>
        </w:rPr>
      </w:pPr>
    </w:p>
    <w:p w:rsidR="00F0748A" w:rsidRPr="00D616DF" w:rsidRDefault="00F0748A" w:rsidP="00F0748A">
      <w:pPr>
        <w:tabs>
          <w:tab w:val="left" w:pos="540"/>
          <w:tab w:val="left" w:pos="569"/>
        </w:tabs>
        <w:jc w:val="both"/>
        <w:rPr>
          <w:b/>
          <w:bCs/>
          <w:sz w:val="22"/>
          <w:szCs w:val="22"/>
          <w:lang w:val="sr-Latn-ME"/>
        </w:rPr>
      </w:pPr>
      <w:r w:rsidRPr="00D616DF">
        <w:rPr>
          <w:sz w:val="22"/>
          <w:szCs w:val="22"/>
          <w:lang w:val="sr-Latn-ME"/>
        </w:rPr>
        <w:t>Evropska agencija za lijekove (EMA) izuzela je obavezu podnošenja rezultata ispitivanja referentnog lijeka koji sadrži sunitinib kod svih podgrupa pedijatrijske populacije u terapiji gastroenteropankreasnih neuroendokrinih tumora (izuzev neuroblastoma, neuroganglioblastoma, feohromocitoma) (vidjeti dio 4.2).</w:t>
      </w:r>
    </w:p>
    <w:p w:rsidR="00F0748A" w:rsidRPr="00786071" w:rsidRDefault="00F0748A" w:rsidP="00F0748A">
      <w:pPr>
        <w:tabs>
          <w:tab w:val="left" w:pos="540"/>
          <w:tab w:val="left" w:pos="569"/>
        </w:tabs>
        <w:jc w:val="center"/>
        <w:rPr>
          <w:b/>
          <w:bCs/>
          <w:sz w:val="22"/>
          <w:szCs w:val="22"/>
        </w:rPr>
      </w:pPr>
    </w:p>
    <w:p w:rsidR="0072020E" w:rsidRDefault="0072020E" w:rsidP="00480FB1">
      <w:pPr>
        <w:tabs>
          <w:tab w:val="left" w:pos="540"/>
          <w:tab w:val="left" w:pos="569"/>
        </w:tabs>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rsidR="00C671C5" w:rsidRPr="00D616DF" w:rsidRDefault="00C671C5" w:rsidP="00C671C5">
      <w:pPr>
        <w:tabs>
          <w:tab w:val="left" w:pos="540"/>
          <w:tab w:val="left" w:pos="569"/>
        </w:tabs>
        <w:jc w:val="both"/>
        <w:rPr>
          <w:sz w:val="22"/>
          <w:szCs w:val="22"/>
          <w:lang w:val="sr-Latn-ME"/>
        </w:rPr>
      </w:pPr>
      <w:r w:rsidRPr="00D616DF">
        <w:rPr>
          <w:sz w:val="22"/>
          <w:szCs w:val="22"/>
          <w:lang w:val="sr-Latn-ME"/>
        </w:rPr>
        <w:t xml:space="preserve">Farmakokinetika sunitiniba ispitana je kod 135 zdravih dobrovoljaca i 266 pacijenata sa solidnim tumorima. Farmakokinetički parametri bili su slični kod ispitivanih pacijenata sa svim tipovima solidnih tumora i zdravih dobrovoljaca. </w:t>
      </w:r>
    </w:p>
    <w:p w:rsidR="00C671C5" w:rsidRPr="00D616DF" w:rsidRDefault="00C671C5" w:rsidP="00C671C5">
      <w:pPr>
        <w:tabs>
          <w:tab w:val="left" w:pos="540"/>
          <w:tab w:val="left" w:pos="569"/>
        </w:tabs>
        <w:jc w:val="both"/>
        <w:rPr>
          <w:sz w:val="22"/>
          <w:szCs w:val="22"/>
          <w:lang w:val="sr-Latn-ME"/>
        </w:rPr>
      </w:pPr>
    </w:p>
    <w:p w:rsidR="00C671C5" w:rsidRPr="00D616DF" w:rsidRDefault="00C671C5" w:rsidP="00C671C5">
      <w:pPr>
        <w:tabs>
          <w:tab w:val="left" w:pos="540"/>
          <w:tab w:val="left" w:pos="569"/>
        </w:tabs>
        <w:jc w:val="both"/>
        <w:rPr>
          <w:sz w:val="22"/>
          <w:szCs w:val="22"/>
          <w:lang w:val="sr-Latn-ME"/>
        </w:rPr>
      </w:pPr>
      <w:r w:rsidRPr="00D616DF">
        <w:rPr>
          <w:sz w:val="22"/>
          <w:szCs w:val="22"/>
          <w:lang w:val="sr-Latn-ME"/>
        </w:rPr>
        <w:t>U opsegu doza sunitiniba od 25 do 100 mg, vrijednosti površine ispod krive (PIK) i C</w:t>
      </w:r>
      <w:r w:rsidRPr="00D616DF">
        <w:rPr>
          <w:sz w:val="22"/>
          <w:szCs w:val="22"/>
          <w:vertAlign w:val="subscript"/>
          <w:lang w:val="sr-Latn-ME"/>
        </w:rPr>
        <w:t xml:space="preserve">max </w:t>
      </w:r>
      <w:r w:rsidRPr="00D616DF">
        <w:rPr>
          <w:sz w:val="22"/>
          <w:szCs w:val="22"/>
          <w:lang w:val="sr-Latn-ME"/>
        </w:rPr>
        <w:t xml:space="preserve">rastu proporcionalno sa dozom. Poslije ponovljenih dnevnih doza, sunitinib se akumuliše 3-4 puta, a njegov primarni aktivni metabolit 7-10 puta. Koncentracije u stanju dinamičke ravnoteže sunitiniba i njegovog primarnog aktivnog metabolita postižu se za 10 do 14 dana. Četrnaestog dana, kombinovane koncentracije sunitiniba i njegovog aktivnog metabolita u plazmi su 62,9-101 ng/ml: to su ciljne koncentracije, predviđene na osnovu pretkliničkih podataka, koje inhibiraju fosforilaciju receptora </w:t>
      </w:r>
      <w:r w:rsidRPr="00D616DF">
        <w:rPr>
          <w:i/>
          <w:sz w:val="22"/>
          <w:szCs w:val="22"/>
          <w:lang w:val="sr-Latn-ME"/>
        </w:rPr>
        <w:t>in vitro</w:t>
      </w:r>
      <w:r w:rsidRPr="00D616DF">
        <w:rPr>
          <w:sz w:val="22"/>
          <w:szCs w:val="22"/>
          <w:lang w:val="sr-Latn-ME"/>
        </w:rPr>
        <w:t xml:space="preserve"> i dovode do staze tumora/redukcije njegovog rasta u </w:t>
      </w:r>
      <w:r w:rsidRPr="00D616DF">
        <w:rPr>
          <w:i/>
          <w:sz w:val="22"/>
          <w:szCs w:val="22"/>
          <w:lang w:val="sr-Latn-ME"/>
        </w:rPr>
        <w:t>in vivo</w:t>
      </w:r>
      <w:r w:rsidRPr="00D616DF">
        <w:rPr>
          <w:sz w:val="22"/>
          <w:szCs w:val="22"/>
          <w:lang w:val="sr-Latn-ME"/>
        </w:rPr>
        <w:t xml:space="preserve"> uslovima. Na primarni aktivni metabolit otpada 23% do 37% ukupne izloženosti lijeku. Nijesu opisane značajne promjene u farmakokinetici sunitiniba ili primarnog, aktivnog metabolita poslije ponovljene dnevne primjene lijeka ili poslije ponovljenih ciklusa u testiranim doznim režimima.</w:t>
      </w:r>
    </w:p>
    <w:p w:rsidR="00C671C5" w:rsidRPr="00D616DF" w:rsidRDefault="00C671C5" w:rsidP="00C671C5">
      <w:pPr>
        <w:tabs>
          <w:tab w:val="left" w:pos="540"/>
          <w:tab w:val="left" w:pos="569"/>
        </w:tabs>
        <w:rPr>
          <w:sz w:val="22"/>
          <w:szCs w:val="22"/>
          <w:u w:val="single"/>
          <w:lang w:val="sr-Latn-ME"/>
        </w:rPr>
      </w:pPr>
    </w:p>
    <w:p w:rsidR="00386214" w:rsidRDefault="00386214" w:rsidP="00C671C5">
      <w:pPr>
        <w:tabs>
          <w:tab w:val="left" w:pos="540"/>
          <w:tab w:val="left" w:pos="569"/>
        </w:tabs>
        <w:rPr>
          <w:sz w:val="22"/>
          <w:szCs w:val="22"/>
          <w:u w:val="single"/>
          <w:lang w:val="sr-Latn-ME"/>
        </w:rPr>
      </w:pPr>
    </w:p>
    <w:p w:rsidR="00C671C5" w:rsidRPr="00D616DF" w:rsidRDefault="00C671C5" w:rsidP="00C671C5">
      <w:pPr>
        <w:tabs>
          <w:tab w:val="left" w:pos="540"/>
          <w:tab w:val="left" w:pos="569"/>
        </w:tabs>
        <w:rPr>
          <w:sz w:val="22"/>
          <w:szCs w:val="22"/>
          <w:u w:val="single"/>
          <w:lang w:val="sr-Latn-ME"/>
        </w:rPr>
      </w:pPr>
      <w:r w:rsidRPr="00D616DF">
        <w:rPr>
          <w:sz w:val="22"/>
          <w:szCs w:val="22"/>
          <w:u w:val="single"/>
          <w:lang w:val="sr-Latn-ME"/>
        </w:rPr>
        <w:lastRenderedPageBreak/>
        <w:t xml:space="preserve">Resorpcija </w:t>
      </w:r>
    </w:p>
    <w:p w:rsidR="00C671C5" w:rsidRPr="00D616DF" w:rsidRDefault="00C671C5" w:rsidP="00C671C5">
      <w:pPr>
        <w:tabs>
          <w:tab w:val="left" w:pos="540"/>
          <w:tab w:val="left" w:pos="569"/>
        </w:tabs>
        <w:rPr>
          <w:sz w:val="22"/>
          <w:szCs w:val="22"/>
          <w:lang w:val="sr-Latn-ME"/>
        </w:rPr>
      </w:pPr>
      <w:r w:rsidRPr="00D616DF">
        <w:rPr>
          <w:sz w:val="22"/>
          <w:szCs w:val="22"/>
          <w:lang w:val="sr-Latn-ME"/>
        </w:rPr>
        <w:t>Poslije oralne primjene sunitiniba, vrijeme do postizanja maksimalne koncentracije (C</w:t>
      </w:r>
      <w:r w:rsidRPr="00D616DF">
        <w:rPr>
          <w:sz w:val="22"/>
          <w:szCs w:val="22"/>
          <w:vertAlign w:val="subscript"/>
          <w:lang w:val="sr-Latn-ME"/>
        </w:rPr>
        <w:t>max</w:t>
      </w:r>
      <w:r w:rsidRPr="00D616DF">
        <w:rPr>
          <w:sz w:val="22"/>
          <w:szCs w:val="22"/>
          <w:lang w:val="sr-Latn-ME"/>
        </w:rPr>
        <w:t>) generalno iznosi 6 do 12 sati (t</w:t>
      </w:r>
      <w:r w:rsidRPr="00D616DF">
        <w:rPr>
          <w:sz w:val="22"/>
          <w:szCs w:val="22"/>
          <w:vertAlign w:val="subscript"/>
          <w:lang w:val="sr-Latn-ME"/>
        </w:rPr>
        <w:t>max</w:t>
      </w:r>
      <w:r w:rsidRPr="00D616DF">
        <w:rPr>
          <w:sz w:val="22"/>
          <w:szCs w:val="22"/>
          <w:lang w:val="sr-Latn-ME"/>
        </w:rPr>
        <w:t xml:space="preserve">) poslije primjene doze. </w:t>
      </w:r>
    </w:p>
    <w:p w:rsidR="00C671C5" w:rsidRPr="00D616DF" w:rsidRDefault="00C671C5" w:rsidP="00C671C5">
      <w:pPr>
        <w:tabs>
          <w:tab w:val="left" w:pos="540"/>
          <w:tab w:val="left" w:pos="569"/>
        </w:tabs>
        <w:rPr>
          <w:sz w:val="22"/>
          <w:szCs w:val="22"/>
          <w:lang w:val="sr-Latn-ME"/>
        </w:rPr>
      </w:pPr>
    </w:p>
    <w:p w:rsidR="00C671C5" w:rsidRPr="00D616DF" w:rsidRDefault="00C671C5" w:rsidP="00C671C5">
      <w:pPr>
        <w:tabs>
          <w:tab w:val="left" w:pos="540"/>
          <w:tab w:val="left" w:pos="569"/>
        </w:tabs>
        <w:rPr>
          <w:sz w:val="22"/>
          <w:szCs w:val="22"/>
          <w:lang w:val="sr-Latn-ME"/>
        </w:rPr>
      </w:pPr>
      <w:r w:rsidRPr="00D616DF">
        <w:rPr>
          <w:sz w:val="22"/>
          <w:szCs w:val="22"/>
          <w:lang w:val="sr-Latn-ME"/>
        </w:rPr>
        <w:t xml:space="preserve">Hrana nema uticaja na biološku raspoloživost sunitiniba. </w:t>
      </w:r>
    </w:p>
    <w:p w:rsidR="00C671C5" w:rsidRPr="00D616DF" w:rsidRDefault="00C671C5" w:rsidP="00C671C5">
      <w:pPr>
        <w:tabs>
          <w:tab w:val="left" w:pos="540"/>
          <w:tab w:val="left" w:pos="569"/>
        </w:tabs>
        <w:rPr>
          <w:sz w:val="22"/>
          <w:szCs w:val="22"/>
          <w:lang w:val="sr-Latn-ME"/>
        </w:rPr>
      </w:pPr>
    </w:p>
    <w:p w:rsidR="00C671C5" w:rsidRPr="00D616DF" w:rsidRDefault="00C671C5" w:rsidP="00C671C5">
      <w:pPr>
        <w:tabs>
          <w:tab w:val="left" w:pos="540"/>
          <w:tab w:val="left" w:pos="569"/>
        </w:tabs>
        <w:rPr>
          <w:sz w:val="22"/>
          <w:szCs w:val="22"/>
          <w:u w:val="single"/>
          <w:lang w:val="sr-Latn-ME"/>
        </w:rPr>
      </w:pPr>
      <w:r w:rsidRPr="00D616DF">
        <w:rPr>
          <w:sz w:val="22"/>
          <w:szCs w:val="22"/>
          <w:u w:val="single"/>
          <w:lang w:val="sr-Latn-ME"/>
        </w:rPr>
        <w:t xml:space="preserve">Distribucija </w:t>
      </w:r>
    </w:p>
    <w:p w:rsidR="00C671C5" w:rsidRPr="00D616DF" w:rsidRDefault="00C671C5" w:rsidP="00C671C5">
      <w:pPr>
        <w:tabs>
          <w:tab w:val="left" w:pos="540"/>
          <w:tab w:val="left" w:pos="569"/>
        </w:tabs>
        <w:jc w:val="both"/>
        <w:rPr>
          <w:sz w:val="22"/>
          <w:szCs w:val="22"/>
          <w:lang w:val="sr-Latn-ME"/>
        </w:rPr>
      </w:pPr>
      <w:r w:rsidRPr="00D616DF">
        <w:rPr>
          <w:sz w:val="22"/>
          <w:szCs w:val="22"/>
          <w:lang w:val="sr-Latn-ME"/>
        </w:rPr>
        <w:t xml:space="preserve">Vezivanje sunitiniba i njegovog primarnog aktivnog metabolita za proteine humane plazme u </w:t>
      </w:r>
      <w:r w:rsidRPr="00D616DF">
        <w:rPr>
          <w:i/>
          <w:sz w:val="22"/>
          <w:szCs w:val="22"/>
          <w:lang w:val="sr-Latn-ME"/>
        </w:rPr>
        <w:t>in vitro</w:t>
      </w:r>
      <w:r w:rsidRPr="00D616DF">
        <w:rPr>
          <w:sz w:val="22"/>
          <w:szCs w:val="22"/>
          <w:lang w:val="sr-Latn-ME"/>
        </w:rPr>
        <w:t xml:space="preserve"> testovima bilo je 95% za sunitinib, odnosno 90% za njegov primarni aktivni metabolit: vezivanje nije bilo zavisno od koncentracije. Prividni volumen distribucije (V</w:t>
      </w:r>
      <w:r w:rsidRPr="00D616DF">
        <w:rPr>
          <w:sz w:val="22"/>
          <w:szCs w:val="22"/>
          <w:vertAlign w:val="subscript"/>
          <w:lang w:val="sr-Latn-ME"/>
        </w:rPr>
        <w:t>d</w:t>
      </w:r>
      <w:r w:rsidRPr="00D616DF">
        <w:rPr>
          <w:sz w:val="22"/>
          <w:szCs w:val="22"/>
          <w:lang w:val="sr-Latn-ME"/>
        </w:rPr>
        <w:t xml:space="preserve">) za sunitinib bio je veliki – 2230 litara, što ukazuje na njegovu distribuciju u tkiva. </w:t>
      </w:r>
    </w:p>
    <w:p w:rsidR="00C671C5" w:rsidRPr="00D616DF" w:rsidRDefault="00C671C5" w:rsidP="00C671C5">
      <w:pPr>
        <w:tabs>
          <w:tab w:val="left" w:pos="540"/>
          <w:tab w:val="left" w:pos="569"/>
        </w:tabs>
        <w:jc w:val="both"/>
        <w:rPr>
          <w:sz w:val="22"/>
          <w:szCs w:val="22"/>
          <w:lang w:val="sr-Latn-ME"/>
        </w:rPr>
      </w:pPr>
    </w:p>
    <w:p w:rsidR="00C671C5" w:rsidRPr="00D616DF" w:rsidRDefault="00C671C5" w:rsidP="00C671C5">
      <w:pPr>
        <w:tabs>
          <w:tab w:val="left" w:pos="540"/>
          <w:tab w:val="left" w:pos="569"/>
        </w:tabs>
        <w:jc w:val="both"/>
        <w:rPr>
          <w:sz w:val="22"/>
          <w:szCs w:val="22"/>
          <w:u w:val="single"/>
          <w:lang w:val="sr-Latn-ME"/>
        </w:rPr>
      </w:pPr>
      <w:r w:rsidRPr="00D616DF">
        <w:rPr>
          <w:sz w:val="22"/>
          <w:szCs w:val="22"/>
          <w:u w:val="single"/>
          <w:lang w:val="sr-Latn-ME"/>
        </w:rPr>
        <w:t xml:space="preserve">Metaboličke interakcije </w:t>
      </w:r>
    </w:p>
    <w:p w:rsidR="00C671C5" w:rsidRPr="00D616DF" w:rsidRDefault="00C671C5" w:rsidP="00C671C5">
      <w:pPr>
        <w:tabs>
          <w:tab w:val="left" w:pos="540"/>
          <w:tab w:val="left" w:pos="569"/>
        </w:tabs>
        <w:jc w:val="both"/>
        <w:rPr>
          <w:sz w:val="22"/>
          <w:szCs w:val="22"/>
          <w:lang w:val="sr-Latn-ME"/>
        </w:rPr>
      </w:pPr>
      <w:r w:rsidRPr="00D616DF">
        <w:rPr>
          <w:sz w:val="22"/>
          <w:szCs w:val="22"/>
          <w:lang w:val="sr-Latn-ME"/>
        </w:rPr>
        <w:t xml:space="preserve">Preračunate </w:t>
      </w:r>
      <w:r w:rsidRPr="00D616DF">
        <w:rPr>
          <w:i/>
          <w:sz w:val="22"/>
          <w:szCs w:val="22"/>
          <w:lang w:val="sr-Latn-ME"/>
        </w:rPr>
        <w:t>in vitro</w:t>
      </w:r>
      <w:r w:rsidRPr="00D616DF">
        <w:rPr>
          <w:sz w:val="22"/>
          <w:szCs w:val="22"/>
          <w:lang w:val="sr-Latn-ME"/>
        </w:rPr>
        <w:t xml:space="preserve"> vrijednosti Ki za sve testirane citohrom P450 (CYP) izoforme (CYP1A2, CYP2A6, CYP2B6, CYP2C8, CYP2C9, CYP2C19, CYP2D6, CYP2E1, CYP3A4/5 i CYP4A9/11) ukazuju da je malo vjerovatno da sunitinib i njegov primarni aktivni metabolit indukuju metabolizam, u bilo kom klinički relevantnom stepenu, drugih aktivnih supstanci koje se metabolišu pomoću ovih nabrojanih izoenzima.</w:t>
      </w:r>
    </w:p>
    <w:p w:rsidR="00C671C5" w:rsidRPr="00D616DF" w:rsidRDefault="00C671C5" w:rsidP="00C671C5">
      <w:pPr>
        <w:tabs>
          <w:tab w:val="left" w:pos="540"/>
          <w:tab w:val="left" w:pos="569"/>
        </w:tabs>
        <w:rPr>
          <w:sz w:val="22"/>
          <w:szCs w:val="22"/>
          <w:lang w:val="sr-Latn-ME"/>
        </w:rPr>
      </w:pPr>
    </w:p>
    <w:p w:rsidR="00C671C5" w:rsidRPr="00D616DF" w:rsidRDefault="00C671C5" w:rsidP="00C671C5">
      <w:pPr>
        <w:tabs>
          <w:tab w:val="left" w:pos="540"/>
          <w:tab w:val="left" w:pos="569"/>
        </w:tabs>
        <w:rPr>
          <w:sz w:val="22"/>
          <w:szCs w:val="22"/>
          <w:u w:val="single"/>
          <w:lang w:val="sr-Latn-ME"/>
        </w:rPr>
      </w:pPr>
      <w:r w:rsidRPr="00D616DF">
        <w:rPr>
          <w:sz w:val="22"/>
          <w:szCs w:val="22"/>
          <w:u w:val="single"/>
          <w:lang w:val="sr-Latn-ME"/>
        </w:rPr>
        <w:t xml:space="preserve">Biotransformacija </w:t>
      </w:r>
    </w:p>
    <w:p w:rsidR="00C671C5" w:rsidRPr="00D616DF" w:rsidRDefault="00C671C5" w:rsidP="00C671C5">
      <w:pPr>
        <w:tabs>
          <w:tab w:val="left" w:pos="540"/>
          <w:tab w:val="left" w:pos="569"/>
        </w:tabs>
        <w:jc w:val="both"/>
        <w:rPr>
          <w:sz w:val="22"/>
          <w:szCs w:val="22"/>
          <w:lang w:val="sr-Latn-ME"/>
        </w:rPr>
      </w:pPr>
      <w:r w:rsidRPr="00D616DF">
        <w:rPr>
          <w:sz w:val="22"/>
          <w:szCs w:val="22"/>
          <w:lang w:val="sr-Latn-ME"/>
        </w:rPr>
        <w:t xml:space="preserve">Sunitinib se primarno metaboliše pomoću CYP3A4, izoforme CYP koja stvara njegov primarni aktivni metabolit dezetil sunitinib, koji se dalje metaboliše pomoću istog izoenzima. </w:t>
      </w:r>
    </w:p>
    <w:p w:rsidR="00C671C5" w:rsidRPr="00D616DF" w:rsidRDefault="00C671C5" w:rsidP="00C671C5">
      <w:pPr>
        <w:tabs>
          <w:tab w:val="left" w:pos="540"/>
          <w:tab w:val="left" w:pos="569"/>
        </w:tabs>
        <w:jc w:val="both"/>
        <w:rPr>
          <w:sz w:val="22"/>
          <w:szCs w:val="22"/>
          <w:lang w:val="sr-Latn-ME"/>
        </w:rPr>
      </w:pPr>
    </w:p>
    <w:p w:rsidR="00C671C5" w:rsidRPr="00D616DF" w:rsidRDefault="00C671C5" w:rsidP="00C671C5">
      <w:pPr>
        <w:tabs>
          <w:tab w:val="left" w:pos="540"/>
          <w:tab w:val="left" w:pos="569"/>
        </w:tabs>
        <w:jc w:val="both"/>
        <w:rPr>
          <w:sz w:val="22"/>
          <w:szCs w:val="22"/>
          <w:lang w:val="sr-Latn-ME"/>
        </w:rPr>
      </w:pPr>
      <w:r w:rsidRPr="00D616DF">
        <w:rPr>
          <w:sz w:val="22"/>
          <w:szCs w:val="22"/>
          <w:lang w:val="sr-Latn-ME"/>
        </w:rPr>
        <w:t>Istovremenu primjenu sunitiniba sa snažnim induktorima ili inhibitorima CYP3A4 treba izbjegavati zato što koncentracija sunitiniba u plazmi može biti izmijenjena (vidjeti djelove 4.4 i 4.5).</w:t>
      </w:r>
    </w:p>
    <w:p w:rsidR="00C671C5" w:rsidRPr="00D616DF" w:rsidRDefault="00C671C5" w:rsidP="00C671C5">
      <w:pPr>
        <w:tabs>
          <w:tab w:val="left" w:pos="540"/>
          <w:tab w:val="left" w:pos="569"/>
        </w:tabs>
        <w:jc w:val="both"/>
        <w:rPr>
          <w:sz w:val="22"/>
          <w:szCs w:val="22"/>
          <w:lang w:val="sr-Latn-ME"/>
        </w:rPr>
      </w:pPr>
    </w:p>
    <w:p w:rsidR="00C671C5" w:rsidRPr="00D616DF" w:rsidRDefault="00C671C5" w:rsidP="00C671C5">
      <w:pPr>
        <w:tabs>
          <w:tab w:val="left" w:pos="540"/>
          <w:tab w:val="left" w:pos="569"/>
        </w:tabs>
        <w:jc w:val="both"/>
        <w:rPr>
          <w:sz w:val="22"/>
          <w:szCs w:val="22"/>
          <w:u w:val="single"/>
          <w:lang w:val="sr-Latn-ME"/>
        </w:rPr>
      </w:pPr>
      <w:r w:rsidRPr="00D616DF">
        <w:rPr>
          <w:sz w:val="22"/>
          <w:szCs w:val="22"/>
          <w:u w:val="single"/>
          <w:lang w:val="sr-Latn-ME"/>
        </w:rPr>
        <w:t xml:space="preserve">Eliminacija </w:t>
      </w:r>
    </w:p>
    <w:p w:rsidR="00C671C5" w:rsidRPr="00D616DF" w:rsidRDefault="00C671C5" w:rsidP="00C671C5">
      <w:pPr>
        <w:tabs>
          <w:tab w:val="left" w:pos="540"/>
          <w:tab w:val="left" w:pos="569"/>
        </w:tabs>
        <w:jc w:val="both"/>
        <w:rPr>
          <w:sz w:val="22"/>
          <w:szCs w:val="22"/>
          <w:lang w:val="sr-Latn-ME"/>
        </w:rPr>
      </w:pPr>
      <w:r w:rsidRPr="00D616DF">
        <w:rPr>
          <w:sz w:val="22"/>
          <w:szCs w:val="22"/>
          <w:lang w:val="sr-Latn-ME"/>
        </w:rPr>
        <w:t xml:space="preserve">Izlučivanje je primarno fecesom (61%), dok je renalno izlučivanje nepromijenjenog lijeka i njegovih metabolita 16% od primijenjene doze. Sunitinib i njegov primarni aktivni metabolit bili su glavne supstance identifikovane u plazmi, urinu i fecesu. Radioaktivnost otkrivena u pulovanim (engl. </w:t>
      </w:r>
      <w:r w:rsidRPr="00D616DF">
        <w:rPr>
          <w:i/>
          <w:sz w:val="22"/>
          <w:szCs w:val="22"/>
          <w:lang w:val="sr-Latn-ME"/>
        </w:rPr>
        <w:t>pooled</w:t>
      </w:r>
      <w:r w:rsidRPr="00D616DF">
        <w:rPr>
          <w:sz w:val="22"/>
          <w:szCs w:val="22"/>
          <w:lang w:val="sr-Latn-ME"/>
        </w:rPr>
        <w:t>) uzorcima plazme iznosila je 91,5%, dok je u urinu bila 86,4%, a u fecesu 73,8%. Sporedni metaboliti identifikovani su u urinu i fecesu, ali generalno uzevši, nijesu otkriveni u plazmi. Totalni oralni klirens (CL/F) bio je 34-62 l/h. Poslije oralne primjene kod zdravih dobrovoljaca, poluvrijeme eliminacije sunitiniba i njegovog primarnog aktivnog dezetil metabolita, je približno 40-60 sati za sunitinib i 80-110 sati za primarni aktivni metabolit.</w:t>
      </w:r>
    </w:p>
    <w:p w:rsidR="008A76D8" w:rsidRDefault="008A76D8" w:rsidP="00C671C5">
      <w:pPr>
        <w:tabs>
          <w:tab w:val="left" w:pos="540"/>
          <w:tab w:val="left" w:pos="569"/>
        </w:tabs>
        <w:jc w:val="both"/>
        <w:rPr>
          <w:sz w:val="22"/>
          <w:szCs w:val="22"/>
          <w:u w:val="single"/>
          <w:lang w:val="sr-Latn-ME"/>
        </w:rPr>
      </w:pPr>
    </w:p>
    <w:p w:rsidR="00C671C5" w:rsidRPr="00D616DF" w:rsidRDefault="00C671C5" w:rsidP="00C671C5">
      <w:pPr>
        <w:tabs>
          <w:tab w:val="left" w:pos="540"/>
          <w:tab w:val="left" w:pos="569"/>
        </w:tabs>
        <w:jc w:val="both"/>
        <w:rPr>
          <w:sz w:val="22"/>
          <w:szCs w:val="22"/>
          <w:u w:val="single"/>
          <w:lang w:val="sr-Latn-ME"/>
        </w:rPr>
      </w:pPr>
      <w:r w:rsidRPr="00D616DF">
        <w:rPr>
          <w:sz w:val="22"/>
          <w:szCs w:val="22"/>
          <w:u w:val="single"/>
          <w:lang w:val="sr-Latn-ME"/>
        </w:rPr>
        <w:t xml:space="preserve">Istovremena primjena sa ljekovima koji su inhibitori BCRP </w:t>
      </w:r>
    </w:p>
    <w:p w:rsidR="00C671C5" w:rsidRPr="00D616DF" w:rsidRDefault="00C671C5" w:rsidP="00C671C5">
      <w:pPr>
        <w:tabs>
          <w:tab w:val="left" w:pos="540"/>
          <w:tab w:val="left" w:pos="569"/>
        </w:tabs>
        <w:jc w:val="both"/>
        <w:rPr>
          <w:sz w:val="22"/>
          <w:szCs w:val="22"/>
          <w:lang w:val="sr-Latn-ME"/>
        </w:rPr>
      </w:pPr>
      <w:r w:rsidRPr="00D616DF">
        <w:rPr>
          <w:i/>
          <w:sz w:val="22"/>
          <w:szCs w:val="22"/>
          <w:lang w:val="sr-Latn-ME"/>
        </w:rPr>
        <w:t>In vitro,</w:t>
      </w:r>
      <w:r w:rsidRPr="00D616DF">
        <w:rPr>
          <w:sz w:val="22"/>
          <w:szCs w:val="22"/>
          <w:lang w:val="sr-Latn-ME"/>
        </w:rPr>
        <w:t xml:space="preserve"> sunitinib je supstrat BCRP efluks transportera. U studiji A6181038 istovremena primjena gefitiniba, inhibitora BCRP, nije dovela do klinički značajnog efekta na C</w:t>
      </w:r>
      <w:r w:rsidRPr="00D616DF">
        <w:rPr>
          <w:sz w:val="22"/>
          <w:szCs w:val="22"/>
          <w:vertAlign w:val="subscript"/>
          <w:lang w:val="sr-Latn-ME"/>
        </w:rPr>
        <w:t>max</w:t>
      </w:r>
      <w:r w:rsidRPr="00D616DF">
        <w:rPr>
          <w:sz w:val="22"/>
          <w:szCs w:val="22"/>
          <w:lang w:val="sr-Latn-ME"/>
        </w:rPr>
        <w:t xml:space="preserve"> i PIK sunitiniba ili ukupnog lijeka (sunitinib + metabolit) (vidjeti dio 4.5). Ova otvorena, multicentrična studija faze I/II je ispitivala bezbjednost/podnošljivost, maksimalnu podnošljivu dozu i antitumorsku aktivnost sunitiniba u kombinaciji sa gefitinibom kod ispitanika sa MRCC. Farmakokinetika gefitiniba (250 mg dnevno) i sunitiniba (37,5 mg [Kohort 1, n=4] ili 50 mg [Kohort 2, n=7] dnevno tokom 4 nedjelje, praćeno dvonedjeljnim prekidom terapije) kada se istovremeno primjenjuju, procjenjivana je kao sekundarni cilj terapije. Promjene farmakokinetičkih parametara sunitiniba nijesu bile klinički značajne i nijesu ukazivale na lijek-lijek interakcije. Međutim, kako je broj ispitanika bio relativno mali (npr. N=4+7), a varijabilnost farmakokinetičkih parametara među pacijentima umjereno velika, potreban je oprez kada se interpretiraju farmakokinetičke lijek-lijek interakcije iz ove studije.</w:t>
      </w:r>
    </w:p>
    <w:p w:rsidR="00C671C5" w:rsidRDefault="00C671C5" w:rsidP="00480FB1">
      <w:pPr>
        <w:tabs>
          <w:tab w:val="left" w:pos="540"/>
          <w:tab w:val="left" w:pos="569"/>
        </w:tabs>
        <w:rPr>
          <w:b/>
          <w:bCs/>
          <w:sz w:val="22"/>
          <w:szCs w:val="22"/>
        </w:rPr>
      </w:pPr>
    </w:p>
    <w:p w:rsidR="00582530" w:rsidRPr="00D616DF" w:rsidRDefault="00582530" w:rsidP="00582530">
      <w:pPr>
        <w:tabs>
          <w:tab w:val="left" w:pos="540"/>
          <w:tab w:val="left" w:pos="569"/>
        </w:tabs>
        <w:rPr>
          <w:sz w:val="22"/>
          <w:szCs w:val="22"/>
          <w:u w:val="single"/>
          <w:lang w:val="sr-Latn-ME"/>
        </w:rPr>
      </w:pPr>
      <w:r w:rsidRPr="00D616DF">
        <w:rPr>
          <w:sz w:val="22"/>
          <w:szCs w:val="22"/>
          <w:u w:val="single"/>
          <w:lang w:val="sr-Latn-ME"/>
        </w:rPr>
        <w:t xml:space="preserve">Posebne populacije </w:t>
      </w:r>
    </w:p>
    <w:p w:rsidR="00582530" w:rsidRPr="00D616DF" w:rsidRDefault="00582530" w:rsidP="00582530">
      <w:pPr>
        <w:tabs>
          <w:tab w:val="left" w:pos="540"/>
          <w:tab w:val="left" w:pos="569"/>
        </w:tabs>
        <w:rPr>
          <w:i/>
          <w:sz w:val="22"/>
          <w:szCs w:val="22"/>
          <w:lang w:val="sr-Latn-ME"/>
        </w:rPr>
      </w:pPr>
    </w:p>
    <w:p w:rsidR="00582530" w:rsidRPr="00D616DF" w:rsidRDefault="00582530" w:rsidP="00582530">
      <w:pPr>
        <w:tabs>
          <w:tab w:val="left" w:pos="540"/>
          <w:tab w:val="left" w:pos="569"/>
        </w:tabs>
        <w:jc w:val="both"/>
        <w:rPr>
          <w:i/>
          <w:sz w:val="22"/>
          <w:szCs w:val="22"/>
          <w:lang w:val="sr-Latn-ME"/>
        </w:rPr>
      </w:pPr>
      <w:r w:rsidRPr="00D616DF">
        <w:rPr>
          <w:i/>
          <w:sz w:val="22"/>
          <w:szCs w:val="22"/>
          <w:lang w:val="sr-Latn-ME"/>
        </w:rPr>
        <w:t xml:space="preserve">Oštećenje funkcije jetre </w:t>
      </w:r>
    </w:p>
    <w:p w:rsidR="00582530" w:rsidRPr="00D616DF" w:rsidRDefault="00582530" w:rsidP="00582530">
      <w:pPr>
        <w:tabs>
          <w:tab w:val="left" w:pos="540"/>
          <w:tab w:val="left" w:pos="569"/>
        </w:tabs>
        <w:jc w:val="both"/>
        <w:rPr>
          <w:sz w:val="22"/>
          <w:szCs w:val="22"/>
          <w:lang w:val="sr-Latn-ME"/>
        </w:rPr>
      </w:pPr>
      <w:r w:rsidRPr="00D616DF">
        <w:rPr>
          <w:sz w:val="22"/>
          <w:szCs w:val="22"/>
          <w:lang w:val="sr-Latn-ME"/>
        </w:rPr>
        <w:t>Sunitinib i njegov primarni metabolit se uglavnom metabolišu u jetri. Sistemska izloženost poslije jedne doze sunitiniba bila je slična kod osoba sa blago do umjereno izraženim oštećenjem funkcije jetre (Child-Pugh klasa A i B) u poređenju sa osobama koji su imale normalnu funkciju jetre. Sunitinib nije ispitivan kod osoba sa teško oštećenom funkcijom jetre (Child-Pugh klasa C).</w:t>
      </w:r>
    </w:p>
    <w:p w:rsidR="00582530" w:rsidRPr="00D616DF" w:rsidRDefault="00582530" w:rsidP="00582530">
      <w:pPr>
        <w:tabs>
          <w:tab w:val="left" w:pos="540"/>
          <w:tab w:val="left" w:pos="569"/>
        </w:tabs>
        <w:rPr>
          <w:sz w:val="22"/>
          <w:szCs w:val="22"/>
          <w:lang w:val="sr-Latn-ME"/>
        </w:rPr>
      </w:pPr>
    </w:p>
    <w:p w:rsidR="00582530" w:rsidRPr="00D616DF" w:rsidRDefault="00582530" w:rsidP="00582530">
      <w:pPr>
        <w:tabs>
          <w:tab w:val="left" w:pos="540"/>
          <w:tab w:val="left" w:pos="569"/>
        </w:tabs>
        <w:jc w:val="both"/>
        <w:rPr>
          <w:sz w:val="22"/>
          <w:szCs w:val="22"/>
          <w:lang w:val="sr-Latn-ME"/>
        </w:rPr>
      </w:pPr>
      <w:r w:rsidRPr="00D616DF">
        <w:rPr>
          <w:sz w:val="22"/>
          <w:szCs w:val="22"/>
          <w:lang w:val="sr-Latn-ME"/>
        </w:rPr>
        <w:t xml:space="preserve">U ispitivanja pacijenata sa kancerom nijesu bili uključeni pacijenti kod kojih su vrijednosti ALT ili AST bile &gt; 2,5 x ULN (gornjih granica normalnih vrijednosti -eng. </w:t>
      </w:r>
      <w:r w:rsidRPr="00D616DF">
        <w:rPr>
          <w:i/>
          <w:sz w:val="22"/>
          <w:szCs w:val="22"/>
          <w:lang w:val="sr-Latn-ME"/>
        </w:rPr>
        <w:t>Upper Limit of Normal</w:t>
      </w:r>
      <w:r w:rsidRPr="00D616DF">
        <w:rPr>
          <w:sz w:val="22"/>
          <w:szCs w:val="22"/>
          <w:lang w:val="sr-Latn-ME"/>
        </w:rPr>
        <w:t xml:space="preserve"> - ULN), ili vrijednostima &gt; 5,0 x ULN ako je porast bio uzrokovan metastazama jetre. </w:t>
      </w:r>
    </w:p>
    <w:p w:rsidR="00582530" w:rsidRPr="00D616DF" w:rsidRDefault="00582530" w:rsidP="00582530">
      <w:pPr>
        <w:tabs>
          <w:tab w:val="left" w:pos="540"/>
          <w:tab w:val="left" w:pos="569"/>
        </w:tabs>
        <w:jc w:val="both"/>
        <w:rPr>
          <w:sz w:val="22"/>
          <w:szCs w:val="22"/>
          <w:lang w:val="sr-Latn-ME"/>
        </w:rPr>
      </w:pPr>
    </w:p>
    <w:p w:rsidR="00582530" w:rsidRPr="00D616DF" w:rsidRDefault="00582530" w:rsidP="00582530">
      <w:pPr>
        <w:tabs>
          <w:tab w:val="left" w:pos="540"/>
          <w:tab w:val="left" w:pos="569"/>
        </w:tabs>
        <w:jc w:val="both"/>
        <w:rPr>
          <w:sz w:val="22"/>
          <w:szCs w:val="22"/>
          <w:lang w:val="sr-Latn-ME"/>
        </w:rPr>
      </w:pPr>
      <w:r w:rsidRPr="00D616DF">
        <w:rPr>
          <w:i/>
          <w:sz w:val="22"/>
          <w:szCs w:val="22"/>
          <w:lang w:val="sr-Latn-ME"/>
        </w:rPr>
        <w:t>Oštećenje funkcije bubrega</w:t>
      </w:r>
      <w:r w:rsidRPr="00D616DF">
        <w:rPr>
          <w:sz w:val="22"/>
          <w:szCs w:val="22"/>
          <w:lang w:val="sr-Latn-ME"/>
        </w:rPr>
        <w:t xml:space="preserve"> </w:t>
      </w:r>
    </w:p>
    <w:p w:rsidR="00582530" w:rsidRPr="00D616DF" w:rsidRDefault="00582530" w:rsidP="00582530">
      <w:pPr>
        <w:tabs>
          <w:tab w:val="left" w:pos="540"/>
          <w:tab w:val="left" w:pos="569"/>
        </w:tabs>
        <w:jc w:val="both"/>
        <w:rPr>
          <w:sz w:val="22"/>
          <w:szCs w:val="22"/>
          <w:lang w:val="sr-Latn-ME"/>
        </w:rPr>
      </w:pPr>
      <w:r w:rsidRPr="00D616DF">
        <w:rPr>
          <w:sz w:val="22"/>
          <w:szCs w:val="22"/>
          <w:lang w:val="sr-Latn-ME"/>
        </w:rPr>
        <w:t xml:space="preserve">Populaciona farmakokinetička analiza ukazuje da se prividni klirens (CL/F) sunitiniba ne mijenja sa klirensom kreatinina u procijenjenom opsegu (42-347 ml/min). Sistemska izloženost nakon pojedinačne doze sunitiniba bila je slična kod pacijenata sa teškom insuficijencijom bubrega (Clcr </w:t>
      </w:r>
      <w:r w:rsidRPr="00D616DF">
        <w:rPr>
          <w:sz w:val="22"/>
          <w:szCs w:val="22"/>
          <w:lang w:val="sr-Latn-ME"/>
        </w:rPr>
        <w:sym w:font="Symbol" w:char="F03C"/>
      </w:r>
      <w:r w:rsidRPr="00D616DF">
        <w:rPr>
          <w:sz w:val="22"/>
          <w:szCs w:val="22"/>
          <w:lang w:val="sr-Latn-ME"/>
        </w:rPr>
        <w:t>30 ml/min) u poređenju sa pacijentima sa normalnom funkcijom bubrega (CLcr &gt;80 ml/min). Iako se sunitinib i njegov primarni metabolit ne eliminišu hemodijalizom kod pacijenata u terminalnoj fazi bubrežne bolesti (ESRD), ukupna sistemska izloženost bila je smanjena za 47% za sunitinib, odnosno 31% za njegov primarni metabolit, u poređenju sa pacijentima sa normalnom bubrežnom funkcijom.</w:t>
      </w:r>
    </w:p>
    <w:p w:rsidR="00582530" w:rsidRPr="00D616DF" w:rsidRDefault="00582530" w:rsidP="00582530">
      <w:pPr>
        <w:tabs>
          <w:tab w:val="left" w:pos="540"/>
          <w:tab w:val="left" w:pos="569"/>
        </w:tabs>
        <w:jc w:val="both"/>
        <w:rPr>
          <w:sz w:val="22"/>
          <w:szCs w:val="22"/>
          <w:lang w:val="sr-Latn-ME"/>
        </w:rPr>
      </w:pPr>
    </w:p>
    <w:p w:rsidR="00582530" w:rsidRPr="00D616DF" w:rsidRDefault="00582530" w:rsidP="00582530">
      <w:pPr>
        <w:tabs>
          <w:tab w:val="left" w:pos="540"/>
          <w:tab w:val="left" w:pos="569"/>
        </w:tabs>
        <w:rPr>
          <w:i/>
          <w:sz w:val="22"/>
          <w:szCs w:val="22"/>
          <w:lang w:val="sr-Latn-ME"/>
        </w:rPr>
      </w:pPr>
      <w:r w:rsidRPr="00D616DF">
        <w:rPr>
          <w:i/>
          <w:sz w:val="22"/>
          <w:szCs w:val="22"/>
          <w:lang w:val="sr-Latn-ME"/>
        </w:rPr>
        <w:t xml:space="preserve">Tjelesna masa, performans skor </w:t>
      </w:r>
    </w:p>
    <w:p w:rsidR="00582530" w:rsidRPr="00D616DF" w:rsidRDefault="00582530" w:rsidP="00582530">
      <w:pPr>
        <w:tabs>
          <w:tab w:val="left" w:pos="540"/>
          <w:tab w:val="left" w:pos="569"/>
        </w:tabs>
        <w:rPr>
          <w:sz w:val="22"/>
          <w:szCs w:val="22"/>
          <w:lang w:val="sr-Latn-ME"/>
        </w:rPr>
      </w:pPr>
      <w:r w:rsidRPr="00D616DF">
        <w:rPr>
          <w:sz w:val="22"/>
          <w:szCs w:val="22"/>
          <w:lang w:val="sr-Latn-ME"/>
        </w:rPr>
        <w:t xml:space="preserve">Populaciona farmakokinetička analiza demografskih podataka ukazuje da nije potrebno prilagođavanje doze na osnovu tjelesne mase ili performans ECOG skora (eng. </w:t>
      </w:r>
      <w:r w:rsidRPr="00D616DF">
        <w:rPr>
          <w:i/>
          <w:sz w:val="22"/>
          <w:szCs w:val="22"/>
          <w:lang w:val="sr-Latn-ME"/>
        </w:rPr>
        <w:t>Eastern Cooperative Oncology Group</w:t>
      </w:r>
      <w:r w:rsidRPr="00D616DF">
        <w:rPr>
          <w:sz w:val="22"/>
          <w:szCs w:val="22"/>
          <w:lang w:val="sr-Latn-ME"/>
        </w:rPr>
        <w:t xml:space="preserve">, ECOG). </w:t>
      </w:r>
    </w:p>
    <w:p w:rsidR="00582530" w:rsidRPr="00D616DF" w:rsidRDefault="00582530" w:rsidP="00582530">
      <w:pPr>
        <w:tabs>
          <w:tab w:val="left" w:pos="540"/>
          <w:tab w:val="left" w:pos="569"/>
        </w:tabs>
        <w:rPr>
          <w:sz w:val="22"/>
          <w:szCs w:val="22"/>
          <w:lang w:val="sr-Latn-ME"/>
        </w:rPr>
      </w:pPr>
    </w:p>
    <w:p w:rsidR="00582530" w:rsidRPr="00D616DF" w:rsidRDefault="00582530" w:rsidP="00582530">
      <w:pPr>
        <w:tabs>
          <w:tab w:val="left" w:pos="540"/>
          <w:tab w:val="left" w:pos="569"/>
        </w:tabs>
        <w:rPr>
          <w:i/>
          <w:sz w:val="22"/>
          <w:szCs w:val="22"/>
          <w:lang w:val="sr-Latn-ME"/>
        </w:rPr>
      </w:pPr>
      <w:r w:rsidRPr="00D616DF">
        <w:rPr>
          <w:i/>
          <w:sz w:val="22"/>
          <w:szCs w:val="22"/>
          <w:lang w:val="sr-Latn-ME"/>
        </w:rPr>
        <w:t xml:space="preserve">Pol </w:t>
      </w:r>
    </w:p>
    <w:p w:rsidR="00582530" w:rsidRPr="00D616DF" w:rsidRDefault="00582530" w:rsidP="00582530">
      <w:pPr>
        <w:tabs>
          <w:tab w:val="left" w:pos="540"/>
          <w:tab w:val="left" w:pos="569"/>
        </w:tabs>
        <w:jc w:val="both"/>
        <w:rPr>
          <w:sz w:val="22"/>
          <w:szCs w:val="22"/>
          <w:lang w:val="sr-Latn-ME"/>
        </w:rPr>
      </w:pPr>
      <w:r w:rsidRPr="00D616DF">
        <w:rPr>
          <w:sz w:val="22"/>
          <w:szCs w:val="22"/>
          <w:lang w:val="sr-Latn-ME"/>
        </w:rPr>
        <w:t>Dostupni podaci pokazuju da žene mogu imati otprilike 30% niži prividni klirens (CL/F) sunitiniba od muškaraca; ova razlika ne zahtijeva prilagođavanje doze.</w:t>
      </w:r>
    </w:p>
    <w:p w:rsidR="00582530" w:rsidRPr="00D616DF" w:rsidRDefault="00582530" w:rsidP="00582530">
      <w:pPr>
        <w:tabs>
          <w:tab w:val="left" w:pos="540"/>
          <w:tab w:val="left" w:pos="569"/>
        </w:tabs>
        <w:rPr>
          <w:bCs/>
          <w:sz w:val="22"/>
          <w:szCs w:val="22"/>
          <w:lang w:val="sr-Latn-ME"/>
        </w:rPr>
      </w:pPr>
    </w:p>
    <w:p w:rsidR="00582530" w:rsidRPr="00D616DF" w:rsidRDefault="00582530" w:rsidP="00582530">
      <w:pPr>
        <w:tabs>
          <w:tab w:val="left" w:pos="540"/>
          <w:tab w:val="left" w:pos="569"/>
        </w:tabs>
        <w:rPr>
          <w:i/>
          <w:sz w:val="22"/>
          <w:szCs w:val="22"/>
          <w:lang w:val="sr-Latn-ME"/>
        </w:rPr>
      </w:pPr>
      <w:r w:rsidRPr="00D616DF">
        <w:rPr>
          <w:i/>
          <w:sz w:val="22"/>
          <w:szCs w:val="22"/>
          <w:lang w:val="sr-Latn-ME"/>
        </w:rPr>
        <w:t xml:space="preserve">Pedijatrijska populacija </w:t>
      </w:r>
    </w:p>
    <w:p w:rsidR="00582530" w:rsidRPr="00D616DF" w:rsidRDefault="00582530" w:rsidP="00582530">
      <w:pPr>
        <w:tabs>
          <w:tab w:val="left" w:pos="540"/>
          <w:tab w:val="left" w:pos="569"/>
        </w:tabs>
        <w:jc w:val="both"/>
        <w:rPr>
          <w:sz w:val="22"/>
          <w:szCs w:val="22"/>
          <w:lang w:val="sr-Latn-ME"/>
        </w:rPr>
      </w:pPr>
      <w:r w:rsidRPr="00D616DF">
        <w:rPr>
          <w:sz w:val="22"/>
          <w:szCs w:val="22"/>
          <w:lang w:val="sr-Latn-ME"/>
        </w:rPr>
        <w:t xml:space="preserve">Iskustvo o upotrebi sunitiniba kod pedijatrijske populacije je ograničeno (vidjeti dio 4.2). Završene su populacione farmakokinetičke (FK) analize objedinjenih podataka odraslih pacijenata sa GIST i solidnim tumorima i pedijatrijskih pacijenata sa solidnim tumorima. Izvršena je postepena modeling analiza varijabli kako bi se procijenio značaj uzrasta i veličine tijela (ukupna tjelesna masa ili površina tijela), kao i ostalih varijabli za važne FK parametre sunitiniba i njegovih aktivnih metabolita. Od ispitivanih varijabli povezanih sa uzrastom i veličinom tijela, uzrast je bio značajnija varijabla za prividni klirens sunitiniba (što je mlađi uzrast pedijatrijskih pacijenata, niži je prividni klirens). Slično, površina tijela je bila značajna varijabla za prividni klirens aktivnog metabolita (što je manja površina tijela, niži je prividni klirens). </w:t>
      </w:r>
      <w:r>
        <w:rPr>
          <w:sz w:val="22"/>
          <w:szCs w:val="22"/>
          <w:lang w:val="sr-Latn-ME"/>
        </w:rPr>
        <w:t>Na osnovu</w:t>
      </w:r>
      <w:r w:rsidRPr="0037679D">
        <w:rPr>
          <w:sz w:val="22"/>
          <w:szCs w:val="22"/>
          <w:lang w:val="sr-Latn-ME"/>
        </w:rPr>
        <w:t xml:space="preserve"> konačnih rezultata ispitivanja simulacije FK modela, uzimajući u</w:t>
      </w:r>
      <w:r>
        <w:rPr>
          <w:sz w:val="22"/>
          <w:szCs w:val="22"/>
          <w:lang w:val="sr-Latn-ME"/>
        </w:rPr>
        <w:t xml:space="preserve"> </w:t>
      </w:r>
      <w:r w:rsidRPr="0037679D">
        <w:rPr>
          <w:sz w:val="22"/>
          <w:szCs w:val="22"/>
          <w:lang w:val="sr-Latn-ME"/>
        </w:rPr>
        <w:t>obzi</w:t>
      </w:r>
      <w:r>
        <w:rPr>
          <w:sz w:val="22"/>
          <w:szCs w:val="22"/>
          <w:lang w:val="sr-Latn-ME"/>
        </w:rPr>
        <w:t>r učinke svih varijabli, predviđ</w:t>
      </w:r>
      <w:r w:rsidRPr="0037679D">
        <w:rPr>
          <w:sz w:val="22"/>
          <w:szCs w:val="22"/>
          <w:lang w:val="sr-Latn-ME"/>
        </w:rPr>
        <w:t xml:space="preserve">a se da će doza od 25 mg/m2/dan kod pedijatrijskih </w:t>
      </w:r>
      <w:r>
        <w:rPr>
          <w:sz w:val="22"/>
          <w:szCs w:val="22"/>
          <w:lang w:val="sr-Latn-ME"/>
        </w:rPr>
        <w:t>pacijenata</w:t>
      </w:r>
      <w:r w:rsidRPr="0037679D">
        <w:rPr>
          <w:sz w:val="22"/>
          <w:szCs w:val="22"/>
          <w:lang w:val="sr-Latn-ME"/>
        </w:rPr>
        <w:t xml:space="preserve"> s</w:t>
      </w:r>
      <w:r>
        <w:rPr>
          <w:sz w:val="22"/>
          <w:szCs w:val="22"/>
          <w:lang w:val="sr-Latn-ME"/>
        </w:rPr>
        <w:t>a GIST-om (uzrasta od 6-11 i 12-17) iskazati uporedne vrijednosti izlož</w:t>
      </w:r>
      <w:r w:rsidRPr="0037679D">
        <w:rPr>
          <w:sz w:val="22"/>
          <w:szCs w:val="22"/>
          <w:lang w:val="sr-Latn-ME"/>
        </w:rPr>
        <w:t>enosti sunitinibu u plazmi s</w:t>
      </w:r>
      <w:r>
        <w:rPr>
          <w:sz w:val="22"/>
          <w:szCs w:val="22"/>
          <w:lang w:val="sr-Latn-ME"/>
        </w:rPr>
        <w:t>a onima kod</w:t>
      </w:r>
      <w:r w:rsidRPr="0037679D">
        <w:rPr>
          <w:sz w:val="22"/>
          <w:szCs w:val="22"/>
          <w:lang w:val="sr-Latn-ME"/>
        </w:rPr>
        <w:t xml:space="preserve"> odraslih bolesnika s</w:t>
      </w:r>
      <w:r>
        <w:rPr>
          <w:sz w:val="22"/>
          <w:szCs w:val="22"/>
          <w:lang w:val="sr-Latn-ME"/>
        </w:rPr>
        <w:t>a</w:t>
      </w:r>
      <w:r w:rsidRPr="0037679D">
        <w:rPr>
          <w:sz w:val="22"/>
          <w:szCs w:val="22"/>
          <w:lang w:val="sr-Latn-ME"/>
        </w:rPr>
        <w:t xml:space="preserve"> GIST-om liječenih s</w:t>
      </w:r>
      <w:r>
        <w:rPr>
          <w:sz w:val="22"/>
          <w:szCs w:val="22"/>
          <w:lang w:val="sr-Latn-ME"/>
        </w:rPr>
        <w:t>a</w:t>
      </w:r>
      <w:r w:rsidRPr="0037679D">
        <w:rPr>
          <w:sz w:val="22"/>
          <w:szCs w:val="22"/>
          <w:lang w:val="sr-Latn-ME"/>
        </w:rPr>
        <w:t xml:space="preserve"> 50 mg/dan po </w:t>
      </w:r>
      <w:r>
        <w:rPr>
          <w:sz w:val="22"/>
          <w:szCs w:val="22"/>
          <w:lang w:val="sr-Latn-ME"/>
        </w:rPr>
        <w:t>režimu</w:t>
      </w:r>
      <w:r w:rsidRPr="0037679D">
        <w:rPr>
          <w:sz w:val="22"/>
          <w:szCs w:val="22"/>
          <w:lang w:val="sr-Latn-ME"/>
        </w:rPr>
        <w:t xml:space="preserve"> 4/2.</w:t>
      </w:r>
    </w:p>
    <w:p w:rsidR="00582530" w:rsidRPr="00D616DF" w:rsidRDefault="00582530" w:rsidP="00582530">
      <w:pPr>
        <w:tabs>
          <w:tab w:val="left" w:pos="540"/>
          <w:tab w:val="left" w:pos="569"/>
        </w:tabs>
        <w:jc w:val="both"/>
        <w:rPr>
          <w:sz w:val="22"/>
          <w:szCs w:val="22"/>
          <w:lang w:val="sr-Latn-ME"/>
        </w:rPr>
      </w:pPr>
    </w:p>
    <w:p w:rsidR="00582530" w:rsidRPr="00582530" w:rsidRDefault="00582530" w:rsidP="00582530">
      <w:pPr>
        <w:tabs>
          <w:tab w:val="left" w:pos="540"/>
          <w:tab w:val="left" w:pos="569"/>
        </w:tabs>
        <w:jc w:val="both"/>
        <w:rPr>
          <w:sz w:val="22"/>
          <w:szCs w:val="22"/>
          <w:lang w:val="sr-Latn-ME"/>
        </w:rPr>
      </w:pPr>
      <w:r w:rsidRPr="00D616DF">
        <w:rPr>
          <w:sz w:val="22"/>
          <w:szCs w:val="22"/>
          <w:lang w:val="sr-Latn-ME"/>
        </w:rPr>
        <w:t xml:space="preserve">Nadalje, na osnovu integrisanih populacionih FK analiza objedinjenih podataka iz 3 pedijatrijska ispitivanja (2 ispitivanja pedijatrijskih pacijenata sa solidnim tumorima i 1 ispitivanje pedijatrijskih pacijenata sa GIST-om; uzrast pedijatrijskih pacijenata: od 6 do 11 godina, odnosno od 12 do 17 godina), početna površina tijela (eng. </w:t>
      </w:r>
      <w:r w:rsidRPr="00D616DF">
        <w:rPr>
          <w:i/>
          <w:sz w:val="22"/>
          <w:szCs w:val="22"/>
          <w:lang w:val="sr-Latn-ME"/>
        </w:rPr>
        <w:t>baseline body surface area</w:t>
      </w:r>
      <w:r w:rsidRPr="00D616DF">
        <w:rPr>
          <w:sz w:val="22"/>
          <w:szCs w:val="22"/>
          <w:lang w:val="sr-Latn-ME"/>
        </w:rPr>
        <w:t xml:space="preserve"> - BSA) bila je značajna kovarijata za prividni klirens sunitiniba i njegovog aktivnog metabolita. Na osnovu ove analize, očekuje se da će doza od približno 20 mg/m</w:t>
      </w:r>
      <w:r w:rsidRPr="00D616DF">
        <w:rPr>
          <w:sz w:val="22"/>
          <w:szCs w:val="22"/>
          <w:vertAlign w:val="superscript"/>
          <w:lang w:val="sr-Latn-ME"/>
        </w:rPr>
        <w:t>2</w:t>
      </w:r>
      <w:r w:rsidRPr="00D616DF">
        <w:rPr>
          <w:sz w:val="22"/>
          <w:szCs w:val="22"/>
          <w:lang w:val="sr-Latn-ME"/>
        </w:rPr>
        <w:t xml:space="preserve"> na dan kod pedijatrijskih pacijenata sa rasponom početne površine tijela od 1,10 m</w:t>
      </w:r>
      <w:r w:rsidRPr="00D616DF">
        <w:rPr>
          <w:sz w:val="22"/>
          <w:szCs w:val="22"/>
          <w:vertAlign w:val="superscript"/>
          <w:lang w:val="sr-Latn-ME"/>
        </w:rPr>
        <w:t>2</w:t>
      </w:r>
      <w:r w:rsidRPr="00D616DF">
        <w:rPr>
          <w:sz w:val="22"/>
          <w:szCs w:val="22"/>
          <w:lang w:val="sr-Latn-ME"/>
        </w:rPr>
        <w:t xml:space="preserve"> do 1,87 m</w:t>
      </w:r>
      <w:r w:rsidRPr="00D616DF">
        <w:rPr>
          <w:sz w:val="22"/>
          <w:szCs w:val="22"/>
          <w:vertAlign w:val="superscript"/>
          <w:lang w:val="sr-Latn-ME"/>
        </w:rPr>
        <w:t>2</w:t>
      </w:r>
      <w:r w:rsidRPr="00D616DF">
        <w:rPr>
          <w:sz w:val="22"/>
          <w:szCs w:val="22"/>
          <w:lang w:val="sr-Latn-ME"/>
        </w:rPr>
        <w:t xml:space="preserve"> dati vrijednosti izloženosti sunitinibu i njegovom aktivnom metabolitu u plazmi (između 75 % i 125 % vrijednosti PIK-a) uporedive sa onima kod odraslih sa GIST-om liječenima dozom sunitiniba od 50 mg na dan po režimu 4/2 (vrijednost PIK-a 1233 ng.hr/ml). U ispitivanjima pedijatrijskih pacijenata, početna doza sunitiniba iznosila je 15 mg/m</w:t>
      </w:r>
      <w:r w:rsidRPr="00D616DF">
        <w:rPr>
          <w:sz w:val="22"/>
          <w:szCs w:val="22"/>
          <w:vertAlign w:val="superscript"/>
          <w:lang w:val="sr-Latn-ME"/>
        </w:rPr>
        <w:t>2</w:t>
      </w:r>
      <w:r w:rsidRPr="00D616DF">
        <w:rPr>
          <w:sz w:val="22"/>
          <w:szCs w:val="22"/>
          <w:lang w:val="sr-Latn-ME"/>
        </w:rPr>
        <w:t xml:space="preserve"> (na osnovu maksimalne podnošljive doze zapažene u ispitivanju faze I u kojem se ispitivalo povećanje doze, vidjeti dio 5.1) pa je kod pedijatrijskih pacijenata sa GIST-om bila povećana na 22,5 mg/m</w:t>
      </w:r>
      <w:r w:rsidRPr="00D616DF">
        <w:rPr>
          <w:sz w:val="22"/>
          <w:szCs w:val="22"/>
          <w:vertAlign w:val="superscript"/>
          <w:lang w:val="sr-Latn-ME"/>
        </w:rPr>
        <w:t>2</w:t>
      </w:r>
      <w:r w:rsidRPr="00D616DF">
        <w:rPr>
          <w:sz w:val="22"/>
          <w:szCs w:val="22"/>
          <w:lang w:val="sr-Latn-ME"/>
        </w:rPr>
        <w:t>, a zatim na 30 mg/m</w:t>
      </w:r>
      <w:r w:rsidRPr="00D616DF">
        <w:rPr>
          <w:sz w:val="22"/>
          <w:szCs w:val="22"/>
          <w:vertAlign w:val="superscript"/>
          <w:lang w:val="sr-Latn-ME"/>
        </w:rPr>
        <w:t>2</w:t>
      </w:r>
      <w:r w:rsidRPr="00D616DF">
        <w:rPr>
          <w:sz w:val="22"/>
          <w:szCs w:val="22"/>
          <w:lang w:val="sr-Latn-ME"/>
        </w:rPr>
        <w:t xml:space="preserve"> (bez prekoračenja ukupne doze od 50 mg/dan), na osnovu bezbjednosti primjene/podnošljivosti kod pojedinog pacijenta. Nadalje, prema objavljenoj literaturi se izračunata početna doza kod pedijatrijskih pacijenata sa GIST-om kretala u rasponu od 16,6 mg/m</w:t>
      </w:r>
      <w:r w:rsidRPr="00D616DF">
        <w:rPr>
          <w:sz w:val="22"/>
          <w:szCs w:val="22"/>
          <w:vertAlign w:val="superscript"/>
          <w:lang w:val="sr-Latn-ME"/>
        </w:rPr>
        <w:t>2</w:t>
      </w:r>
      <w:r w:rsidRPr="00D616DF">
        <w:rPr>
          <w:sz w:val="22"/>
          <w:szCs w:val="22"/>
          <w:lang w:val="sr-Latn-ME"/>
        </w:rPr>
        <w:t xml:space="preserve"> do 36 mg/m</w:t>
      </w:r>
      <w:r w:rsidRPr="00D616DF">
        <w:rPr>
          <w:sz w:val="22"/>
          <w:szCs w:val="22"/>
          <w:vertAlign w:val="superscript"/>
          <w:lang w:val="sr-Latn-ME"/>
        </w:rPr>
        <w:t>2</w:t>
      </w:r>
      <w:r w:rsidRPr="00D616DF">
        <w:rPr>
          <w:sz w:val="22"/>
          <w:szCs w:val="22"/>
          <w:lang w:val="sr-Latn-ME"/>
        </w:rPr>
        <w:t xml:space="preserve"> pa je povećana do doza koje su dosezale najvišu vrijednost od 40,4 mg/m</w:t>
      </w:r>
      <w:r w:rsidRPr="00D616DF">
        <w:rPr>
          <w:sz w:val="22"/>
          <w:szCs w:val="22"/>
          <w:vertAlign w:val="superscript"/>
          <w:lang w:val="sr-Latn-ME"/>
        </w:rPr>
        <w:t>2</w:t>
      </w:r>
      <w:r w:rsidRPr="00D616DF">
        <w:rPr>
          <w:sz w:val="22"/>
          <w:szCs w:val="22"/>
          <w:lang w:val="sr-Latn-ME"/>
        </w:rPr>
        <w:t xml:space="preserve"> (bez prekoračenja ukupne doze od 50 mg/dan).</w:t>
      </w:r>
    </w:p>
    <w:p w:rsidR="0072020E" w:rsidRPr="00786071" w:rsidRDefault="0072020E" w:rsidP="00480FB1">
      <w:pPr>
        <w:tabs>
          <w:tab w:val="left" w:pos="540"/>
          <w:tab w:val="left" w:pos="569"/>
        </w:tabs>
        <w:rPr>
          <w:bCs/>
          <w:sz w:val="22"/>
          <w:szCs w:val="22"/>
        </w:rPr>
      </w:pPr>
    </w:p>
    <w:p w:rsidR="00386214" w:rsidRDefault="00386214" w:rsidP="00480FB1">
      <w:pPr>
        <w:tabs>
          <w:tab w:val="left" w:pos="540"/>
          <w:tab w:val="left" w:pos="569"/>
        </w:tabs>
        <w:rPr>
          <w:b/>
          <w:bCs/>
          <w:sz w:val="22"/>
          <w:szCs w:val="22"/>
        </w:rPr>
      </w:pPr>
    </w:p>
    <w:p w:rsidR="0072020E" w:rsidRDefault="0072020E" w:rsidP="00480FB1">
      <w:pPr>
        <w:tabs>
          <w:tab w:val="left" w:pos="540"/>
          <w:tab w:val="left" w:pos="569"/>
        </w:tabs>
        <w:rPr>
          <w:b/>
          <w:bCs/>
          <w:sz w:val="22"/>
          <w:szCs w:val="22"/>
        </w:rPr>
      </w:pPr>
      <w:r w:rsidRPr="00786071">
        <w:rPr>
          <w:b/>
          <w:bCs/>
          <w:sz w:val="22"/>
          <w:szCs w:val="22"/>
        </w:rPr>
        <w:lastRenderedPageBreak/>
        <w:t xml:space="preserve">5.3. </w:t>
      </w:r>
      <w:r w:rsidR="00480FB1" w:rsidRPr="00786071">
        <w:rPr>
          <w:b/>
          <w:bCs/>
          <w:sz w:val="22"/>
          <w:szCs w:val="22"/>
        </w:rPr>
        <w:tab/>
      </w:r>
      <w:r w:rsidRPr="00786071">
        <w:rPr>
          <w:b/>
          <w:bCs/>
          <w:sz w:val="22"/>
          <w:szCs w:val="22"/>
        </w:rPr>
        <w:t xml:space="preserve">Pretklinički podaci o bezbjednosti </w:t>
      </w:r>
    </w:p>
    <w:p w:rsidR="009664FE" w:rsidRPr="00786071" w:rsidRDefault="009664FE" w:rsidP="00480FB1">
      <w:pPr>
        <w:tabs>
          <w:tab w:val="left" w:pos="540"/>
          <w:tab w:val="left" w:pos="569"/>
        </w:tabs>
        <w:rPr>
          <w:b/>
          <w:bCs/>
          <w:sz w:val="22"/>
          <w:szCs w:val="22"/>
        </w:rPr>
      </w:pPr>
    </w:p>
    <w:p w:rsidR="009664FE" w:rsidRPr="00D616DF" w:rsidRDefault="009664FE" w:rsidP="009664FE">
      <w:pPr>
        <w:tabs>
          <w:tab w:val="left" w:pos="540"/>
          <w:tab w:val="left" w:pos="569"/>
        </w:tabs>
        <w:jc w:val="both"/>
        <w:rPr>
          <w:sz w:val="22"/>
          <w:szCs w:val="22"/>
          <w:lang w:val="sr-Latn-ME"/>
        </w:rPr>
      </w:pPr>
      <w:r w:rsidRPr="00D616DF">
        <w:rPr>
          <w:sz w:val="22"/>
          <w:szCs w:val="22"/>
          <w:lang w:val="sr-Latn-ME"/>
        </w:rPr>
        <w:t>Kod studija toksičnosti sa ponovljenim dozama lijeka na pacovima i majmunima u trajanju do 9 mjeseci, kao primarni ciljni organi za dejstvo lijeka identifikovani su gastrointestinalni trakt (p</w:t>
      </w:r>
      <w:r>
        <w:rPr>
          <w:sz w:val="22"/>
          <w:szCs w:val="22"/>
          <w:lang w:val="sr-Latn-ME"/>
        </w:rPr>
        <w:t>ovraćanje i dijareja</w:t>
      </w:r>
      <w:r w:rsidRPr="00D616DF">
        <w:rPr>
          <w:sz w:val="22"/>
          <w:szCs w:val="22"/>
          <w:lang w:val="sr-Latn-ME"/>
        </w:rPr>
        <w:t xml:space="preserve"> kod majmuna); nadbubrežne žlijezde (kongestija korteksa i/ili hemoragija kod pacova i majmuna, sa nekrozom i posljedičnom fibrozom samo kod pacova); hematolimfopoetski sistem (hipocelularnost ko</w:t>
      </w:r>
      <w:r w:rsidR="002745B0">
        <w:rPr>
          <w:sz w:val="22"/>
          <w:szCs w:val="22"/>
          <w:lang w:val="sr-Latn-ME"/>
        </w:rPr>
        <w:t>šta</w:t>
      </w:r>
      <w:r w:rsidRPr="00D616DF">
        <w:rPr>
          <w:sz w:val="22"/>
          <w:szCs w:val="22"/>
          <w:lang w:val="sr-Latn-ME"/>
        </w:rPr>
        <w:t>ne srži i limfoidna deplecija timusa, slezine i limfnih čvorova); egzokrini pankreas (degranulacija acinusnih ćelija sa nekrozom pojedinačnih ćelija); pljuvačne žlijezde (acinusna hipertrofija); zglobovi (zadebljanje ploče rastenja), uterus (atrofija) i jajnici (smanjen razvoj folikula). Sve promjene odigrale su se pri klinički relevantnim koncentracijama sunitiniba u plazmi. Dodatni efekti, opisani u drugim studijama su produženje QTc intervala, smanjenje LVEF, atrofija tubula testisa, povećanje mezengijalnih ćelija u bubrezima, hemoragija u gastrointestinalnom traktu i oralnoj mukozi, kao i hipertrofija ćelija prednjeg režnja hipofize. Za promjene uterusa (atrofija endometrijuma) i epifiznoj ploči rasta kostiju (zadebljanje fize ili displazija hrskavice) smatra se da su u vezi, tj. da su posljedica farmakološkog dejstva sunitiniba. Najveći broj ovih promjena bio je reverzibilan tokom 2 do 6 nedjelja bez terapije.</w:t>
      </w:r>
    </w:p>
    <w:p w:rsidR="009664FE" w:rsidRPr="00D616DF" w:rsidRDefault="009664FE" w:rsidP="009664FE">
      <w:pPr>
        <w:tabs>
          <w:tab w:val="left" w:pos="540"/>
          <w:tab w:val="left" w:pos="569"/>
        </w:tabs>
        <w:rPr>
          <w:sz w:val="22"/>
          <w:szCs w:val="22"/>
          <w:lang w:val="sr-Latn-ME"/>
        </w:rPr>
      </w:pPr>
    </w:p>
    <w:p w:rsidR="009664FE" w:rsidRPr="00D616DF" w:rsidRDefault="009664FE" w:rsidP="009664FE">
      <w:pPr>
        <w:tabs>
          <w:tab w:val="left" w:pos="540"/>
          <w:tab w:val="left" w:pos="569"/>
        </w:tabs>
        <w:rPr>
          <w:sz w:val="22"/>
          <w:szCs w:val="22"/>
          <w:u w:val="single"/>
          <w:lang w:val="sr-Latn-ME"/>
        </w:rPr>
      </w:pPr>
      <w:r w:rsidRPr="00D616DF">
        <w:rPr>
          <w:sz w:val="22"/>
          <w:szCs w:val="22"/>
          <w:u w:val="single"/>
          <w:lang w:val="sr-Latn-ME"/>
        </w:rPr>
        <w:t xml:space="preserve">Genotoksičnost </w:t>
      </w:r>
    </w:p>
    <w:p w:rsidR="007A0A4C" w:rsidRPr="007A0A4C" w:rsidRDefault="007A0A4C" w:rsidP="007A0A4C">
      <w:pPr>
        <w:tabs>
          <w:tab w:val="left" w:pos="540"/>
          <w:tab w:val="left" w:pos="569"/>
        </w:tabs>
        <w:jc w:val="both"/>
        <w:rPr>
          <w:sz w:val="22"/>
          <w:szCs w:val="22"/>
          <w:lang w:val="sr-Latn-ME"/>
        </w:rPr>
      </w:pPr>
      <w:r w:rsidRPr="00D616DF">
        <w:rPr>
          <w:sz w:val="22"/>
          <w:szCs w:val="22"/>
          <w:lang w:val="sr-Latn-ME"/>
        </w:rPr>
        <w:t xml:space="preserve">Genotoksični potencijal sunitiniba ispitivan je u uslovima </w:t>
      </w:r>
      <w:r w:rsidRPr="00D616DF">
        <w:rPr>
          <w:i/>
          <w:sz w:val="22"/>
          <w:szCs w:val="22"/>
          <w:lang w:val="sr-Latn-ME"/>
        </w:rPr>
        <w:t>in vitro</w:t>
      </w:r>
      <w:r w:rsidRPr="00D616DF">
        <w:rPr>
          <w:sz w:val="22"/>
          <w:szCs w:val="22"/>
          <w:lang w:val="sr-Latn-ME"/>
        </w:rPr>
        <w:t xml:space="preserve"> i </w:t>
      </w:r>
      <w:r w:rsidRPr="00D616DF">
        <w:rPr>
          <w:i/>
          <w:sz w:val="22"/>
          <w:szCs w:val="22"/>
          <w:lang w:val="sr-Latn-ME"/>
        </w:rPr>
        <w:t>in vivo</w:t>
      </w:r>
      <w:r w:rsidRPr="00D616DF">
        <w:rPr>
          <w:sz w:val="22"/>
          <w:szCs w:val="22"/>
          <w:lang w:val="sr-Latn-ME"/>
        </w:rPr>
        <w:t xml:space="preserve">. Sunitinib nije bio mutagen u bakterijskim testovima sa metaboličkom aktivacijom uz pomoć jetre pacova. Takođe, sunitinib nije izazivao strukturne aberacije hromozoma na humanim limfocitima periferne krvi u uslovima </w:t>
      </w:r>
      <w:r w:rsidRPr="00D616DF">
        <w:rPr>
          <w:i/>
          <w:sz w:val="22"/>
          <w:szCs w:val="22"/>
          <w:lang w:val="sr-Latn-ME"/>
        </w:rPr>
        <w:t>in vitro</w:t>
      </w:r>
      <w:r w:rsidRPr="00D616DF">
        <w:rPr>
          <w:sz w:val="22"/>
          <w:szCs w:val="22"/>
          <w:lang w:val="sr-Latn-ME"/>
        </w:rPr>
        <w:t xml:space="preserve">. Poliploidija (numeričke aberacije hromozoma) opisana je na humanim limfocitima dobijenim iz periferne krvi u uslovima </w:t>
      </w:r>
      <w:r w:rsidRPr="00D616DF">
        <w:rPr>
          <w:i/>
          <w:sz w:val="22"/>
          <w:szCs w:val="22"/>
          <w:lang w:val="sr-Latn-ME"/>
        </w:rPr>
        <w:t>in vitro</w:t>
      </w:r>
      <w:r w:rsidRPr="00D616DF">
        <w:rPr>
          <w:sz w:val="22"/>
          <w:szCs w:val="22"/>
          <w:lang w:val="sr-Latn-ME"/>
        </w:rPr>
        <w:t>, kako u prisustvu, tako i u odsustvu metaboličke aktivacije. Sunitinib nije imao klastogeno dejstvo na ko</w:t>
      </w:r>
      <w:r w:rsidR="002745B0">
        <w:rPr>
          <w:sz w:val="22"/>
          <w:szCs w:val="22"/>
          <w:lang w:val="sr-Latn-ME"/>
        </w:rPr>
        <w:t>šta</w:t>
      </w:r>
      <w:r w:rsidRPr="00D616DF">
        <w:rPr>
          <w:sz w:val="22"/>
          <w:szCs w:val="22"/>
          <w:lang w:val="sr-Latn-ME"/>
        </w:rPr>
        <w:t xml:space="preserve">noj srži pacova u uslovima </w:t>
      </w:r>
      <w:r w:rsidRPr="00D616DF">
        <w:rPr>
          <w:i/>
          <w:sz w:val="22"/>
          <w:szCs w:val="22"/>
          <w:lang w:val="sr-Latn-ME"/>
        </w:rPr>
        <w:t>in vivo</w:t>
      </w:r>
      <w:r w:rsidRPr="00D616DF">
        <w:rPr>
          <w:sz w:val="22"/>
          <w:szCs w:val="22"/>
          <w:lang w:val="sr-Latn-ME"/>
        </w:rPr>
        <w:t xml:space="preserve">. Nije ispitana genotoksičnost glavnog aktivnog metabolita. </w:t>
      </w:r>
    </w:p>
    <w:p w:rsidR="007A0A4C" w:rsidRDefault="007A0A4C" w:rsidP="007A0A4C">
      <w:pPr>
        <w:tabs>
          <w:tab w:val="left" w:pos="540"/>
          <w:tab w:val="left" w:pos="569"/>
        </w:tabs>
        <w:jc w:val="both"/>
        <w:rPr>
          <w:sz w:val="22"/>
          <w:szCs w:val="22"/>
          <w:u w:val="single"/>
          <w:lang w:val="sr-Latn-ME"/>
        </w:rPr>
      </w:pPr>
    </w:p>
    <w:p w:rsidR="007A0A4C" w:rsidRPr="00D616DF" w:rsidRDefault="007A0A4C" w:rsidP="007A0A4C">
      <w:pPr>
        <w:tabs>
          <w:tab w:val="left" w:pos="540"/>
          <w:tab w:val="left" w:pos="569"/>
        </w:tabs>
        <w:jc w:val="both"/>
        <w:rPr>
          <w:sz w:val="22"/>
          <w:szCs w:val="22"/>
          <w:u w:val="single"/>
          <w:lang w:val="sr-Latn-ME"/>
        </w:rPr>
      </w:pPr>
      <w:r w:rsidRPr="00D616DF">
        <w:rPr>
          <w:sz w:val="22"/>
          <w:szCs w:val="22"/>
          <w:u w:val="single"/>
          <w:lang w:val="sr-Latn-ME"/>
        </w:rPr>
        <w:t xml:space="preserve">Karcinogenost </w:t>
      </w:r>
    </w:p>
    <w:p w:rsidR="007A0A4C" w:rsidRPr="00D616DF" w:rsidRDefault="007A0A4C" w:rsidP="007A0A4C">
      <w:pPr>
        <w:tabs>
          <w:tab w:val="left" w:pos="540"/>
          <w:tab w:val="left" w:pos="569"/>
        </w:tabs>
        <w:jc w:val="both"/>
        <w:rPr>
          <w:sz w:val="22"/>
          <w:szCs w:val="22"/>
          <w:lang w:val="sr-Latn-ME"/>
        </w:rPr>
      </w:pPr>
      <w:r w:rsidRPr="00D616DF">
        <w:rPr>
          <w:sz w:val="22"/>
          <w:szCs w:val="22"/>
          <w:lang w:val="sr-Latn-ME"/>
        </w:rPr>
        <w:t>U jednomjesečnoj studiji određivanja doze (0, 10, 25, 75 ili 200 mg/kg/dnevno) na rasH2 transgenim miševima, sa kontinuiranom dnevnom primjenom lijeka putem gastrične sonde zabilježeni su karcinom i hiperplazija Brunerovih žlijezda duodenuma pri primjeni najviše</w:t>
      </w:r>
      <w:r w:rsidR="002745B0">
        <w:rPr>
          <w:sz w:val="22"/>
          <w:szCs w:val="22"/>
          <w:lang w:val="sr-Latn-ME"/>
        </w:rPr>
        <w:t xml:space="preserve"> ispitivane </w:t>
      </w:r>
      <w:r w:rsidRPr="00D616DF">
        <w:rPr>
          <w:sz w:val="22"/>
          <w:szCs w:val="22"/>
          <w:lang w:val="sr-Latn-ME"/>
        </w:rPr>
        <w:t xml:space="preserve">doze (200 mg/kg/dnevno). </w:t>
      </w:r>
    </w:p>
    <w:p w:rsidR="007A0A4C" w:rsidRPr="00D616DF" w:rsidRDefault="007A0A4C" w:rsidP="007A0A4C">
      <w:pPr>
        <w:tabs>
          <w:tab w:val="left" w:pos="540"/>
          <w:tab w:val="left" w:pos="569"/>
        </w:tabs>
        <w:jc w:val="both"/>
        <w:rPr>
          <w:sz w:val="22"/>
          <w:szCs w:val="22"/>
          <w:lang w:val="sr-Latn-ME"/>
        </w:rPr>
      </w:pPr>
    </w:p>
    <w:p w:rsidR="007A0A4C" w:rsidRPr="00D616DF" w:rsidRDefault="007A0A4C" w:rsidP="007A0A4C">
      <w:pPr>
        <w:tabs>
          <w:tab w:val="left" w:pos="540"/>
          <w:tab w:val="left" w:pos="569"/>
        </w:tabs>
        <w:jc w:val="both"/>
        <w:rPr>
          <w:sz w:val="22"/>
          <w:szCs w:val="22"/>
          <w:lang w:val="sr-Latn-ME"/>
        </w:rPr>
      </w:pPr>
      <w:r w:rsidRPr="00D616DF">
        <w:rPr>
          <w:sz w:val="22"/>
          <w:szCs w:val="22"/>
          <w:lang w:val="sr-Latn-ME"/>
        </w:rPr>
        <w:t xml:space="preserve">Šestomjesečna studija karcinogenosti (0, 8, 25, 75 [smanjeno na 50] mg/kg/dnevno) na rasH2 transgenim miševima sprovedena je svakodnevnom primjenom lijeka putem gastrične sonde. Gastroduodenalni karcinomi, povećana incidenca pratećeg hemangiosarkoma i/ili hiperplazija gastrične mukoze zabilježeni su pri dozama od ≥ 25 mg/kg/dnevno nakon jednomjesečnog ili šestomjesečnog trajanja terapije ( ≥ 7,3 puta PIK kod pacijenata koji su primali preporučenu dnevnu dozu). </w:t>
      </w:r>
    </w:p>
    <w:p w:rsidR="007A0A4C" w:rsidRPr="00D616DF" w:rsidRDefault="007A0A4C" w:rsidP="007A0A4C">
      <w:pPr>
        <w:tabs>
          <w:tab w:val="left" w:pos="540"/>
          <w:tab w:val="left" w:pos="569"/>
        </w:tabs>
        <w:jc w:val="both"/>
        <w:rPr>
          <w:sz w:val="22"/>
          <w:szCs w:val="22"/>
          <w:lang w:val="sr-Latn-ME"/>
        </w:rPr>
      </w:pPr>
    </w:p>
    <w:p w:rsidR="007A0A4C" w:rsidRPr="00D616DF" w:rsidRDefault="007A0A4C" w:rsidP="007A0A4C">
      <w:pPr>
        <w:tabs>
          <w:tab w:val="left" w:pos="540"/>
          <w:tab w:val="left" w:pos="569"/>
        </w:tabs>
        <w:jc w:val="both"/>
        <w:rPr>
          <w:sz w:val="22"/>
          <w:szCs w:val="22"/>
          <w:lang w:val="sr-Latn-ME"/>
        </w:rPr>
      </w:pPr>
      <w:r w:rsidRPr="00D616DF">
        <w:rPr>
          <w:sz w:val="22"/>
          <w:szCs w:val="22"/>
          <w:lang w:val="sr-Latn-ME"/>
        </w:rPr>
        <w:t>U dvogodišnjoj studiji karcinogenosti sprovedenoj na pacovima (0; 0,33; 1 ili 3 mg/kg/dnevno), primjena sunitiniba u ciklusima od 28 dana nakon čega je slijedio sedmodnevni period bez primjene lijeka dovela je do povećanja incidence feohromocitoma i hiperplazije srži nadbubrega kod mužjaka pacova koji su primali 3 mg/kg/dan nakon &gt; 1 godine primjene ( ≥ 7,8 puta veći PIK nego kod pacijenata koji su primali preporučenu dnevnu dozu). Karcinom Brunerovih žlijezda duodenuma javljao se pri dozama ≥ 1 mg/kg/dan kod ženki i dozama 3 mg/kg/dnevno kod mužjaka, dok je hiperplazija mukoznih ćelija bila uočljiva u žlijezdama želuca pri dozama od 3 mg/kg/dnevno kod mužjaka. Ove promjene javljale su se pri vrijednosti PIK koji je bio ≥ 0,9; 7,8 i 7,8 puta veći od onog kod pacijenata koji su primali preporučenu dnevnu dozu, redom. Nije jasna relevantnost nalaza neoplastični</w:t>
      </w:r>
      <w:r w:rsidR="002745B0">
        <w:rPr>
          <w:sz w:val="22"/>
          <w:szCs w:val="22"/>
          <w:lang w:val="sr-Latn-ME"/>
        </w:rPr>
        <w:t>h</w:t>
      </w:r>
      <w:r w:rsidRPr="00D616DF">
        <w:rPr>
          <w:sz w:val="22"/>
          <w:szCs w:val="22"/>
          <w:lang w:val="sr-Latn-ME"/>
        </w:rPr>
        <w:t xml:space="preserve"> promjena</w:t>
      </w:r>
      <w:r w:rsidR="003B7FFE">
        <w:rPr>
          <w:sz w:val="22"/>
          <w:szCs w:val="22"/>
          <w:lang w:val="sr-Latn-ME"/>
        </w:rPr>
        <w:t xml:space="preserve"> </w:t>
      </w:r>
      <w:r w:rsidR="003B7FFE" w:rsidRPr="003B7FFE">
        <w:rPr>
          <w:sz w:val="22"/>
          <w:szCs w:val="22"/>
          <w:lang w:val="sr-Latn-ME"/>
        </w:rPr>
        <w:t>u studijama karcinogenosti</w:t>
      </w:r>
      <w:r w:rsidR="002745B0">
        <w:rPr>
          <w:sz w:val="22"/>
          <w:szCs w:val="22"/>
          <w:lang w:val="sr-Latn-ME"/>
        </w:rPr>
        <w:t xml:space="preserve"> na (</w:t>
      </w:r>
      <w:r w:rsidRPr="00D616DF">
        <w:rPr>
          <w:sz w:val="22"/>
          <w:szCs w:val="22"/>
          <w:lang w:val="sr-Latn-ME"/>
        </w:rPr>
        <w:t>rasH2 transgeni</w:t>
      </w:r>
      <w:r w:rsidR="002745B0">
        <w:rPr>
          <w:sz w:val="22"/>
          <w:szCs w:val="22"/>
          <w:lang w:val="sr-Latn-ME"/>
        </w:rPr>
        <w:t>m)</w:t>
      </w:r>
      <w:r w:rsidRPr="00D616DF">
        <w:rPr>
          <w:sz w:val="22"/>
          <w:szCs w:val="22"/>
          <w:lang w:val="sr-Latn-ME"/>
        </w:rPr>
        <w:t xml:space="preserve"> mišev</w:t>
      </w:r>
      <w:r w:rsidR="002745B0">
        <w:rPr>
          <w:sz w:val="22"/>
          <w:szCs w:val="22"/>
          <w:lang w:val="sr-Latn-ME"/>
        </w:rPr>
        <w:t>ima</w:t>
      </w:r>
      <w:r w:rsidRPr="00D616DF">
        <w:rPr>
          <w:sz w:val="22"/>
          <w:szCs w:val="22"/>
          <w:lang w:val="sr-Latn-ME"/>
        </w:rPr>
        <w:t xml:space="preserve"> i pacov</w:t>
      </w:r>
      <w:r w:rsidR="002745B0">
        <w:rPr>
          <w:sz w:val="22"/>
          <w:szCs w:val="22"/>
          <w:lang w:val="sr-Latn-ME"/>
        </w:rPr>
        <w:t>ima</w:t>
      </w:r>
      <w:r w:rsidRPr="00D616DF">
        <w:rPr>
          <w:sz w:val="22"/>
          <w:szCs w:val="22"/>
          <w:lang w:val="sr-Latn-ME"/>
        </w:rPr>
        <w:t xml:space="preserve"> </w:t>
      </w:r>
      <w:r w:rsidR="003B7FFE" w:rsidRPr="003B7FFE">
        <w:rPr>
          <w:sz w:val="22"/>
          <w:szCs w:val="22"/>
          <w:lang w:val="sr-Latn-ME"/>
        </w:rPr>
        <w:t xml:space="preserve">za primjenu sunitiniba </w:t>
      </w:r>
      <w:r w:rsidRPr="00D616DF">
        <w:rPr>
          <w:sz w:val="22"/>
          <w:szCs w:val="22"/>
          <w:lang w:val="sr-Latn-ME"/>
        </w:rPr>
        <w:t>za humanu populaciju</w:t>
      </w:r>
    </w:p>
    <w:p w:rsidR="007A0A4C" w:rsidRPr="00D616DF" w:rsidRDefault="007A0A4C" w:rsidP="007A0A4C">
      <w:pPr>
        <w:tabs>
          <w:tab w:val="left" w:pos="540"/>
          <w:tab w:val="left" w:pos="569"/>
        </w:tabs>
        <w:rPr>
          <w:sz w:val="22"/>
          <w:szCs w:val="22"/>
          <w:lang w:val="sr-Latn-ME"/>
        </w:rPr>
      </w:pPr>
    </w:p>
    <w:p w:rsidR="007A0A4C" w:rsidRPr="00D616DF" w:rsidRDefault="007A0A4C" w:rsidP="007A0A4C">
      <w:pPr>
        <w:tabs>
          <w:tab w:val="left" w:pos="540"/>
          <w:tab w:val="left" w:pos="569"/>
        </w:tabs>
        <w:rPr>
          <w:sz w:val="22"/>
          <w:szCs w:val="22"/>
          <w:u w:val="single"/>
          <w:lang w:val="sr-Latn-ME"/>
        </w:rPr>
      </w:pPr>
      <w:r w:rsidRPr="00D616DF">
        <w:rPr>
          <w:sz w:val="22"/>
          <w:szCs w:val="22"/>
          <w:u w:val="single"/>
          <w:lang w:val="sr-Latn-ME"/>
        </w:rPr>
        <w:t xml:space="preserve">Reproduktivna toksičnost i toksičnost na proces razvoja </w:t>
      </w:r>
    </w:p>
    <w:p w:rsidR="007A0A4C" w:rsidRPr="00D616DF" w:rsidRDefault="007A0A4C" w:rsidP="007A0A4C">
      <w:pPr>
        <w:tabs>
          <w:tab w:val="left" w:pos="540"/>
          <w:tab w:val="left" w:pos="569"/>
        </w:tabs>
        <w:jc w:val="both"/>
        <w:rPr>
          <w:sz w:val="22"/>
          <w:szCs w:val="22"/>
          <w:lang w:val="sr-Latn-ME"/>
        </w:rPr>
      </w:pPr>
      <w:r w:rsidRPr="00D616DF">
        <w:rPr>
          <w:sz w:val="22"/>
          <w:szCs w:val="22"/>
          <w:lang w:val="sr-Latn-ME"/>
        </w:rPr>
        <w:t xml:space="preserve">Nijesu opisani efekti na fertilitet mužjaka i ženki u studijama reproduktivne toksičnosti na eksperimentalnim životinjama. Ipak, u studijama toksičnosti sa ponovljenim dozama izvedenim na pacovima i majmunima, bili su zapaženi efekti na fertilitet ženki u obliku folikularne atrezije, degeneracije </w:t>
      </w:r>
      <w:r w:rsidRPr="00D616DF">
        <w:rPr>
          <w:i/>
          <w:sz w:val="22"/>
          <w:szCs w:val="22"/>
          <w:lang w:val="sr-Latn-ME"/>
        </w:rPr>
        <w:t>corpora lutea</w:t>
      </w:r>
      <w:r w:rsidRPr="00D616DF">
        <w:rPr>
          <w:sz w:val="22"/>
          <w:szCs w:val="22"/>
          <w:lang w:val="sr-Latn-ME"/>
        </w:rPr>
        <w:t xml:space="preserve">, promjena endometrijuma i smanjenja težine uterusa i jajnika pri nivoima klinički relevantne ekspozicije. Efekti na fertilitet mužjaka kod pacova opisani su kao tubularna atrofija testisa, redukcija spermatozoida u epididimisima, kao i koloidna deplecija u prostati i sjemenim vezikulama. Ovi efekti su opisani pri plazmatskoj ekspoziciji lijeku koja je bila 25 puta veća od sistemske izloženosti kod ljudi. </w:t>
      </w:r>
    </w:p>
    <w:p w:rsidR="007A0A4C" w:rsidRPr="00D616DF" w:rsidRDefault="007A0A4C" w:rsidP="007A0A4C">
      <w:pPr>
        <w:tabs>
          <w:tab w:val="left" w:pos="540"/>
          <w:tab w:val="left" w:pos="569"/>
        </w:tabs>
        <w:jc w:val="both"/>
        <w:rPr>
          <w:sz w:val="22"/>
          <w:szCs w:val="22"/>
          <w:lang w:val="sr-Latn-ME"/>
        </w:rPr>
      </w:pPr>
    </w:p>
    <w:p w:rsidR="007A0A4C" w:rsidRPr="00D616DF" w:rsidRDefault="007A0A4C" w:rsidP="007A0A4C">
      <w:pPr>
        <w:tabs>
          <w:tab w:val="left" w:pos="540"/>
          <w:tab w:val="left" w:pos="569"/>
        </w:tabs>
        <w:jc w:val="both"/>
        <w:rPr>
          <w:sz w:val="22"/>
          <w:szCs w:val="22"/>
          <w:lang w:val="sr-Latn-ME"/>
        </w:rPr>
      </w:pPr>
      <w:r w:rsidRPr="00D616DF">
        <w:rPr>
          <w:sz w:val="22"/>
          <w:szCs w:val="22"/>
          <w:lang w:val="sr-Latn-ME"/>
        </w:rPr>
        <w:t xml:space="preserve">Kod pacova, embriofetalni mortalitet bio je manifestovan kao značajno smanjenje broja živih fetusa, povećanje broja resorpcija, povećanje broja postimplantacionih gubitaka, kao i ukupni broj gubitaka potomaka kod 8 od 28 skotnih ženki pri ekspoziciji koja je bila 5,5 puta veća od sistemske izloženosti kod ljudi. Kod kunića, smanjenje težine gravidnog uterusa i broja živih fetusa bilo je posljedica povećanja broja resorpcija, povećanja postimplantacionog gubitka i ukupnog broja izgubljenih potomaka kod 4 od 6 skotnih ženki pri plazmatskoj ekspoziciji koja je bila 3 puta veća od sistemske izloženosti kod ljudi. Primjena sunitiniba u dozama ≥ 5 mg/kg/dnevno kod pacova tokom organogeneze izaziva defekte u razvoju koji se manifestuju kao povećanje incidence malformacija fetalnog skeleta, predominantno kao usporena osifikacija torakalnih/lumbalnih pršljenova, i odigrava se pri plazmatskoj ekspoziciji koja je bila 5,5 puta veća od sistemske izloženosti kod ljudi. Kod kunića, defekti u razvoju manifestovali su se kao povećana incidenca rascjepa usne pri plazmatskoj ekspoziciji koja je bila 2,7 puta veća od sistemske izloženosti kod ljudi. </w:t>
      </w:r>
    </w:p>
    <w:p w:rsidR="007A0A4C" w:rsidRPr="00D616DF" w:rsidRDefault="007A0A4C" w:rsidP="007A0A4C">
      <w:pPr>
        <w:tabs>
          <w:tab w:val="left" w:pos="540"/>
          <w:tab w:val="left" w:pos="569"/>
        </w:tabs>
        <w:jc w:val="both"/>
        <w:rPr>
          <w:sz w:val="22"/>
          <w:szCs w:val="22"/>
          <w:lang w:val="sr-Latn-ME"/>
        </w:rPr>
      </w:pPr>
    </w:p>
    <w:p w:rsidR="007A0A4C" w:rsidRPr="00D616DF" w:rsidRDefault="007A0A4C" w:rsidP="007A0A4C">
      <w:pPr>
        <w:tabs>
          <w:tab w:val="left" w:pos="540"/>
          <w:tab w:val="left" w:pos="569"/>
        </w:tabs>
        <w:jc w:val="both"/>
        <w:rPr>
          <w:sz w:val="22"/>
          <w:szCs w:val="22"/>
          <w:lang w:val="sr-Latn-ME"/>
        </w:rPr>
      </w:pPr>
      <w:r w:rsidRPr="00D616DF">
        <w:rPr>
          <w:sz w:val="22"/>
          <w:szCs w:val="22"/>
          <w:lang w:val="sr-Latn-ME"/>
        </w:rPr>
        <w:t>Primjena sunitiniba (0,3; 1,0; 3,0 mg/kg/dnevno) ispitivana je u studijama prije i postnatalnog razvoja kod skotnih ženki pacova. Povećanje tjelesne mase majke bilo je smanjeno tokom perioda gestacije i laktacije pri dozama ≥1 mg/kg/dnevno, ali nije uočena reproduktivna toksičnost po majku pri dozama do 3 mg/kg/ dnevno (očekivana izloženost ≥ 2,3 puta PIK kod pacijenata koji su primali preporučenu dnevnu dozu). Smanjena tjelesna masa novorođenčadi primijećena je u periodu prije i poslije prestanka dojenja pri dozama od 3 mg/kg/dnevno. Nije uočena toksičnost na proces razvoja pri dozama od 1 mg/kg/ dnevno (približna izloženost ≥ 0,9 puta PIK kod pacijenata koji su primali preporučenu dnevnu dozu).</w:t>
      </w:r>
    </w:p>
    <w:p w:rsidR="00396DFD" w:rsidRPr="00786071" w:rsidRDefault="00396DFD" w:rsidP="00480FB1">
      <w:pPr>
        <w:tabs>
          <w:tab w:val="left" w:pos="540"/>
          <w:tab w:val="left" w:pos="569"/>
        </w:tabs>
        <w:rPr>
          <w:b/>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rsidR="00836B35" w:rsidRPr="00786071" w:rsidRDefault="00836B35" w:rsidP="00480FB1">
      <w:pPr>
        <w:tabs>
          <w:tab w:val="left" w:pos="540"/>
          <w:tab w:val="left" w:pos="569"/>
        </w:tabs>
        <w:rPr>
          <w:bCs/>
          <w:sz w:val="22"/>
          <w:szCs w:val="22"/>
        </w:rPr>
      </w:pPr>
    </w:p>
    <w:p w:rsidR="0072020E"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rsidR="007A0A4C" w:rsidRPr="00786071" w:rsidRDefault="007A0A4C" w:rsidP="00480FB1">
      <w:pPr>
        <w:tabs>
          <w:tab w:val="left" w:pos="540"/>
          <w:tab w:val="left" w:pos="569"/>
        </w:tabs>
        <w:rPr>
          <w:b/>
          <w:bCs/>
          <w:sz w:val="22"/>
          <w:szCs w:val="22"/>
        </w:rPr>
      </w:pPr>
    </w:p>
    <w:p w:rsidR="007A0A4C" w:rsidRPr="007A0A4C" w:rsidRDefault="007A0A4C" w:rsidP="007A0A4C">
      <w:pPr>
        <w:tabs>
          <w:tab w:val="left" w:pos="540"/>
          <w:tab w:val="left" w:pos="569"/>
        </w:tabs>
        <w:rPr>
          <w:bCs/>
          <w:sz w:val="22"/>
          <w:szCs w:val="22"/>
          <w:u w:val="single"/>
        </w:rPr>
      </w:pPr>
      <w:r w:rsidRPr="007A0A4C">
        <w:rPr>
          <w:bCs/>
          <w:sz w:val="22"/>
          <w:szCs w:val="22"/>
          <w:u w:val="single"/>
        </w:rPr>
        <w:t>Sadržaj kapsule</w:t>
      </w:r>
    </w:p>
    <w:p w:rsidR="007A0A4C" w:rsidRDefault="007A0A4C" w:rsidP="007A0A4C">
      <w:pPr>
        <w:tabs>
          <w:tab w:val="left" w:pos="540"/>
          <w:tab w:val="left" w:pos="569"/>
        </w:tabs>
        <w:rPr>
          <w:bCs/>
          <w:sz w:val="22"/>
          <w:szCs w:val="22"/>
        </w:rPr>
      </w:pPr>
      <w:r w:rsidRPr="007A0A4C">
        <w:rPr>
          <w:bCs/>
          <w:sz w:val="22"/>
          <w:szCs w:val="22"/>
        </w:rPr>
        <w:t xml:space="preserve">manitol </w:t>
      </w:r>
    </w:p>
    <w:p w:rsidR="007A0A4C" w:rsidRPr="007A0A4C" w:rsidRDefault="007A0A4C" w:rsidP="007A0A4C">
      <w:pPr>
        <w:tabs>
          <w:tab w:val="left" w:pos="540"/>
          <w:tab w:val="left" w:pos="569"/>
        </w:tabs>
        <w:rPr>
          <w:bCs/>
          <w:sz w:val="22"/>
          <w:szCs w:val="22"/>
        </w:rPr>
      </w:pPr>
      <w:r w:rsidRPr="007A0A4C">
        <w:rPr>
          <w:bCs/>
          <w:sz w:val="22"/>
          <w:szCs w:val="22"/>
        </w:rPr>
        <w:t>povidon K-25</w:t>
      </w:r>
    </w:p>
    <w:p w:rsidR="007A0A4C" w:rsidRDefault="007A0A4C" w:rsidP="007A0A4C">
      <w:pPr>
        <w:tabs>
          <w:tab w:val="left" w:pos="540"/>
          <w:tab w:val="left" w:pos="569"/>
        </w:tabs>
        <w:rPr>
          <w:bCs/>
          <w:sz w:val="22"/>
          <w:szCs w:val="22"/>
        </w:rPr>
      </w:pPr>
      <w:r w:rsidRPr="007A0A4C">
        <w:rPr>
          <w:bCs/>
          <w:sz w:val="22"/>
          <w:szCs w:val="22"/>
        </w:rPr>
        <w:t xml:space="preserve">kroskarmeloza natrijum </w:t>
      </w:r>
    </w:p>
    <w:p w:rsidR="007A0A4C" w:rsidRPr="007A0A4C" w:rsidRDefault="007A0A4C" w:rsidP="007A0A4C">
      <w:pPr>
        <w:tabs>
          <w:tab w:val="left" w:pos="540"/>
          <w:tab w:val="left" w:pos="569"/>
        </w:tabs>
        <w:rPr>
          <w:bCs/>
          <w:sz w:val="22"/>
          <w:szCs w:val="22"/>
        </w:rPr>
      </w:pPr>
      <w:r w:rsidRPr="007A0A4C">
        <w:rPr>
          <w:bCs/>
          <w:sz w:val="22"/>
          <w:szCs w:val="22"/>
        </w:rPr>
        <w:t>magnezijum stearat</w:t>
      </w:r>
    </w:p>
    <w:p w:rsidR="007A0A4C" w:rsidRPr="007A0A4C" w:rsidRDefault="007A0A4C" w:rsidP="007A0A4C">
      <w:pPr>
        <w:tabs>
          <w:tab w:val="left" w:pos="540"/>
          <w:tab w:val="left" w:pos="569"/>
        </w:tabs>
        <w:rPr>
          <w:bCs/>
          <w:sz w:val="22"/>
          <w:szCs w:val="22"/>
          <w:u w:val="single"/>
        </w:rPr>
      </w:pPr>
    </w:p>
    <w:p w:rsidR="007A0A4C" w:rsidRPr="007A0A4C" w:rsidRDefault="007A0A4C" w:rsidP="007A0A4C">
      <w:pPr>
        <w:tabs>
          <w:tab w:val="left" w:pos="540"/>
          <w:tab w:val="left" w:pos="569"/>
        </w:tabs>
        <w:rPr>
          <w:bCs/>
          <w:sz w:val="22"/>
          <w:szCs w:val="22"/>
          <w:u w:val="single"/>
        </w:rPr>
      </w:pPr>
      <w:r w:rsidRPr="007A0A4C">
        <w:rPr>
          <w:bCs/>
          <w:sz w:val="22"/>
          <w:szCs w:val="22"/>
          <w:u w:val="single"/>
        </w:rPr>
        <w:t>Omotač kapsule</w:t>
      </w:r>
    </w:p>
    <w:p w:rsidR="007A0A4C" w:rsidRPr="007A0A4C" w:rsidRDefault="007A0A4C" w:rsidP="007A0A4C">
      <w:pPr>
        <w:tabs>
          <w:tab w:val="left" w:pos="540"/>
          <w:tab w:val="left" w:pos="569"/>
        </w:tabs>
        <w:rPr>
          <w:bCs/>
          <w:sz w:val="22"/>
          <w:szCs w:val="22"/>
        </w:rPr>
      </w:pPr>
      <w:r w:rsidRPr="007A0A4C">
        <w:rPr>
          <w:bCs/>
          <w:sz w:val="22"/>
          <w:szCs w:val="22"/>
        </w:rPr>
        <w:t>želatin</w:t>
      </w:r>
    </w:p>
    <w:p w:rsidR="007A0A4C" w:rsidRPr="007A0A4C" w:rsidRDefault="007A0A4C" w:rsidP="007A0A4C">
      <w:pPr>
        <w:tabs>
          <w:tab w:val="left" w:pos="540"/>
          <w:tab w:val="left" w:pos="569"/>
        </w:tabs>
        <w:rPr>
          <w:bCs/>
          <w:sz w:val="22"/>
          <w:szCs w:val="22"/>
        </w:rPr>
      </w:pPr>
      <w:r w:rsidRPr="007A0A4C">
        <w:rPr>
          <w:bCs/>
          <w:sz w:val="22"/>
          <w:szCs w:val="22"/>
        </w:rPr>
        <w:t>titan dioksid (E171)</w:t>
      </w:r>
    </w:p>
    <w:p w:rsidR="007A0A4C" w:rsidRDefault="007A0A4C" w:rsidP="007A0A4C">
      <w:pPr>
        <w:tabs>
          <w:tab w:val="left" w:pos="540"/>
          <w:tab w:val="left" w:pos="569"/>
        </w:tabs>
        <w:rPr>
          <w:bCs/>
          <w:sz w:val="22"/>
          <w:szCs w:val="22"/>
        </w:rPr>
      </w:pPr>
      <w:r w:rsidRPr="007A0A4C">
        <w:rPr>
          <w:bCs/>
          <w:sz w:val="22"/>
          <w:szCs w:val="22"/>
        </w:rPr>
        <w:t xml:space="preserve">gvožđe (III) oksid, žuti (E172) </w:t>
      </w:r>
    </w:p>
    <w:p w:rsidR="007A0A4C" w:rsidRPr="007A0A4C" w:rsidRDefault="007A0A4C" w:rsidP="007A0A4C">
      <w:pPr>
        <w:tabs>
          <w:tab w:val="left" w:pos="540"/>
          <w:tab w:val="left" w:pos="569"/>
        </w:tabs>
        <w:rPr>
          <w:bCs/>
          <w:sz w:val="22"/>
          <w:szCs w:val="22"/>
        </w:rPr>
      </w:pPr>
      <w:r w:rsidRPr="007A0A4C">
        <w:rPr>
          <w:bCs/>
          <w:sz w:val="22"/>
          <w:szCs w:val="22"/>
        </w:rPr>
        <w:t>gvožđe (III) oksid, crveni (E172)</w:t>
      </w:r>
    </w:p>
    <w:p w:rsidR="007A0A4C" w:rsidRPr="007A0A4C" w:rsidRDefault="007A0A4C" w:rsidP="007A0A4C">
      <w:pPr>
        <w:tabs>
          <w:tab w:val="left" w:pos="540"/>
          <w:tab w:val="left" w:pos="569"/>
        </w:tabs>
        <w:rPr>
          <w:bCs/>
          <w:sz w:val="22"/>
          <w:szCs w:val="22"/>
        </w:rPr>
      </w:pPr>
      <w:r w:rsidRPr="007A0A4C">
        <w:rPr>
          <w:bCs/>
          <w:sz w:val="22"/>
          <w:szCs w:val="22"/>
        </w:rPr>
        <w:t xml:space="preserve"> </w:t>
      </w:r>
    </w:p>
    <w:p w:rsidR="007A0A4C" w:rsidRDefault="007A0A4C" w:rsidP="007A0A4C">
      <w:pPr>
        <w:tabs>
          <w:tab w:val="left" w:pos="540"/>
          <w:tab w:val="left" w:pos="569"/>
        </w:tabs>
        <w:rPr>
          <w:bCs/>
          <w:sz w:val="22"/>
          <w:szCs w:val="22"/>
          <w:u w:val="single"/>
        </w:rPr>
      </w:pPr>
      <w:r w:rsidRPr="007A0A4C">
        <w:rPr>
          <w:bCs/>
          <w:sz w:val="22"/>
          <w:szCs w:val="22"/>
          <w:u w:val="single"/>
        </w:rPr>
        <w:t xml:space="preserve">Boja za označavanje </w:t>
      </w:r>
    </w:p>
    <w:p w:rsidR="007A0A4C" w:rsidRPr="007A0A4C" w:rsidRDefault="007A0A4C" w:rsidP="007A0A4C">
      <w:pPr>
        <w:tabs>
          <w:tab w:val="left" w:pos="540"/>
          <w:tab w:val="left" w:pos="569"/>
        </w:tabs>
        <w:rPr>
          <w:bCs/>
          <w:sz w:val="22"/>
          <w:szCs w:val="22"/>
        </w:rPr>
      </w:pPr>
      <w:r w:rsidRPr="000276D9">
        <w:rPr>
          <w:bCs/>
          <w:sz w:val="22"/>
          <w:szCs w:val="22"/>
        </w:rPr>
        <w:t>š</w:t>
      </w:r>
      <w:r w:rsidRPr="007A0A4C">
        <w:rPr>
          <w:bCs/>
          <w:sz w:val="22"/>
          <w:szCs w:val="22"/>
        </w:rPr>
        <w:t>elak</w:t>
      </w:r>
    </w:p>
    <w:p w:rsidR="007A0A4C" w:rsidRDefault="007A0A4C" w:rsidP="007A0A4C">
      <w:pPr>
        <w:tabs>
          <w:tab w:val="left" w:pos="540"/>
          <w:tab w:val="left" w:pos="569"/>
        </w:tabs>
        <w:rPr>
          <w:bCs/>
          <w:sz w:val="22"/>
          <w:szCs w:val="22"/>
        </w:rPr>
      </w:pPr>
      <w:r w:rsidRPr="007A0A4C">
        <w:rPr>
          <w:bCs/>
          <w:sz w:val="22"/>
          <w:szCs w:val="22"/>
        </w:rPr>
        <w:t xml:space="preserve">gvožđe (III) oksid, crni (E172) </w:t>
      </w:r>
    </w:p>
    <w:p w:rsidR="007A0A4C" w:rsidRPr="007A0A4C" w:rsidRDefault="007A0A4C" w:rsidP="007A0A4C">
      <w:pPr>
        <w:tabs>
          <w:tab w:val="left" w:pos="540"/>
          <w:tab w:val="left" w:pos="569"/>
        </w:tabs>
        <w:rPr>
          <w:bCs/>
          <w:sz w:val="22"/>
          <w:szCs w:val="22"/>
        </w:rPr>
      </w:pPr>
      <w:r w:rsidRPr="007A0A4C">
        <w:rPr>
          <w:bCs/>
          <w:sz w:val="22"/>
          <w:szCs w:val="22"/>
        </w:rPr>
        <w:t>propilen glikol</w:t>
      </w:r>
    </w:p>
    <w:p w:rsidR="007A0A4C" w:rsidRDefault="007A0A4C" w:rsidP="007A0A4C">
      <w:pPr>
        <w:tabs>
          <w:tab w:val="left" w:pos="540"/>
          <w:tab w:val="left" w:pos="569"/>
        </w:tabs>
        <w:rPr>
          <w:bCs/>
          <w:sz w:val="22"/>
          <w:szCs w:val="22"/>
        </w:rPr>
      </w:pPr>
      <w:r w:rsidRPr="007A0A4C">
        <w:rPr>
          <w:bCs/>
          <w:sz w:val="22"/>
          <w:szCs w:val="22"/>
        </w:rPr>
        <w:t xml:space="preserve">rastvor amonijaka, koncentrovani </w:t>
      </w:r>
    </w:p>
    <w:p w:rsidR="0072020E" w:rsidRDefault="007A0A4C" w:rsidP="007A0A4C">
      <w:pPr>
        <w:tabs>
          <w:tab w:val="left" w:pos="540"/>
          <w:tab w:val="left" w:pos="569"/>
        </w:tabs>
        <w:rPr>
          <w:bCs/>
          <w:sz w:val="22"/>
          <w:szCs w:val="22"/>
        </w:rPr>
      </w:pPr>
      <w:r w:rsidRPr="007A0A4C">
        <w:rPr>
          <w:bCs/>
          <w:sz w:val="22"/>
          <w:szCs w:val="22"/>
        </w:rPr>
        <w:t>kalijum hidroksid</w:t>
      </w:r>
    </w:p>
    <w:p w:rsidR="007A0A4C" w:rsidRPr="00786071" w:rsidRDefault="007A0A4C" w:rsidP="007A0A4C">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rsidR="0072020E" w:rsidRDefault="0072020E" w:rsidP="00480FB1">
      <w:pPr>
        <w:tabs>
          <w:tab w:val="left" w:pos="540"/>
          <w:tab w:val="left" w:pos="569"/>
        </w:tabs>
        <w:rPr>
          <w:bCs/>
          <w:sz w:val="22"/>
          <w:szCs w:val="22"/>
        </w:rPr>
      </w:pPr>
    </w:p>
    <w:p w:rsidR="007A0A4C" w:rsidRDefault="007A0A4C" w:rsidP="00480FB1">
      <w:pPr>
        <w:tabs>
          <w:tab w:val="left" w:pos="540"/>
          <w:tab w:val="left" w:pos="569"/>
        </w:tabs>
        <w:rPr>
          <w:bCs/>
          <w:sz w:val="22"/>
          <w:szCs w:val="22"/>
        </w:rPr>
      </w:pPr>
      <w:r>
        <w:rPr>
          <w:bCs/>
          <w:sz w:val="22"/>
          <w:szCs w:val="22"/>
        </w:rPr>
        <w:t>Nije primjenljivo.</w:t>
      </w:r>
    </w:p>
    <w:p w:rsidR="007A0A4C" w:rsidRPr="00786071" w:rsidRDefault="007A0A4C"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rsidR="0072020E" w:rsidRDefault="0072020E" w:rsidP="00480FB1">
      <w:pPr>
        <w:tabs>
          <w:tab w:val="left" w:pos="540"/>
          <w:tab w:val="left" w:pos="569"/>
        </w:tabs>
        <w:rPr>
          <w:bCs/>
          <w:sz w:val="22"/>
          <w:szCs w:val="22"/>
        </w:rPr>
      </w:pPr>
    </w:p>
    <w:p w:rsidR="007A0A4C" w:rsidRDefault="007A0A4C" w:rsidP="00480FB1">
      <w:pPr>
        <w:tabs>
          <w:tab w:val="left" w:pos="540"/>
          <w:tab w:val="left" w:pos="569"/>
        </w:tabs>
        <w:rPr>
          <w:bCs/>
          <w:sz w:val="22"/>
          <w:szCs w:val="22"/>
        </w:rPr>
      </w:pPr>
      <w:r>
        <w:rPr>
          <w:bCs/>
          <w:sz w:val="22"/>
          <w:szCs w:val="22"/>
        </w:rPr>
        <w:t>3 godine.</w:t>
      </w:r>
    </w:p>
    <w:p w:rsidR="007A0A4C" w:rsidRPr="00786071" w:rsidRDefault="007A0A4C"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rsidR="00EC2532" w:rsidRDefault="00EC2532" w:rsidP="00480FB1">
      <w:pPr>
        <w:tabs>
          <w:tab w:val="left" w:pos="540"/>
          <w:tab w:val="left" w:pos="569"/>
        </w:tabs>
        <w:rPr>
          <w:bCs/>
          <w:sz w:val="22"/>
          <w:szCs w:val="22"/>
        </w:rPr>
      </w:pPr>
    </w:p>
    <w:p w:rsidR="007A0A4C" w:rsidRPr="007A0A4C" w:rsidRDefault="007A0A4C" w:rsidP="007A0A4C">
      <w:pPr>
        <w:tabs>
          <w:tab w:val="left" w:pos="540"/>
          <w:tab w:val="left" w:pos="569"/>
        </w:tabs>
        <w:rPr>
          <w:bCs/>
          <w:sz w:val="22"/>
          <w:szCs w:val="22"/>
        </w:rPr>
      </w:pPr>
      <w:r w:rsidRPr="007A0A4C">
        <w:rPr>
          <w:bCs/>
          <w:sz w:val="22"/>
          <w:szCs w:val="22"/>
        </w:rPr>
        <w:t>Ne čuvati na temperaturi iznad 30ºC.</w:t>
      </w:r>
    </w:p>
    <w:p w:rsidR="007A0A4C" w:rsidRPr="007A0A4C" w:rsidRDefault="007A0A4C" w:rsidP="007A0A4C">
      <w:pPr>
        <w:tabs>
          <w:tab w:val="left" w:pos="540"/>
          <w:tab w:val="left" w:pos="569"/>
        </w:tabs>
        <w:rPr>
          <w:bCs/>
          <w:sz w:val="22"/>
          <w:szCs w:val="22"/>
        </w:rPr>
      </w:pPr>
    </w:p>
    <w:p w:rsidR="007A0A4C" w:rsidRDefault="007A0A4C" w:rsidP="007A0A4C">
      <w:pPr>
        <w:tabs>
          <w:tab w:val="left" w:pos="540"/>
          <w:tab w:val="left" w:pos="569"/>
        </w:tabs>
        <w:rPr>
          <w:bCs/>
          <w:sz w:val="22"/>
          <w:szCs w:val="22"/>
        </w:rPr>
      </w:pPr>
      <w:r w:rsidRPr="007A0A4C">
        <w:rPr>
          <w:bCs/>
          <w:sz w:val="22"/>
          <w:szCs w:val="22"/>
        </w:rPr>
        <w:t>Čuvati u originalnom pakovanju radi zaštite od vlage.</w:t>
      </w:r>
    </w:p>
    <w:p w:rsidR="007A0A4C" w:rsidRPr="00786071" w:rsidRDefault="007A0A4C" w:rsidP="007A0A4C">
      <w:pPr>
        <w:tabs>
          <w:tab w:val="left" w:pos="540"/>
          <w:tab w:val="left" w:pos="569"/>
        </w:tabs>
        <w:rPr>
          <w:bCs/>
          <w:sz w:val="22"/>
          <w:szCs w:val="22"/>
        </w:rPr>
      </w:pPr>
    </w:p>
    <w:p w:rsidR="0072020E"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rsidR="007A0A4C" w:rsidRDefault="007A0A4C" w:rsidP="007A0A4C">
      <w:pPr>
        <w:tabs>
          <w:tab w:val="left" w:pos="540"/>
          <w:tab w:val="left" w:pos="569"/>
        </w:tabs>
        <w:rPr>
          <w:bCs/>
          <w:sz w:val="22"/>
          <w:szCs w:val="22"/>
        </w:rPr>
      </w:pPr>
    </w:p>
    <w:p w:rsidR="00FA6AD8" w:rsidRDefault="007A0A4C" w:rsidP="007A0A4C">
      <w:pPr>
        <w:tabs>
          <w:tab w:val="left" w:pos="540"/>
          <w:tab w:val="left" w:pos="569"/>
        </w:tabs>
        <w:jc w:val="both"/>
        <w:rPr>
          <w:bCs/>
          <w:sz w:val="22"/>
          <w:szCs w:val="22"/>
        </w:rPr>
      </w:pPr>
      <w:r>
        <w:rPr>
          <w:bCs/>
          <w:sz w:val="22"/>
          <w:szCs w:val="22"/>
        </w:rPr>
        <w:t xml:space="preserve">Lijek Sunitinib Pliva je dostupan u pakovanju od </w:t>
      </w:r>
      <w:r w:rsidRPr="007A0A4C">
        <w:rPr>
          <w:bCs/>
          <w:sz w:val="22"/>
          <w:szCs w:val="22"/>
        </w:rPr>
        <w:t>28 kapsula, tvrdih</w:t>
      </w:r>
      <w:r>
        <w:rPr>
          <w:bCs/>
          <w:sz w:val="22"/>
          <w:szCs w:val="22"/>
        </w:rPr>
        <w:t xml:space="preserve"> u blisterima </w:t>
      </w:r>
      <w:r w:rsidR="00FA6AD8">
        <w:rPr>
          <w:bCs/>
          <w:sz w:val="22"/>
          <w:szCs w:val="22"/>
        </w:rPr>
        <w:t xml:space="preserve">djeljivim na pojedinačne doze, 4x7 </w:t>
      </w:r>
      <w:r>
        <w:rPr>
          <w:bCs/>
          <w:sz w:val="22"/>
          <w:szCs w:val="22"/>
        </w:rPr>
        <w:t>(</w:t>
      </w:r>
      <w:r w:rsidRPr="007A0A4C">
        <w:rPr>
          <w:bCs/>
          <w:sz w:val="22"/>
          <w:szCs w:val="22"/>
        </w:rPr>
        <w:t>PVC/Aclar/PVC/</w:t>
      </w:r>
      <w:r>
        <w:rPr>
          <w:bCs/>
          <w:sz w:val="22"/>
          <w:szCs w:val="22"/>
        </w:rPr>
        <w:t xml:space="preserve"> </w:t>
      </w:r>
      <w:r w:rsidRPr="007A0A4C">
        <w:rPr>
          <w:bCs/>
          <w:sz w:val="22"/>
          <w:szCs w:val="22"/>
        </w:rPr>
        <w:t>/Aluminijska folija blisteri</w:t>
      </w:r>
      <w:r>
        <w:rPr>
          <w:bCs/>
          <w:sz w:val="22"/>
          <w:szCs w:val="22"/>
        </w:rPr>
        <w:t>)</w:t>
      </w:r>
      <w:r w:rsidR="00FA6AD8">
        <w:rPr>
          <w:bCs/>
          <w:sz w:val="22"/>
          <w:szCs w:val="22"/>
        </w:rPr>
        <w:t xml:space="preserve">. </w:t>
      </w:r>
    </w:p>
    <w:p w:rsidR="0072020E" w:rsidRPr="00786071" w:rsidRDefault="0072020E" w:rsidP="007A0A4C">
      <w:pPr>
        <w:tabs>
          <w:tab w:val="left" w:pos="540"/>
          <w:tab w:val="left" w:pos="569"/>
        </w:tabs>
        <w:jc w:val="both"/>
        <w:rPr>
          <w:bCs/>
          <w:sz w:val="22"/>
          <w:szCs w:val="22"/>
        </w:rPr>
      </w:pPr>
    </w:p>
    <w:p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rsidR="007A0A4C" w:rsidRDefault="007A0A4C" w:rsidP="00480FB1">
      <w:pPr>
        <w:tabs>
          <w:tab w:val="left" w:pos="540"/>
          <w:tab w:val="left" w:pos="569"/>
        </w:tabs>
        <w:rPr>
          <w:b/>
          <w:bCs/>
          <w:sz w:val="22"/>
          <w:szCs w:val="22"/>
        </w:rPr>
      </w:pPr>
    </w:p>
    <w:p w:rsidR="00B66A70" w:rsidRPr="007A0A4C" w:rsidRDefault="007A0A4C" w:rsidP="007A0A4C">
      <w:pPr>
        <w:tabs>
          <w:tab w:val="left" w:pos="540"/>
          <w:tab w:val="left" w:pos="569"/>
        </w:tabs>
        <w:jc w:val="both"/>
        <w:rPr>
          <w:bCs/>
          <w:sz w:val="22"/>
          <w:szCs w:val="22"/>
        </w:rPr>
      </w:pPr>
      <w:r w:rsidRPr="007A0A4C">
        <w:rPr>
          <w:bCs/>
          <w:sz w:val="22"/>
          <w:szCs w:val="22"/>
        </w:rPr>
        <w:t>Svu neiskorišćenu količinu lijeka ili otpadnog materijala nakon njegove upotrebe treba ukloniti, u skladu sa važećim propisima.</w:t>
      </w:r>
    </w:p>
    <w:p w:rsidR="0072020E" w:rsidRPr="00786071" w:rsidRDefault="0072020E" w:rsidP="00480FB1">
      <w:pPr>
        <w:tabs>
          <w:tab w:val="left" w:pos="540"/>
          <w:tab w:val="left" w:pos="569"/>
        </w:tabs>
        <w:rPr>
          <w:bCs/>
          <w:sz w:val="22"/>
          <w:szCs w:val="22"/>
        </w:rPr>
      </w:pPr>
    </w:p>
    <w:p w:rsidR="00F8570A"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rsidR="007A0A4C" w:rsidRPr="00786071" w:rsidRDefault="007A0A4C" w:rsidP="00480FB1">
      <w:pPr>
        <w:tabs>
          <w:tab w:val="left" w:pos="540"/>
          <w:tab w:val="left" w:pos="569"/>
        </w:tabs>
        <w:rPr>
          <w:b/>
          <w:bCs/>
          <w:sz w:val="22"/>
          <w:szCs w:val="22"/>
        </w:rPr>
      </w:pPr>
    </w:p>
    <w:p w:rsidR="007A0A4C" w:rsidRPr="007A0A4C" w:rsidRDefault="007A0A4C" w:rsidP="007A0A4C">
      <w:pPr>
        <w:tabs>
          <w:tab w:val="left" w:pos="540"/>
          <w:tab w:val="left" w:pos="569"/>
        </w:tabs>
        <w:rPr>
          <w:bCs/>
          <w:sz w:val="22"/>
          <w:szCs w:val="22"/>
        </w:rPr>
      </w:pPr>
      <w:r w:rsidRPr="007A0A4C">
        <w:rPr>
          <w:bCs/>
          <w:sz w:val="22"/>
          <w:szCs w:val="22"/>
        </w:rPr>
        <w:t>Evropa Lek Pharma d.o.o. Podgorica</w:t>
      </w:r>
    </w:p>
    <w:p w:rsidR="00C61BE0" w:rsidRDefault="007A0A4C" w:rsidP="007A0A4C">
      <w:pPr>
        <w:tabs>
          <w:tab w:val="left" w:pos="540"/>
          <w:tab w:val="left" w:pos="569"/>
        </w:tabs>
        <w:rPr>
          <w:bCs/>
          <w:sz w:val="22"/>
          <w:szCs w:val="22"/>
        </w:rPr>
      </w:pPr>
      <w:r w:rsidRPr="007A0A4C">
        <w:rPr>
          <w:bCs/>
          <w:sz w:val="22"/>
          <w:szCs w:val="22"/>
        </w:rPr>
        <w:t>Kritskog odreda 4/1, 81 000 Podgorica, Crna Gora</w:t>
      </w:r>
    </w:p>
    <w:p w:rsidR="00C37FD7" w:rsidRPr="00786071" w:rsidRDefault="00C37FD7"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rsidR="0072020E" w:rsidRDefault="0072020E" w:rsidP="00480FB1">
      <w:pPr>
        <w:tabs>
          <w:tab w:val="left" w:pos="540"/>
          <w:tab w:val="left" w:pos="569"/>
        </w:tabs>
        <w:rPr>
          <w:bCs/>
          <w:sz w:val="22"/>
          <w:szCs w:val="22"/>
        </w:rPr>
      </w:pPr>
    </w:p>
    <w:p w:rsidR="004D4961" w:rsidRDefault="004D4961" w:rsidP="004D4961">
      <w:pPr>
        <w:rPr>
          <w:bCs/>
          <w:sz w:val="22"/>
          <w:szCs w:val="22"/>
        </w:rPr>
      </w:pPr>
      <w:r w:rsidRPr="007105A7">
        <w:rPr>
          <w:iCs/>
          <w:sz w:val="22"/>
          <w:szCs w:val="22"/>
          <w:lang w:val="sr-Latn-ME"/>
        </w:rPr>
        <w:t>Sunitinib Pliva</w:t>
      </w:r>
      <w:r>
        <w:rPr>
          <w:iCs/>
          <w:sz w:val="22"/>
          <w:szCs w:val="22"/>
          <w:lang w:val="sr-Latn-ME"/>
        </w:rPr>
        <w:t>,</w:t>
      </w:r>
      <w:r w:rsidRPr="007105A7">
        <w:rPr>
          <w:iCs/>
          <w:sz w:val="22"/>
          <w:szCs w:val="22"/>
          <w:lang w:val="sr-Latn-ME"/>
        </w:rPr>
        <w:t xml:space="preserve"> kapsula, tvrda</w:t>
      </w:r>
      <w:r>
        <w:rPr>
          <w:iCs/>
          <w:sz w:val="22"/>
          <w:szCs w:val="22"/>
          <w:lang w:val="sr-Latn-ME"/>
        </w:rPr>
        <w:t xml:space="preserve">, </w:t>
      </w:r>
      <w:r w:rsidRPr="007105A7">
        <w:rPr>
          <w:iCs/>
          <w:sz w:val="22"/>
          <w:szCs w:val="22"/>
          <w:lang w:val="sr-Latn-ME"/>
        </w:rPr>
        <w:t>12,5 mg</w:t>
      </w:r>
      <w:r>
        <w:rPr>
          <w:iCs/>
          <w:sz w:val="22"/>
          <w:szCs w:val="22"/>
          <w:lang w:val="sr-Latn-ME"/>
        </w:rPr>
        <w:t>,</w:t>
      </w:r>
      <w:r w:rsidRPr="007105A7">
        <w:rPr>
          <w:iCs/>
          <w:sz w:val="22"/>
          <w:szCs w:val="22"/>
          <w:lang w:val="sr-Latn-ME"/>
        </w:rPr>
        <w:t xml:space="preserve"> </w:t>
      </w:r>
      <w:r>
        <w:rPr>
          <w:bCs/>
          <w:sz w:val="22"/>
          <w:szCs w:val="22"/>
        </w:rPr>
        <w:t>blister</w:t>
      </w:r>
      <w:r>
        <w:rPr>
          <w:bCs/>
          <w:sz w:val="22"/>
          <w:szCs w:val="22"/>
        </w:rPr>
        <w:t xml:space="preserve"> </w:t>
      </w:r>
      <w:r>
        <w:rPr>
          <w:bCs/>
          <w:sz w:val="22"/>
          <w:szCs w:val="22"/>
        </w:rPr>
        <w:t xml:space="preserve">djeljiv na pojedinačne doze, </w:t>
      </w:r>
    </w:p>
    <w:p w:rsidR="004D4961" w:rsidRPr="007105A7" w:rsidRDefault="004D4961" w:rsidP="004D4961">
      <w:pPr>
        <w:rPr>
          <w:iCs/>
          <w:sz w:val="22"/>
          <w:szCs w:val="22"/>
          <w:lang w:val="sr-Latn-ME"/>
        </w:rPr>
      </w:pPr>
      <w:r>
        <w:rPr>
          <w:bCs/>
          <w:sz w:val="22"/>
          <w:szCs w:val="22"/>
        </w:rPr>
        <w:t>28 (</w:t>
      </w:r>
      <w:r>
        <w:rPr>
          <w:bCs/>
          <w:sz w:val="22"/>
          <w:szCs w:val="22"/>
        </w:rPr>
        <w:t>4x7</w:t>
      </w:r>
      <w:r>
        <w:rPr>
          <w:bCs/>
          <w:sz w:val="22"/>
          <w:szCs w:val="22"/>
        </w:rPr>
        <w:t xml:space="preserve">) kapsula, tvrdih: </w:t>
      </w:r>
      <w:r w:rsidRPr="004D4961">
        <w:rPr>
          <w:bCs/>
          <w:sz w:val="22"/>
          <w:szCs w:val="22"/>
        </w:rPr>
        <w:t>2030/23/359 - 7606</w:t>
      </w:r>
    </w:p>
    <w:p w:rsidR="004D4961" w:rsidRDefault="004D4961" w:rsidP="004D4961">
      <w:pPr>
        <w:rPr>
          <w:bCs/>
          <w:sz w:val="22"/>
          <w:szCs w:val="22"/>
        </w:rPr>
      </w:pPr>
      <w:r w:rsidRPr="007105A7">
        <w:rPr>
          <w:iCs/>
          <w:sz w:val="22"/>
          <w:szCs w:val="22"/>
          <w:lang w:val="sr-Latn-ME"/>
        </w:rPr>
        <w:t>Sunitinib Pliva</w:t>
      </w:r>
      <w:r>
        <w:rPr>
          <w:iCs/>
          <w:sz w:val="22"/>
          <w:szCs w:val="22"/>
          <w:lang w:val="sr-Latn-ME"/>
        </w:rPr>
        <w:t>,</w:t>
      </w:r>
      <w:r w:rsidRPr="007105A7">
        <w:rPr>
          <w:iCs/>
          <w:sz w:val="22"/>
          <w:szCs w:val="22"/>
          <w:lang w:val="sr-Latn-ME"/>
        </w:rPr>
        <w:t xml:space="preserve"> kapsula, tvrda</w:t>
      </w:r>
      <w:r>
        <w:rPr>
          <w:iCs/>
          <w:sz w:val="22"/>
          <w:szCs w:val="22"/>
          <w:lang w:val="sr-Latn-ME"/>
        </w:rPr>
        <w:t xml:space="preserve">, </w:t>
      </w:r>
      <w:r w:rsidRPr="007105A7">
        <w:rPr>
          <w:iCs/>
          <w:sz w:val="22"/>
          <w:szCs w:val="22"/>
          <w:lang w:val="sr-Latn-ME"/>
        </w:rPr>
        <w:t>25 mg</w:t>
      </w:r>
      <w:r>
        <w:rPr>
          <w:iCs/>
          <w:sz w:val="22"/>
          <w:szCs w:val="22"/>
          <w:lang w:val="sr-Latn-ME"/>
        </w:rPr>
        <w:t>,</w:t>
      </w:r>
      <w:r w:rsidRPr="007105A7">
        <w:rPr>
          <w:iCs/>
          <w:sz w:val="22"/>
          <w:szCs w:val="22"/>
          <w:lang w:val="sr-Latn-ME"/>
        </w:rPr>
        <w:t xml:space="preserve"> </w:t>
      </w:r>
      <w:r>
        <w:rPr>
          <w:bCs/>
          <w:sz w:val="22"/>
          <w:szCs w:val="22"/>
        </w:rPr>
        <w:t xml:space="preserve">blister djeljiv na pojedinačne doze, </w:t>
      </w:r>
    </w:p>
    <w:p w:rsidR="004D4961" w:rsidRPr="007105A7" w:rsidRDefault="004D4961" w:rsidP="004D4961">
      <w:pPr>
        <w:rPr>
          <w:iCs/>
          <w:sz w:val="22"/>
          <w:szCs w:val="22"/>
          <w:lang w:val="sr-Latn-ME"/>
        </w:rPr>
      </w:pPr>
      <w:r>
        <w:rPr>
          <w:bCs/>
          <w:sz w:val="22"/>
          <w:szCs w:val="22"/>
        </w:rPr>
        <w:t>28 (4x7) kapsula, tvrdih:</w:t>
      </w:r>
      <w:r>
        <w:rPr>
          <w:bCs/>
          <w:sz w:val="22"/>
          <w:szCs w:val="22"/>
        </w:rPr>
        <w:t xml:space="preserve"> </w:t>
      </w:r>
      <w:r w:rsidRPr="004D4961">
        <w:rPr>
          <w:bCs/>
          <w:sz w:val="22"/>
          <w:szCs w:val="22"/>
        </w:rPr>
        <w:t>2030/23/363 - 7607</w:t>
      </w:r>
      <w:bookmarkStart w:id="0" w:name="_GoBack"/>
      <w:bookmarkEnd w:id="0"/>
    </w:p>
    <w:p w:rsidR="004D4961" w:rsidRDefault="004D4961" w:rsidP="004D4961">
      <w:pPr>
        <w:rPr>
          <w:bCs/>
          <w:sz w:val="22"/>
          <w:szCs w:val="22"/>
        </w:rPr>
      </w:pPr>
      <w:r w:rsidRPr="007105A7">
        <w:rPr>
          <w:iCs/>
          <w:sz w:val="22"/>
          <w:szCs w:val="22"/>
          <w:lang w:val="sr-Latn-ME"/>
        </w:rPr>
        <w:t>Sunitinib Pliva</w:t>
      </w:r>
      <w:r>
        <w:rPr>
          <w:iCs/>
          <w:sz w:val="22"/>
          <w:szCs w:val="22"/>
          <w:lang w:val="sr-Latn-ME"/>
        </w:rPr>
        <w:t>,</w:t>
      </w:r>
      <w:r w:rsidRPr="007105A7">
        <w:rPr>
          <w:iCs/>
          <w:sz w:val="22"/>
          <w:szCs w:val="22"/>
          <w:lang w:val="sr-Latn-ME"/>
        </w:rPr>
        <w:t xml:space="preserve"> kapsula, tvrda</w:t>
      </w:r>
      <w:r>
        <w:rPr>
          <w:iCs/>
          <w:sz w:val="22"/>
          <w:szCs w:val="22"/>
          <w:lang w:val="sr-Latn-ME"/>
        </w:rPr>
        <w:t xml:space="preserve">, </w:t>
      </w:r>
      <w:r w:rsidRPr="007105A7">
        <w:rPr>
          <w:iCs/>
          <w:sz w:val="22"/>
          <w:szCs w:val="22"/>
          <w:lang w:val="sr-Latn-ME"/>
        </w:rPr>
        <w:t>50 mg</w:t>
      </w:r>
      <w:r>
        <w:rPr>
          <w:iCs/>
          <w:sz w:val="22"/>
          <w:szCs w:val="22"/>
          <w:lang w:val="sr-Latn-ME"/>
        </w:rPr>
        <w:t>,</w:t>
      </w:r>
      <w:r>
        <w:rPr>
          <w:iCs/>
          <w:sz w:val="22"/>
          <w:szCs w:val="22"/>
          <w:lang w:val="sr-Latn-ME"/>
        </w:rPr>
        <w:t xml:space="preserve"> </w:t>
      </w:r>
      <w:r>
        <w:rPr>
          <w:bCs/>
          <w:sz w:val="22"/>
          <w:szCs w:val="22"/>
        </w:rPr>
        <w:t xml:space="preserve">blister djeljiv na pojedinačne doze, </w:t>
      </w:r>
    </w:p>
    <w:p w:rsidR="004D4961" w:rsidRPr="004D4961" w:rsidRDefault="004D4961" w:rsidP="004D4961">
      <w:pPr>
        <w:rPr>
          <w:iCs/>
          <w:sz w:val="22"/>
          <w:szCs w:val="22"/>
          <w:lang w:val="sr-Latn-ME"/>
        </w:rPr>
      </w:pPr>
      <w:r>
        <w:rPr>
          <w:bCs/>
          <w:sz w:val="22"/>
          <w:szCs w:val="22"/>
        </w:rPr>
        <w:t>28 (4x7) kapsula, tvrdih:</w:t>
      </w:r>
      <w:r>
        <w:rPr>
          <w:bCs/>
          <w:sz w:val="22"/>
          <w:szCs w:val="22"/>
        </w:rPr>
        <w:t xml:space="preserve"> </w:t>
      </w:r>
      <w:r w:rsidRPr="004D4961">
        <w:rPr>
          <w:bCs/>
          <w:sz w:val="22"/>
          <w:szCs w:val="22"/>
        </w:rPr>
        <w:t>2030/23/369 - 7608</w:t>
      </w:r>
    </w:p>
    <w:p w:rsidR="00F45F77" w:rsidRPr="00786071" w:rsidRDefault="00F45F77"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rsidR="0072020E" w:rsidRPr="00786071" w:rsidRDefault="0072020E" w:rsidP="00480FB1">
      <w:pPr>
        <w:tabs>
          <w:tab w:val="left" w:pos="540"/>
          <w:tab w:val="left" w:pos="569"/>
        </w:tabs>
        <w:rPr>
          <w:bCs/>
          <w:sz w:val="22"/>
          <w:szCs w:val="22"/>
        </w:rPr>
      </w:pPr>
    </w:p>
    <w:p w:rsidR="004D4961" w:rsidRDefault="004D4961" w:rsidP="004D4961">
      <w:pPr>
        <w:rPr>
          <w:bCs/>
          <w:sz w:val="22"/>
          <w:szCs w:val="22"/>
        </w:rPr>
      </w:pPr>
      <w:r w:rsidRPr="007105A7">
        <w:rPr>
          <w:iCs/>
          <w:sz w:val="22"/>
          <w:szCs w:val="22"/>
          <w:lang w:val="sr-Latn-ME"/>
        </w:rPr>
        <w:t>Sunitinib Pliva</w:t>
      </w:r>
      <w:r>
        <w:rPr>
          <w:iCs/>
          <w:sz w:val="22"/>
          <w:szCs w:val="22"/>
          <w:lang w:val="sr-Latn-ME"/>
        </w:rPr>
        <w:t>,</w:t>
      </w:r>
      <w:r w:rsidRPr="007105A7">
        <w:rPr>
          <w:iCs/>
          <w:sz w:val="22"/>
          <w:szCs w:val="22"/>
          <w:lang w:val="sr-Latn-ME"/>
        </w:rPr>
        <w:t xml:space="preserve"> kapsula, tvrda</w:t>
      </w:r>
      <w:r>
        <w:rPr>
          <w:iCs/>
          <w:sz w:val="22"/>
          <w:szCs w:val="22"/>
          <w:lang w:val="sr-Latn-ME"/>
        </w:rPr>
        <w:t xml:space="preserve">, </w:t>
      </w:r>
      <w:r w:rsidRPr="007105A7">
        <w:rPr>
          <w:iCs/>
          <w:sz w:val="22"/>
          <w:szCs w:val="22"/>
          <w:lang w:val="sr-Latn-ME"/>
        </w:rPr>
        <w:t>12,5 mg</w:t>
      </w:r>
      <w:r>
        <w:rPr>
          <w:iCs/>
          <w:sz w:val="22"/>
          <w:szCs w:val="22"/>
          <w:lang w:val="sr-Latn-ME"/>
        </w:rPr>
        <w:t>,</w:t>
      </w:r>
      <w:r w:rsidRPr="007105A7">
        <w:rPr>
          <w:iCs/>
          <w:sz w:val="22"/>
          <w:szCs w:val="22"/>
          <w:lang w:val="sr-Latn-ME"/>
        </w:rPr>
        <w:t xml:space="preserve"> </w:t>
      </w:r>
      <w:r>
        <w:rPr>
          <w:bCs/>
          <w:sz w:val="22"/>
          <w:szCs w:val="22"/>
        </w:rPr>
        <w:t xml:space="preserve">blister djeljiv na pojedinačne doze, </w:t>
      </w:r>
    </w:p>
    <w:p w:rsidR="004D4961" w:rsidRPr="007105A7" w:rsidRDefault="004D4961" w:rsidP="004D4961">
      <w:pPr>
        <w:rPr>
          <w:iCs/>
          <w:sz w:val="22"/>
          <w:szCs w:val="22"/>
          <w:lang w:val="sr-Latn-ME"/>
        </w:rPr>
      </w:pPr>
      <w:r>
        <w:rPr>
          <w:bCs/>
          <w:sz w:val="22"/>
          <w:szCs w:val="22"/>
        </w:rPr>
        <w:t>28 (4x7) kapsula, tvrdih:</w:t>
      </w:r>
      <w:r>
        <w:rPr>
          <w:bCs/>
          <w:sz w:val="22"/>
          <w:szCs w:val="22"/>
        </w:rPr>
        <w:t xml:space="preserve"> </w:t>
      </w:r>
      <w:r>
        <w:rPr>
          <w:bCs/>
          <w:sz w:val="22"/>
          <w:szCs w:val="22"/>
        </w:rPr>
        <w:t>13.02.2023. godine</w:t>
      </w:r>
    </w:p>
    <w:p w:rsidR="004D4961" w:rsidRDefault="004D4961" w:rsidP="004D4961">
      <w:pPr>
        <w:rPr>
          <w:bCs/>
          <w:sz w:val="22"/>
          <w:szCs w:val="22"/>
        </w:rPr>
      </w:pPr>
      <w:r w:rsidRPr="007105A7">
        <w:rPr>
          <w:iCs/>
          <w:sz w:val="22"/>
          <w:szCs w:val="22"/>
          <w:lang w:val="sr-Latn-ME"/>
        </w:rPr>
        <w:t>Sunitinib Pliva</w:t>
      </w:r>
      <w:r>
        <w:rPr>
          <w:iCs/>
          <w:sz w:val="22"/>
          <w:szCs w:val="22"/>
          <w:lang w:val="sr-Latn-ME"/>
        </w:rPr>
        <w:t>,</w:t>
      </w:r>
      <w:r w:rsidRPr="007105A7">
        <w:rPr>
          <w:iCs/>
          <w:sz w:val="22"/>
          <w:szCs w:val="22"/>
          <w:lang w:val="sr-Latn-ME"/>
        </w:rPr>
        <w:t xml:space="preserve"> kapsula, tvrda</w:t>
      </w:r>
      <w:r>
        <w:rPr>
          <w:iCs/>
          <w:sz w:val="22"/>
          <w:szCs w:val="22"/>
          <w:lang w:val="sr-Latn-ME"/>
        </w:rPr>
        <w:t xml:space="preserve">, </w:t>
      </w:r>
      <w:r w:rsidRPr="007105A7">
        <w:rPr>
          <w:iCs/>
          <w:sz w:val="22"/>
          <w:szCs w:val="22"/>
          <w:lang w:val="sr-Latn-ME"/>
        </w:rPr>
        <w:t>25 mg</w:t>
      </w:r>
      <w:r>
        <w:rPr>
          <w:iCs/>
          <w:sz w:val="22"/>
          <w:szCs w:val="22"/>
          <w:lang w:val="sr-Latn-ME"/>
        </w:rPr>
        <w:t>,</w:t>
      </w:r>
      <w:r w:rsidRPr="007105A7">
        <w:rPr>
          <w:iCs/>
          <w:sz w:val="22"/>
          <w:szCs w:val="22"/>
          <w:lang w:val="sr-Latn-ME"/>
        </w:rPr>
        <w:t xml:space="preserve"> </w:t>
      </w:r>
      <w:r>
        <w:rPr>
          <w:bCs/>
          <w:sz w:val="22"/>
          <w:szCs w:val="22"/>
        </w:rPr>
        <w:t xml:space="preserve">blister djeljiv na pojedinačne doze, </w:t>
      </w:r>
    </w:p>
    <w:p w:rsidR="004D4961" w:rsidRPr="007105A7" w:rsidRDefault="004D4961" w:rsidP="004D4961">
      <w:pPr>
        <w:rPr>
          <w:iCs/>
          <w:sz w:val="22"/>
          <w:szCs w:val="22"/>
          <w:lang w:val="sr-Latn-ME"/>
        </w:rPr>
      </w:pPr>
      <w:r>
        <w:rPr>
          <w:bCs/>
          <w:sz w:val="22"/>
          <w:szCs w:val="22"/>
        </w:rPr>
        <w:t>28 (4x7) kapsula, tvrdih:</w:t>
      </w:r>
      <w:r>
        <w:rPr>
          <w:bCs/>
          <w:sz w:val="22"/>
          <w:szCs w:val="22"/>
        </w:rPr>
        <w:t xml:space="preserve"> </w:t>
      </w:r>
      <w:r>
        <w:rPr>
          <w:bCs/>
          <w:sz w:val="22"/>
          <w:szCs w:val="22"/>
        </w:rPr>
        <w:t>13.02.2023. godine</w:t>
      </w:r>
    </w:p>
    <w:p w:rsidR="004D4961" w:rsidRDefault="004D4961" w:rsidP="004D4961">
      <w:pPr>
        <w:rPr>
          <w:bCs/>
          <w:sz w:val="22"/>
          <w:szCs w:val="22"/>
        </w:rPr>
      </w:pPr>
      <w:r w:rsidRPr="007105A7">
        <w:rPr>
          <w:iCs/>
          <w:sz w:val="22"/>
          <w:szCs w:val="22"/>
          <w:lang w:val="sr-Latn-ME"/>
        </w:rPr>
        <w:t>Sunitinib Pliva</w:t>
      </w:r>
      <w:r>
        <w:rPr>
          <w:iCs/>
          <w:sz w:val="22"/>
          <w:szCs w:val="22"/>
          <w:lang w:val="sr-Latn-ME"/>
        </w:rPr>
        <w:t>,</w:t>
      </w:r>
      <w:r w:rsidRPr="007105A7">
        <w:rPr>
          <w:iCs/>
          <w:sz w:val="22"/>
          <w:szCs w:val="22"/>
          <w:lang w:val="sr-Latn-ME"/>
        </w:rPr>
        <w:t xml:space="preserve"> kapsula, tvrda</w:t>
      </w:r>
      <w:r>
        <w:rPr>
          <w:iCs/>
          <w:sz w:val="22"/>
          <w:szCs w:val="22"/>
          <w:lang w:val="sr-Latn-ME"/>
        </w:rPr>
        <w:t xml:space="preserve">, </w:t>
      </w:r>
      <w:r w:rsidRPr="007105A7">
        <w:rPr>
          <w:iCs/>
          <w:sz w:val="22"/>
          <w:szCs w:val="22"/>
          <w:lang w:val="sr-Latn-ME"/>
        </w:rPr>
        <w:t>50 mg</w:t>
      </w:r>
      <w:r>
        <w:rPr>
          <w:iCs/>
          <w:sz w:val="22"/>
          <w:szCs w:val="22"/>
          <w:lang w:val="sr-Latn-ME"/>
        </w:rPr>
        <w:t xml:space="preserve">, </w:t>
      </w:r>
      <w:r>
        <w:rPr>
          <w:bCs/>
          <w:sz w:val="22"/>
          <w:szCs w:val="22"/>
        </w:rPr>
        <w:t xml:space="preserve">blister djeljiv na pojedinačne doze, </w:t>
      </w:r>
    </w:p>
    <w:p w:rsidR="004D4961" w:rsidRPr="004D4961" w:rsidRDefault="004D4961" w:rsidP="004D4961">
      <w:pPr>
        <w:rPr>
          <w:iCs/>
          <w:sz w:val="22"/>
          <w:szCs w:val="22"/>
          <w:lang w:val="sr-Latn-ME"/>
        </w:rPr>
      </w:pPr>
      <w:r>
        <w:rPr>
          <w:bCs/>
          <w:sz w:val="22"/>
          <w:szCs w:val="22"/>
        </w:rPr>
        <w:t>28 (4x7) kapsula, tvrdih:</w:t>
      </w:r>
      <w:r>
        <w:rPr>
          <w:bCs/>
          <w:sz w:val="22"/>
          <w:szCs w:val="22"/>
        </w:rPr>
        <w:t xml:space="preserve"> 13.02.2023. godine</w:t>
      </w:r>
    </w:p>
    <w:p w:rsidR="00836B35" w:rsidRPr="00786071" w:rsidRDefault="00836B35" w:rsidP="00480FB1">
      <w:pPr>
        <w:tabs>
          <w:tab w:val="left" w:pos="540"/>
          <w:tab w:val="left" w:pos="569"/>
        </w:tabs>
        <w:rPr>
          <w:bCs/>
          <w:sz w:val="22"/>
          <w:szCs w:val="22"/>
        </w:rPr>
      </w:pPr>
    </w:p>
    <w:p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rsidR="003F6A59" w:rsidRDefault="003F6A59" w:rsidP="00480FB1">
      <w:pPr>
        <w:tabs>
          <w:tab w:val="left" w:pos="540"/>
          <w:tab w:val="left" w:pos="569"/>
        </w:tabs>
        <w:rPr>
          <w:bCs/>
          <w:sz w:val="22"/>
          <w:szCs w:val="22"/>
        </w:rPr>
      </w:pPr>
    </w:p>
    <w:p w:rsidR="003F6A59" w:rsidRPr="00786071" w:rsidRDefault="004D4961" w:rsidP="00DE3F5C">
      <w:pPr>
        <w:rPr>
          <w:sz w:val="22"/>
          <w:szCs w:val="22"/>
          <w:lang w:val="pl-PL"/>
        </w:rPr>
      </w:pPr>
      <w:r>
        <w:rPr>
          <w:sz w:val="22"/>
          <w:szCs w:val="22"/>
          <w:lang w:val="pl-PL"/>
        </w:rPr>
        <w:t>Februar, 2023. godine</w:t>
      </w:r>
    </w:p>
    <w:sectPr w:rsidR="003F6A59" w:rsidRPr="00786071" w:rsidSect="00466BAC">
      <w:footerReference w:type="default" r:id="rId11"/>
      <w:pgSz w:w="11909" w:h="16834" w:code="9"/>
      <w:pgMar w:top="1134" w:right="1277"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CFA" w:rsidRDefault="00442CFA">
      <w:r>
        <w:separator/>
      </w:r>
    </w:p>
  </w:endnote>
  <w:endnote w:type="continuationSeparator" w:id="0">
    <w:p w:rsidR="00442CFA" w:rsidRDefault="0044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45" w:rsidRPr="000276D9" w:rsidRDefault="00C91645" w:rsidP="00B23F69">
    <w:pPr>
      <w:pStyle w:val="Footer"/>
      <w:jc w:val="center"/>
      <w:rPr>
        <w:sz w:val="20"/>
        <w:szCs w:val="20"/>
      </w:rPr>
    </w:pPr>
    <w:r w:rsidRPr="000276D9">
      <w:rPr>
        <w:sz w:val="20"/>
        <w:szCs w:val="20"/>
      </w:rPr>
      <w:fldChar w:fldCharType="begin"/>
    </w:r>
    <w:r w:rsidRPr="000276D9">
      <w:rPr>
        <w:sz w:val="20"/>
        <w:szCs w:val="20"/>
      </w:rPr>
      <w:instrText xml:space="preserve"> PAGE </w:instrText>
    </w:r>
    <w:r w:rsidRPr="000276D9">
      <w:rPr>
        <w:sz w:val="20"/>
        <w:szCs w:val="20"/>
      </w:rPr>
      <w:fldChar w:fldCharType="separate"/>
    </w:r>
    <w:r w:rsidR="004D4961">
      <w:rPr>
        <w:noProof/>
        <w:sz w:val="20"/>
        <w:szCs w:val="20"/>
      </w:rPr>
      <w:t>29</w:t>
    </w:r>
    <w:r w:rsidRPr="000276D9">
      <w:rPr>
        <w:sz w:val="20"/>
        <w:szCs w:val="20"/>
      </w:rPr>
      <w:fldChar w:fldCharType="end"/>
    </w:r>
    <w:r w:rsidRPr="000276D9">
      <w:rPr>
        <w:sz w:val="20"/>
        <w:szCs w:val="20"/>
      </w:rPr>
      <w:t xml:space="preserve"> / </w:t>
    </w:r>
    <w:r w:rsidRPr="000276D9">
      <w:rPr>
        <w:sz w:val="20"/>
        <w:szCs w:val="20"/>
      </w:rPr>
      <w:fldChar w:fldCharType="begin"/>
    </w:r>
    <w:r w:rsidRPr="000276D9">
      <w:rPr>
        <w:sz w:val="20"/>
        <w:szCs w:val="20"/>
      </w:rPr>
      <w:instrText xml:space="preserve"> NUMPAGES </w:instrText>
    </w:r>
    <w:r w:rsidRPr="000276D9">
      <w:rPr>
        <w:sz w:val="20"/>
        <w:szCs w:val="20"/>
      </w:rPr>
      <w:fldChar w:fldCharType="separate"/>
    </w:r>
    <w:r w:rsidR="004D4961">
      <w:rPr>
        <w:noProof/>
        <w:sz w:val="20"/>
        <w:szCs w:val="20"/>
      </w:rPr>
      <w:t>30</w:t>
    </w:r>
    <w:r w:rsidRPr="000276D9">
      <w:rPr>
        <w:sz w:val="20"/>
        <w:szCs w:val="20"/>
      </w:rPr>
      <w:fldChar w:fldCharType="end"/>
    </w:r>
  </w:p>
  <w:p w:rsidR="00C91645" w:rsidRDefault="00C91645"/>
  <w:p w:rsidR="00C91645" w:rsidRDefault="00C9164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CFA" w:rsidRDefault="00442CFA">
      <w:r>
        <w:separator/>
      </w:r>
    </w:p>
  </w:footnote>
  <w:footnote w:type="continuationSeparator" w:id="0">
    <w:p w:rsidR="00442CFA" w:rsidRDefault="00442C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pt;height:13.55pt;visibility:visible" o:bullet="t">
        <v:imagedata r:id="rId1" o:title="BT_1000x858px"/>
      </v:shape>
    </w:pict>
  </w:numPicBullet>
  <w:abstractNum w:abstractNumId="0" w15:restartNumberingAfterBreak="0">
    <w:nsid w:val="06D43177"/>
    <w:multiLevelType w:val="hybridMultilevel"/>
    <w:tmpl w:val="C73A9F00"/>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086099"/>
    <w:multiLevelType w:val="hybridMultilevel"/>
    <w:tmpl w:val="E99231DE"/>
    <w:lvl w:ilvl="0" w:tplc="9DE87878">
      <w:start w:val="1"/>
      <w:numFmt w:val="lowerLetter"/>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83F38CF"/>
    <w:multiLevelType w:val="hybridMultilevel"/>
    <w:tmpl w:val="15C4725C"/>
    <w:lvl w:ilvl="0" w:tplc="B894ADAA">
      <w:start w:val="1"/>
      <w:numFmt w:val="lowerLetter"/>
      <w:lvlText w:val="%1"/>
      <w:lvlJc w:val="left"/>
      <w:pPr>
        <w:ind w:left="720" w:hanging="360"/>
      </w:pPr>
      <w:rPr>
        <w:rFonts w:hint="default"/>
        <w:vertAlign w:val="superscrip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0"/>
  </w:num>
  <w:num w:numId="5">
    <w:abstractNumId w:val="6"/>
  </w:num>
  <w:num w:numId="6">
    <w:abstractNumId w:val="2"/>
  </w:num>
  <w:num w:numId="7">
    <w:abstractNumId w:val="9"/>
  </w:num>
  <w:num w:numId="8">
    <w:abstractNumId w:val="5"/>
  </w:num>
  <w:num w:numId="9">
    <w:abstractNumId w:val="8"/>
  </w:num>
  <w:num w:numId="10">
    <w:abstractNumId w:val="13"/>
  </w:num>
  <w:num w:numId="11">
    <w:abstractNumId w:val="7"/>
  </w:num>
  <w:num w:numId="12">
    <w:abstractNumId w:val="3"/>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76D9"/>
    <w:rsid w:val="00036FA0"/>
    <w:rsid w:val="0003793F"/>
    <w:rsid w:val="00057E35"/>
    <w:rsid w:val="00064C2E"/>
    <w:rsid w:val="00076726"/>
    <w:rsid w:val="00076C99"/>
    <w:rsid w:val="00080303"/>
    <w:rsid w:val="000A3F58"/>
    <w:rsid w:val="000D2343"/>
    <w:rsid w:val="000D3449"/>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035E"/>
    <w:rsid w:val="00266046"/>
    <w:rsid w:val="002745B0"/>
    <w:rsid w:val="002846DB"/>
    <w:rsid w:val="00284CCD"/>
    <w:rsid w:val="002C6637"/>
    <w:rsid w:val="002E0135"/>
    <w:rsid w:val="002E37A5"/>
    <w:rsid w:val="00310F03"/>
    <w:rsid w:val="003247D2"/>
    <w:rsid w:val="003445C1"/>
    <w:rsid w:val="00352360"/>
    <w:rsid w:val="00354CB8"/>
    <w:rsid w:val="00355B61"/>
    <w:rsid w:val="00362686"/>
    <w:rsid w:val="00371510"/>
    <w:rsid w:val="00386214"/>
    <w:rsid w:val="00396DFD"/>
    <w:rsid w:val="003A7059"/>
    <w:rsid w:val="003B2F4A"/>
    <w:rsid w:val="003B7A36"/>
    <w:rsid w:val="003B7FFE"/>
    <w:rsid w:val="003C1477"/>
    <w:rsid w:val="003C17AB"/>
    <w:rsid w:val="003C7823"/>
    <w:rsid w:val="003E1DCC"/>
    <w:rsid w:val="003F11A1"/>
    <w:rsid w:val="003F6A59"/>
    <w:rsid w:val="004065C8"/>
    <w:rsid w:val="004109FA"/>
    <w:rsid w:val="00411B4B"/>
    <w:rsid w:val="00415BEE"/>
    <w:rsid w:val="00427F85"/>
    <w:rsid w:val="00436F42"/>
    <w:rsid w:val="004378B4"/>
    <w:rsid w:val="00442CFA"/>
    <w:rsid w:val="00451314"/>
    <w:rsid w:val="00452E9D"/>
    <w:rsid w:val="004534C7"/>
    <w:rsid w:val="00466BAC"/>
    <w:rsid w:val="004671AA"/>
    <w:rsid w:val="00480FB1"/>
    <w:rsid w:val="00483928"/>
    <w:rsid w:val="004A6CF7"/>
    <w:rsid w:val="004C331F"/>
    <w:rsid w:val="004D4961"/>
    <w:rsid w:val="004D6103"/>
    <w:rsid w:val="004E3BCE"/>
    <w:rsid w:val="004E70AD"/>
    <w:rsid w:val="004F0E97"/>
    <w:rsid w:val="00501DD1"/>
    <w:rsid w:val="00502E3D"/>
    <w:rsid w:val="00515C21"/>
    <w:rsid w:val="00530BD7"/>
    <w:rsid w:val="00545CD2"/>
    <w:rsid w:val="005476F3"/>
    <w:rsid w:val="00556B3C"/>
    <w:rsid w:val="00572527"/>
    <w:rsid w:val="00573E40"/>
    <w:rsid w:val="00576348"/>
    <w:rsid w:val="00582530"/>
    <w:rsid w:val="005A0B2E"/>
    <w:rsid w:val="005A23D2"/>
    <w:rsid w:val="005A36CB"/>
    <w:rsid w:val="005B49B8"/>
    <w:rsid w:val="005C0741"/>
    <w:rsid w:val="005C5EF4"/>
    <w:rsid w:val="005E2E0B"/>
    <w:rsid w:val="005E7A7D"/>
    <w:rsid w:val="00602457"/>
    <w:rsid w:val="00641FEB"/>
    <w:rsid w:val="00644FC3"/>
    <w:rsid w:val="00646BD1"/>
    <w:rsid w:val="006561C2"/>
    <w:rsid w:val="00671CB3"/>
    <w:rsid w:val="00674BAF"/>
    <w:rsid w:val="00682200"/>
    <w:rsid w:val="00692BF6"/>
    <w:rsid w:val="006A1497"/>
    <w:rsid w:val="006A15C3"/>
    <w:rsid w:val="006B0BD1"/>
    <w:rsid w:val="006B5404"/>
    <w:rsid w:val="006D20A5"/>
    <w:rsid w:val="006D37BF"/>
    <w:rsid w:val="00702E22"/>
    <w:rsid w:val="007105A7"/>
    <w:rsid w:val="0072020E"/>
    <w:rsid w:val="00786071"/>
    <w:rsid w:val="0079393F"/>
    <w:rsid w:val="007A0A4C"/>
    <w:rsid w:val="007A20D4"/>
    <w:rsid w:val="007A3ECB"/>
    <w:rsid w:val="007D7BB3"/>
    <w:rsid w:val="00824AB9"/>
    <w:rsid w:val="00836B35"/>
    <w:rsid w:val="00843BDE"/>
    <w:rsid w:val="0087588C"/>
    <w:rsid w:val="0089705C"/>
    <w:rsid w:val="008A6D43"/>
    <w:rsid w:val="008A76D8"/>
    <w:rsid w:val="008B491E"/>
    <w:rsid w:val="008C1A28"/>
    <w:rsid w:val="008C2E98"/>
    <w:rsid w:val="008C6D55"/>
    <w:rsid w:val="008E49BD"/>
    <w:rsid w:val="008E53E9"/>
    <w:rsid w:val="008E5771"/>
    <w:rsid w:val="008F4ACF"/>
    <w:rsid w:val="00924166"/>
    <w:rsid w:val="00940B9B"/>
    <w:rsid w:val="0094128E"/>
    <w:rsid w:val="0095676E"/>
    <w:rsid w:val="00956983"/>
    <w:rsid w:val="00963CF0"/>
    <w:rsid w:val="00964BB1"/>
    <w:rsid w:val="009664FE"/>
    <w:rsid w:val="009775D9"/>
    <w:rsid w:val="00984753"/>
    <w:rsid w:val="00997175"/>
    <w:rsid w:val="009A1847"/>
    <w:rsid w:val="009B062A"/>
    <w:rsid w:val="009B30B4"/>
    <w:rsid w:val="009E7C6F"/>
    <w:rsid w:val="009F1793"/>
    <w:rsid w:val="009F2D23"/>
    <w:rsid w:val="00A01D69"/>
    <w:rsid w:val="00A02335"/>
    <w:rsid w:val="00A41901"/>
    <w:rsid w:val="00A41C32"/>
    <w:rsid w:val="00A46C9A"/>
    <w:rsid w:val="00A56C3F"/>
    <w:rsid w:val="00A619F3"/>
    <w:rsid w:val="00A62A73"/>
    <w:rsid w:val="00A87FF6"/>
    <w:rsid w:val="00AA0A3B"/>
    <w:rsid w:val="00AA2763"/>
    <w:rsid w:val="00AA33B6"/>
    <w:rsid w:val="00AB50CA"/>
    <w:rsid w:val="00AB6D64"/>
    <w:rsid w:val="00AC53CE"/>
    <w:rsid w:val="00AD2193"/>
    <w:rsid w:val="00AF2AC7"/>
    <w:rsid w:val="00AF5182"/>
    <w:rsid w:val="00AF74CE"/>
    <w:rsid w:val="00B208DB"/>
    <w:rsid w:val="00B23F69"/>
    <w:rsid w:val="00B33BE3"/>
    <w:rsid w:val="00B44796"/>
    <w:rsid w:val="00B60619"/>
    <w:rsid w:val="00B66A70"/>
    <w:rsid w:val="00B67366"/>
    <w:rsid w:val="00B80EE1"/>
    <w:rsid w:val="00B84135"/>
    <w:rsid w:val="00C04D34"/>
    <w:rsid w:val="00C05DF8"/>
    <w:rsid w:val="00C06864"/>
    <w:rsid w:val="00C10F54"/>
    <w:rsid w:val="00C23D8D"/>
    <w:rsid w:val="00C37AA3"/>
    <w:rsid w:val="00C37FD7"/>
    <w:rsid w:val="00C43419"/>
    <w:rsid w:val="00C44CF3"/>
    <w:rsid w:val="00C61BE0"/>
    <w:rsid w:val="00C6707E"/>
    <w:rsid w:val="00C671C5"/>
    <w:rsid w:val="00C70B0E"/>
    <w:rsid w:val="00C773CA"/>
    <w:rsid w:val="00C83785"/>
    <w:rsid w:val="00C91645"/>
    <w:rsid w:val="00C94B20"/>
    <w:rsid w:val="00C94C0D"/>
    <w:rsid w:val="00CA1FEB"/>
    <w:rsid w:val="00CB3F1B"/>
    <w:rsid w:val="00CD4F85"/>
    <w:rsid w:val="00CD6F02"/>
    <w:rsid w:val="00CE246D"/>
    <w:rsid w:val="00CF07A0"/>
    <w:rsid w:val="00CF3E03"/>
    <w:rsid w:val="00D0082A"/>
    <w:rsid w:val="00D21455"/>
    <w:rsid w:val="00D47634"/>
    <w:rsid w:val="00D51176"/>
    <w:rsid w:val="00D709B3"/>
    <w:rsid w:val="00DA2ED6"/>
    <w:rsid w:val="00DB76B8"/>
    <w:rsid w:val="00DC10AE"/>
    <w:rsid w:val="00DC2EA1"/>
    <w:rsid w:val="00DD6AAF"/>
    <w:rsid w:val="00DE3F5C"/>
    <w:rsid w:val="00DF1D20"/>
    <w:rsid w:val="00E21324"/>
    <w:rsid w:val="00E246B9"/>
    <w:rsid w:val="00E31FEA"/>
    <w:rsid w:val="00E45169"/>
    <w:rsid w:val="00E47787"/>
    <w:rsid w:val="00E51C30"/>
    <w:rsid w:val="00E64180"/>
    <w:rsid w:val="00E74AEE"/>
    <w:rsid w:val="00E868E5"/>
    <w:rsid w:val="00E9237A"/>
    <w:rsid w:val="00E939FA"/>
    <w:rsid w:val="00EA5765"/>
    <w:rsid w:val="00EC2532"/>
    <w:rsid w:val="00ED4C6A"/>
    <w:rsid w:val="00ED7812"/>
    <w:rsid w:val="00EF3B86"/>
    <w:rsid w:val="00F0748A"/>
    <w:rsid w:val="00F317E9"/>
    <w:rsid w:val="00F34554"/>
    <w:rsid w:val="00F45F77"/>
    <w:rsid w:val="00F5167F"/>
    <w:rsid w:val="00F52258"/>
    <w:rsid w:val="00F61855"/>
    <w:rsid w:val="00F8570A"/>
    <w:rsid w:val="00F91C7B"/>
    <w:rsid w:val="00FA6AD8"/>
    <w:rsid w:val="00FE0FC9"/>
    <w:rsid w:val="00FF5F82"/>
    <w:rsid w:val="00FF69F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1997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984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4753"/>
    <w:pPr>
      <w:ind w:left="720"/>
      <w:contextualSpacing/>
    </w:pPr>
    <w:rPr>
      <w:lang w:val="sr-Latn-RS"/>
    </w:rPr>
  </w:style>
  <w:style w:type="character" w:styleId="Emphasis">
    <w:name w:val="Emphasis"/>
    <w:basedOn w:val="DefaultParagraphFont"/>
    <w:uiPriority w:val="20"/>
    <w:qFormat/>
    <w:rsid w:val="00A56C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E06C6-8CEE-44F9-94E3-BD081901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30</Pages>
  <Words>14462</Words>
  <Characters>82435</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96704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Tijana Mićović</cp:lastModifiedBy>
  <cp:revision>15</cp:revision>
  <cp:lastPrinted>2023-01-16T11:14:00Z</cp:lastPrinted>
  <dcterms:created xsi:type="dcterms:W3CDTF">2023-01-16T11:14:00Z</dcterms:created>
  <dcterms:modified xsi:type="dcterms:W3CDTF">2023-02-13T11:52:00Z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