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D0489" w14:textId="77777777" w:rsidR="001A5518" w:rsidRPr="0086063B" w:rsidRDefault="001A5518" w:rsidP="00186EFF">
      <w:pPr>
        <w:jc w:val="both"/>
        <w:rPr>
          <w:b/>
          <w:bCs/>
          <w:i/>
          <w:iCs/>
          <w:sz w:val="22"/>
          <w:szCs w:val="22"/>
          <w:u w:val="single"/>
          <w:lang w:val="sr-Latn-ME"/>
        </w:rPr>
      </w:pPr>
    </w:p>
    <w:p w14:paraId="6B93E3D8" w14:textId="77777777" w:rsidR="00F91C7B" w:rsidRPr="0086063B" w:rsidRDefault="00F91C7B" w:rsidP="00186EFF">
      <w:pPr>
        <w:jc w:val="both"/>
        <w:rPr>
          <w:b/>
          <w:bCs/>
          <w:i/>
          <w:iCs/>
          <w:sz w:val="22"/>
          <w:szCs w:val="22"/>
          <w:u w:val="single"/>
          <w:lang w:val="sr-Latn-ME"/>
        </w:rPr>
      </w:pPr>
    </w:p>
    <w:p w14:paraId="2398BAC6" w14:textId="77777777" w:rsidR="002510A5" w:rsidRPr="0086063B" w:rsidRDefault="002510A5" w:rsidP="00E1730A">
      <w:pPr>
        <w:jc w:val="center"/>
        <w:rPr>
          <w:b/>
          <w:bCs/>
          <w:iCs/>
          <w:sz w:val="22"/>
          <w:szCs w:val="22"/>
          <w:u w:val="single"/>
          <w:lang w:val="sr-Latn-ME"/>
        </w:rPr>
      </w:pPr>
      <w:r w:rsidRPr="0086063B">
        <w:rPr>
          <w:b/>
          <w:bCs/>
          <w:iCs/>
          <w:sz w:val="22"/>
          <w:szCs w:val="22"/>
          <w:u w:val="single"/>
          <w:lang w:val="sr-Latn-ME"/>
        </w:rPr>
        <w:t>SAŽETAK KARAKTERISTIKA LIJEKA</w:t>
      </w:r>
    </w:p>
    <w:p w14:paraId="35420796" w14:textId="77777777" w:rsidR="002510A5" w:rsidRPr="0086063B" w:rsidRDefault="002510A5" w:rsidP="00186EFF">
      <w:pPr>
        <w:jc w:val="both"/>
        <w:rPr>
          <w:b/>
          <w:bCs/>
          <w:i/>
          <w:iCs/>
          <w:sz w:val="22"/>
          <w:szCs w:val="22"/>
          <w:u w:val="single"/>
          <w:lang w:val="sr-Latn-ME"/>
        </w:rPr>
      </w:pPr>
    </w:p>
    <w:p w14:paraId="4129CE2C" w14:textId="77777777" w:rsidR="003C17AB" w:rsidRPr="0086063B" w:rsidRDefault="003C17AB" w:rsidP="00186EFF">
      <w:pPr>
        <w:jc w:val="both"/>
        <w:rPr>
          <w:sz w:val="22"/>
          <w:szCs w:val="22"/>
          <w:lang w:val="sr-Latn-ME"/>
        </w:rPr>
      </w:pPr>
    </w:p>
    <w:p w14:paraId="0E04EEA7" w14:textId="77777777" w:rsidR="003C17AB" w:rsidRPr="0086063B" w:rsidRDefault="003C17AB" w:rsidP="00186EFF">
      <w:pPr>
        <w:tabs>
          <w:tab w:val="left" w:pos="540"/>
          <w:tab w:val="left" w:pos="569"/>
        </w:tabs>
        <w:jc w:val="both"/>
        <w:rPr>
          <w:noProof/>
          <w:sz w:val="22"/>
          <w:szCs w:val="22"/>
          <w:lang w:val="sr-Latn-ME"/>
        </w:rPr>
      </w:pPr>
    </w:p>
    <w:p w14:paraId="6E4441D3" w14:textId="77777777" w:rsidR="00C37FD7" w:rsidRPr="0086063B" w:rsidRDefault="00C37FD7" w:rsidP="00186EFF">
      <w:pPr>
        <w:tabs>
          <w:tab w:val="left" w:pos="540"/>
          <w:tab w:val="left" w:pos="569"/>
        </w:tabs>
        <w:jc w:val="both"/>
        <w:rPr>
          <w:bCs/>
          <w:sz w:val="22"/>
          <w:szCs w:val="22"/>
          <w:lang w:val="sr-Latn-ME"/>
        </w:rPr>
      </w:pPr>
    </w:p>
    <w:p w14:paraId="4B9E2E98"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1.</w:t>
      </w:r>
      <w:r w:rsidR="00F5167F" w:rsidRPr="0086063B">
        <w:rPr>
          <w:b/>
          <w:bCs/>
          <w:sz w:val="22"/>
          <w:szCs w:val="22"/>
          <w:lang w:val="sr-Latn-ME"/>
        </w:rPr>
        <w:tab/>
      </w:r>
      <w:r w:rsidR="002846DB" w:rsidRPr="0086063B">
        <w:rPr>
          <w:b/>
          <w:bCs/>
          <w:sz w:val="22"/>
          <w:szCs w:val="22"/>
          <w:lang w:val="sr-Latn-ME"/>
        </w:rPr>
        <w:t xml:space="preserve">NAZIV </w:t>
      </w:r>
      <w:r w:rsidRPr="0086063B">
        <w:rPr>
          <w:b/>
          <w:bCs/>
          <w:sz w:val="22"/>
          <w:szCs w:val="22"/>
          <w:lang w:val="sr-Latn-ME"/>
        </w:rPr>
        <w:t>LIJEKA</w:t>
      </w:r>
    </w:p>
    <w:p w14:paraId="0E6E4946" w14:textId="77777777" w:rsidR="00EC2532" w:rsidRPr="0086063B" w:rsidRDefault="00EC2532" w:rsidP="00186EFF">
      <w:pPr>
        <w:jc w:val="both"/>
        <w:rPr>
          <w:sz w:val="22"/>
          <w:szCs w:val="22"/>
          <w:lang w:val="sr-Latn-ME"/>
        </w:rPr>
      </w:pPr>
    </w:p>
    <w:p w14:paraId="16C65D20" w14:textId="6780881B" w:rsidR="008F7D68" w:rsidRPr="0086063B" w:rsidRDefault="008F7D68" w:rsidP="00186EFF">
      <w:pPr>
        <w:jc w:val="both"/>
        <w:rPr>
          <w:sz w:val="22"/>
          <w:szCs w:val="22"/>
          <w:lang w:val="sr-Latn-ME"/>
        </w:rPr>
      </w:pPr>
      <w:r w:rsidRPr="0086063B">
        <w:rPr>
          <w:sz w:val="22"/>
          <w:szCs w:val="22"/>
          <w:lang w:val="sr-Latn-ME"/>
        </w:rPr>
        <w:t>CANCIDAS, 50 mg, prašak za koncentrat za rastvor za infuziju</w:t>
      </w:r>
    </w:p>
    <w:p w14:paraId="1D51DEC6" w14:textId="48F26FAA" w:rsidR="000D425A" w:rsidRPr="0086063B" w:rsidRDefault="008F7D68" w:rsidP="00186EFF">
      <w:pPr>
        <w:jc w:val="both"/>
        <w:rPr>
          <w:sz w:val="22"/>
          <w:szCs w:val="22"/>
          <w:lang w:val="sr-Latn-ME"/>
        </w:rPr>
      </w:pPr>
      <w:r w:rsidRPr="0086063B">
        <w:rPr>
          <w:sz w:val="22"/>
          <w:szCs w:val="22"/>
          <w:lang w:val="sr-Latn-ME"/>
        </w:rPr>
        <w:t>CANCIDAS, 70 mg, prašak za koncentrat za rastvor za infuziju</w:t>
      </w:r>
    </w:p>
    <w:p w14:paraId="2BEC1E42" w14:textId="77777777" w:rsidR="008F7D68" w:rsidRPr="0086063B" w:rsidRDefault="008F7D68" w:rsidP="00186EFF">
      <w:pPr>
        <w:jc w:val="both"/>
        <w:rPr>
          <w:sz w:val="22"/>
          <w:szCs w:val="22"/>
          <w:lang w:val="sr-Latn-ME"/>
        </w:rPr>
      </w:pPr>
    </w:p>
    <w:p w14:paraId="68DC0195" w14:textId="51D61E4D" w:rsidR="006D20A5" w:rsidRPr="0086063B" w:rsidRDefault="006D20A5" w:rsidP="00186EFF">
      <w:pPr>
        <w:jc w:val="both"/>
        <w:rPr>
          <w:sz w:val="22"/>
          <w:szCs w:val="22"/>
          <w:lang w:val="sr-Latn-ME"/>
        </w:rPr>
      </w:pPr>
      <w:r w:rsidRPr="0086063B">
        <w:rPr>
          <w:sz w:val="22"/>
          <w:szCs w:val="22"/>
          <w:lang w:val="sr-Latn-ME"/>
        </w:rPr>
        <w:t>INN:</w:t>
      </w:r>
      <w:r w:rsidR="008F7D68" w:rsidRPr="0086063B">
        <w:rPr>
          <w:sz w:val="22"/>
          <w:szCs w:val="22"/>
          <w:lang w:val="sr-Latn-ME"/>
        </w:rPr>
        <w:t xml:space="preserve"> kaspofungin</w:t>
      </w:r>
    </w:p>
    <w:p w14:paraId="5B359F0C" w14:textId="77777777" w:rsidR="006D20A5" w:rsidRPr="0086063B" w:rsidRDefault="006D20A5" w:rsidP="00186EFF">
      <w:pPr>
        <w:jc w:val="both"/>
        <w:rPr>
          <w:bCs/>
          <w:sz w:val="22"/>
          <w:szCs w:val="22"/>
          <w:lang w:val="sr-Latn-ME"/>
        </w:rPr>
      </w:pPr>
    </w:p>
    <w:p w14:paraId="33237B1B" w14:textId="77777777" w:rsidR="00530BD7" w:rsidRPr="0086063B" w:rsidRDefault="00530BD7" w:rsidP="00186EFF">
      <w:pPr>
        <w:jc w:val="both"/>
        <w:rPr>
          <w:bCs/>
          <w:sz w:val="22"/>
          <w:szCs w:val="22"/>
          <w:lang w:val="sr-Latn-ME"/>
        </w:rPr>
      </w:pPr>
    </w:p>
    <w:p w14:paraId="73369C4A"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2. </w:t>
      </w:r>
      <w:r w:rsidR="00F5167F" w:rsidRPr="0086063B">
        <w:rPr>
          <w:b/>
          <w:bCs/>
          <w:sz w:val="22"/>
          <w:szCs w:val="22"/>
          <w:lang w:val="sr-Latn-ME"/>
        </w:rPr>
        <w:tab/>
      </w:r>
      <w:r w:rsidRPr="0086063B">
        <w:rPr>
          <w:b/>
          <w:bCs/>
          <w:sz w:val="22"/>
          <w:szCs w:val="22"/>
          <w:lang w:val="sr-Latn-ME"/>
        </w:rPr>
        <w:t>KVALITATIVNI I KVANTITATIVNI SASTAV</w:t>
      </w:r>
    </w:p>
    <w:p w14:paraId="1116A8CA" w14:textId="77777777" w:rsidR="005A0B2E" w:rsidRPr="0086063B" w:rsidRDefault="005A0B2E" w:rsidP="00186EFF">
      <w:pPr>
        <w:jc w:val="both"/>
        <w:rPr>
          <w:sz w:val="22"/>
          <w:szCs w:val="22"/>
          <w:lang w:val="sr-Latn-ME"/>
        </w:rPr>
      </w:pPr>
    </w:p>
    <w:p w14:paraId="75CB4F77" w14:textId="17B2B044" w:rsidR="008F7D68" w:rsidRPr="0086063B" w:rsidRDefault="008F7D68" w:rsidP="00186EFF">
      <w:pPr>
        <w:tabs>
          <w:tab w:val="left" w:pos="284"/>
        </w:tabs>
        <w:jc w:val="both"/>
        <w:rPr>
          <w:sz w:val="22"/>
          <w:szCs w:val="22"/>
          <w:u w:val="single"/>
          <w:lang w:val="sr-Latn-ME"/>
        </w:rPr>
      </w:pPr>
      <w:r w:rsidRPr="0086063B">
        <w:rPr>
          <w:bCs/>
          <w:sz w:val="22"/>
          <w:szCs w:val="22"/>
          <w:u w:val="single"/>
          <w:lang w:val="sr-Latn-ME"/>
        </w:rPr>
        <w:t>CANCIDAS</w:t>
      </w:r>
      <w:r w:rsidRPr="0086063B">
        <w:rPr>
          <w:sz w:val="22"/>
          <w:szCs w:val="22"/>
          <w:u w:val="single"/>
          <w:lang w:val="sr-Latn-ME"/>
        </w:rPr>
        <w:t xml:space="preserve">, 50 mg, prašak za koncentrat za rastvor za infuziju </w:t>
      </w:r>
    </w:p>
    <w:p w14:paraId="13B46FC9" w14:textId="3D20DC92" w:rsidR="008F7D68" w:rsidRPr="0086063B" w:rsidRDefault="008F7D68" w:rsidP="00186EFF">
      <w:pPr>
        <w:jc w:val="both"/>
        <w:rPr>
          <w:sz w:val="22"/>
          <w:szCs w:val="22"/>
          <w:lang w:val="sr-Latn-ME"/>
        </w:rPr>
      </w:pPr>
      <w:r w:rsidRPr="0086063B">
        <w:rPr>
          <w:sz w:val="22"/>
          <w:szCs w:val="22"/>
          <w:lang w:val="sr-Latn-ME"/>
        </w:rPr>
        <w:t>Jedna bočica sadrži 50 mg kaspofungina (u obliku kaspofungin</w:t>
      </w:r>
      <w:r w:rsidR="003950EF" w:rsidRPr="0086063B">
        <w:rPr>
          <w:sz w:val="22"/>
          <w:szCs w:val="22"/>
          <w:lang w:val="sr-Latn-ME"/>
        </w:rPr>
        <w:t xml:space="preserve"> </w:t>
      </w:r>
      <w:r w:rsidRPr="0086063B">
        <w:rPr>
          <w:sz w:val="22"/>
          <w:szCs w:val="22"/>
          <w:lang w:val="sr-Latn-ME"/>
        </w:rPr>
        <w:t>acetata).</w:t>
      </w:r>
    </w:p>
    <w:p w14:paraId="08E03254" w14:textId="77777777" w:rsidR="008F7D68" w:rsidRPr="0086063B" w:rsidRDefault="008F7D68" w:rsidP="00186EFF">
      <w:pPr>
        <w:jc w:val="both"/>
        <w:rPr>
          <w:sz w:val="22"/>
          <w:szCs w:val="22"/>
          <w:lang w:val="sr-Latn-ME"/>
        </w:rPr>
      </w:pPr>
    </w:p>
    <w:p w14:paraId="1BF77A4A" w14:textId="30BAABE6" w:rsidR="008F7D68" w:rsidRPr="0086063B" w:rsidRDefault="008F7D68" w:rsidP="00186EFF">
      <w:pPr>
        <w:tabs>
          <w:tab w:val="left" w:pos="284"/>
        </w:tabs>
        <w:jc w:val="both"/>
        <w:rPr>
          <w:sz w:val="22"/>
          <w:szCs w:val="22"/>
          <w:u w:val="single"/>
          <w:lang w:val="sr-Latn-ME"/>
        </w:rPr>
      </w:pPr>
      <w:r w:rsidRPr="0086063B">
        <w:rPr>
          <w:bCs/>
          <w:sz w:val="22"/>
          <w:szCs w:val="22"/>
          <w:u w:val="single"/>
          <w:lang w:val="sr-Latn-ME"/>
        </w:rPr>
        <w:t>CANCIDAS</w:t>
      </w:r>
      <w:r w:rsidRPr="0086063B">
        <w:rPr>
          <w:sz w:val="22"/>
          <w:szCs w:val="22"/>
          <w:u w:val="single"/>
          <w:lang w:val="sr-Latn-ME"/>
        </w:rPr>
        <w:t>, 70 mg, prašak za koncentrat za rastvor za infuziju</w:t>
      </w:r>
    </w:p>
    <w:p w14:paraId="001B1E16" w14:textId="04616EC0" w:rsidR="008F7D68" w:rsidRPr="0086063B" w:rsidRDefault="008F7D68" w:rsidP="00186EFF">
      <w:pPr>
        <w:tabs>
          <w:tab w:val="left" w:pos="284"/>
        </w:tabs>
        <w:jc w:val="both"/>
        <w:rPr>
          <w:sz w:val="22"/>
          <w:szCs w:val="22"/>
          <w:lang w:val="sr-Latn-ME"/>
        </w:rPr>
      </w:pPr>
      <w:r w:rsidRPr="0086063B">
        <w:rPr>
          <w:sz w:val="22"/>
          <w:szCs w:val="22"/>
          <w:lang w:val="sr-Latn-ME"/>
        </w:rPr>
        <w:t>Jedna bočica sadrži 70 mg kaspofungina (u obliku kaspofungin</w:t>
      </w:r>
      <w:r w:rsidR="003950EF" w:rsidRPr="0086063B">
        <w:rPr>
          <w:sz w:val="22"/>
          <w:szCs w:val="22"/>
          <w:lang w:val="sr-Latn-ME"/>
        </w:rPr>
        <w:t xml:space="preserve"> </w:t>
      </w:r>
      <w:r w:rsidRPr="0086063B">
        <w:rPr>
          <w:sz w:val="22"/>
          <w:szCs w:val="22"/>
          <w:lang w:val="sr-Latn-ME"/>
        </w:rPr>
        <w:t>acetata).</w:t>
      </w:r>
    </w:p>
    <w:p w14:paraId="214882B6" w14:textId="77777777" w:rsidR="008F7D68" w:rsidRPr="0086063B" w:rsidRDefault="008F7D68" w:rsidP="00186EFF">
      <w:pPr>
        <w:jc w:val="both"/>
        <w:rPr>
          <w:sz w:val="22"/>
          <w:szCs w:val="22"/>
          <w:lang w:val="sr-Latn-ME"/>
        </w:rPr>
      </w:pPr>
    </w:p>
    <w:p w14:paraId="2D56020F" w14:textId="6ECBF37A" w:rsidR="0003793F" w:rsidRPr="0086063B" w:rsidRDefault="0003793F" w:rsidP="00186EFF">
      <w:pPr>
        <w:jc w:val="both"/>
        <w:rPr>
          <w:sz w:val="22"/>
          <w:szCs w:val="22"/>
          <w:lang w:val="sr-Latn-ME"/>
        </w:rPr>
      </w:pPr>
      <w:r w:rsidRPr="0086063B">
        <w:rPr>
          <w:sz w:val="22"/>
          <w:szCs w:val="22"/>
          <w:lang w:val="sr-Latn-ME"/>
        </w:rPr>
        <w:t>Za spisak svih ekscipijenasa, pogledati dio 6.1.</w:t>
      </w:r>
    </w:p>
    <w:p w14:paraId="5799C786" w14:textId="77777777" w:rsidR="0003793F" w:rsidRPr="0086063B" w:rsidRDefault="0003793F" w:rsidP="00186EFF">
      <w:pPr>
        <w:jc w:val="both"/>
        <w:rPr>
          <w:sz w:val="22"/>
          <w:szCs w:val="22"/>
          <w:lang w:val="sr-Latn-ME"/>
        </w:rPr>
      </w:pPr>
    </w:p>
    <w:p w14:paraId="418843DC" w14:textId="77777777" w:rsidR="00C37FD7" w:rsidRPr="0086063B" w:rsidRDefault="00C37FD7" w:rsidP="00186EFF">
      <w:pPr>
        <w:jc w:val="both"/>
        <w:rPr>
          <w:sz w:val="22"/>
          <w:szCs w:val="22"/>
          <w:lang w:val="sr-Latn-ME"/>
        </w:rPr>
      </w:pPr>
    </w:p>
    <w:p w14:paraId="23A02325"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3. </w:t>
      </w:r>
      <w:r w:rsidR="00F5167F" w:rsidRPr="0086063B">
        <w:rPr>
          <w:b/>
          <w:bCs/>
          <w:sz w:val="22"/>
          <w:szCs w:val="22"/>
          <w:lang w:val="sr-Latn-ME"/>
        </w:rPr>
        <w:tab/>
      </w:r>
      <w:r w:rsidRPr="0086063B">
        <w:rPr>
          <w:b/>
          <w:bCs/>
          <w:sz w:val="22"/>
          <w:szCs w:val="22"/>
          <w:lang w:val="sr-Latn-ME"/>
        </w:rPr>
        <w:t>FARMACEUTSKI OBLIK</w:t>
      </w:r>
      <w:r w:rsidR="009F2D23" w:rsidRPr="0086063B">
        <w:rPr>
          <w:b/>
          <w:bCs/>
          <w:sz w:val="22"/>
          <w:szCs w:val="22"/>
          <w:lang w:val="sr-Latn-ME"/>
        </w:rPr>
        <w:t xml:space="preserve"> </w:t>
      </w:r>
    </w:p>
    <w:p w14:paraId="5170FC36" w14:textId="77777777" w:rsidR="00411B4B" w:rsidRPr="0086063B" w:rsidRDefault="00411B4B" w:rsidP="00186EFF">
      <w:pPr>
        <w:jc w:val="both"/>
        <w:rPr>
          <w:bCs/>
          <w:sz w:val="22"/>
          <w:szCs w:val="22"/>
          <w:lang w:val="sr-Latn-ME"/>
        </w:rPr>
      </w:pPr>
    </w:p>
    <w:p w14:paraId="01647F8C" w14:textId="77777777" w:rsidR="008F7D68" w:rsidRPr="0086063B" w:rsidRDefault="008F7D68" w:rsidP="00186EFF">
      <w:pPr>
        <w:jc w:val="both"/>
        <w:rPr>
          <w:bCs/>
          <w:sz w:val="22"/>
          <w:szCs w:val="22"/>
          <w:lang w:val="sr-Latn-ME"/>
        </w:rPr>
      </w:pPr>
      <w:r w:rsidRPr="0086063B">
        <w:rPr>
          <w:bCs/>
          <w:sz w:val="22"/>
          <w:szCs w:val="22"/>
          <w:lang w:val="sr-Latn-ME"/>
        </w:rPr>
        <w:t>Prašak za koncentrat za rastvor za infuziju.</w:t>
      </w:r>
    </w:p>
    <w:p w14:paraId="077DC341" w14:textId="77777777" w:rsidR="008F7D68" w:rsidRPr="0086063B" w:rsidRDefault="008F7D68" w:rsidP="00186EFF">
      <w:pPr>
        <w:jc w:val="both"/>
        <w:rPr>
          <w:bCs/>
          <w:sz w:val="22"/>
          <w:szCs w:val="22"/>
          <w:lang w:val="sr-Latn-ME"/>
        </w:rPr>
      </w:pPr>
      <w:r w:rsidRPr="0086063B">
        <w:rPr>
          <w:bCs/>
          <w:sz w:val="22"/>
          <w:szCs w:val="22"/>
          <w:lang w:val="sr-Latn-ME"/>
        </w:rPr>
        <w:t>Prije rekonstitucije, prašak je kompaktan, bijele do skoro bijele boje.</w:t>
      </w:r>
    </w:p>
    <w:p w14:paraId="76887F2D" w14:textId="77777777" w:rsidR="00EC2532" w:rsidRPr="0086063B" w:rsidRDefault="00EC2532" w:rsidP="00186EFF">
      <w:pPr>
        <w:jc w:val="both"/>
        <w:rPr>
          <w:bCs/>
          <w:sz w:val="22"/>
          <w:szCs w:val="22"/>
          <w:lang w:val="sr-Latn-ME"/>
        </w:rPr>
      </w:pPr>
    </w:p>
    <w:p w14:paraId="6D83E033"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4. </w:t>
      </w:r>
      <w:r w:rsidR="00480FB1" w:rsidRPr="0086063B">
        <w:rPr>
          <w:b/>
          <w:bCs/>
          <w:sz w:val="22"/>
          <w:szCs w:val="22"/>
          <w:lang w:val="sr-Latn-ME"/>
        </w:rPr>
        <w:tab/>
      </w:r>
      <w:r w:rsidRPr="0086063B">
        <w:rPr>
          <w:b/>
          <w:bCs/>
          <w:sz w:val="22"/>
          <w:szCs w:val="22"/>
          <w:lang w:val="sr-Latn-ME"/>
        </w:rPr>
        <w:t>KLINIČKI PODACI</w:t>
      </w:r>
    </w:p>
    <w:p w14:paraId="3819718B" w14:textId="696AED20" w:rsidR="00411B4B" w:rsidRPr="0086063B" w:rsidRDefault="00411B4B" w:rsidP="00186EFF">
      <w:pPr>
        <w:tabs>
          <w:tab w:val="left" w:pos="540"/>
          <w:tab w:val="left" w:pos="569"/>
        </w:tabs>
        <w:jc w:val="both"/>
        <w:rPr>
          <w:bCs/>
          <w:sz w:val="22"/>
          <w:szCs w:val="22"/>
          <w:lang w:val="sr-Latn-ME"/>
        </w:rPr>
      </w:pPr>
    </w:p>
    <w:p w14:paraId="1D1A118B" w14:textId="304F5687" w:rsidR="008F7D68" w:rsidRPr="0086063B" w:rsidRDefault="008F7D68" w:rsidP="00186EFF">
      <w:pPr>
        <w:tabs>
          <w:tab w:val="left" w:pos="540"/>
          <w:tab w:val="left" w:pos="569"/>
        </w:tabs>
        <w:jc w:val="both"/>
        <w:rPr>
          <w:b/>
          <w:bCs/>
          <w:sz w:val="22"/>
          <w:szCs w:val="22"/>
          <w:lang w:val="sr-Latn-ME"/>
        </w:rPr>
      </w:pPr>
      <w:r w:rsidRPr="0086063B">
        <w:rPr>
          <w:b/>
          <w:bCs/>
          <w:sz w:val="22"/>
          <w:szCs w:val="22"/>
          <w:lang w:val="sr-Latn-ME"/>
        </w:rPr>
        <w:t xml:space="preserve">4.1. </w:t>
      </w:r>
      <w:r w:rsidRPr="0086063B">
        <w:rPr>
          <w:b/>
          <w:bCs/>
          <w:sz w:val="22"/>
          <w:szCs w:val="22"/>
          <w:lang w:val="sr-Latn-ME"/>
        </w:rPr>
        <w:tab/>
        <w:t>Terapijske indikacije</w:t>
      </w:r>
    </w:p>
    <w:p w14:paraId="6EB73728" w14:textId="77777777" w:rsidR="00DA16D4" w:rsidRPr="0086063B" w:rsidRDefault="00DA16D4" w:rsidP="00186EFF">
      <w:pPr>
        <w:tabs>
          <w:tab w:val="left" w:pos="540"/>
          <w:tab w:val="left" w:pos="569"/>
        </w:tabs>
        <w:jc w:val="both"/>
        <w:rPr>
          <w:b/>
          <w:bCs/>
          <w:sz w:val="22"/>
          <w:szCs w:val="22"/>
          <w:lang w:val="sr-Latn-ME"/>
        </w:rPr>
      </w:pPr>
    </w:p>
    <w:p w14:paraId="0C1FCF20" w14:textId="77777777" w:rsidR="008F7D68" w:rsidRPr="0086063B" w:rsidRDefault="008F7D68" w:rsidP="00E92A04">
      <w:pPr>
        <w:numPr>
          <w:ilvl w:val="0"/>
          <w:numId w:val="12"/>
        </w:numPr>
        <w:tabs>
          <w:tab w:val="left" w:pos="284"/>
        </w:tabs>
        <w:jc w:val="both"/>
        <w:rPr>
          <w:sz w:val="22"/>
          <w:szCs w:val="22"/>
          <w:lang w:val="sr-Latn-ME"/>
        </w:rPr>
      </w:pPr>
      <w:r w:rsidRPr="0086063B">
        <w:rPr>
          <w:sz w:val="22"/>
          <w:szCs w:val="22"/>
          <w:lang w:val="sr-Latn-ME"/>
        </w:rPr>
        <w:t>Liječenje invazivne kandidijaze kod odraslih ili pedijatrijskih pacijenata.</w:t>
      </w:r>
    </w:p>
    <w:p w14:paraId="3B59B8FF" w14:textId="4AF76E91" w:rsidR="008F7D68" w:rsidRPr="0086063B" w:rsidRDefault="008F7D68" w:rsidP="00E92A04">
      <w:pPr>
        <w:numPr>
          <w:ilvl w:val="0"/>
          <w:numId w:val="12"/>
        </w:numPr>
        <w:tabs>
          <w:tab w:val="left" w:pos="284"/>
        </w:tabs>
        <w:jc w:val="both"/>
        <w:rPr>
          <w:sz w:val="22"/>
          <w:szCs w:val="22"/>
          <w:lang w:val="sr-Latn-ME"/>
        </w:rPr>
      </w:pPr>
      <w:r w:rsidRPr="0086063B">
        <w:rPr>
          <w:sz w:val="22"/>
          <w:szCs w:val="22"/>
          <w:lang w:val="sr-Latn-ME"/>
        </w:rPr>
        <w:t>Liječenje invazivne aspergiloze kod odraslih ili pedijatrijskih pacijenata koji ne reaguju na amfotericin B, lipidne formulacije amfotericina B i/ili itrakonazola, ili ne podnose te ljekove. Izostanak odgovora na liječenje (refraktornost) definiše se kao napredovanje infekcije ili izostanak poboljšanja nakon najmanje 7 dana p</w:t>
      </w:r>
      <w:r w:rsidR="007C23C8" w:rsidRPr="0086063B">
        <w:rPr>
          <w:sz w:val="22"/>
          <w:szCs w:val="22"/>
          <w:lang w:val="sr-Latn-ME"/>
        </w:rPr>
        <w:t>r</w:t>
      </w:r>
      <w:r w:rsidRPr="0086063B">
        <w:rPr>
          <w:sz w:val="22"/>
          <w:szCs w:val="22"/>
          <w:lang w:val="sr-Latn-ME"/>
        </w:rPr>
        <w:t>ethodnog uzimanja terapijskih doza efikasne antigljivične terapije.</w:t>
      </w:r>
    </w:p>
    <w:p w14:paraId="7C1AD537" w14:textId="77777777" w:rsidR="008F7D68" w:rsidRPr="0086063B" w:rsidRDefault="008F7D68" w:rsidP="00E92A04">
      <w:pPr>
        <w:numPr>
          <w:ilvl w:val="0"/>
          <w:numId w:val="12"/>
        </w:numPr>
        <w:tabs>
          <w:tab w:val="left" w:pos="284"/>
        </w:tabs>
        <w:jc w:val="both"/>
        <w:rPr>
          <w:sz w:val="22"/>
          <w:szCs w:val="22"/>
          <w:lang w:val="sr-Latn-ME"/>
        </w:rPr>
      </w:pPr>
      <w:r w:rsidRPr="0086063B">
        <w:rPr>
          <w:sz w:val="22"/>
          <w:szCs w:val="22"/>
          <w:lang w:val="sr-Latn-ME"/>
        </w:rPr>
        <w:t xml:space="preserve">Empirijska terapija za suspektne gljivične infekcije (poput infekcija gljivicama </w:t>
      </w:r>
      <w:r w:rsidRPr="0086063B">
        <w:rPr>
          <w:i/>
          <w:sz w:val="22"/>
          <w:szCs w:val="22"/>
          <w:lang w:val="sr-Latn-ME"/>
        </w:rPr>
        <w:t>Candida</w:t>
      </w:r>
      <w:r w:rsidRPr="0086063B">
        <w:rPr>
          <w:sz w:val="22"/>
          <w:szCs w:val="22"/>
          <w:lang w:val="sr-Latn-ME"/>
        </w:rPr>
        <w:t xml:space="preserve"> ili </w:t>
      </w:r>
      <w:r w:rsidRPr="0086063B">
        <w:rPr>
          <w:i/>
          <w:sz w:val="22"/>
          <w:szCs w:val="22"/>
          <w:lang w:val="sr-Latn-ME"/>
        </w:rPr>
        <w:t>Aspergillus</w:t>
      </w:r>
      <w:r w:rsidRPr="0086063B">
        <w:rPr>
          <w:sz w:val="22"/>
          <w:szCs w:val="22"/>
          <w:lang w:val="sr-Latn-ME"/>
        </w:rPr>
        <w:t>) kod odraslih ili pedijatrijskih febrilnih pacijenata sa neutropenijom.</w:t>
      </w:r>
    </w:p>
    <w:p w14:paraId="4617E0DB" w14:textId="77777777" w:rsidR="008F7D68" w:rsidRPr="0086063B" w:rsidRDefault="008F7D68" w:rsidP="00186EFF">
      <w:pPr>
        <w:tabs>
          <w:tab w:val="left" w:pos="540"/>
          <w:tab w:val="left" w:pos="569"/>
        </w:tabs>
        <w:jc w:val="both"/>
        <w:rPr>
          <w:bCs/>
          <w:sz w:val="22"/>
          <w:szCs w:val="22"/>
          <w:lang w:val="sr-Latn-ME"/>
        </w:rPr>
      </w:pPr>
    </w:p>
    <w:p w14:paraId="4325A335"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4.2. </w:t>
      </w:r>
      <w:r w:rsidR="00480FB1" w:rsidRPr="0086063B">
        <w:rPr>
          <w:b/>
          <w:bCs/>
          <w:sz w:val="22"/>
          <w:szCs w:val="22"/>
          <w:lang w:val="sr-Latn-ME"/>
        </w:rPr>
        <w:tab/>
      </w:r>
      <w:r w:rsidRPr="0086063B">
        <w:rPr>
          <w:b/>
          <w:bCs/>
          <w:sz w:val="22"/>
          <w:szCs w:val="22"/>
          <w:lang w:val="sr-Latn-ME"/>
        </w:rPr>
        <w:t>Doziranje i način primjene</w:t>
      </w:r>
    </w:p>
    <w:p w14:paraId="15F30D8F" w14:textId="0F6FAEFE" w:rsidR="0072020E" w:rsidRPr="0086063B" w:rsidRDefault="0072020E" w:rsidP="00186EFF">
      <w:pPr>
        <w:tabs>
          <w:tab w:val="left" w:pos="540"/>
          <w:tab w:val="left" w:pos="569"/>
        </w:tabs>
        <w:jc w:val="both"/>
        <w:rPr>
          <w:bCs/>
          <w:sz w:val="22"/>
          <w:szCs w:val="22"/>
          <w:lang w:val="sr-Latn-ME"/>
        </w:rPr>
      </w:pPr>
    </w:p>
    <w:p w14:paraId="6A58C4EB" w14:textId="0839D4BD" w:rsidR="008F7D68" w:rsidRPr="0086063B" w:rsidRDefault="008F7D68" w:rsidP="00186EFF">
      <w:pPr>
        <w:tabs>
          <w:tab w:val="left" w:pos="284"/>
        </w:tabs>
        <w:jc w:val="both"/>
        <w:rPr>
          <w:sz w:val="22"/>
          <w:szCs w:val="22"/>
          <w:lang w:val="sr-Latn-ME"/>
        </w:rPr>
      </w:pPr>
      <w:r w:rsidRPr="0086063B">
        <w:rPr>
          <w:sz w:val="22"/>
          <w:szCs w:val="22"/>
          <w:lang w:val="sr-Latn-ME"/>
        </w:rPr>
        <w:t>Liječenje kaspofunginom mora da započne ljekar koji ima iskustvo u l</w:t>
      </w:r>
      <w:r w:rsidR="007C23C8" w:rsidRPr="0086063B">
        <w:rPr>
          <w:sz w:val="22"/>
          <w:szCs w:val="22"/>
          <w:lang w:val="sr-Latn-ME"/>
        </w:rPr>
        <w:t>ij</w:t>
      </w:r>
      <w:r w:rsidRPr="0086063B">
        <w:rPr>
          <w:sz w:val="22"/>
          <w:szCs w:val="22"/>
          <w:lang w:val="sr-Latn-ME"/>
        </w:rPr>
        <w:t xml:space="preserve">ečenju invazivnih fungalnih infekcija. </w:t>
      </w:r>
    </w:p>
    <w:p w14:paraId="4A98FE18" w14:textId="77777777" w:rsidR="008F7D68" w:rsidRPr="0086063B" w:rsidRDefault="008F7D68" w:rsidP="00186EFF">
      <w:pPr>
        <w:tabs>
          <w:tab w:val="left" w:pos="540"/>
          <w:tab w:val="left" w:pos="569"/>
        </w:tabs>
        <w:jc w:val="both"/>
        <w:rPr>
          <w:bCs/>
          <w:sz w:val="22"/>
          <w:szCs w:val="22"/>
          <w:lang w:val="sr-Latn-ME"/>
        </w:rPr>
      </w:pPr>
    </w:p>
    <w:p w14:paraId="285BF09B" w14:textId="77777777" w:rsidR="00452E9D" w:rsidRPr="0086063B" w:rsidRDefault="00452E9D" w:rsidP="00186EFF">
      <w:pPr>
        <w:tabs>
          <w:tab w:val="left" w:pos="540"/>
          <w:tab w:val="left" w:pos="569"/>
        </w:tabs>
        <w:jc w:val="both"/>
        <w:rPr>
          <w:bCs/>
          <w:sz w:val="22"/>
          <w:szCs w:val="22"/>
          <w:u w:val="single"/>
          <w:lang w:val="sr-Latn-ME"/>
        </w:rPr>
      </w:pPr>
      <w:r w:rsidRPr="0086063B">
        <w:rPr>
          <w:bCs/>
          <w:sz w:val="22"/>
          <w:szCs w:val="22"/>
          <w:u w:val="single"/>
          <w:lang w:val="sr-Latn-ME"/>
        </w:rPr>
        <w:t>Doziranje</w:t>
      </w:r>
    </w:p>
    <w:p w14:paraId="6C4EB03B" w14:textId="77777777" w:rsidR="008F7D68" w:rsidRPr="0086063B" w:rsidRDefault="008F7D68" w:rsidP="00186EFF">
      <w:pPr>
        <w:tabs>
          <w:tab w:val="left" w:pos="284"/>
        </w:tabs>
        <w:jc w:val="both"/>
        <w:rPr>
          <w:i/>
          <w:sz w:val="22"/>
          <w:szCs w:val="22"/>
          <w:lang w:val="sr-Latn-ME"/>
        </w:rPr>
      </w:pPr>
      <w:r w:rsidRPr="0086063B">
        <w:rPr>
          <w:i/>
          <w:sz w:val="22"/>
          <w:szCs w:val="22"/>
          <w:lang w:val="sr-Latn-ME"/>
        </w:rPr>
        <w:t>Odrasli pacijenti</w:t>
      </w:r>
    </w:p>
    <w:p w14:paraId="21CBB521" w14:textId="1C48EC65" w:rsidR="008F7D68" w:rsidRPr="0086063B" w:rsidRDefault="008F7D68" w:rsidP="00186EFF">
      <w:pPr>
        <w:tabs>
          <w:tab w:val="left" w:pos="284"/>
        </w:tabs>
        <w:jc w:val="both"/>
        <w:rPr>
          <w:sz w:val="22"/>
          <w:szCs w:val="22"/>
          <w:lang w:val="sr-Latn-ME"/>
        </w:rPr>
      </w:pPr>
      <w:r w:rsidRPr="0086063B">
        <w:rPr>
          <w:sz w:val="22"/>
          <w:szCs w:val="22"/>
          <w:lang w:val="sr-Latn-ME"/>
        </w:rPr>
        <w:t>Prvog dana liječenja treba dati jednokratnu udarnu dozu od 70 mg</w:t>
      </w:r>
      <w:r w:rsidR="00A04C3F" w:rsidRPr="0086063B">
        <w:rPr>
          <w:sz w:val="22"/>
          <w:szCs w:val="22"/>
          <w:lang w:val="sr-Latn-ME"/>
        </w:rPr>
        <w:t>,</w:t>
      </w:r>
      <w:r w:rsidRPr="0086063B">
        <w:rPr>
          <w:sz w:val="22"/>
          <w:szCs w:val="22"/>
          <w:lang w:val="sr-Latn-ME"/>
        </w:rPr>
        <w:t xml:space="preserve"> a zatim nastaviti sa primjenom 50 mg lijeka dnevno. Kod pacijenata čija je tjelesna masa iznad 80 kg preporučuje se da se, nakon primjene početne udarne doze od 70 mg, nastavi sa primjenom kaspofungina u dozi od 70 mg dnevno (vidjeti </w:t>
      </w:r>
      <w:r w:rsidR="00414C1F" w:rsidRPr="0086063B">
        <w:rPr>
          <w:sz w:val="22"/>
          <w:szCs w:val="22"/>
          <w:lang w:val="sr-Latn-ME"/>
        </w:rPr>
        <w:t>dio</w:t>
      </w:r>
      <w:r w:rsidRPr="0086063B">
        <w:rPr>
          <w:sz w:val="22"/>
          <w:szCs w:val="22"/>
          <w:lang w:val="sr-Latn-ME"/>
        </w:rPr>
        <w:t xml:space="preserve"> 5.2). Nije potrebno prilagođavati dozu u odnosu na pol ili rasu pacijenta (vidjeti </w:t>
      </w:r>
      <w:r w:rsidR="00414C1F" w:rsidRPr="0086063B">
        <w:rPr>
          <w:sz w:val="22"/>
          <w:szCs w:val="22"/>
          <w:lang w:val="sr-Latn-ME"/>
        </w:rPr>
        <w:t>dio</w:t>
      </w:r>
      <w:r w:rsidRPr="0086063B">
        <w:rPr>
          <w:sz w:val="22"/>
          <w:szCs w:val="22"/>
          <w:lang w:val="sr-Latn-ME"/>
        </w:rPr>
        <w:t xml:space="preserve"> 5.2).</w:t>
      </w:r>
    </w:p>
    <w:p w14:paraId="1EF089D5" w14:textId="77777777" w:rsidR="008F7D68" w:rsidRPr="0086063B" w:rsidRDefault="008F7D68" w:rsidP="00186EFF">
      <w:pPr>
        <w:tabs>
          <w:tab w:val="left" w:pos="284"/>
        </w:tabs>
        <w:jc w:val="both"/>
        <w:rPr>
          <w:sz w:val="22"/>
          <w:szCs w:val="22"/>
          <w:lang w:val="sr-Latn-ME"/>
        </w:rPr>
      </w:pPr>
    </w:p>
    <w:p w14:paraId="25E67BC2" w14:textId="77777777" w:rsidR="00227ECB" w:rsidRPr="0086063B" w:rsidRDefault="00227ECB" w:rsidP="00186EFF">
      <w:pPr>
        <w:tabs>
          <w:tab w:val="left" w:pos="284"/>
        </w:tabs>
        <w:jc w:val="both"/>
        <w:rPr>
          <w:i/>
          <w:sz w:val="22"/>
          <w:szCs w:val="22"/>
          <w:lang w:val="sr-Latn-ME"/>
        </w:rPr>
      </w:pPr>
    </w:p>
    <w:p w14:paraId="0CE477DD" w14:textId="4EE79907" w:rsidR="008F7D68" w:rsidRPr="0086063B" w:rsidRDefault="008F7D68" w:rsidP="00186EFF">
      <w:pPr>
        <w:tabs>
          <w:tab w:val="left" w:pos="284"/>
        </w:tabs>
        <w:jc w:val="both"/>
        <w:rPr>
          <w:i/>
          <w:sz w:val="22"/>
          <w:szCs w:val="22"/>
          <w:lang w:val="sr-Latn-ME"/>
        </w:rPr>
      </w:pPr>
      <w:r w:rsidRPr="0086063B">
        <w:rPr>
          <w:i/>
          <w:sz w:val="22"/>
          <w:szCs w:val="22"/>
          <w:lang w:val="sr-Latn-ME"/>
        </w:rPr>
        <w:t>Pedijatrijski pacijenti (uzrasta od 12 m</w:t>
      </w:r>
      <w:r w:rsidR="003028F3" w:rsidRPr="0086063B">
        <w:rPr>
          <w:i/>
          <w:sz w:val="22"/>
          <w:szCs w:val="22"/>
          <w:lang w:val="sr-Latn-ME"/>
        </w:rPr>
        <w:t>j</w:t>
      </w:r>
      <w:r w:rsidRPr="0086063B">
        <w:rPr>
          <w:i/>
          <w:sz w:val="22"/>
          <w:szCs w:val="22"/>
          <w:lang w:val="sr-Latn-ME"/>
        </w:rPr>
        <w:t>eseci do 17 godina)</w:t>
      </w:r>
    </w:p>
    <w:p w14:paraId="33D717B4" w14:textId="36D89D21" w:rsidR="008F7D68" w:rsidRPr="0086063B" w:rsidRDefault="008F7D68" w:rsidP="00186EFF">
      <w:pPr>
        <w:tabs>
          <w:tab w:val="left" w:pos="284"/>
        </w:tabs>
        <w:jc w:val="both"/>
        <w:rPr>
          <w:sz w:val="22"/>
          <w:szCs w:val="22"/>
          <w:lang w:val="sr-Latn-ME"/>
        </w:rPr>
      </w:pPr>
      <w:r w:rsidRPr="0086063B">
        <w:rPr>
          <w:sz w:val="22"/>
          <w:szCs w:val="22"/>
          <w:lang w:val="sr-Latn-ME"/>
        </w:rPr>
        <w:t>Kod pedijatrijskih pacijenata (uzrasta od 12 m</w:t>
      </w:r>
      <w:r w:rsidR="003028F3" w:rsidRPr="0086063B">
        <w:rPr>
          <w:sz w:val="22"/>
          <w:szCs w:val="22"/>
          <w:lang w:val="sr-Latn-ME"/>
        </w:rPr>
        <w:t>j</w:t>
      </w:r>
      <w:r w:rsidRPr="0086063B">
        <w:rPr>
          <w:sz w:val="22"/>
          <w:szCs w:val="22"/>
          <w:lang w:val="sr-Latn-ME"/>
        </w:rPr>
        <w:t>eseci do 17 godina) doza lijeka se određuje na osnovu površine t</w:t>
      </w:r>
      <w:r w:rsidR="007C23C8" w:rsidRPr="0086063B">
        <w:rPr>
          <w:sz w:val="22"/>
          <w:szCs w:val="22"/>
          <w:lang w:val="sr-Latn-ME"/>
        </w:rPr>
        <w:t>ij</w:t>
      </w:r>
      <w:r w:rsidRPr="0086063B">
        <w:rPr>
          <w:sz w:val="22"/>
          <w:szCs w:val="22"/>
          <w:lang w:val="sr-Latn-ME"/>
        </w:rPr>
        <w:t>ela pacijenta (vidjeti Uputstvo za upotrebu kod pedijatrijskih pacijenata, Mosteller</w:t>
      </w:r>
      <w:r w:rsidR="00DC5BB8" w:rsidRPr="0086063B">
        <w:rPr>
          <w:rStyle w:val="FootnoteReference"/>
          <w:sz w:val="22"/>
          <w:szCs w:val="22"/>
          <w:lang w:val="sr-Latn-ME"/>
        </w:rPr>
        <w:footnoteReference w:id="1"/>
      </w:r>
      <w:r w:rsidRPr="0086063B">
        <w:rPr>
          <w:sz w:val="22"/>
          <w:szCs w:val="22"/>
          <w:lang w:val="sr-Latn-ME"/>
        </w:rPr>
        <w:t>-ova formula). Kod svih indikacija prvog dana liječenja treba dati jednokratnu udarnu dozu od 70 mg/m</w:t>
      </w:r>
      <w:r w:rsidRPr="0086063B">
        <w:rPr>
          <w:sz w:val="22"/>
          <w:szCs w:val="22"/>
          <w:vertAlign w:val="superscript"/>
          <w:lang w:val="sr-Latn-ME"/>
        </w:rPr>
        <w:t>2</w:t>
      </w:r>
      <w:r w:rsidRPr="0086063B">
        <w:rPr>
          <w:sz w:val="22"/>
          <w:szCs w:val="22"/>
          <w:lang w:val="sr-Latn-ME"/>
        </w:rPr>
        <w:t xml:space="preserve"> (ne smije da pređe stvarnu dozu od 70 mg), a zatim nastaviti sa primjenom 50 mg/m</w:t>
      </w:r>
      <w:r w:rsidRPr="0086063B">
        <w:rPr>
          <w:sz w:val="22"/>
          <w:szCs w:val="22"/>
          <w:vertAlign w:val="superscript"/>
          <w:lang w:val="sr-Latn-ME"/>
        </w:rPr>
        <w:t>2</w:t>
      </w:r>
      <w:r w:rsidRPr="0086063B">
        <w:rPr>
          <w:sz w:val="22"/>
          <w:szCs w:val="22"/>
          <w:lang w:val="sr-Latn-ME"/>
        </w:rPr>
        <w:t xml:space="preserve"> lijeka dnevno (ne smije da pređe stvarnu dozu od 70 mg dnevno). Ukoliko se dnevna doza od 50 mg/m</w:t>
      </w:r>
      <w:r w:rsidRPr="0086063B">
        <w:rPr>
          <w:sz w:val="22"/>
          <w:szCs w:val="22"/>
          <w:vertAlign w:val="superscript"/>
          <w:lang w:val="sr-Latn-ME"/>
        </w:rPr>
        <w:t>2</w:t>
      </w:r>
      <w:r w:rsidRPr="0086063B">
        <w:rPr>
          <w:sz w:val="22"/>
          <w:szCs w:val="22"/>
          <w:lang w:val="sr-Latn-ME"/>
        </w:rPr>
        <w:t xml:space="preserve"> dobro podnosi</w:t>
      </w:r>
      <w:r w:rsidR="007C23C8" w:rsidRPr="0086063B">
        <w:rPr>
          <w:sz w:val="22"/>
          <w:szCs w:val="22"/>
          <w:lang w:val="sr-Latn-ME"/>
        </w:rPr>
        <w:t>,</w:t>
      </w:r>
      <w:r w:rsidRPr="0086063B">
        <w:rPr>
          <w:sz w:val="22"/>
          <w:szCs w:val="22"/>
          <w:lang w:val="sr-Latn-ME"/>
        </w:rPr>
        <w:t xml:space="preserve"> ali ne daje odgovarajući klinički odgovor, dnevna doza može da se poveća na 70 mg/m</w:t>
      </w:r>
      <w:r w:rsidRPr="0086063B">
        <w:rPr>
          <w:sz w:val="22"/>
          <w:szCs w:val="22"/>
          <w:vertAlign w:val="superscript"/>
          <w:lang w:val="sr-Latn-ME"/>
        </w:rPr>
        <w:t>2</w:t>
      </w:r>
      <w:r w:rsidRPr="0086063B">
        <w:rPr>
          <w:sz w:val="22"/>
          <w:szCs w:val="22"/>
          <w:lang w:val="sr-Latn-ME"/>
        </w:rPr>
        <w:t xml:space="preserve"> dnevno (ne smije da pređe stvarnu dozu od 70 mg dnevno).</w:t>
      </w:r>
    </w:p>
    <w:p w14:paraId="65979103" w14:textId="77777777" w:rsidR="008F7D68" w:rsidRPr="0086063B" w:rsidRDefault="008F7D68" w:rsidP="00186EFF">
      <w:pPr>
        <w:tabs>
          <w:tab w:val="left" w:pos="284"/>
        </w:tabs>
        <w:jc w:val="both"/>
        <w:rPr>
          <w:sz w:val="22"/>
          <w:szCs w:val="22"/>
          <w:lang w:val="sr-Latn-ME"/>
        </w:rPr>
      </w:pPr>
    </w:p>
    <w:p w14:paraId="02A302C6" w14:textId="528E3485" w:rsidR="008F7D68" w:rsidRPr="0086063B" w:rsidRDefault="008F7D68" w:rsidP="00186EFF">
      <w:pPr>
        <w:tabs>
          <w:tab w:val="left" w:pos="284"/>
        </w:tabs>
        <w:jc w:val="both"/>
        <w:rPr>
          <w:sz w:val="22"/>
          <w:szCs w:val="22"/>
          <w:lang w:val="sr-Latn-ME"/>
        </w:rPr>
      </w:pPr>
      <w:r w:rsidRPr="0086063B">
        <w:rPr>
          <w:sz w:val="22"/>
          <w:szCs w:val="22"/>
          <w:lang w:val="sr-Latn-ME"/>
        </w:rPr>
        <w:t>Efikasnost i bezb</w:t>
      </w:r>
      <w:r w:rsidR="003028F3" w:rsidRPr="0086063B">
        <w:rPr>
          <w:sz w:val="22"/>
          <w:szCs w:val="22"/>
          <w:lang w:val="sr-Latn-ME"/>
        </w:rPr>
        <w:t>j</w:t>
      </w:r>
      <w:r w:rsidRPr="0086063B">
        <w:rPr>
          <w:sz w:val="22"/>
          <w:szCs w:val="22"/>
          <w:lang w:val="sr-Latn-ME"/>
        </w:rPr>
        <w:t>ednost kaspofungina ni</w:t>
      </w:r>
      <w:r w:rsidR="007C23C8" w:rsidRPr="0086063B">
        <w:rPr>
          <w:sz w:val="22"/>
          <w:szCs w:val="22"/>
          <w:lang w:val="sr-Latn-ME"/>
        </w:rPr>
        <w:t>je</w:t>
      </w:r>
      <w:r w:rsidRPr="0086063B">
        <w:rPr>
          <w:sz w:val="22"/>
          <w:szCs w:val="22"/>
          <w:lang w:val="sr-Latn-ME"/>
        </w:rPr>
        <w:t>su dovoljno ispitivani u kliničkim studijama na novorođenčadi</w:t>
      </w:r>
      <w:r w:rsidR="003028F3" w:rsidRPr="0086063B">
        <w:rPr>
          <w:sz w:val="22"/>
          <w:szCs w:val="22"/>
          <w:lang w:val="sr-Latn-ME"/>
        </w:rPr>
        <w:t>ma</w:t>
      </w:r>
      <w:r w:rsidRPr="0086063B">
        <w:rPr>
          <w:sz w:val="22"/>
          <w:szCs w:val="22"/>
          <w:lang w:val="sr-Latn-ME"/>
        </w:rPr>
        <w:t xml:space="preserve"> i odojčadi</w:t>
      </w:r>
      <w:r w:rsidR="003028F3" w:rsidRPr="0086063B">
        <w:rPr>
          <w:sz w:val="22"/>
          <w:szCs w:val="22"/>
          <w:lang w:val="sr-Latn-ME"/>
        </w:rPr>
        <w:t>ma</w:t>
      </w:r>
      <w:r w:rsidRPr="0086063B">
        <w:rPr>
          <w:sz w:val="22"/>
          <w:szCs w:val="22"/>
          <w:lang w:val="sr-Latn-ME"/>
        </w:rPr>
        <w:t xml:space="preserve"> uzrasta ispod 12 m</w:t>
      </w:r>
      <w:r w:rsidR="007A4162" w:rsidRPr="0086063B">
        <w:rPr>
          <w:sz w:val="22"/>
          <w:szCs w:val="22"/>
          <w:lang w:val="sr-Latn-ME"/>
        </w:rPr>
        <w:t>j</w:t>
      </w:r>
      <w:r w:rsidRPr="0086063B">
        <w:rPr>
          <w:sz w:val="22"/>
          <w:szCs w:val="22"/>
          <w:lang w:val="sr-Latn-ME"/>
        </w:rPr>
        <w:t>eseci. Stoga se preporučuje oprez ako se lijek daje ovoj uzrasnoj grupi. Ograničeni podaci ukazuju na to da se može razmotriti primjena kaspofungina u dozi od 25 mg/m</w:t>
      </w:r>
      <w:r w:rsidRPr="0086063B">
        <w:rPr>
          <w:sz w:val="22"/>
          <w:szCs w:val="22"/>
          <w:vertAlign w:val="superscript"/>
          <w:lang w:val="sr-Latn-ME"/>
        </w:rPr>
        <w:t>2</w:t>
      </w:r>
      <w:r w:rsidRPr="0086063B">
        <w:rPr>
          <w:sz w:val="22"/>
          <w:szCs w:val="22"/>
          <w:lang w:val="sr-Latn-ME"/>
        </w:rPr>
        <w:t xml:space="preserve"> dnevno </w:t>
      </w:r>
      <w:r w:rsidR="003028F3" w:rsidRPr="0086063B">
        <w:rPr>
          <w:sz w:val="22"/>
          <w:szCs w:val="22"/>
          <w:lang w:val="sr-Latn-ME"/>
        </w:rPr>
        <w:t xml:space="preserve">kod </w:t>
      </w:r>
      <w:r w:rsidRPr="0086063B">
        <w:rPr>
          <w:sz w:val="22"/>
          <w:szCs w:val="22"/>
          <w:lang w:val="sr-Latn-ME"/>
        </w:rPr>
        <w:t>novorođenčadi i odojčadi (uzrasta ispod 3 m</w:t>
      </w:r>
      <w:r w:rsidR="003028F3" w:rsidRPr="0086063B">
        <w:rPr>
          <w:sz w:val="22"/>
          <w:szCs w:val="22"/>
          <w:lang w:val="sr-Latn-ME"/>
        </w:rPr>
        <w:t>j</w:t>
      </w:r>
      <w:r w:rsidRPr="0086063B">
        <w:rPr>
          <w:sz w:val="22"/>
          <w:szCs w:val="22"/>
          <w:lang w:val="sr-Latn-ME"/>
        </w:rPr>
        <w:t>eseca) i 50 mg/m</w:t>
      </w:r>
      <w:r w:rsidRPr="0086063B">
        <w:rPr>
          <w:sz w:val="22"/>
          <w:szCs w:val="22"/>
          <w:vertAlign w:val="superscript"/>
          <w:lang w:val="sr-Latn-ME"/>
        </w:rPr>
        <w:t>2</w:t>
      </w:r>
      <w:r w:rsidRPr="0086063B">
        <w:rPr>
          <w:sz w:val="22"/>
          <w:szCs w:val="22"/>
          <w:lang w:val="sr-Latn-ME"/>
        </w:rPr>
        <w:t xml:space="preserve"> maloj djeci (uzrasta od 3 do 11 m</w:t>
      </w:r>
      <w:r w:rsidR="007A4162" w:rsidRPr="0086063B">
        <w:rPr>
          <w:sz w:val="22"/>
          <w:szCs w:val="22"/>
          <w:lang w:val="sr-Latn-ME"/>
        </w:rPr>
        <w:t>j</w:t>
      </w:r>
      <w:r w:rsidRPr="0086063B">
        <w:rPr>
          <w:sz w:val="22"/>
          <w:szCs w:val="22"/>
          <w:lang w:val="sr-Latn-ME"/>
        </w:rPr>
        <w:t>eseci) (vidjeti</w:t>
      </w:r>
      <w:r w:rsidR="00CB3B10" w:rsidRPr="0086063B">
        <w:rPr>
          <w:sz w:val="22"/>
          <w:szCs w:val="22"/>
          <w:lang w:val="sr-Latn-ME"/>
        </w:rPr>
        <w:t xml:space="preserve"> dio</w:t>
      </w:r>
      <w:r w:rsidRPr="0086063B">
        <w:rPr>
          <w:sz w:val="22"/>
          <w:szCs w:val="22"/>
          <w:lang w:val="sr-Latn-ME"/>
        </w:rPr>
        <w:t xml:space="preserve"> 5.2).</w:t>
      </w:r>
    </w:p>
    <w:p w14:paraId="42AE21DF" w14:textId="77777777" w:rsidR="008F7D68" w:rsidRPr="0086063B" w:rsidRDefault="008F7D68" w:rsidP="00186EFF">
      <w:pPr>
        <w:tabs>
          <w:tab w:val="left" w:pos="284"/>
        </w:tabs>
        <w:jc w:val="both"/>
        <w:rPr>
          <w:sz w:val="22"/>
          <w:szCs w:val="22"/>
          <w:lang w:val="sr-Latn-ME"/>
        </w:rPr>
      </w:pPr>
    </w:p>
    <w:p w14:paraId="2D564DD8" w14:textId="77777777" w:rsidR="008F7D68" w:rsidRPr="0086063B" w:rsidRDefault="008F7D68" w:rsidP="00186EFF">
      <w:pPr>
        <w:tabs>
          <w:tab w:val="left" w:pos="284"/>
        </w:tabs>
        <w:jc w:val="both"/>
        <w:rPr>
          <w:sz w:val="22"/>
          <w:szCs w:val="22"/>
          <w:u w:val="single"/>
          <w:lang w:val="sr-Latn-ME"/>
        </w:rPr>
      </w:pPr>
      <w:r w:rsidRPr="0086063B">
        <w:rPr>
          <w:sz w:val="22"/>
          <w:szCs w:val="22"/>
          <w:u w:val="single"/>
          <w:lang w:val="sr-Latn-ME"/>
        </w:rPr>
        <w:t>Dužina terapije</w:t>
      </w:r>
    </w:p>
    <w:p w14:paraId="62F51C2D" w14:textId="77777777" w:rsidR="008F7D68" w:rsidRPr="0086063B" w:rsidRDefault="008F7D68" w:rsidP="00186EFF">
      <w:pPr>
        <w:tabs>
          <w:tab w:val="left" w:pos="284"/>
        </w:tabs>
        <w:jc w:val="both"/>
        <w:rPr>
          <w:sz w:val="22"/>
          <w:szCs w:val="22"/>
          <w:lang w:val="sr-Latn-ME"/>
        </w:rPr>
      </w:pPr>
      <w:r w:rsidRPr="0086063B">
        <w:rPr>
          <w:sz w:val="22"/>
          <w:szCs w:val="22"/>
          <w:lang w:val="sr-Latn-ME"/>
        </w:rPr>
        <w:t xml:space="preserve">Dužina empirijske terapije mora se odrediti na osnovu kliničkog odgovora pacijenta na terapiju. Liječenje se mora nastaviti do 72 sata nakon nestanka simptoma neutropenije (apsolutni broj neutrofila </w:t>
      </w:r>
      <w:r w:rsidRPr="0086063B">
        <w:rPr>
          <w:sz w:val="22"/>
          <w:szCs w:val="22"/>
          <w:lang w:val="sr-Latn-ME"/>
        </w:rPr>
        <w:sym w:font="Symbol" w:char="F0B3"/>
      </w:r>
      <w:r w:rsidRPr="0086063B">
        <w:rPr>
          <w:sz w:val="22"/>
          <w:szCs w:val="22"/>
          <w:lang w:val="sr-Latn-ME"/>
        </w:rPr>
        <w:t xml:space="preserve"> 500). Liječenje kod pacijenata sa dijagnostikovanom gljivičnom infekcijom mora trajati najmanje 14 dana i mora se nastaviti najmanje 7 dana nakon prestanka neutropenije i nestanka kliničkih simptoma.</w:t>
      </w:r>
    </w:p>
    <w:p w14:paraId="7046D9D7" w14:textId="77777777" w:rsidR="008F7D68" w:rsidRPr="0086063B" w:rsidRDefault="008F7D68" w:rsidP="00186EFF">
      <w:pPr>
        <w:tabs>
          <w:tab w:val="left" w:pos="284"/>
        </w:tabs>
        <w:jc w:val="both"/>
        <w:rPr>
          <w:sz w:val="22"/>
          <w:szCs w:val="22"/>
          <w:lang w:val="sr-Latn-ME"/>
        </w:rPr>
      </w:pPr>
    </w:p>
    <w:p w14:paraId="691FF1BB" w14:textId="637FDB7F" w:rsidR="008F7D68" w:rsidRPr="0086063B" w:rsidRDefault="008F7D68" w:rsidP="00186EFF">
      <w:pPr>
        <w:tabs>
          <w:tab w:val="left" w:pos="284"/>
        </w:tabs>
        <w:jc w:val="both"/>
        <w:rPr>
          <w:sz w:val="22"/>
          <w:szCs w:val="22"/>
          <w:lang w:val="sr-Latn-ME"/>
        </w:rPr>
      </w:pPr>
      <w:r w:rsidRPr="0086063B">
        <w:rPr>
          <w:sz w:val="22"/>
          <w:szCs w:val="22"/>
          <w:lang w:val="sr-Latn-ME"/>
        </w:rPr>
        <w:t>Dužina liječenja invanzivne kandidijaze mora se odrediti na osnovu kliničkog i mikrobiološkog odgovora pacijenta. Nakon što se znaci i simptomi invazivne kandidijaze poboljšaju, a mikrobiološke kulture postanu negativne, može da se razmotri prelazak na liječenje oralnim antimikoticima. Uopšteno, antigljivična terapija treba da se nastavi još najmanje 14 dana nakon dobijanja posl</w:t>
      </w:r>
      <w:r w:rsidR="007C23C8" w:rsidRPr="0086063B">
        <w:rPr>
          <w:sz w:val="22"/>
          <w:szCs w:val="22"/>
          <w:lang w:val="sr-Latn-ME"/>
        </w:rPr>
        <w:t>j</w:t>
      </w:r>
      <w:r w:rsidRPr="0086063B">
        <w:rPr>
          <w:sz w:val="22"/>
          <w:szCs w:val="22"/>
          <w:lang w:val="sr-Latn-ME"/>
        </w:rPr>
        <w:t>ednje pozitivne kulture.</w:t>
      </w:r>
    </w:p>
    <w:p w14:paraId="0989910B" w14:textId="77777777" w:rsidR="008F7D68" w:rsidRPr="0086063B" w:rsidRDefault="008F7D68" w:rsidP="00186EFF">
      <w:pPr>
        <w:tabs>
          <w:tab w:val="left" w:pos="284"/>
        </w:tabs>
        <w:jc w:val="both"/>
        <w:rPr>
          <w:sz w:val="22"/>
          <w:szCs w:val="22"/>
          <w:lang w:val="sr-Latn-ME"/>
        </w:rPr>
      </w:pPr>
    </w:p>
    <w:p w14:paraId="7D8DFB01" w14:textId="3481ACFB" w:rsidR="008F7D68" w:rsidRPr="0086063B" w:rsidRDefault="008F7D68" w:rsidP="00186EFF">
      <w:pPr>
        <w:tabs>
          <w:tab w:val="left" w:pos="284"/>
        </w:tabs>
        <w:jc w:val="both"/>
        <w:rPr>
          <w:sz w:val="22"/>
          <w:szCs w:val="22"/>
          <w:lang w:val="sr-Latn-ME"/>
        </w:rPr>
      </w:pPr>
      <w:r w:rsidRPr="0086063B">
        <w:rPr>
          <w:sz w:val="22"/>
          <w:szCs w:val="22"/>
          <w:lang w:val="sr-Latn-ME"/>
        </w:rPr>
        <w:t xml:space="preserve">Dužina liječenja invazivne aspergiloze treba da se odredi za svaki slučaj pojedinačno, a na osnovu težine osnovne bolesti, oporavka od imunosupresije i kliničkog odgovora pacijenta. Uopšteno, terapija treba da se nastavi još najmanje </w:t>
      </w:r>
      <w:r w:rsidR="00CB3B10" w:rsidRPr="0086063B">
        <w:rPr>
          <w:sz w:val="22"/>
          <w:szCs w:val="22"/>
          <w:lang w:val="sr-Latn-ME"/>
        </w:rPr>
        <w:t>7</w:t>
      </w:r>
      <w:r w:rsidRPr="0086063B">
        <w:rPr>
          <w:sz w:val="22"/>
          <w:szCs w:val="22"/>
          <w:lang w:val="sr-Latn-ME"/>
        </w:rPr>
        <w:t xml:space="preserve"> dana nakon nestanka simptoma.</w:t>
      </w:r>
    </w:p>
    <w:p w14:paraId="4AE3556A" w14:textId="77777777" w:rsidR="008F7D68" w:rsidRPr="0086063B" w:rsidRDefault="008F7D68" w:rsidP="00186EFF">
      <w:pPr>
        <w:tabs>
          <w:tab w:val="left" w:pos="284"/>
        </w:tabs>
        <w:jc w:val="both"/>
        <w:rPr>
          <w:sz w:val="22"/>
          <w:szCs w:val="22"/>
          <w:lang w:val="sr-Latn-ME"/>
        </w:rPr>
      </w:pPr>
    </w:p>
    <w:p w14:paraId="0E50ADAF" w14:textId="36060C78" w:rsidR="008F7D68" w:rsidRPr="0086063B" w:rsidRDefault="008F7D68" w:rsidP="00186EFF">
      <w:pPr>
        <w:tabs>
          <w:tab w:val="left" w:pos="284"/>
        </w:tabs>
        <w:jc w:val="both"/>
        <w:rPr>
          <w:sz w:val="22"/>
          <w:szCs w:val="22"/>
          <w:lang w:val="sr-Latn-ME"/>
        </w:rPr>
      </w:pPr>
      <w:r w:rsidRPr="0086063B">
        <w:rPr>
          <w:sz w:val="22"/>
          <w:szCs w:val="22"/>
          <w:lang w:val="sr-Latn-ME"/>
        </w:rPr>
        <w:t>Podaci o bezb</w:t>
      </w:r>
      <w:r w:rsidR="007A4162" w:rsidRPr="0086063B">
        <w:rPr>
          <w:sz w:val="22"/>
          <w:szCs w:val="22"/>
          <w:lang w:val="sr-Latn-ME"/>
        </w:rPr>
        <w:t>ij</w:t>
      </w:r>
      <w:r w:rsidRPr="0086063B">
        <w:rPr>
          <w:sz w:val="22"/>
          <w:szCs w:val="22"/>
          <w:lang w:val="sr-Latn-ME"/>
        </w:rPr>
        <w:t>ednosti lijeka kada terapija traje duže od 4 ned</w:t>
      </w:r>
      <w:r w:rsidR="003028F3" w:rsidRPr="0086063B">
        <w:rPr>
          <w:sz w:val="22"/>
          <w:szCs w:val="22"/>
          <w:lang w:val="sr-Latn-ME"/>
        </w:rPr>
        <w:t>j</w:t>
      </w:r>
      <w:r w:rsidRPr="0086063B">
        <w:rPr>
          <w:sz w:val="22"/>
          <w:szCs w:val="22"/>
          <w:lang w:val="sr-Latn-ME"/>
        </w:rPr>
        <w:t>elje su ograničeni. Međutim, dostupni podaci pokazuju da se kaspofungin dobro podnosi pri dužem trajanju liječenja (do 162 dana kod odraslih pacijenata i do 87 dana kod pedijatrijskih pacijenata).</w:t>
      </w:r>
    </w:p>
    <w:p w14:paraId="4823D4D0" w14:textId="77777777" w:rsidR="008F7D68" w:rsidRPr="0086063B" w:rsidRDefault="008F7D68" w:rsidP="00186EFF">
      <w:pPr>
        <w:tabs>
          <w:tab w:val="left" w:pos="284"/>
        </w:tabs>
        <w:jc w:val="both"/>
        <w:rPr>
          <w:sz w:val="22"/>
          <w:szCs w:val="22"/>
          <w:lang w:val="sr-Latn-ME"/>
        </w:rPr>
      </w:pPr>
    </w:p>
    <w:p w14:paraId="4405228B" w14:textId="3506FE25" w:rsidR="008F7D68" w:rsidRPr="0086063B" w:rsidRDefault="008F7D68" w:rsidP="00186EFF">
      <w:pPr>
        <w:tabs>
          <w:tab w:val="left" w:pos="284"/>
        </w:tabs>
        <w:jc w:val="both"/>
        <w:rPr>
          <w:b/>
          <w:i/>
          <w:sz w:val="22"/>
          <w:szCs w:val="22"/>
          <w:lang w:val="sr-Latn-ME"/>
        </w:rPr>
      </w:pPr>
      <w:r w:rsidRPr="0086063B">
        <w:rPr>
          <w:bCs/>
          <w:iCs/>
          <w:sz w:val="22"/>
          <w:szCs w:val="22"/>
          <w:u w:val="single"/>
          <w:lang w:val="sr-Latn-ME"/>
        </w:rPr>
        <w:t>Posebne populacije</w:t>
      </w:r>
    </w:p>
    <w:p w14:paraId="140AF9CD" w14:textId="77777777" w:rsidR="008F7D68" w:rsidRPr="0086063B" w:rsidRDefault="008F7D68" w:rsidP="00186EFF">
      <w:pPr>
        <w:tabs>
          <w:tab w:val="left" w:pos="284"/>
        </w:tabs>
        <w:jc w:val="both"/>
        <w:rPr>
          <w:sz w:val="22"/>
          <w:szCs w:val="22"/>
          <w:lang w:val="sr-Latn-ME"/>
        </w:rPr>
      </w:pPr>
      <w:r w:rsidRPr="0086063B">
        <w:rPr>
          <w:i/>
          <w:sz w:val="22"/>
          <w:szCs w:val="22"/>
          <w:lang w:val="sr-Latn-ME"/>
        </w:rPr>
        <w:t>Stariji pacijenti</w:t>
      </w:r>
    </w:p>
    <w:p w14:paraId="041DF602" w14:textId="6DD5EAC7" w:rsidR="008F7D68" w:rsidRPr="0086063B" w:rsidRDefault="008F7D68" w:rsidP="00186EFF">
      <w:pPr>
        <w:tabs>
          <w:tab w:val="left" w:pos="284"/>
        </w:tabs>
        <w:jc w:val="both"/>
        <w:rPr>
          <w:sz w:val="22"/>
          <w:szCs w:val="22"/>
          <w:lang w:val="sr-Latn-ME"/>
        </w:rPr>
      </w:pPr>
      <w:r w:rsidRPr="0086063B">
        <w:rPr>
          <w:sz w:val="22"/>
          <w:szCs w:val="22"/>
          <w:lang w:val="sr-Latn-ME"/>
        </w:rPr>
        <w:t>Kod starijih pacijenata (65 godina i stariji) površina ispod krive (PIK) povećava se za približno 30%. Međutim, nije potrebno sistematsko prilagođavanje doze. Terapijsko iskustvo kod pacijenata od 65 godina i starijih je ograničeno (vidjeti</w:t>
      </w:r>
      <w:r w:rsidR="00CB3B10" w:rsidRPr="0086063B">
        <w:rPr>
          <w:sz w:val="22"/>
          <w:szCs w:val="22"/>
          <w:lang w:val="sr-Latn-ME"/>
        </w:rPr>
        <w:t xml:space="preserve"> dio</w:t>
      </w:r>
      <w:r w:rsidRPr="0086063B">
        <w:rPr>
          <w:sz w:val="22"/>
          <w:szCs w:val="22"/>
          <w:lang w:val="sr-Latn-ME"/>
        </w:rPr>
        <w:t xml:space="preserve"> 5.2).</w:t>
      </w:r>
    </w:p>
    <w:p w14:paraId="0C73579D" w14:textId="77777777" w:rsidR="008F7D68" w:rsidRPr="0086063B" w:rsidRDefault="008F7D68" w:rsidP="00186EFF">
      <w:pPr>
        <w:tabs>
          <w:tab w:val="left" w:pos="284"/>
        </w:tabs>
        <w:jc w:val="both"/>
        <w:rPr>
          <w:sz w:val="22"/>
          <w:szCs w:val="22"/>
          <w:lang w:val="sr-Latn-ME"/>
        </w:rPr>
      </w:pPr>
    </w:p>
    <w:p w14:paraId="3FF4CDF2" w14:textId="77777777" w:rsidR="008F7D68" w:rsidRPr="0086063B" w:rsidRDefault="008F7D68" w:rsidP="00186EFF">
      <w:pPr>
        <w:tabs>
          <w:tab w:val="left" w:pos="284"/>
        </w:tabs>
        <w:jc w:val="both"/>
        <w:rPr>
          <w:i/>
          <w:sz w:val="22"/>
          <w:szCs w:val="22"/>
          <w:lang w:val="sr-Latn-ME"/>
        </w:rPr>
      </w:pPr>
      <w:r w:rsidRPr="0086063B">
        <w:rPr>
          <w:i/>
          <w:sz w:val="22"/>
          <w:szCs w:val="22"/>
          <w:lang w:val="sr-Latn-ME"/>
        </w:rPr>
        <w:t>Bubrežna insuficijencija</w:t>
      </w:r>
    </w:p>
    <w:p w14:paraId="2D8D8153" w14:textId="429CCD14" w:rsidR="008F7D68" w:rsidRPr="0086063B" w:rsidRDefault="008F7D68" w:rsidP="00186EFF">
      <w:pPr>
        <w:tabs>
          <w:tab w:val="left" w:pos="284"/>
        </w:tabs>
        <w:jc w:val="both"/>
        <w:rPr>
          <w:sz w:val="22"/>
          <w:szCs w:val="22"/>
          <w:lang w:val="sr-Latn-ME"/>
        </w:rPr>
      </w:pPr>
      <w:r w:rsidRPr="0086063B">
        <w:rPr>
          <w:sz w:val="22"/>
          <w:szCs w:val="22"/>
          <w:lang w:val="sr-Latn-ME"/>
        </w:rPr>
        <w:t>Nije potrebno prilagođavati dozu lijeka kod pacijenata sa bubrežnom insuficijencijom (vidjeti</w:t>
      </w:r>
      <w:r w:rsidR="00CB3B10" w:rsidRPr="0086063B">
        <w:rPr>
          <w:sz w:val="22"/>
          <w:szCs w:val="22"/>
          <w:lang w:val="sr-Latn-ME"/>
        </w:rPr>
        <w:t xml:space="preserve"> dio</w:t>
      </w:r>
      <w:r w:rsidRPr="0086063B">
        <w:rPr>
          <w:sz w:val="22"/>
          <w:szCs w:val="22"/>
          <w:lang w:val="sr-Latn-ME"/>
        </w:rPr>
        <w:t xml:space="preserve"> 5.2).</w:t>
      </w:r>
    </w:p>
    <w:p w14:paraId="28A720C6" w14:textId="77777777" w:rsidR="008F7D68" w:rsidRPr="0086063B" w:rsidRDefault="008F7D68" w:rsidP="00186EFF">
      <w:pPr>
        <w:tabs>
          <w:tab w:val="left" w:pos="284"/>
        </w:tabs>
        <w:jc w:val="both"/>
        <w:rPr>
          <w:sz w:val="22"/>
          <w:szCs w:val="22"/>
          <w:lang w:val="sr-Latn-ME"/>
        </w:rPr>
      </w:pPr>
    </w:p>
    <w:p w14:paraId="2EA11AAE" w14:textId="77777777" w:rsidR="008F7D68" w:rsidRPr="0086063B" w:rsidRDefault="008F7D68" w:rsidP="00186EFF">
      <w:pPr>
        <w:tabs>
          <w:tab w:val="left" w:pos="284"/>
        </w:tabs>
        <w:jc w:val="both"/>
        <w:rPr>
          <w:i/>
          <w:sz w:val="22"/>
          <w:szCs w:val="22"/>
          <w:lang w:val="sr-Latn-ME"/>
        </w:rPr>
      </w:pPr>
      <w:r w:rsidRPr="0086063B">
        <w:rPr>
          <w:i/>
          <w:sz w:val="22"/>
          <w:szCs w:val="22"/>
          <w:lang w:val="sr-Latn-ME"/>
        </w:rPr>
        <w:t>Insuficijencija jetre</w:t>
      </w:r>
    </w:p>
    <w:p w14:paraId="638631B4" w14:textId="7B31B24F" w:rsidR="007C23C8" w:rsidRPr="0086063B" w:rsidRDefault="008F7D68" w:rsidP="00186EFF">
      <w:pPr>
        <w:tabs>
          <w:tab w:val="left" w:pos="284"/>
        </w:tabs>
        <w:jc w:val="both"/>
        <w:rPr>
          <w:sz w:val="22"/>
          <w:szCs w:val="22"/>
          <w:u w:val="single"/>
          <w:lang w:val="sr-Latn-ME"/>
        </w:rPr>
      </w:pPr>
      <w:r w:rsidRPr="0086063B">
        <w:rPr>
          <w:sz w:val="22"/>
          <w:szCs w:val="22"/>
          <w:lang w:val="sr-Latn-ME"/>
        </w:rPr>
        <w:t>Kod odraslih pacijenata sa blagom insuficijencijom jetre (</w:t>
      </w:r>
      <w:r w:rsidRPr="0086063B">
        <w:rPr>
          <w:i/>
          <w:sz w:val="22"/>
          <w:szCs w:val="22"/>
          <w:lang w:val="sr-Latn-ME"/>
        </w:rPr>
        <w:t>Child-Pugh</w:t>
      </w:r>
      <w:r w:rsidRPr="0086063B">
        <w:rPr>
          <w:sz w:val="22"/>
          <w:szCs w:val="22"/>
          <w:lang w:val="sr-Latn-ME"/>
        </w:rPr>
        <w:t xml:space="preserve"> skor 5 do 6) dozu ne treba prilagođavati. Kod odraslih pacijenata sa um</w:t>
      </w:r>
      <w:r w:rsidR="00CB3B10" w:rsidRPr="0086063B">
        <w:rPr>
          <w:sz w:val="22"/>
          <w:szCs w:val="22"/>
          <w:lang w:val="sr-Latn-ME"/>
        </w:rPr>
        <w:t>j</w:t>
      </w:r>
      <w:r w:rsidRPr="0086063B">
        <w:rPr>
          <w:sz w:val="22"/>
          <w:szCs w:val="22"/>
          <w:lang w:val="sr-Latn-ME"/>
        </w:rPr>
        <w:t>erenom insuficijencijom jetre (</w:t>
      </w:r>
      <w:r w:rsidRPr="0086063B">
        <w:rPr>
          <w:i/>
          <w:sz w:val="22"/>
          <w:szCs w:val="22"/>
          <w:lang w:val="sr-Latn-ME"/>
        </w:rPr>
        <w:t>Child-Pugh</w:t>
      </w:r>
      <w:r w:rsidRPr="0086063B">
        <w:rPr>
          <w:sz w:val="22"/>
          <w:szCs w:val="22"/>
          <w:lang w:val="sr-Latn-ME"/>
        </w:rPr>
        <w:t xml:space="preserve"> skor 7 do 9) preporučena doza kaspofungina, na osnovu farmakokinetičkih podataka, je 35 mg dnevno. Prvog dana liječenja mora se prim</w:t>
      </w:r>
      <w:r w:rsidR="003028F3" w:rsidRPr="0086063B">
        <w:rPr>
          <w:sz w:val="22"/>
          <w:szCs w:val="22"/>
          <w:lang w:val="sr-Latn-ME"/>
        </w:rPr>
        <w:t>i</w:t>
      </w:r>
      <w:r w:rsidRPr="0086063B">
        <w:rPr>
          <w:sz w:val="22"/>
          <w:szCs w:val="22"/>
          <w:lang w:val="sr-Latn-ME"/>
        </w:rPr>
        <w:t>jeniti početna udarna doza od 70 mg. Nema kliničkih iskustava kod odraslih pacijenata sa teškom insuficijencijom jetre (</w:t>
      </w:r>
      <w:r w:rsidRPr="0086063B">
        <w:rPr>
          <w:i/>
          <w:sz w:val="22"/>
          <w:szCs w:val="22"/>
          <w:lang w:val="sr-Latn-ME"/>
        </w:rPr>
        <w:t>Child-Pugh</w:t>
      </w:r>
      <w:r w:rsidRPr="0086063B">
        <w:rPr>
          <w:sz w:val="22"/>
          <w:szCs w:val="22"/>
          <w:lang w:val="sr-Latn-ME"/>
        </w:rPr>
        <w:t xml:space="preserve"> skor veći od 9), kao ni kod pedijatrijskih pacijenata sa bilo kojim stepenom insuficijencije jetre (vidjeti </w:t>
      </w:r>
      <w:r w:rsidR="00414C1F" w:rsidRPr="0086063B">
        <w:rPr>
          <w:sz w:val="22"/>
          <w:szCs w:val="22"/>
          <w:lang w:val="sr-Latn-ME"/>
        </w:rPr>
        <w:t>dio</w:t>
      </w:r>
      <w:r w:rsidRPr="0086063B">
        <w:rPr>
          <w:sz w:val="22"/>
          <w:szCs w:val="22"/>
          <w:lang w:val="sr-Latn-ME"/>
        </w:rPr>
        <w:t xml:space="preserve"> 4.4).</w:t>
      </w:r>
    </w:p>
    <w:p w14:paraId="5B679A0F" w14:textId="58D29F27" w:rsidR="007F7397" w:rsidRPr="0086063B" w:rsidRDefault="007F7397" w:rsidP="00186EFF">
      <w:pPr>
        <w:tabs>
          <w:tab w:val="left" w:pos="284"/>
        </w:tabs>
        <w:jc w:val="both"/>
        <w:rPr>
          <w:sz w:val="22"/>
          <w:szCs w:val="22"/>
          <w:u w:val="single"/>
          <w:lang w:val="sr-Latn-ME"/>
        </w:rPr>
      </w:pPr>
    </w:p>
    <w:p w14:paraId="717753E6" w14:textId="77777777" w:rsidR="00227ECB" w:rsidRPr="0086063B" w:rsidRDefault="00227ECB" w:rsidP="00186EFF">
      <w:pPr>
        <w:tabs>
          <w:tab w:val="left" w:pos="284"/>
        </w:tabs>
        <w:jc w:val="both"/>
        <w:rPr>
          <w:sz w:val="22"/>
          <w:szCs w:val="22"/>
          <w:u w:val="single"/>
          <w:lang w:val="sr-Latn-ME"/>
        </w:rPr>
      </w:pPr>
    </w:p>
    <w:p w14:paraId="009F72FC" w14:textId="77777777" w:rsidR="00227ECB" w:rsidRPr="0086063B" w:rsidRDefault="00227ECB" w:rsidP="00186EFF">
      <w:pPr>
        <w:tabs>
          <w:tab w:val="left" w:pos="284"/>
        </w:tabs>
        <w:jc w:val="both"/>
        <w:rPr>
          <w:sz w:val="22"/>
          <w:szCs w:val="22"/>
          <w:u w:val="single"/>
          <w:lang w:val="sr-Latn-ME"/>
        </w:rPr>
      </w:pPr>
    </w:p>
    <w:p w14:paraId="1A158284" w14:textId="4782D12C" w:rsidR="008F7D68" w:rsidRPr="0086063B" w:rsidRDefault="008F7D68" w:rsidP="00186EFF">
      <w:pPr>
        <w:tabs>
          <w:tab w:val="left" w:pos="284"/>
        </w:tabs>
        <w:jc w:val="both"/>
        <w:rPr>
          <w:sz w:val="22"/>
          <w:szCs w:val="22"/>
          <w:u w:val="single"/>
          <w:lang w:val="sr-Latn-ME"/>
        </w:rPr>
      </w:pPr>
      <w:r w:rsidRPr="0086063B">
        <w:rPr>
          <w:sz w:val="22"/>
          <w:szCs w:val="22"/>
          <w:u w:val="single"/>
          <w:lang w:val="sr-Latn-ME"/>
        </w:rPr>
        <w:t>Istovremena primjena sa induktorima metaboličkih enzima</w:t>
      </w:r>
    </w:p>
    <w:p w14:paraId="463CC4CA" w14:textId="58379464" w:rsidR="008F7D68" w:rsidRPr="0086063B" w:rsidRDefault="008F7D68" w:rsidP="00186EFF">
      <w:pPr>
        <w:tabs>
          <w:tab w:val="left" w:pos="284"/>
        </w:tabs>
        <w:jc w:val="both"/>
        <w:rPr>
          <w:sz w:val="22"/>
          <w:szCs w:val="22"/>
          <w:lang w:val="sr-Latn-ME"/>
        </w:rPr>
      </w:pPr>
      <w:r w:rsidRPr="0086063B">
        <w:rPr>
          <w:sz w:val="22"/>
          <w:szCs w:val="22"/>
          <w:lang w:val="sr-Latn-ME"/>
        </w:rPr>
        <w:t>Ograničeni podaci pokazuju da se povećanje dnevne doze kaspofungina na 70 mg nakon primjene udarne doze od 70 mg mora razmotriti kada se kaspofungin daje odraslim pacijentima istovremeno sa nekim induktorima metaboličkih enzima (vidjeti</w:t>
      </w:r>
      <w:r w:rsidR="00414C1F" w:rsidRPr="0086063B">
        <w:rPr>
          <w:sz w:val="22"/>
          <w:szCs w:val="22"/>
          <w:lang w:val="sr-Latn-ME"/>
        </w:rPr>
        <w:t xml:space="preserve"> dio</w:t>
      </w:r>
      <w:r w:rsidRPr="0086063B">
        <w:rPr>
          <w:sz w:val="22"/>
          <w:szCs w:val="22"/>
          <w:lang w:val="sr-Latn-ME"/>
        </w:rPr>
        <w:t xml:space="preserve"> 4.5). Kada se kaspofungin daje pedijatrijskim pacijentima (uzrasta od 12 m</w:t>
      </w:r>
      <w:r w:rsidR="003028F3" w:rsidRPr="0086063B">
        <w:rPr>
          <w:sz w:val="22"/>
          <w:szCs w:val="22"/>
          <w:lang w:val="sr-Latn-ME"/>
        </w:rPr>
        <w:t>j</w:t>
      </w:r>
      <w:r w:rsidRPr="0086063B">
        <w:rPr>
          <w:sz w:val="22"/>
          <w:szCs w:val="22"/>
          <w:lang w:val="sr-Latn-ME"/>
        </w:rPr>
        <w:t xml:space="preserve">eseci do 17 godina) istovremeno sa ovim istim induktorima metaboličkih enzima (vidjeti </w:t>
      </w:r>
      <w:r w:rsidR="00414C1F" w:rsidRPr="0086063B">
        <w:rPr>
          <w:sz w:val="22"/>
          <w:szCs w:val="22"/>
          <w:lang w:val="sr-Latn-ME"/>
        </w:rPr>
        <w:t>dio</w:t>
      </w:r>
      <w:r w:rsidRPr="0086063B">
        <w:rPr>
          <w:sz w:val="22"/>
          <w:szCs w:val="22"/>
          <w:lang w:val="sr-Latn-ME"/>
        </w:rPr>
        <w:t xml:space="preserve"> 4.5) treba uzeti u obzir primjenu kaspofungina u dozi od 70 mg/m</w:t>
      </w:r>
      <w:r w:rsidRPr="0086063B">
        <w:rPr>
          <w:sz w:val="22"/>
          <w:szCs w:val="22"/>
          <w:vertAlign w:val="superscript"/>
          <w:lang w:val="sr-Latn-ME"/>
        </w:rPr>
        <w:t>2</w:t>
      </w:r>
      <w:r w:rsidRPr="0086063B">
        <w:rPr>
          <w:sz w:val="22"/>
          <w:szCs w:val="22"/>
          <w:lang w:val="sr-Latn-ME"/>
        </w:rPr>
        <w:t xml:space="preserve"> dnevno (ne smije da pređe stvarnu dozu od 70 mg dnevno).</w:t>
      </w:r>
    </w:p>
    <w:p w14:paraId="6A2A32FD" w14:textId="77777777" w:rsidR="00452E9D" w:rsidRPr="0086063B" w:rsidRDefault="00452E9D" w:rsidP="00186EFF">
      <w:pPr>
        <w:tabs>
          <w:tab w:val="left" w:pos="540"/>
          <w:tab w:val="left" w:pos="569"/>
        </w:tabs>
        <w:jc w:val="both"/>
        <w:rPr>
          <w:bCs/>
          <w:sz w:val="22"/>
          <w:szCs w:val="22"/>
          <w:u w:val="single"/>
          <w:lang w:val="sr-Latn-ME"/>
        </w:rPr>
      </w:pPr>
    </w:p>
    <w:p w14:paraId="6FF2F517" w14:textId="77777777" w:rsidR="00452E9D" w:rsidRPr="0086063B" w:rsidRDefault="00452E9D" w:rsidP="00186EFF">
      <w:pPr>
        <w:tabs>
          <w:tab w:val="left" w:pos="540"/>
          <w:tab w:val="left" w:pos="569"/>
        </w:tabs>
        <w:jc w:val="both"/>
        <w:rPr>
          <w:bCs/>
          <w:sz w:val="22"/>
          <w:szCs w:val="22"/>
          <w:u w:val="single"/>
          <w:lang w:val="sr-Latn-ME"/>
        </w:rPr>
      </w:pPr>
      <w:r w:rsidRPr="0086063B">
        <w:rPr>
          <w:bCs/>
          <w:sz w:val="22"/>
          <w:szCs w:val="22"/>
          <w:u w:val="single"/>
          <w:lang w:val="sr-Latn-ME"/>
        </w:rPr>
        <w:t>Način primjene</w:t>
      </w:r>
    </w:p>
    <w:p w14:paraId="30F35566" w14:textId="51C0A86B" w:rsidR="008F7D68" w:rsidRPr="0086063B" w:rsidRDefault="008F7D68" w:rsidP="00186EFF">
      <w:pPr>
        <w:tabs>
          <w:tab w:val="left" w:pos="284"/>
        </w:tabs>
        <w:jc w:val="both"/>
        <w:rPr>
          <w:sz w:val="22"/>
          <w:szCs w:val="22"/>
          <w:lang w:val="sr-Latn-ME"/>
        </w:rPr>
      </w:pPr>
      <w:r w:rsidRPr="0086063B">
        <w:rPr>
          <w:sz w:val="22"/>
          <w:szCs w:val="22"/>
          <w:lang w:val="sr-Latn-ME"/>
        </w:rPr>
        <w:t>Nakon rekonstitucije i razblaživanja rastvor treba prim</w:t>
      </w:r>
      <w:r w:rsidR="00414C1F" w:rsidRPr="0086063B">
        <w:rPr>
          <w:sz w:val="22"/>
          <w:szCs w:val="22"/>
          <w:lang w:val="sr-Latn-ME"/>
        </w:rPr>
        <w:t>i</w:t>
      </w:r>
      <w:r w:rsidRPr="0086063B">
        <w:rPr>
          <w:sz w:val="22"/>
          <w:szCs w:val="22"/>
          <w:lang w:val="sr-Latn-ME"/>
        </w:rPr>
        <w:t xml:space="preserve">jeniti kao sporu intravensku infuziju u trajanju od približno sat vremena. Za uputstva za rekonstituciju vidjeti </w:t>
      </w:r>
      <w:r w:rsidR="00414C1F" w:rsidRPr="0086063B">
        <w:rPr>
          <w:sz w:val="22"/>
          <w:szCs w:val="22"/>
          <w:lang w:val="sr-Latn-ME"/>
        </w:rPr>
        <w:t>dio</w:t>
      </w:r>
      <w:r w:rsidRPr="0086063B">
        <w:rPr>
          <w:sz w:val="22"/>
          <w:szCs w:val="22"/>
          <w:lang w:val="sr-Latn-ME"/>
        </w:rPr>
        <w:t xml:space="preserve"> 6.6.</w:t>
      </w:r>
    </w:p>
    <w:p w14:paraId="021FEDB8" w14:textId="77777777" w:rsidR="008F7D68" w:rsidRPr="0086063B" w:rsidRDefault="008F7D68" w:rsidP="00186EFF">
      <w:pPr>
        <w:tabs>
          <w:tab w:val="left" w:pos="284"/>
        </w:tabs>
        <w:jc w:val="both"/>
        <w:rPr>
          <w:sz w:val="22"/>
          <w:szCs w:val="22"/>
          <w:lang w:val="sr-Latn-ME"/>
        </w:rPr>
      </w:pPr>
    </w:p>
    <w:p w14:paraId="1DEF6025" w14:textId="00D78CCE" w:rsidR="008F7D68" w:rsidRPr="0086063B" w:rsidRDefault="008F7D68" w:rsidP="00186EFF">
      <w:pPr>
        <w:tabs>
          <w:tab w:val="left" w:pos="284"/>
        </w:tabs>
        <w:jc w:val="both"/>
        <w:rPr>
          <w:sz w:val="22"/>
          <w:szCs w:val="22"/>
          <w:lang w:val="sr-Latn-ME"/>
        </w:rPr>
      </w:pPr>
      <w:r w:rsidRPr="0086063B">
        <w:rPr>
          <w:sz w:val="22"/>
          <w:szCs w:val="22"/>
          <w:lang w:val="sr-Latn-ME"/>
        </w:rPr>
        <w:t xml:space="preserve">Dostupne su bočice od </w:t>
      </w:r>
      <w:r w:rsidR="00D86313" w:rsidRPr="0086063B">
        <w:rPr>
          <w:sz w:val="22"/>
          <w:szCs w:val="22"/>
          <w:lang w:val="sr-Latn-ME"/>
        </w:rPr>
        <w:t>5</w:t>
      </w:r>
      <w:r w:rsidRPr="0086063B">
        <w:rPr>
          <w:sz w:val="22"/>
          <w:szCs w:val="22"/>
          <w:lang w:val="sr-Latn-ME"/>
        </w:rPr>
        <w:t xml:space="preserve">0 mg i </w:t>
      </w:r>
      <w:r w:rsidR="00D86313" w:rsidRPr="0086063B">
        <w:rPr>
          <w:sz w:val="22"/>
          <w:szCs w:val="22"/>
          <w:lang w:val="sr-Latn-ME"/>
        </w:rPr>
        <w:t>7</w:t>
      </w:r>
      <w:r w:rsidRPr="0086063B">
        <w:rPr>
          <w:sz w:val="22"/>
          <w:szCs w:val="22"/>
          <w:lang w:val="sr-Latn-ME"/>
        </w:rPr>
        <w:t>0 mg.</w:t>
      </w:r>
    </w:p>
    <w:p w14:paraId="03483D0B" w14:textId="77777777" w:rsidR="008F7D68" w:rsidRPr="0086063B" w:rsidRDefault="008F7D68" w:rsidP="00186EFF">
      <w:pPr>
        <w:tabs>
          <w:tab w:val="left" w:pos="284"/>
        </w:tabs>
        <w:jc w:val="both"/>
        <w:rPr>
          <w:sz w:val="22"/>
          <w:szCs w:val="22"/>
          <w:lang w:val="sr-Latn-ME"/>
        </w:rPr>
      </w:pPr>
      <w:r w:rsidRPr="0086063B">
        <w:rPr>
          <w:sz w:val="22"/>
          <w:szCs w:val="22"/>
          <w:lang w:val="sr-Latn-ME"/>
        </w:rPr>
        <w:t>Kaspofungin treba da se daje u obliku pojedinačne infuzije jednom dnevno.</w:t>
      </w:r>
    </w:p>
    <w:p w14:paraId="56B163BF" w14:textId="77777777" w:rsidR="00452E9D" w:rsidRPr="0086063B" w:rsidRDefault="00452E9D" w:rsidP="00186EFF">
      <w:pPr>
        <w:tabs>
          <w:tab w:val="left" w:pos="540"/>
          <w:tab w:val="left" w:pos="569"/>
        </w:tabs>
        <w:jc w:val="both"/>
        <w:rPr>
          <w:bCs/>
          <w:sz w:val="22"/>
          <w:szCs w:val="22"/>
          <w:lang w:val="sr-Latn-ME"/>
        </w:rPr>
      </w:pPr>
    </w:p>
    <w:p w14:paraId="6E4C81E8"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4.3. </w:t>
      </w:r>
      <w:r w:rsidR="00480FB1" w:rsidRPr="0086063B">
        <w:rPr>
          <w:b/>
          <w:bCs/>
          <w:sz w:val="22"/>
          <w:szCs w:val="22"/>
          <w:lang w:val="sr-Latn-ME"/>
        </w:rPr>
        <w:tab/>
      </w:r>
      <w:r w:rsidRPr="0086063B">
        <w:rPr>
          <w:b/>
          <w:bCs/>
          <w:sz w:val="22"/>
          <w:szCs w:val="22"/>
          <w:lang w:val="sr-Latn-ME"/>
        </w:rPr>
        <w:t>Kontraindikacije</w:t>
      </w:r>
    </w:p>
    <w:p w14:paraId="0820943A" w14:textId="58BEA497" w:rsidR="0072020E" w:rsidRPr="0086063B" w:rsidRDefault="0072020E" w:rsidP="00186EFF">
      <w:pPr>
        <w:tabs>
          <w:tab w:val="left" w:pos="540"/>
          <w:tab w:val="left" w:pos="569"/>
        </w:tabs>
        <w:jc w:val="both"/>
        <w:rPr>
          <w:bCs/>
          <w:sz w:val="22"/>
          <w:szCs w:val="22"/>
          <w:lang w:val="sr-Latn-ME"/>
        </w:rPr>
      </w:pPr>
    </w:p>
    <w:p w14:paraId="07816AF5" w14:textId="684165D8" w:rsidR="008F7D68" w:rsidRPr="0086063B" w:rsidRDefault="008F7D68" w:rsidP="00186EFF">
      <w:pPr>
        <w:tabs>
          <w:tab w:val="left" w:pos="540"/>
          <w:tab w:val="left" w:pos="569"/>
        </w:tabs>
        <w:jc w:val="both"/>
        <w:rPr>
          <w:bCs/>
          <w:sz w:val="22"/>
          <w:szCs w:val="22"/>
          <w:lang w:val="sr-Latn-ME"/>
        </w:rPr>
      </w:pPr>
      <w:r w:rsidRPr="0086063B">
        <w:rPr>
          <w:bCs/>
          <w:sz w:val="22"/>
          <w:szCs w:val="22"/>
          <w:lang w:val="sr-Latn-ME"/>
        </w:rPr>
        <w:t xml:space="preserve">Preosjetljivost na aktivnu supstancu ili na bilo koju drugu pomoćnu supstancu navedenu u </w:t>
      </w:r>
      <w:r w:rsidR="00414C1F" w:rsidRPr="0086063B">
        <w:rPr>
          <w:bCs/>
          <w:sz w:val="22"/>
          <w:szCs w:val="22"/>
          <w:lang w:val="sr-Latn-ME"/>
        </w:rPr>
        <w:t>dijelu</w:t>
      </w:r>
      <w:r w:rsidRPr="0086063B">
        <w:rPr>
          <w:bCs/>
          <w:sz w:val="22"/>
          <w:szCs w:val="22"/>
          <w:lang w:val="sr-Latn-ME"/>
        </w:rPr>
        <w:t xml:space="preserve"> 6.1.</w:t>
      </w:r>
    </w:p>
    <w:p w14:paraId="24BD26AC" w14:textId="77777777" w:rsidR="008F7D68" w:rsidRPr="0086063B" w:rsidRDefault="008F7D68" w:rsidP="00186EFF">
      <w:pPr>
        <w:tabs>
          <w:tab w:val="left" w:pos="540"/>
          <w:tab w:val="left" w:pos="569"/>
        </w:tabs>
        <w:jc w:val="both"/>
        <w:rPr>
          <w:bCs/>
          <w:sz w:val="22"/>
          <w:szCs w:val="22"/>
          <w:lang w:val="sr-Latn-ME"/>
        </w:rPr>
      </w:pPr>
    </w:p>
    <w:p w14:paraId="64E31AC2"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 xml:space="preserve">4.4. </w:t>
      </w:r>
      <w:r w:rsidR="00480FB1" w:rsidRPr="0086063B">
        <w:rPr>
          <w:b/>
          <w:bCs/>
          <w:sz w:val="22"/>
          <w:szCs w:val="22"/>
          <w:lang w:val="sr-Latn-ME"/>
        </w:rPr>
        <w:tab/>
      </w:r>
      <w:r w:rsidRPr="0086063B">
        <w:rPr>
          <w:b/>
          <w:bCs/>
          <w:sz w:val="22"/>
          <w:szCs w:val="22"/>
          <w:lang w:val="sr-Latn-ME"/>
        </w:rPr>
        <w:t>Posebna upozorenja i mjere opreza pri upotrebi lijeka</w:t>
      </w:r>
    </w:p>
    <w:p w14:paraId="77866C53" w14:textId="4E579BB2" w:rsidR="0072020E" w:rsidRPr="0086063B" w:rsidRDefault="0072020E" w:rsidP="00186EFF">
      <w:pPr>
        <w:tabs>
          <w:tab w:val="left" w:pos="540"/>
          <w:tab w:val="left" w:pos="569"/>
        </w:tabs>
        <w:jc w:val="both"/>
        <w:rPr>
          <w:bCs/>
          <w:sz w:val="22"/>
          <w:szCs w:val="22"/>
          <w:lang w:val="sr-Latn-ME"/>
        </w:rPr>
      </w:pPr>
    </w:p>
    <w:p w14:paraId="2A1C189C" w14:textId="77777777" w:rsidR="008F7D68" w:rsidRPr="0086063B" w:rsidRDefault="008F7D68" w:rsidP="00186EFF">
      <w:pPr>
        <w:tabs>
          <w:tab w:val="left" w:pos="284"/>
        </w:tabs>
        <w:spacing w:before="80" w:after="80"/>
        <w:jc w:val="both"/>
        <w:rPr>
          <w:bCs/>
          <w:sz w:val="22"/>
          <w:szCs w:val="22"/>
          <w:lang w:val="sr-Latn-ME"/>
        </w:rPr>
      </w:pPr>
      <w:r w:rsidRPr="0086063B">
        <w:rPr>
          <w:bCs/>
          <w:sz w:val="22"/>
          <w:szCs w:val="22"/>
          <w:lang w:val="sr-Latn-ME"/>
        </w:rPr>
        <w:t>Pri primjeni kaspofungina zabilježeni su slučajevi anafilakse. Ako se ona pojavi, mora se prekinuti primjena kaspofungina i primijeniti odgovarajuće liječenje. Prijavljena su neželjena dejstva koja bi mogla biti posredovana histaminom, uključujući osip, oticanje lica, angioedem, pruritus, osjećaj toplote ili bronhospazam zbog kojih bi moglo biti neophodno prekinuti liječenje i/ili primijeniti odgovarajuće liječenje.</w:t>
      </w:r>
    </w:p>
    <w:p w14:paraId="12E8D298" w14:textId="77777777" w:rsidR="008F7D68" w:rsidRPr="0086063B" w:rsidRDefault="008F7D68" w:rsidP="00186EFF">
      <w:pPr>
        <w:tabs>
          <w:tab w:val="left" w:pos="284"/>
        </w:tabs>
        <w:jc w:val="both"/>
        <w:rPr>
          <w:sz w:val="22"/>
          <w:szCs w:val="22"/>
          <w:lang w:val="sr-Latn-ME"/>
        </w:rPr>
      </w:pPr>
    </w:p>
    <w:p w14:paraId="08E3D45C" w14:textId="272A035B" w:rsidR="008F7D68" w:rsidRPr="0086063B" w:rsidRDefault="008F7D68" w:rsidP="00186EFF">
      <w:pPr>
        <w:tabs>
          <w:tab w:val="left" w:pos="284"/>
        </w:tabs>
        <w:jc w:val="both"/>
        <w:rPr>
          <w:sz w:val="22"/>
          <w:szCs w:val="22"/>
          <w:lang w:val="sr-Latn-ME"/>
        </w:rPr>
      </w:pPr>
      <w:r w:rsidRPr="0086063B">
        <w:rPr>
          <w:sz w:val="22"/>
          <w:szCs w:val="22"/>
          <w:lang w:val="sr-Latn-ME"/>
        </w:rPr>
        <w:t>Ograničeni podaci ukazuju da kaspofungin ne djeluje na rjeđe sojeve kvasnica koji ni</w:t>
      </w:r>
      <w:r w:rsidR="004B2F27" w:rsidRPr="0086063B">
        <w:rPr>
          <w:sz w:val="22"/>
          <w:szCs w:val="22"/>
          <w:lang w:val="sr-Latn-ME"/>
        </w:rPr>
        <w:t>je</w:t>
      </w:r>
      <w:r w:rsidRPr="0086063B">
        <w:rPr>
          <w:sz w:val="22"/>
          <w:szCs w:val="22"/>
          <w:lang w:val="sr-Latn-ME"/>
        </w:rPr>
        <w:t xml:space="preserve">su iz roda </w:t>
      </w:r>
      <w:r w:rsidRPr="0086063B">
        <w:rPr>
          <w:i/>
          <w:sz w:val="22"/>
          <w:szCs w:val="22"/>
          <w:lang w:val="sr-Latn-ME"/>
        </w:rPr>
        <w:t>Candida</w:t>
      </w:r>
      <w:r w:rsidRPr="0086063B">
        <w:rPr>
          <w:sz w:val="22"/>
          <w:szCs w:val="22"/>
          <w:lang w:val="sr-Latn-ME"/>
        </w:rPr>
        <w:t xml:space="preserve"> i p</w:t>
      </w:r>
      <w:r w:rsidR="00D20ABF" w:rsidRPr="0086063B">
        <w:rPr>
          <w:sz w:val="22"/>
          <w:szCs w:val="22"/>
          <w:lang w:val="sr-Latn-ME"/>
        </w:rPr>
        <w:t>l</w:t>
      </w:r>
      <w:r w:rsidRPr="0086063B">
        <w:rPr>
          <w:sz w:val="22"/>
          <w:szCs w:val="22"/>
          <w:lang w:val="sr-Latn-ME"/>
        </w:rPr>
        <w:t>ijesni koje ni</w:t>
      </w:r>
      <w:r w:rsidR="004B2F27" w:rsidRPr="0086063B">
        <w:rPr>
          <w:sz w:val="22"/>
          <w:szCs w:val="22"/>
          <w:lang w:val="sr-Latn-ME"/>
        </w:rPr>
        <w:t>je</w:t>
      </w:r>
      <w:r w:rsidRPr="0086063B">
        <w:rPr>
          <w:sz w:val="22"/>
          <w:szCs w:val="22"/>
          <w:lang w:val="sr-Latn-ME"/>
        </w:rPr>
        <w:t xml:space="preserve">su iz roda </w:t>
      </w:r>
      <w:r w:rsidRPr="0086063B">
        <w:rPr>
          <w:i/>
          <w:sz w:val="22"/>
          <w:szCs w:val="22"/>
          <w:lang w:val="sr-Latn-ME"/>
        </w:rPr>
        <w:t>Aspergillus</w:t>
      </w:r>
      <w:r w:rsidRPr="0086063B">
        <w:rPr>
          <w:sz w:val="22"/>
          <w:szCs w:val="22"/>
          <w:lang w:val="sr-Latn-ME"/>
        </w:rPr>
        <w:t>. Efikasnost kaspofungina na te gljivične patogene nije utvrđena.</w:t>
      </w:r>
    </w:p>
    <w:p w14:paraId="2756774F" w14:textId="77777777" w:rsidR="008F7D68" w:rsidRPr="0086063B" w:rsidRDefault="008F7D68" w:rsidP="00186EFF">
      <w:pPr>
        <w:tabs>
          <w:tab w:val="left" w:pos="284"/>
        </w:tabs>
        <w:jc w:val="both"/>
        <w:rPr>
          <w:sz w:val="22"/>
          <w:szCs w:val="22"/>
          <w:lang w:val="sr-Latn-ME"/>
        </w:rPr>
      </w:pPr>
    </w:p>
    <w:p w14:paraId="3B2BD9C8" w14:textId="6A374A9C" w:rsidR="008F7D68" w:rsidRPr="0086063B" w:rsidRDefault="008F7D68" w:rsidP="00186EFF">
      <w:pPr>
        <w:tabs>
          <w:tab w:val="left" w:pos="284"/>
        </w:tabs>
        <w:jc w:val="both"/>
        <w:rPr>
          <w:sz w:val="22"/>
          <w:szCs w:val="22"/>
          <w:lang w:val="sr-Latn-ME"/>
        </w:rPr>
      </w:pPr>
      <w:r w:rsidRPr="0086063B">
        <w:rPr>
          <w:sz w:val="22"/>
          <w:szCs w:val="22"/>
          <w:lang w:val="sr-Latn-ME"/>
        </w:rPr>
        <w:t>Istovremena primjena kaspofungina i ciklosporina ispitivana je kod zdravih odraslih dobrovoljaca i kod odraslih pacijenata. Kod nekih zdravih odraslih dobrovoljaca koji su primili dv</w:t>
      </w:r>
      <w:r w:rsidR="00395136" w:rsidRPr="0086063B">
        <w:rPr>
          <w:sz w:val="22"/>
          <w:szCs w:val="22"/>
          <w:lang w:val="sr-Latn-ME"/>
        </w:rPr>
        <w:t>ij</w:t>
      </w:r>
      <w:r w:rsidRPr="0086063B">
        <w:rPr>
          <w:sz w:val="22"/>
          <w:szCs w:val="22"/>
          <w:lang w:val="sr-Latn-ME"/>
        </w:rPr>
        <w:t>e doze od 3 mg/kg ciklosporina sa kaspofunginom zab</w:t>
      </w:r>
      <w:r w:rsidR="00395136" w:rsidRPr="0086063B">
        <w:rPr>
          <w:sz w:val="22"/>
          <w:szCs w:val="22"/>
          <w:lang w:val="sr-Latn-ME"/>
        </w:rPr>
        <w:t>i</w:t>
      </w:r>
      <w:r w:rsidRPr="0086063B">
        <w:rPr>
          <w:sz w:val="22"/>
          <w:szCs w:val="22"/>
          <w:lang w:val="sr-Latn-ME"/>
        </w:rPr>
        <w:t>l</w:t>
      </w:r>
      <w:r w:rsidR="00395136" w:rsidRPr="0086063B">
        <w:rPr>
          <w:sz w:val="22"/>
          <w:szCs w:val="22"/>
          <w:lang w:val="sr-Latn-ME"/>
        </w:rPr>
        <w:t>j</w:t>
      </w:r>
      <w:r w:rsidRPr="0086063B">
        <w:rPr>
          <w:sz w:val="22"/>
          <w:szCs w:val="22"/>
          <w:lang w:val="sr-Latn-ME"/>
        </w:rPr>
        <w:t>ežen je prolazni porast vrijednosti  alanin-transaminaze (ALT) i aspartat-transaminaze (AST) koje su bile manje ili jednake trostrukoj vrijednosti  gornje granice normale (</w:t>
      </w:r>
      <w:r w:rsidRPr="0086063B">
        <w:rPr>
          <w:i/>
          <w:sz w:val="22"/>
          <w:szCs w:val="22"/>
          <w:lang w:val="sr-Latn-ME"/>
        </w:rPr>
        <w:t xml:space="preserve">Upper Limit of Normal </w:t>
      </w:r>
      <w:r w:rsidRPr="0086063B">
        <w:rPr>
          <w:sz w:val="22"/>
          <w:szCs w:val="22"/>
          <w:lang w:val="sr-Latn-ME"/>
        </w:rPr>
        <w:t>– ULN) i koje su se vratile na normalne vrijednosti  nakon prekida terapije. U retrospektivnom kliničkom ispitivanju na 40 pacijenata tokom primjene nakon stavljanja lijeka u promet, koji su primali kaspofungin i ciklosporin tokom 1 do 290 dana (srednji broj dana 17,5) ni</w:t>
      </w:r>
      <w:r w:rsidR="00395136" w:rsidRPr="0086063B">
        <w:rPr>
          <w:sz w:val="22"/>
          <w:szCs w:val="22"/>
          <w:lang w:val="sr-Latn-ME"/>
        </w:rPr>
        <w:t>je</w:t>
      </w:r>
      <w:r w:rsidRPr="0086063B">
        <w:rPr>
          <w:sz w:val="22"/>
          <w:szCs w:val="22"/>
          <w:lang w:val="sr-Latn-ME"/>
        </w:rPr>
        <w:t xml:space="preserve"> bil</w:t>
      </w:r>
      <w:r w:rsidR="009F287A" w:rsidRPr="0086063B">
        <w:rPr>
          <w:sz w:val="22"/>
          <w:szCs w:val="22"/>
          <w:lang w:val="sr-Latn-ME"/>
        </w:rPr>
        <w:t>o</w:t>
      </w:r>
      <w:r w:rsidRPr="0086063B">
        <w:rPr>
          <w:sz w:val="22"/>
          <w:szCs w:val="22"/>
          <w:lang w:val="sr-Latn-ME"/>
        </w:rPr>
        <w:t xml:space="preserve"> </w:t>
      </w:r>
      <w:r w:rsidR="009F287A" w:rsidRPr="0086063B">
        <w:rPr>
          <w:sz w:val="22"/>
          <w:szCs w:val="22"/>
          <w:lang w:val="sr-Latn-ME"/>
        </w:rPr>
        <w:t>prijavljenih</w:t>
      </w:r>
      <w:r w:rsidRPr="0086063B">
        <w:rPr>
          <w:sz w:val="22"/>
          <w:szCs w:val="22"/>
          <w:lang w:val="sr-Latn-ME"/>
        </w:rPr>
        <w:t xml:space="preserve"> </w:t>
      </w:r>
      <w:r w:rsidR="009F287A" w:rsidRPr="0086063B">
        <w:rPr>
          <w:sz w:val="22"/>
          <w:szCs w:val="22"/>
          <w:lang w:val="sr-Latn-ME"/>
        </w:rPr>
        <w:t>ozbiljnih</w:t>
      </w:r>
      <w:r w:rsidRPr="0086063B">
        <w:rPr>
          <w:sz w:val="22"/>
          <w:szCs w:val="22"/>
          <w:lang w:val="sr-Latn-ME"/>
        </w:rPr>
        <w:t xml:space="preserve"> neželjeni</w:t>
      </w:r>
      <w:r w:rsidR="009F287A" w:rsidRPr="0086063B">
        <w:rPr>
          <w:sz w:val="22"/>
          <w:szCs w:val="22"/>
          <w:lang w:val="sr-Latn-ME"/>
        </w:rPr>
        <w:t>h</w:t>
      </w:r>
      <w:r w:rsidRPr="0086063B">
        <w:rPr>
          <w:sz w:val="22"/>
          <w:szCs w:val="22"/>
          <w:lang w:val="sr-Latn-ME"/>
        </w:rPr>
        <w:t xml:space="preserve"> d</w:t>
      </w:r>
      <w:r w:rsidR="009F287A" w:rsidRPr="0086063B">
        <w:rPr>
          <w:sz w:val="22"/>
          <w:szCs w:val="22"/>
          <w:lang w:val="sr-Latn-ME"/>
        </w:rPr>
        <w:t>ejstava povezanih sa jetrom,</w:t>
      </w:r>
      <w:r w:rsidRPr="0086063B">
        <w:rPr>
          <w:sz w:val="22"/>
          <w:szCs w:val="22"/>
          <w:lang w:val="sr-Latn-ME"/>
        </w:rPr>
        <w:t>. Ovi podaci ukazuju na to da se kaspofungin i ciklosporin mogu davati istovremeno pacijentima kod kojih je očekivana korist veća od mogućeg rizika terapije. Prilikom istovremene primjene kaspofungina i ciklosporina treba pažljivo pratiti vrijednosti jetrenih enzima.</w:t>
      </w:r>
    </w:p>
    <w:p w14:paraId="1C4E9D75" w14:textId="77777777" w:rsidR="008F7D68" w:rsidRPr="0086063B" w:rsidRDefault="008F7D68" w:rsidP="00186EFF">
      <w:pPr>
        <w:tabs>
          <w:tab w:val="left" w:pos="284"/>
        </w:tabs>
        <w:jc w:val="both"/>
        <w:rPr>
          <w:sz w:val="22"/>
          <w:szCs w:val="22"/>
          <w:lang w:val="sr-Latn-ME"/>
        </w:rPr>
      </w:pPr>
    </w:p>
    <w:p w14:paraId="0EFB5624" w14:textId="0D6277DD" w:rsidR="008F7D68" w:rsidRPr="0086063B" w:rsidRDefault="008F7D68" w:rsidP="00186EFF">
      <w:pPr>
        <w:tabs>
          <w:tab w:val="left" w:pos="284"/>
        </w:tabs>
        <w:jc w:val="both"/>
        <w:rPr>
          <w:sz w:val="22"/>
          <w:szCs w:val="22"/>
          <w:lang w:val="sr-Latn-ME"/>
        </w:rPr>
      </w:pPr>
      <w:r w:rsidRPr="0086063B">
        <w:rPr>
          <w:sz w:val="22"/>
          <w:szCs w:val="22"/>
          <w:lang w:val="sr-Latn-ME"/>
        </w:rPr>
        <w:t xml:space="preserve">Kod odraslih pacijenata sa blagom insuficijencijom jetre PIK se povećava za oko 20%, </w:t>
      </w:r>
      <w:r w:rsidR="009F287A" w:rsidRPr="0086063B">
        <w:rPr>
          <w:sz w:val="22"/>
          <w:szCs w:val="22"/>
          <w:lang w:val="sr-Latn-ME"/>
        </w:rPr>
        <w:t>odnosno 75% k</w:t>
      </w:r>
      <w:r w:rsidRPr="0086063B">
        <w:rPr>
          <w:sz w:val="22"/>
          <w:szCs w:val="22"/>
          <w:lang w:val="sr-Latn-ME"/>
        </w:rPr>
        <w:t>od odraslih pacijenata sa umjerenom insuficijencijom jetre</w:t>
      </w:r>
      <w:r w:rsidR="009F287A" w:rsidRPr="0086063B">
        <w:rPr>
          <w:sz w:val="22"/>
          <w:szCs w:val="22"/>
          <w:lang w:val="sr-Latn-ME"/>
        </w:rPr>
        <w:t>. Kod odraslih pacijenata sa umj</w:t>
      </w:r>
      <w:r w:rsidR="00E1730A" w:rsidRPr="0086063B">
        <w:rPr>
          <w:sz w:val="22"/>
          <w:szCs w:val="22"/>
          <w:lang w:val="sr-Latn-ME"/>
        </w:rPr>
        <w:t>erenom insuficijencijom</w:t>
      </w:r>
      <w:r w:rsidR="009F287A" w:rsidRPr="0086063B">
        <w:rPr>
          <w:sz w:val="22"/>
          <w:szCs w:val="22"/>
          <w:lang w:val="sr-Latn-ME"/>
        </w:rPr>
        <w:t xml:space="preserve"> jetre </w:t>
      </w:r>
      <w:r w:rsidRPr="0086063B">
        <w:rPr>
          <w:sz w:val="22"/>
          <w:szCs w:val="22"/>
          <w:lang w:val="sr-Latn-ME"/>
        </w:rPr>
        <w:t>preporučuje se smanjenje dnevne doze na 35 mg. Nema kliničkih iskustava</w:t>
      </w:r>
      <w:r w:rsidR="00396345" w:rsidRPr="0086063B">
        <w:rPr>
          <w:sz w:val="22"/>
          <w:szCs w:val="22"/>
          <w:lang w:val="sr-Latn-ME"/>
        </w:rPr>
        <w:t xml:space="preserve"> sa</w:t>
      </w:r>
      <w:r w:rsidRPr="0086063B">
        <w:rPr>
          <w:sz w:val="22"/>
          <w:szCs w:val="22"/>
          <w:lang w:val="sr-Latn-ME"/>
        </w:rPr>
        <w:t xml:space="preserve"> odrasli</w:t>
      </w:r>
      <w:r w:rsidR="00396345" w:rsidRPr="0086063B">
        <w:rPr>
          <w:sz w:val="22"/>
          <w:szCs w:val="22"/>
          <w:lang w:val="sr-Latn-ME"/>
        </w:rPr>
        <w:t>m</w:t>
      </w:r>
      <w:r w:rsidRPr="0086063B">
        <w:rPr>
          <w:sz w:val="22"/>
          <w:szCs w:val="22"/>
          <w:lang w:val="sr-Latn-ME"/>
        </w:rPr>
        <w:t xml:space="preserve"> pacijent</w:t>
      </w:r>
      <w:r w:rsidR="00396345" w:rsidRPr="0086063B">
        <w:rPr>
          <w:sz w:val="22"/>
          <w:szCs w:val="22"/>
          <w:lang w:val="sr-Latn-ME"/>
        </w:rPr>
        <w:t>im</w:t>
      </w:r>
      <w:r w:rsidRPr="0086063B">
        <w:rPr>
          <w:sz w:val="22"/>
          <w:szCs w:val="22"/>
          <w:lang w:val="sr-Latn-ME"/>
        </w:rPr>
        <w:t>a sa teškom insuficijencijom jetre</w:t>
      </w:r>
      <w:r w:rsidR="000B4A9E" w:rsidRPr="0086063B">
        <w:rPr>
          <w:sz w:val="22"/>
          <w:szCs w:val="22"/>
          <w:lang w:val="sr-Latn-ME"/>
        </w:rPr>
        <w:t>, ni sa</w:t>
      </w:r>
      <w:r w:rsidRPr="0086063B">
        <w:rPr>
          <w:sz w:val="22"/>
          <w:szCs w:val="22"/>
          <w:lang w:val="sr-Latn-ME"/>
        </w:rPr>
        <w:t xml:space="preserve"> pedijatri</w:t>
      </w:r>
      <w:r w:rsidR="00213751" w:rsidRPr="0086063B">
        <w:rPr>
          <w:sz w:val="22"/>
          <w:szCs w:val="22"/>
          <w:lang w:val="sr-Latn-ME"/>
        </w:rPr>
        <w:t>j</w:t>
      </w:r>
      <w:r w:rsidRPr="0086063B">
        <w:rPr>
          <w:sz w:val="22"/>
          <w:szCs w:val="22"/>
          <w:lang w:val="sr-Latn-ME"/>
        </w:rPr>
        <w:t>ski</w:t>
      </w:r>
      <w:r w:rsidR="000B4A9E" w:rsidRPr="0086063B">
        <w:rPr>
          <w:sz w:val="22"/>
          <w:szCs w:val="22"/>
          <w:lang w:val="sr-Latn-ME"/>
        </w:rPr>
        <w:t>m</w:t>
      </w:r>
      <w:r w:rsidRPr="0086063B">
        <w:rPr>
          <w:sz w:val="22"/>
          <w:szCs w:val="22"/>
          <w:lang w:val="sr-Latn-ME"/>
        </w:rPr>
        <w:t xml:space="preserve"> pacijent</w:t>
      </w:r>
      <w:r w:rsidR="000B4A9E" w:rsidRPr="0086063B">
        <w:rPr>
          <w:sz w:val="22"/>
          <w:szCs w:val="22"/>
          <w:lang w:val="sr-Latn-ME"/>
        </w:rPr>
        <w:t>im</w:t>
      </w:r>
      <w:r w:rsidRPr="0086063B">
        <w:rPr>
          <w:sz w:val="22"/>
          <w:szCs w:val="22"/>
          <w:lang w:val="sr-Latn-ME"/>
        </w:rPr>
        <w:t>a sa bilo kojim stepenom insuficijencije jetre. Očekuje se veća izloženost nego kod pacijenata sa</w:t>
      </w:r>
      <w:r w:rsidR="00E1730A" w:rsidRPr="0086063B">
        <w:rPr>
          <w:sz w:val="22"/>
          <w:szCs w:val="22"/>
          <w:lang w:val="sr-Latn-ME"/>
        </w:rPr>
        <w:t xml:space="preserve"> </w:t>
      </w:r>
      <w:r w:rsidRPr="0086063B">
        <w:rPr>
          <w:sz w:val="22"/>
          <w:szCs w:val="22"/>
          <w:lang w:val="sr-Latn-ME"/>
        </w:rPr>
        <w:t>umjeren</w:t>
      </w:r>
      <w:r w:rsidR="00E1730A" w:rsidRPr="0086063B">
        <w:rPr>
          <w:sz w:val="22"/>
          <w:szCs w:val="22"/>
          <w:lang w:val="sr-Latn-ME"/>
        </w:rPr>
        <w:t>o</w:t>
      </w:r>
      <w:r w:rsidRPr="0086063B">
        <w:rPr>
          <w:sz w:val="22"/>
          <w:szCs w:val="22"/>
          <w:lang w:val="sr-Latn-ME"/>
        </w:rPr>
        <w:t>m insuficijencijom jetre</w:t>
      </w:r>
      <w:r w:rsidR="00213751" w:rsidRPr="0086063B">
        <w:rPr>
          <w:sz w:val="22"/>
          <w:szCs w:val="22"/>
          <w:lang w:val="sr-Latn-ME"/>
        </w:rPr>
        <w:t>,</w:t>
      </w:r>
      <w:r w:rsidR="00E1730A" w:rsidRPr="0086063B">
        <w:rPr>
          <w:sz w:val="22"/>
          <w:szCs w:val="22"/>
          <w:lang w:val="sr-Latn-ME"/>
        </w:rPr>
        <w:t xml:space="preserve"> </w:t>
      </w:r>
      <w:r w:rsidRPr="0086063B">
        <w:rPr>
          <w:sz w:val="22"/>
          <w:szCs w:val="22"/>
          <w:lang w:val="sr-Latn-ME"/>
        </w:rPr>
        <w:t xml:space="preserve">pa </w:t>
      </w:r>
      <w:r w:rsidR="000B4A9E" w:rsidRPr="0086063B">
        <w:rPr>
          <w:sz w:val="22"/>
          <w:szCs w:val="22"/>
          <w:lang w:val="sr-Latn-ME"/>
        </w:rPr>
        <w:t xml:space="preserve">se </w:t>
      </w:r>
      <w:r w:rsidRPr="0086063B">
        <w:rPr>
          <w:sz w:val="22"/>
          <w:szCs w:val="22"/>
          <w:lang w:val="sr-Latn-ME"/>
        </w:rPr>
        <w:t>kod tih pacijenata kaspofungin treba d</w:t>
      </w:r>
      <w:r w:rsidR="000B4A9E" w:rsidRPr="0086063B">
        <w:rPr>
          <w:sz w:val="22"/>
          <w:szCs w:val="22"/>
          <w:lang w:val="sr-Latn-ME"/>
        </w:rPr>
        <w:t>a</w:t>
      </w:r>
      <w:r w:rsidRPr="0086063B">
        <w:rPr>
          <w:sz w:val="22"/>
          <w:szCs w:val="22"/>
          <w:lang w:val="sr-Latn-ME"/>
        </w:rPr>
        <w:t xml:space="preserve"> daje oprezno (vidjeti </w:t>
      </w:r>
      <w:r w:rsidR="000B4A9E" w:rsidRPr="0086063B">
        <w:rPr>
          <w:sz w:val="22"/>
          <w:szCs w:val="22"/>
          <w:lang w:val="sr-Latn-ME"/>
        </w:rPr>
        <w:t>djelove</w:t>
      </w:r>
      <w:r w:rsidRPr="0086063B">
        <w:rPr>
          <w:sz w:val="22"/>
          <w:szCs w:val="22"/>
          <w:lang w:val="sr-Latn-ME"/>
        </w:rPr>
        <w:t xml:space="preserve"> 4.2 i 5.2).</w:t>
      </w:r>
    </w:p>
    <w:p w14:paraId="5B24653D" w14:textId="77777777" w:rsidR="008F7D68" w:rsidRPr="0086063B" w:rsidRDefault="008F7D68" w:rsidP="00186EFF">
      <w:pPr>
        <w:tabs>
          <w:tab w:val="left" w:pos="284"/>
        </w:tabs>
        <w:jc w:val="both"/>
        <w:rPr>
          <w:sz w:val="22"/>
          <w:szCs w:val="22"/>
          <w:lang w:val="sr-Latn-ME"/>
        </w:rPr>
      </w:pPr>
    </w:p>
    <w:p w14:paraId="1E4CBDEA" w14:textId="2AC14C21" w:rsidR="008F7D68" w:rsidRPr="0086063B" w:rsidRDefault="008F7D68" w:rsidP="00186EFF">
      <w:pPr>
        <w:tabs>
          <w:tab w:val="left" w:pos="284"/>
        </w:tabs>
        <w:jc w:val="both"/>
        <w:rPr>
          <w:sz w:val="22"/>
          <w:szCs w:val="22"/>
          <w:lang w:val="sr-Latn-ME"/>
        </w:rPr>
      </w:pPr>
      <w:r w:rsidRPr="0086063B">
        <w:rPr>
          <w:sz w:val="22"/>
          <w:szCs w:val="22"/>
          <w:lang w:val="sr-Latn-ME"/>
        </w:rPr>
        <w:t xml:space="preserve">Zapaženi su poremjećaji vrijednosti  laboratorijskih testova funkcije jetre kod zdravih dobrovoljaca, kao i kod odraslih i pedijatrijskih pacijenata liječenih kaspofunginom. Kod nekih odraslih i pedijatrijskih pacijenata sa u osnovi teškim stanjem, koji su istovremeno sa kaspofunginom uzimali i druge ljekove, </w:t>
      </w:r>
      <w:r w:rsidRPr="0086063B">
        <w:rPr>
          <w:sz w:val="22"/>
          <w:szCs w:val="22"/>
          <w:lang w:val="sr-Latn-ME"/>
        </w:rPr>
        <w:lastRenderedPageBreak/>
        <w:t xml:space="preserve">prijavljeni su slučajevi klinički značajnog poremećaja funkcije jetre, hepatitisa i insuficijencije jetre; uzročna veza sa kaspofunginom nije ustanovljena. Neophodno je pažljivo pratiti pacijente kod kojih se </w:t>
      </w:r>
      <w:r w:rsidR="004B2F27" w:rsidRPr="0086063B">
        <w:rPr>
          <w:sz w:val="22"/>
          <w:szCs w:val="22"/>
          <w:lang w:val="sr-Latn-ME"/>
        </w:rPr>
        <w:t>uoče znaci pogoršanja funcije jetre</w:t>
      </w:r>
      <w:r w:rsidRPr="0086063B">
        <w:rPr>
          <w:sz w:val="22"/>
          <w:szCs w:val="22"/>
          <w:lang w:val="sr-Latn-ME"/>
        </w:rPr>
        <w:t>, kada je potrebno ponovo procijeniti odnos koristi i rizika terapije kaspofunginom.</w:t>
      </w:r>
    </w:p>
    <w:p w14:paraId="23B6FEF4" w14:textId="77777777" w:rsidR="008F7D68" w:rsidRPr="0086063B" w:rsidRDefault="008F7D68" w:rsidP="00186EFF">
      <w:pPr>
        <w:tabs>
          <w:tab w:val="left" w:pos="284"/>
        </w:tabs>
        <w:jc w:val="both"/>
        <w:rPr>
          <w:sz w:val="22"/>
          <w:szCs w:val="22"/>
          <w:lang w:val="sr-Latn-ME"/>
        </w:rPr>
      </w:pPr>
    </w:p>
    <w:p w14:paraId="3E5FA3A1" w14:textId="54925BC3" w:rsidR="008F7D68" w:rsidRPr="0086063B" w:rsidRDefault="008F7D68" w:rsidP="00186EFF">
      <w:pPr>
        <w:tabs>
          <w:tab w:val="left" w:pos="284"/>
        </w:tabs>
        <w:jc w:val="both"/>
        <w:rPr>
          <w:sz w:val="22"/>
          <w:szCs w:val="22"/>
          <w:lang w:val="sr-Latn-ME"/>
        </w:rPr>
      </w:pPr>
      <w:r w:rsidRPr="0086063B">
        <w:rPr>
          <w:sz w:val="22"/>
          <w:szCs w:val="22"/>
          <w:lang w:val="sr-Latn-ME"/>
        </w:rPr>
        <w:t xml:space="preserve">Nakon stavljanja kaspofungina u promet prijavljeni su slučajevi </w:t>
      </w:r>
      <w:r w:rsidRPr="0086063B">
        <w:rPr>
          <w:i/>
          <w:sz w:val="22"/>
          <w:szCs w:val="22"/>
          <w:lang w:val="sr-Latn-ME"/>
        </w:rPr>
        <w:t>Stevens-Johnson</w:t>
      </w:r>
      <w:r w:rsidRPr="0086063B">
        <w:rPr>
          <w:sz w:val="22"/>
          <w:szCs w:val="22"/>
          <w:lang w:val="sr-Latn-ME"/>
        </w:rPr>
        <w:t>-ovog sindroma (SJS) i toksične epidermalne nekrolize (TEN). Potreban je oprez kod pacijenata s kožnom alergijskom reakcijom u anamnezi (videti</w:t>
      </w:r>
      <w:r w:rsidR="000B4A9E" w:rsidRPr="0086063B">
        <w:rPr>
          <w:sz w:val="22"/>
          <w:szCs w:val="22"/>
          <w:lang w:val="sr-Latn-ME"/>
        </w:rPr>
        <w:t xml:space="preserve"> dio</w:t>
      </w:r>
      <w:r w:rsidRPr="0086063B">
        <w:rPr>
          <w:sz w:val="22"/>
          <w:szCs w:val="22"/>
          <w:lang w:val="sr-Latn-ME"/>
        </w:rPr>
        <w:t xml:space="preserve"> 4.8).</w:t>
      </w:r>
    </w:p>
    <w:p w14:paraId="627BFF0F" w14:textId="49F4C4FB" w:rsidR="002A585D" w:rsidRPr="0086063B" w:rsidRDefault="002A585D" w:rsidP="00186EFF">
      <w:pPr>
        <w:tabs>
          <w:tab w:val="left" w:pos="284"/>
        </w:tabs>
        <w:jc w:val="both"/>
        <w:rPr>
          <w:sz w:val="22"/>
          <w:szCs w:val="22"/>
          <w:lang w:val="sr-Latn-ME"/>
        </w:rPr>
      </w:pPr>
    </w:p>
    <w:p w14:paraId="62D4C119" w14:textId="5CE43CB6" w:rsidR="00057E35" w:rsidRPr="0086063B" w:rsidRDefault="002A585D" w:rsidP="00186EFF">
      <w:pPr>
        <w:tabs>
          <w:tab w:val="left" w:pos="540"/>
          <w:tab w:val="left" w:pos="569"/>
        </w:tabs>
        <w:jc w:val="both"/>
        <w:rPr>
          <w:sz w:val="22"/>
          <w:szCs w:val="22"/>
          <w:lang w:val="sr-Latn-ME"/>
        </w:rPr>
      </w:pPr>
      <w:r w:rsidRPr="0086063B">
        <w:rPr>
          <w:sz w:val="22"/>
          <w:szCs w:val="22"/>
          <w:lang w:val="sr-Latn-ME"/>
        </w:rPr>
        <w:t>Ovaj l</w:t>
      </w:r>
      <w:r w:rsidR="00824F66" w:rsidRPr="0086063B">
        <w:rPr>
          <w:sz w:val="22"/>
          <w:szCs w:val="22"/>
          <w:lang w:val="sr-Latn-ME"/>
        </w:rPr>
        <w:t>ij</w:t>
      </w:r>
      <w:r w:rsidRPr="0086063B">
        <w:rPr>
          <w:sz w:val="22"/>
          <w:szCs w:val="22"/>
          <w:lang w:val="sr-Latn-ME"/>
        </w:rPr>
        <w:t>ek sadrži manje od 1 mmol (23 mg) natrijuma po bočici, odnosno suštinski je bez natrijuma.</w:t>
      </w:r>
    </w:p>
    <w:p w14:paraId="3AF9FA7E" w14:textId="77777777" w:rsidR="000D779B" w:rsidRPr="0086063B" w:rsidRDefault="000D779B" w:rsidP="00186EFF">
      <w:pPr>
        <w:tabs>
          <w:tab w:val="left" w:pos="540"/>
          <w:tab w:val="left" w:pos="569"/>
        </w:tabs>
        <w:jc w:val="both"/>
        <w:rPr>
          <w:bCs/>
          <w:sz w:val="22"/>
          <w:szCs w:val="22"/>
          <w:lang w:val="sr-Latn-ME"/>
        </w:rPr>
      </w:pPr>
    </w:p>
    <w:p w14:paraId="1700D10C" w14:textId="77777777" w:rsidR="00411B4B" w:rsidRPr="0086063B" w:rsidRDefault="00411B4B" w:rsidP="00186EFF">
      <w:pPr>
        <w:tabs>
          <w:tab w:val="left" w:pos="540"/>
          <w:tab w:val="left" w:pos="569"/>
        </w:tabs>
        <w:jc w:val="both"/>
        <w:rPr>
          <w:b/>
          <w:bCs/>
          <w:sz w:val="22"/>
          <w:szCs w:val="22"/>
          <w:lang w:val="sr-Latn-ME"/>
        </w:rPr>
      </w:pPr>
      <w:r w:rsidRPr="0086063B">
        <w:rPr>
          <w:b/>
          <w:bCs/>
          <w:sz w:val="22"/>
          <w:szCs w:val="22"/>
          <w:lang w:val="sr-Latn-ME"/>
        </w:rPr>
        <w:t>4.5.</w:t>
      </w:r>
      <w:r w:rsidR="000D60CC" w:rsidRPr="0086063B">
        <w:rPr>
          <w:b/>
          <w:bCs/>
          <w:sz w:val="22"/>
          <w:szCs w:val="22"/>
          <w:lang w:val="sr-Latn-ME"/>
        </w:rPr>
        <w:tab/>
      </w:r>
      <w:r w:rsidRPr="0086063B">
        <w:rPr>
          <w:b/>
          <w:bCs/>
          <w:sz w:val="22"/>
          <w:szCs w:val="22"/>
          <w:lang w:val="sr-Latn-ME"/>
        </w:rPr>
        <w:t>Interakcije sa drugim ljekovima i druge vrste interakcija</w:t>
      </w:r>
    </w:p>
    <w:p w14:paraId="15608198" w14:textId="6951E264" w:rsidR="0072020E" w:rsidRPr="0086063B" w:rsidRDefault="0072020E" w:rsidP="00186EFF">
      <w:pPr>
        <w:tabs>
          <w:tab w:val="left" w:pos="540"/>
          <w:tab w:val="left" w:pos="569"/>
        </w:tabs>
        <w:jc w:val="both"/>
        <w:rPr>
          <w:bCs/>
          <w:sz w:val="22"/>
          <w:szCs w:val="22"/>
          <w:lang w:val="sr-Latn-ME"/>
        </w:rPr>
      </w:pPr>
    </w:p>
    <w:p w14:paraId="59ED29B9" w14:textId="0DD73683" w:rsidR="008F7D68" w:rsidRPr="0086063B" w:rsidRDefault="008F7D68" w:rsidP="00186EFF">
      <w:pPr>
        <w:tabs>
          <w:tab w:val="left" w:pos="284"/>
        </w:tabs>
        <w:jc w:val="both"/>
        <w:rPr>
          <w:sz w:val="22"/>
          <w:szCs w:val="22"/>
          <w:lang w:val="sr-Latn-ME"/>
        </w:rPr>
      </w:pPr>
      <w:r w:rsidRPr="0086063B">
        <w:rPr>
          <w:sz w:val="22"/>
          <w:szCs w:val="22"/>
          <w:lang w:val="sr-Latn-ME"/>
        </w:rPr>
        <w:t xml:space="preserve">Istraživanja </w:t>
      </w:r>
      <w:r w:rsidRPr="0086063B">
        <w:rPr>
          <w:i/>
          <w:sz w:val="22"/>
          <w:szCs w:val="22"/>
          <w:lang w:val="sr-Latn-ME"/>
        </w:rPr>
        <w:t>in vitro</w:t>
      </w:r>
      <w:r w:rsidRPr="0086063B">
        <w:rPr>
          <w:sz w:val="22"/>
          <w:szCs w:val="22"/>
          <w:lang w:val="sr-Latn-ME"/>
        </w:rPr>
        <w:t xml:space="preserve"> pokazuju da kaspofungin nije inhibitor nijednog od enzima u sistemu citohrom P450 (CYP). U kliničkim ispitivanjima kaspofungin nije indukovao metabolizam drugih supstanci koji se odvija posredstvom enzima CYP3A4. Kaspofungin nije supstrat za P-glikoprotein, a slab je supstrat za enzime citohroma P450. Međutim, farmakološka i klinička ispitivanja su pokazala da kaspofungin stupa u interakcije sa drugim ljekovima (vidjeti donji tekst).</w:t>
      </w:r>
    </w:p>
    <w:p w14:paraId="7A66798B" w14:textId="77777777" w:rsidR="008F7D68" w:rsidRPr="0086063B" w:rsidRDefault="008F7D68" w:rsidP="00186EFF">
      <w:pPr>
        <w:tabs>
          <w:tab w:val="left" w:pos="284"/>
        </w:tabs>
        <w:jc w:val="both"/>
        <w:rPr>
          <w:sz w:val="22"/>
          <w:szCs w:val="22"/>
          <w:lang w:val="sr-Latn-ME"/>
        </w:rPr>
      </w:pPr>
    </w:p>
    <w:p w14:paraId="4851B372" w14:textId="2CF9EC5E" w:rsidR="008F7D68" w:rsidRPr="0086063B" w:rsidRDefault="008F7D68" w:rsidP="00186EFF">
      <w:pPr>
        <w:tabs>
          <w:tab w:val="left" w:pos="284"/>
        </w:tabs>
        <w:jc w:val="both"/>
        <w:rPr>
          <w:sz w:val="22"/>
          <w:szCs w:val="22"/>
          <w:lang w:val="sr-Latn-ME"/>
        </w:rPr>
      </w:pPr>
      <w:r w:rsidRPr="0086063B">
        <w:rPr>
          <w:sz w:val="22"/>
          <w:szCs w:val="22"/>
          <w:lang w:val="sr-Latn-ME"/>
        </w:rPr>
        <w:t>U dva klinička istraživanja sprovedena na zdravim odraslim dobrovoljcima, ciklosporin A (jedna doza od 4 mg/kg ili dv</w:t>
      </w:r>
      <w:r w:rsidR="004B2F27" w:rsidRPr="0086063B">
        <w:rPr>
          <w:sz w:val="22"/>
          <w:szCs w:val="22"/>
          <w:lang w:val="sr-Latn-ME"/>
        </w:rPr>
        <w:t>ij</w:t>
      </w:r>
      <w:r w:rsidRPr="0086063B">
        <w:rPr>
          <w:sz w:val="22"/>
          <w:szCs w:val="22"/>
          <w:lang w:val="sr-Latn-ME"/>
        </w:rPr>
        <w:t>e doze od 3 mg/kg u razmaku od 12 sati) je povećao PIK kaspofungina za oko 35%. Taj porast vrijednosti PIK</w:t>
      </w:r>
      <w:r w:rsidR="008B19BF" w:rsidRPr="0086063B">
        <w:rPr>
          <w:sz w:val="22"/>
          <w:szCs w:val="22"/>
          <w:lang w:val="sr-Latn-ME"/>
        </w:rPr>
        <w:t>-a</w:t>
      </w:r>
      <w:r w:rsidRPr="0086063B">
        <w:rPr>
          <w:sz w:val="22"/>
          <w:szCs w:val="22"/>
          <w:lang w:val="sr-Latn-ME"/>
        </w:rPr>
        <w:t xml:space="preserve"> je vjerovatno posljedica smanjenog preuzimanja kaspofungina od strane jetre. Kaspofungin nije povećao koncentraciju ciklosporina u plazmi. Kod istovremene primjene kaspofungina i ciklosporina uočen je prolazni porast vrijednosti  jetrenih enzima ALT i AST koje su bile do tri puta veće od gornje granice normale, a koje su se vratile na normalne vrijednosti  nakon prestanka uzimanja lijeka. U retrospektivnom kliničkom ispitivanju sprovedenom na 40 pacijenata koji su liječeni nakon stavljanja lijeka u promet, a koji su primali kaspofungin i ciklosporin tokom 1 do 290 dana (medijana broja dana 17,5) nije bilo prijavljenih ozbiljnih neželjenih događaja povezanih sa jetrom (vidjeti </w:t>
      </w:r>
      <w:r w:rsidR="008B19BF" w:rsidRPr="0086063B">
        <w:rPr>
          <w:sz w:val="22"/>
          <w:szCs w:val="22"/>
          <w:lang w:val="sr-Latn-ME"/>
        </w:rPr>
        <w:t>dio</w:t>
      </w:r>
      <w:r w:rsidRPr="0086063B">
        <w:rPr>
          <w:sz w:val="22"/>
          <w:szCs w:val="22"/>
          <w:lang w:val="sr-Latn-ME"/>
        </w:rPr>
        <w:t xml:space="preserve"> 4.4). Ako se ova dva lijeka daju istovremeno treba pažljivo pratiti vrijednost jetrenih enzima.</w:t>
      </w:r>
    </w:p>
    <w:p w14:paraId="015DF043" w14:textId="77777777" w:rsidR="008F7D68" w:rsidRPr="0086063B" w:rsidRDefault="008F7D68" w:rsidP="00186EFF">
      <w:pPr>
        <w:tabs>
          <w:tab w:val="left" w:pos="284"/>
        </w:tabs>
        <w:jc w:val="both"/>
        <w:rPr>
          <w:sz w:val="22"/>
          <w:szCs w:val="22"/>
          <w:lang w:val="sr-Latn-ME"/>
        </w:rPr>
      </w:pPr>
    </w:p>
    <w:p w14:paraId="0BD6F7A2" w14:textId="18006B4E" w:rsidR="008F7D68" w:rsidRPr="0086063B" w:rsidRDefault="008F7D68" w:rsidP="00186EFF">
      <w:pPr>
        <w:tabs>
          <w:tab w:val="left" w:pos="284"/>
        </w:tabs>
        <w:jc w:val="both"/>
        <w:rPr>
          <w:sz w:val="22"/>
          <w:szCs w:val="22"/>
          <w:lang w:val="sr-Latn-ME"/>
        </w:rPr>
      </w:pPr>
      <w:r w:rsidRPr="0086063B">
        <w:rPr>
          <w:sz w:val="22"/>
          <w:szCs w:val="22"/>
          <w:lang w:val="sr-Latn-ME"/>
        </w:rPr>
        <w:t>Kod zdravih odraslih dobrovoljaca kaspofungin je s</w:t>
      </w:r>
      <w:r w:rsidR="00557B9F" w:rsidRPr="0086063B">
        <w:rPr>
          <w:sz w:val="22"/>
          <w:szCs w:val="22"/>
          <w:lang w:val="sr-Latn-ME"/>
        </w:rPr>
        <w:t>nizio najnižu</w:t>
      </w:r>
      <w:r w:rsidRPr="0086063B">
        <w:rPr>
          <w:sz w:val="22"/>
          <w:szCs w:val="22"/>
          <w:lang w:val="sr-Latn-ME"/>
        </w:rPr>
        <w:t xml:space="preserve"> koncentraciju takrolimusa </w:t>
      </w:r>
      <w:r w:rsidR="00557B9F" w:rsidRPr="0086063B">
        <w:rPr>
          <w:sz w:val="22"/>
          <w:szCs w:val="22"/>
          <w:lang w:val="sr-Latn-ME"/>
        </w:rPr>
        <w:t xml:space="preserve">za </w:t>
      </w:r>
      <w:r w:rsidRPr="0086063B">
        <w:rPr>
          <w:sz w:val="22"/>
          <w:szCs w:val="22"/>
          <w:lang w:val="sr-Latn-ME"/>
        </w:rPr>
        <w:t>26%. Stoga, kod pacijenata koji istovremeno uzimaju ova dva lijeka, mora se uvesti standardno praćenje nivoa takrolimusa u krvi i obavezno prilagoditi njegov</w:t>
      </w:r>
      <w:r w:rsidR="00D25445" w:rsidRPr="0086063B">
        <w:rPr>
          <w:sz w:val="22"/>
          <w:szCs w:val="22"/>
          <w:lang w:val="sr-Latn-ME"/>
        </w:rPr>
        <w:t>a</w:t>
      </w:r>
      <w:r w:rsidRPr="0086063B">
        <w:rPr>
          <w:sz w:val="22"/>
          <w:szCs w:val="22"/>
          <w:lang w:val="sr-Latn-ME"/>
        </w:rPr>
        <w:t xml:space="preserve"> doz</w:t>
      </w:r>
      <w:r w:rsidR="00D25445" w:rsidRPr="0086063B">
        <w:rPr>
          <w:sz w:val="22"/>
          <w:szCs w:val="22"/>
          <w:lang w:val="sr-Latn-ME"/>
        </w:rPr>
        <w:t>a</w:t>
      </w:r>
      <w:r w:rsidRPr="0086063B">
        <w:rPr>
          <w:sz w:val="22"/>
          <w:szCs w:val="22"/>
          <w:lang w:val="sr-Latn-ME"/>
        </w:rPr>
        <w:t xml:space="preserve"> na odgovarajući način.</w:t>
      </w:r>
    </w:p>
    <w:p w14:paraId="50E6CBA8" w14:textId="77777777" w:rsidR="008F7D68" w:rsidRPr="0086063B" w:rsidRDefault="008F7D68" w:rsidP="00186EFF">
      <w:pPr>
        <w:tabs>
          <w:tab w:val="left" w:pos="284"/>
        </w:tabs>
        <w:jc w:val="both"/>
        <w:rPr>
          <w:sz w:val="22"/>
          <w:szCs w:val="22"/>
          <w:lang w:val="sr-Latn-ME"/>
        </w:rPr>
      </w:pPr>
    </w:p>
    <w:p w14:paraId="411FCE26" w14:textId="5382F3CC" w:rsidR="008F7D68" w:rsidRPr="0086063B" w:rsidRDefault="008F7D68" w:rsidP="00186EFF">
      <w:pPr>
        <w:tabs>
          <w:tab w:val="left" w:pos="284"/>
        </w:tabs>
        <w:jc w:val="both"/>
        <w:rPr>
          <w:sz w:val="22"/>
          <w:szCs w:val="22"/>
          <w:lang w:val="sr-Latn-ME"/>
        </w:rPr>
      </w:pPr>
      <w:r w:rsidRPr="0086063B">
        <w:rPr>
          <w:sz w:val="22"/>
          <w:szCs w:val="22"/>
          <w:lang w:val="sr-Latn-ME"/>
        </w:rPr>
        <w:t>Rezultati kliničkih istraživanja na zdravim odraslim dobrovoljcima pokazuju da itrakonazol, amfotericin B, mikofenolat, nelfinavir ili takrolimus ne utiču na farmakokinetiku kaspofungina na klinički značajan način. Kaspofungin nije imao uticaj na farmakokinetiku amfotericina B, itrakonazola, rifampicina ili mikofenolat-mofetila. Iako su podaci o bezb</w:t>
      </w:r>
      <w:r w:rsidR="00360BD0" w:rsidRPr="0086063B">
        <w:rPr>
          <w:sz w:val="22"/>
          <w:szCs w:val="22"/>
          <w:lang w:val="sr-Latn-ME"/>
        </w:rPr>
        <w:t>j</w:t>
      </w:r>
      <w:r w:rsidRPr="0086063B">
        <w:rPr>
          <w:sz w:val="22"/>
          <w:szCs w:val="22"/>
          <w:lang w:val="sr-Latn-ME"/>
        </w:rPr>
        <w:t>ednosti ograničeni, čini se da, pri istovremenoj primjeni kaspofungina i amfotericina B, itrakonazola, nelfinavira ili mikofenolat-mofetila nije neophodno primijeniti posebne mjere opreza.</w:t>
      </w:r>
    </w:p>
    <w:p w14:paraId="7C346F5A" w14:textId="77777777" w:rsidR="008F7D68" w:rsidRPr="0086063B" w:rsidRDefault="008F7D68" w:rsidP="00186EFF">
      <w:pPr>
        <w:tabs>
          <w:tab w:val="left" w:pos="284"/>
        </w:tabs>
        <w:jc w:val="both"/>
        <w:rPr>
          <w:sz w:val="22"/>
          <w:szCs w:val="22"/>
          <w:lang w:val="sr-Latn-ME"/>
        </w:rPr>
      </w:pPr>
    </w:p>
    <w:p w14:paraId="02A0D0F3" w14:textId="28306153" w:rsidR="008F7D68" w:rsidRPr="0086063B" w:rsidRDefault="008F7D68" w:rsidP="00186EFF">
      <w:pPr>
        <w:tabs>
          <w:tab w:val="left" w:pos="284"/>
        </w:tabs>
        <w:jc w:val="both"/>
        <w:rPr>
          <w:sz w:val="22"/>
          <w:szCs w:val="22"/>
          <w:lang w:val="sr-Latn-ME"/>
        </w:rPr>
      </w:pPr>
      <w:r w:rsidRPr="0086063B">
        <w:rPr>
          <w:sz w:val="22"/>
          <w:szCs w:val="22"/>
          <w:lang w:val="sr-Latn-ME"/>
        </w:rPr>
        <w:t>Rifampicin je povećao PIK kaspofungina za 60%</w:t>
      </w:r>
      <w:r w:rsidR="00797EA4" w:rsidRPr="0086063B">
        <w:rPr>
          <w:sz w:val="22"/>
          <w:szCs w:val="22"/>
          <w:lang w:val="sr-Latn-ME"/>
        </w:rPr>
        <w:t xml:space="preserve"> i najnižu</w:t>
      </w:r>
      <w:r w:rsidRPr="0086063B">
        <w:rPr>
          <w:sz w:val="22"/>
          <w:szCs w:val="22"/>
          <w:lang w:val="sr-Latn-ME"/>
        </w:rPr>
        <w:t xml:space="preserve"> koncentraciju kaspofungina za 170% prvog dana njihove istovremene primjene kod zdravih odraslih dobrovoljaca. </w:t>
      </w:r>
      <w:r w:rsidR="00BA4655" w:rsidRPr="0086063B">
        <w:rPr>
          <w:sz w:val="22"/>
          <w:szCs w:val="22"/>
          <w:lang w:val="sr-Latn-ME"/>
        </w:rPr>
        <w:t>Najniža k</w:t>
      </w:r>
      <w:r w:rsidRPr="0086063B">
        <w:rPr>
          <w:sz w:val="22"/>
          <w:szCs w:val="22"/>
          <w:lang w:val="sr-Latn-ME"/>
        </w:rPr>
        <w:t>oncentracij</w:t>
      </w:r>
      <w:r w:rsidR="00BA4655" w:rsidRPr="0086063B">
        <w:rPr>
          <w:sz w:val="22"/>
          <w:szCs w:val="22"/>
          <w:lang w:val="sr-Latn-ME"/>
        </w:rPr>
        <w:t>a</w:t>
      </w:r>
      <w:r w:rsidRPr="0086063B">
        <w:rPr>
          <w:sz w:val="22"/>
          <w:szCs w:val="22"/>
          <w:lang w:val="sr-Latn-ME"/>
        </w:rPr>
        <w:t xml:space="preserve"> kaspofungina postepeno se snižaval</w:t>
      </w:r>
      <w:r w:rsidR="00BA4655" w:rsidRPr="0086063B">
        <w:rPr>
          <w:sz w:val="22"/>
          <w:szCs w:val="22"/>
          <w:lang w:val="sr-Latn-ME"/>
        </w:rPr>
        <w:t>a</w:t>
      </w:r>
      <w:r w:rsidRPr="0086063B">
        <w:rPr>
          <w:sz w:val="22"/>
          <w:szCs w:val="22"/>
          <w:lang w:val="sr-Latn-ME"/>
        </w:rPr>
        <w:t xml:space="preserve"> nakon ponovljene primjene. Nakon dvije ne</w:t>
      </w:r>
      <w:r w:rsidR="00557B9F" w:rsidRPr="0086063B">
        <w:rPr>
          <w:sz w:val="22"/>
          <w:szCs w:val="22"/>
          <w:lang w:val="sr-Latn-ME"/>
        </w:rPr>
        <w:t>dj</w:t>
      </w:r>
      <w:r w:rsidRPr="0086063B">
        <w:rPr>
          <w:sz w:val="22"/>
          <w:szCs w:val="22"/>
          <w:lang w:val="sr-Latn-ME"/>
        </w:rPr>
        <w:t xml:space="preserve">elje primjene rifampicin je ispoljio slab efekat na PIK, ali su </w:t>
      </w:r>
      <w:r w:rsidR="00797EA4" w:rsidRPr="0086063B">
        <w:rPr>
          <w:sz w:val="22"/>
          <w:szCs w:val="22"/>
          <w:lang w:val="sr-Latn-ME"/>
        </w:rPr>
        <w:t xml:space="preserve">najniže </w:t>
      </w:r>
      <w:r w:rsidRPr="0086063B">
        <w:rPr>
          <w:sz w:val="22"/>
          <w:szCs w:val="22"/>
          <w:lang w:val="sr-Latn-ME"/>
        </w:rPr>
        <w:t>koncentracije bile za 30% niže nego kod odraslih ispitanika koji su primali samo kaspofungin. Mehanizam interakcije mogao bi da bude posljedica početne inhibicije i naknadne indukcije transportnih proteina. Sličan efekat može da se očekuje i za druge ljekove koji indukuju metaboličke enzime. Ograničeni podaci iz populacionih farmakokinetičkih ispitivanja pokazuju da istovremena primjena kaspofungina sa induktorima kao što su efavirenz, nevirapin, rifampicin, deksametazon, fenitoin ili karbamazepin, može da dovede do smanjenja PIK</w:t>
      </w:r>
      <w:r w:rsidR="00557B9F" w:rsidRPr="0086063B">
        <w:rPr>
          <w:sz w:val="22"/>
          <w:szCs w:val="22"/>
          <w:lang w:val="sr-Latn-ME"/>
        </w:rPr>
        <w:t>-a</w:t>
      </w:r>
      <w:r w:rsidRPr="0086063B">
        <w:rPr>
          <w:sz w:val="22"/>
          <w:szCs w:val="22"/>
          <w:lang w:val="sr-Latn-ME"/>
        </w:rPr>
        <w:t xml:space="preserve"> kaspofungina. Prilikom istovremene primjene sa induktorima metaboličkih enzima potrebno je razmotriti povećanje dnevne doze kaspofungina kod odraslih pacijenata na 70 mg</w:t>
      </w:r>
      <w:r w:rsidR="00AD1C67" w:rsidRPr="0086063B">
        <w:rPr>
          <w:sz w:val="22"/>
          <w:szCs w:val="22"/>
          <w:lang w:val="sr-Latn-ME"/>
        </w:rPr>
        <w:t>,</w:t>
      </w:r>
      <w:r w:rsidRPr="0086063B">
        <w:rPr>
          <w:sz w:val="22"/>
          <w:szCs w:val="22"/>
          <w:lang w:val="sr-Latn-ME"/>
        </w:rPr>
        <w:t xml:space="preserve"> nakon primjene početne udarne doze od 70 mg (vidjeti </w:t>
      </w:r>
      <w:r w:rsidR="00557B9F" w:rsidRPr="0086063B">
        <w:rPr>
          <w:sz w:val="22"/>
          <w:szCs w:val="22"/>
          <w:lang w:val="sr-Latn-ME"/>
        </w:rPr>
        <w:t>dio</w:t>
      </w:r>
      <w:r w:rsidRPr="0086063B">
        <w:rPr>
          <w:sz w:val="22"/>
          <w:szCs w:val="22"/>
          <w:lang w:val="sr-Latn-ME"/>
        </w:rPr>
        <w:t xml:space="preserve"> 4.2).</w:t>
      </w:r>
    </w:p>
    <w:p w14:paraId="6E7CBA7D" w14:textId="77777777" w:rsidR="008F7D68" w:rsidRPr="0086063B" w:rsidRDefault="008F7D68" w:rsidP="00186EFF">
      <w:pPr>
        <w:tabs>
          <w:tab w:val="left" w:pos="284"/>
        </w:tabs>
        <w:jc w:val="both"/>
        <w:rPr>
          <w:sz w:val="22"/>
          <w:szCs w:val="22"/>
          <w:lang w:val="sr-Latn-ME"/>
        </w:rPr>
      </w:pPr>
    </w:p>
    <w:p w14:paraId="420B40CD" w14:textId="54738DA6" w:rsidR="008F7D68" w:rsidRPr="0086063B" w:rsidRDefault="008F7D68" w:rsidP="00186EFF">
      <w:pPr>
        <w:tabs>
          <w:tab w:val="left" w:pos="284"/>
        </w:tabs>
        <w:jc w:val="both"/>
        <w:rPr>
          <w:sz w:val="22"/>
          <w:szCs w:val="22"/>
          <w:lang w:val="sr-Latn-ME"/>
        </w:rPr>
      </w:pPr>
      <w:r w:rsidRPr="0086063B">
        <w:rPr>
          <w:sz w:val="22"/>
          <w:szCs w:val="22"/>
          <w:lang w:val="sr-Latn-ME"/>
        </w:rPr>
        <w:t>Sve studije sa odraslim pacijentima u kojima su ispitivane gore</w:t>
      </w:r>
      <w:r w:rsidR="00557B9F" w:rsidRPr="0086063B">
        <w:rPr>
          <w:sz w:val="22"/>
          <w:szCs w:val="22"/>
          <w:lang w:val="sr-Latn-ME"/>
        </w:rPr>
        <w:t xml:space="preserve"> </w:t>
      </w:r>
      <w:r w:rsidRPr="0086063B">
        <w:rPr>
          <w:sz w:val="22"/>
          <w:szCs w:val="22"/>
          <w:lang w:val="sr-Latn-ME"/>
        </w:rPr>
        <w:t>navedene interakcije između ljekova, sprovedene su sa dnevnim dozama kaspofungina od 50</w:t>
      </w:r>
      <w:r w:rsidR="00C8118D" w:rsidRPr="0086063B">
        <w:rPr>
          <w:sz w:val="22"/>
          <w:szCs w:val="22"/>
          <w:lang w:val="sr-Latn-ME"/>
        </w:rPr>
        <w:t xml:space="preserve"> mg</w:t>
      </w:r>
      <w:r w:rsidRPr="0086063B">
        <w:rPr>
          <w:sz w:val="22"/>
          <w:szCs w:val="22"/>
          <w:lang w:val="sr-Latn-ME"/>
        </w:rPr>
        <w:t xml:space="preserve"> ili 70 mg. Interakcije između drugih ljekova i viših doza kaspofungina ni</w:t>
      </w:r>
      <w:r w:rsidR="00360BD0" w:rsidRPr="0086063B">
        <w:rPr>
          <w:sz w:val="22"/>
          <w:szCs w:val="22"/>
          <w:lang w:val="sr-Latn-ME"/>
        </w:rPr>
        <w:t>je</w:t>
      </w:r>
      <w:r w:rsidRPr="0086063B">
        <w:rPr>
          <w:sz w:val="22"/>
          <w:szCs w:val="22"/>
          <w:lang w:val="sr-Latn-ME"/>
        </w:rPr>
        <w:t>su formalno ispitane.</w:t>
      </w:r>
    </w:p>
    <w:p w14:paraId="44C1DEE6" w14:textId="77777777" w:rsidR="008F7D68" w:rsidRPr="0086063B" w:rsidRDefault="008F7D68" w:rsidP="00186EFF">
      <w:pPr>
        <w:tabs>
          <w:tab w:val="left" w:pos="284"/>
        </w:tabs>
        <w:jc w:val="both"/>
        <w:rPr>
          <w:sz w:val="22"/>
          <w:szCs w:val="22"/>
          <w:lang w:val="sr-Latn-ME"/>
        </w:rPr>
      </w:pPr>
    </w:p>
    <w:p w14:paraId="5C910302" w14:textId="08D5359C" w:rsidR="008F7D68" w:rsidRPr="0086063B" w:rsidRDefault="008F7D68" w:rsidP="00186EFF">
      <w:pPr>
        <w:tabs>
          <w:tab w:val="left" w:pos="284"/>
        </w:tabs>
        <w:jc w:val="both"/>
        <w:rPr>
          <w:sz w:val="22"/>
          <w:szCs w:val="22"/>
          <w:lang w:val="sr-Latn-ME"/>
        </w:rPr>
      </w:pPr>
      <w:r w:rsidRPr="0086063B">
        <w:rPr>
          <w:sz w:val="22"/>
          <w:szCs w:val="22"/>
          <w:lang w:val="sr-Latn-ME"/>
        </w:rPr>
        <w:t>Kod pedijatrijskih pacijenata, rezultati regresione analize farmakokinetičkih podataka ukazuju na to da istovremena primjena kaspofungina i deksametazona može da dovede do klinički značajnog smanjenja</w:t>
      </w:r>
      <w:r w:rsidR="00BA4655" w:rsidRPr="0086063B">
        <w:rPr>
          <w:sz w:val="22"/>
          <w:szCs w:val="22"/>
          <w:lang w:val="sr-Latn-ME"/>
        </w:rPr>
        <w:t xml:space="preserve"> najniže </w:t>
      </w:r>
      <w:r w:rsidRPr="0086063B">
        <w:rPr>
          <w:sz w:val="22"/>
          <w:szCs w:val="22"/>
          <w:lang w:val="sr-Latn-ME"/>
        </w:rPr>
        <w:t>koncentracij</w:t>
      </w:r>
      <w:r w:rsidR="00BA4655" w:rsidRPr="0086063B">
        <w:rPr>
          <w:sz w:val="22"/>
          <w:szCs w:val="22"/>
          <w:lang w:val="sr-Latn-ME"/>
        </w:rPr>
        <w:t>e</w:t>
      </w:r>
      <w:r w:rsidRPr="0086063B">
        <w:rPr>
          <w:sz w:val="22"/>
          <w:szCs w:val="22"/>
          <w:lang w:val="sr-Latn-ME"/>
        </w:rPr>
        <w:t xml:space="preserve"> kaspofungina. Ovaj nalaz može da sugeriše da će i kod pedijatrijskih pacijenata doći do sličnih smanjenja kod primjene induktora kao i kod odraslih pacijenata. Kada se kaspofungin primjenjuje kod pedijatrijskih pacijenata (uzrasta od 12 m</w:t>
      </w:r>
      <w:r w:rsidR="00360BD0" w:rsidRPr="0086063B">
        <w:rPr>
          <w:sz w:val="22"/>
          <w:szCs w:val="22"/>
          <w:lang w:val="sr-Latn-ME"/>
        </w:rPr>
        <w:t>j</w:t>
      </w:r>
      <w:r w:rsidRPr="0086063B">
        <w:rPr>
          <w:sz w:val="22"/>
          <w:szCs w:val="22"/>
          <w:lang w:val="sr-Latn-ME"/>
        </w:rPr>
        <w:t>eseci do 17 godina) istovremeno sa induktorima klirensa ljekova kao što su to rifampicin, efavirenz, nevirapin, fenitoin, deksametazon ili karbamazepin, treba razmotriti mogućnost primjene kaspofungina u dozi od 70 mg/m</w:t>
      </w:r>
      <w:r w:rsidRPr="0086063B">
        <w:rPr>
          <w:sz w:val="22"/>
          <w:szCs w:val="22"/>
          <w:vertAlign w:val="superscript"/>
          <w:lang w:val="sr-Latn-ME"/>
        </w:rPr>
        <w:t>2</w:t>
      </w:r>
      <w:r w:rsidRPr="0086063B">
        <w:rPr>
          <w:sz w:val="22"/>
          <w:szCs w:val="22"/>
          <w:lang w:val="sr-Latn-ME"/>
        </w:rPr>
        <w:t xml:space="preserve"> dnevno (ne smije da pređe stvarnu dozu od 70 mg dnevno).</w:t>
      </w:r>
    </w:p>
    <w:p w14:paraId="0566F5B7" w14:textId="77777777" w:rsidR="008F7D68" w:rsidRPr="0086063B" w:rsidRDefault="008F7D68" w:rsidP="00186EFF">
      <w:pPr>
        <w:tabs>
          <w:tab w:val="left" w:pos="540"/>
          <w:tab w:val="left" w:pos="569"/>
        </w:tabs>
        <w:jc w:val="both"/>
        <w:rPr>
          <w:bCs/>
          <w:sz w:val="22"/>
          <w:szCs w:val="22"/>
          <w:lang w:val="sr-Latn-ME"/>
        </w:rPr>
      </w:pPr>
    </w:p>
    <w:p w14:paraId="32585B98" w14:textId="77777777" w:rsidR="0072020E" w:rsidRPr="0086063B" w:rsidRDefault="0072020E" w:rsidP="00186EFF">
      <w:pPr>
        <w:tabs>
          <w:tab w:val="left" w:pos="540"/>
          <w:tab w:val="left" w:pos="569"/>
        </w:tabs>
        <w:jc w:val="both"/>
        <w:rPr>
          <w:b/>
          <w:sz w:val="22"/>
          <w:szCs w:val="22"/>
          <w:lang w:val="sr-Latn-ME"/>
        </w:rPr>
      </w:pPr>
      <w:r w:rsidRPr="0086063B">
        <w:rPr>
          <w:b/>
          <w:bCs/>
          <w:sz w:val="22"/>
          <w:szCs w:val="22"/>
          <w:lang w:val="sr-Latn-ME"/>
        </w:rPr>
        <w:t xml:space="preserve">4.6. </w:t>
      </w:r>
      <w:r w:rsidR="00480FB1" w:rsidRPr="0086063B">
        <w:rPr>
          <w:b/>
          <w:bCs/>
          <w:sz w:val="22"/>
          <w:szCs w:val="22"/>
          <w:lang w:val="sr-Latn-ME"/>
        </w:rPr>
        <w:tab/>
      </w:r>
      <w:r w:rsidR="006D20A5" w:rsidRPr="0086063B">
        <w:rPr>
          <w:b/>
          <w:sz w:val="22"/>
          <w:szCs w:val="22"/>
          <w:lang w:val="sr-Latn-ME"/>
        </w:rPr>
        <w:t>Plodnost, trudnoća i dojenje</w:t>
      </w:r>
    </w:p>
    <w:p w14:paraId="02BE929D" w14:textId="77777777" w:rsidR="002031B3" w:rsidRPr="0086063B" w:rsidRDefault="002031B3" w:rsidP="00186EFF">
      <w:pPr>
        <w:tabs>
          <w:tab w:val="left" w:pos="540"/>
          <w:tab w:val="left" w:pos="569"/>
        </w:tabs>
        <w:jc w:val="both"/>
        <w:rPr>
          <w:sz w:val="22"/>
          <w:szCs w:val="22"/>
          <w:u w:val="single"/>
          <w:lang w:val="sr-Latn-ME"/>
        </w:rPr>
      </w:pPr>
    </w:p>
    <w:p w14:paraId="640B53F2" w14:textId="77777777" w:rsidR="002031B3" w:rsidRPr="0086063B" w:rsidRDefault="002031B3" w:rsidP="00186EFF">
      <w:pPr>
        <w:tabs>
          <w:tab w:val="left" w:pos="540"/>
          <w:tab w:val="left" w:pos="569"/>
        </w:tabs>
        <w:jc w:val="both"/>
        <w:rPr>
          <w:sz w:val="22"/>
          <w:szCs w:val="22"/>
          <w:u w:val="single"/>
          <w:lang w:val="sr-Latn-ME"/>
        </w:rPr>
      </w:pPr>
      <w:r w:rsidRPr="0086063B">
        <w:rPr>
          <w:sz w:val="22"/>
          <w:szCs w:val="22"/>
          <w:u w:val="single"/>
          <w:lang w:val="sr-Latn-ME"/>
        </w:rPr>
        <w:t>Plodnost</w:t>
      </w:r>
    </w:p>
    <w:p w14:paraId="75961ACD" w14:textId="76765837" w:rsidR="008F7D68" w:rsidRPr="0086063B" w:rsidRDefault="008F7D68" w:rsidP="00186EFF">
      <w:pPr>
        <w:tabs>
          <w:tab w:val="left" w:pos="284"/>
        </w:tabs>
        <w:jc w:val="both"/>
        <w:rPr>
          <w:sz w:val="22"/>
          <w:szCs w:val="22"/>
          <w:lang w:val="sr-Latn-ME"/>
        </w:rPr>
      </w:pPr>
      <w:r w:rsidRPr="0086063B">
        <w:rPr>
          <w:sz w:val="22"/>
          <w:szCs w:val="22"/>
          <w:lang w:val="sr-Latn-ME"/>
        </w:rPr>
        <w:t xml:space="preserve">U ispitivanjima sprovedenim na mužjacima i ženkama pacova, kaspofungin nije imao uticaja na plodnost (vidjeti </w:t>
      </w:r>
      <w:r w:rsidR="00C8118D" w:rsidRPr="0086063B">
        <w:rPr>
          <w:sz w:val="22"/>
          <w:szCs w:val="22"/>
          <w:lang w:val="sr-Latn-ME"/>
        </w:rPr>
        <w:t>dio</w:t>
      </w:r>
      <w:r w:rsidRPr="0086063B">
        <w:rPr>
          <w:sz w:val="22"/>
          <w:szCs w:val="22"/>
          <w:lang w:val="sr-Latn-ME"/>
        </w:rPr>
        <w:t xml:space="preserve"> 5.3). Nema kliničkih podataka na osnovu kojih se može procijeniti uticaj kaspofungina na plodnost.</w:t>
      </w:r>
    </w:p>
    <w:p w14:paraId="21A04CA0" w14:textId="77777777" w:rsidR="002031B3" w:rsidRPr="0086063B" w:rsidRDefault="002031B3" w:rsidP="00186EFF">
      <w:pPr>
        <w:tabs>
          <w:tab w:val="left" w:pos="540"/>
          <w:tab w:val="left" w:pos="569"/>
        </w:tabs>
        <w:jc w:val="both"/>
        <w:rPr>
          <w:sz w:val="22"/>
          <w:szCs w:val="22"/>
          <w:u w:val="single"/>
          <w:lang w:val="sr-Latn-ME"/>
        </w:rPr>
      </w:pPr>
    </w:p>
    <w:p w14:paraId="1DA85B36" w14:textId="77777777" w:rsidR="007A3ECB" w:rsidRPr="0086063B" w:rsidRDefault="007A3ECB" w:rsidP="00186EFF">
      <w:pPr>
        <w:tabs>
          <w:tab w:val="left" w:pos="540"/>
          <w:tab w:val="left" w:pos="569"/>
        </w:tabs>
        <w:jc w:val="both"/>
        <w:rPr>
          <w:sz w:val="22"/>
          <w:szCs w:val="22"/>
          <w:u w:val="single"/>
          <w:lang w:val="sr-Latn-ME"/>
        </w:rPr>
      </w:pPr>
      <w:r w:rsidRPr="0086063B">
        <w:rPr>
          <w:sz w:val="22"/>
          <w:szCs w:val="22"/>
          <w:u w:val="single"/>
          <w:lang w:val="sr-Latn-ME"/>
        </w:rPr>
        <w:t>Trudnoća</w:t>
      </w:r>
    </w:p>
    <w:p w14:paraId="5EBFEC39" w14:textId="35233F2D" w:rsidR="002031B3" w:rsidRPr="0086063B" w:rsidRDefault="008F7D68" w:rsidP="00186EFF">
      <w:pPr>
        <w:tabs>
          <w:tab w:val="left" w:pos="540"/>
          <w:tab w:val="left" w:pos="569"/>
        </w:tabs>
        <w:jc w:val="both"/>
        <w:rPr>
          <w:sz w:val="22"/>
          <w:szCs w:val="22"/>
          <w:lang w:val="sr-Latn-ME"/>
        </w:rPr>
      </w:pPr>
      <w:r w:rsidRPr="0086063B">
        <w:rPr>
          <w:sz w:val="22"/>
          <w:szCs w:val="22"/>
          <w:lang w:val="sr-Latn-ME"/>
        </w:rPr>
        <w:t xml:space="preserve">Nema podataka ili su podaci o primjeni kaspofungina kod trudnica ograničeni. Kaspofungin ne smije da se daje u trudnoći osim u slučajevima kada je to apsolutno neophodno. Ispitivanja na životinjama pokazala su razvojnu toksičnost (vidjeti </w:t>
      </w:r>
      <w:r w:rsidR="00C8118D" w:rsidRPr="0086063B">
        <w:rPr>
          <w:sz w:val="22"/>
          <w:szCs w:val="22"/>
          <w:lang w:val="sr-Latn-ME"/>
        </w:rPr>
        <w:t>dio</w:t>
      </w:r>
      <w:r w:rsidRPr="0086063B">
        <w:rPr>
          <w:sz w:val="22"/>
          <w:szCs w:val="22"/>
          <w:lang w:val="sr-Latn-ME"/>
        </w:rPr>
        <w:t xml:space="preserve"> 5.3). Ispitivanja na laboratorijskim životinjama pokazala su da kaspofungin prolazi kroz placentalnu barijeru.</w:t>
      </w:r>
    </w:p>
    <w:p w14:paraId="6988CD31" w14:textId="77777777" w:rsidR="008F7D68" w:rsidRPr="0086063B" w:rsidRDefault="008F7D68" w:rsidP="00186EFF">
      <w:pPr>
        <w:tabs>
          <w:tab w:val="left" w:pos="540"/>
          <w:tab w:val="left" w:pos="569"/>
        </w:tabs>
        <w:jc w:val="both"/>
        <w:rPr>
          <w:sz w:val="22"/>
          <w:szCs w:val="22"/>
          <w:u w:val="single"/>
          <w:lang w:val="sr-Latn-ME"/>
        </w:rPr>
      </w:pPr>
    </w:p>
    <w:p w14:paraId="03D63D19" w14:textId="77777777" w:rsidR="0072020E" w:rsidRPr="0086063B" w:rsidRDefault="007A3ECB" w:rsidP="00186EFF">
      <w:pPr>
        <w:tabs>
          <w:tab w:val="left" w:pos="540"/>
          <w:tab w:val="left" w:pos="569"/>
        </w:tabs>
        <w:jc w:val="both"/>
        <w:rPr>
          <w:b/>
          <w:bCs/>
          <w:sz w:val="22"/>
          <w:szCs w:val="22"/>
          <w:lang w:val="sr-Latn-ME"/>
        </w:rPr>
      </w:pPr>
      <w:r w:rsidRPr="0086063B">
        <w:rPr>
          <w:sz w:val="22"/>
          <w:szCs w:val="22"/>
          <w:u w:val="single"/>
          <w:lang w:val="sr-Latn-ME"/>
        </w:rPr>
        <w:t xml:space="preserve">Dojenje </w:t>
      </w:r>
    </w:p>
    <w:p w14:paraId="61933F94" w14:textId="77777777" w:rsidR="008F7D68" w:rsidRPr="0086063B" w:rsidRDefault="008F7D68" w:rsidP="00186EFF">
      <w:pPr>
        <w:tabs>
          <w:tab w:val="left" w:pos="284"/>
        </w:tabs>
        <w:jc w:val="both"/>
        <w:rPr>
          <w:sz w:val="22"/>
          <w:szCs w:val="22"/>
          <w:lang w:val="sr-Latn-ME"/>
        </w:rPr>
      </w:pPr>
      <w:r w:rsidRPr="0086063B">
        <w:rPr>
          <w:sz w:val="22"/>
          <w:szCs w:val="22"/>
          <w:lang w:val="sr-Latn-ME"/>
        </w:rPr>
        <w:t>Nije poznato da li se kaspofungin izlučuje u majčino mlijeko. Dostupni farmakodinamski/toksikološki podaci kod životinja pokazuju da se kaspofungin izlučuje u mlijeko. Žene koje primaju kaspofungin ne smiju da doje.</w:t>
      </w:r>
    </w:p>
    <w:p w14:paraId="4CF29B42" w14:textId="77777777" w:rsidR="00227BDB" w:rsidRPr="0086063B" w:rsidRDefault="00227BDB" w:rsidP="00186EFF">
      <w:pPr>
        <w:tabs>
          <w:tab w:val="left" w:pos="540"/>
          <w:tab w:val="left" w:pos="569"/>
        </w:tabs>
        <w:ind w:left="540" w:hanging="540"/>
        <w:jc w:val="both"/>
        <w:rPr>
          <w:b/>
          <w:bCs/>
          <w:sz w:val="22"/>
          <w:szCs w:val="22"/>
          <w:lang w:val="sr-Latn-ME"/>
        </w:rPr>
      </w:pPr>
    </w:p>
    <w:p w14:paraId="123B0F24" w14:textId="77777777" w:rsidR="0072020E" w:rsidRPr="0086063B" w:rsidRDefault="0072020E" w:rsidP="00186EFF">
      <w:pPr>
        <w:tabs>
          <w:tab w:val="left" w:pos="540"/>
          <w:tab w:val="left" w:pos="569"/>
        </w:tabs>
        <w:ind w:left="540" w:hanging="540"/>
        <w:jc w:val="both"/>
        <w:rPr>
          <w:b/>
          <w:bCs/>
          <w:sz w:val="22"/>
          <w:szCs w:val="22"/>
          <w:lang w:val="sr-Latn-ME"/>
        </w:rPr>
      </w:pPr>
      <w:r w:rsidRPr="0086063B">
        <w:rPr>
          <w:b/>
          <w:bCs/>
          <w:sz w:val="22"/>
          <w:szCs w:val="22"/>
          <w:lang w:val="sr-Latn-ME"/>
        </w:rPr>
        <w:t xml:space="preserve">4.7. </w:t>
      </w:r>
      <w:r w:rsidR="00480FB1" w:rsidRPr="0086063B">
        <w:rPr>
          <w:b/>
          <w:bCs/>
          <w:sz w:val="22"/>
          <w:szCs w:val="22"/>
          <w:lang w:val="sr-Latn-ME"/>
        </w:rPr>
        <w:tab/>
      </w:r>
      <w:r w:rsidRPr="0086063B">
        <w:rPr>
          <w:b/>
          <w:bCs/>
          <w:sz w:val="22"/>
          <w:szCs w:val="22"/>
          <w:lang w:val="sr-Latn-ME"/>
        </w:rPr>
        <w:t xml:space="preserve">Uticaj na </w:t>
      </w:r>
      <w:r w:rsidR="002031B3" w:rsidRPr="0086063B">
        <w:rPr>
          <w:b/>
          <w:bCs/>
          <w:sz w:val="22"/>
          <w:szCs w:val="22"/>
          <w:lang w:val="sr-Latn-ME"/>
        </w:rPr>
        <w:t xml:space="preserve">sposobnost </w:t>
      </w:r>
      <w:r w:rsidR="00F34554" w:rsidRPr="0086063B">
        <w:rPr>
          <w:b/>
          <w:bCs/>
          <w:sz w:val="22"/>
          <w:szCs w:val="22"/>
          <w:lang w:val="sr-Latn-ME"/>
        </w:rPr>
        <w:t>upravljanja vozili</w:t>
      </w:r>
      <w:r w:rsidRPr="0086063B">
        <w:rPr>
          <w:b/>
          <w:bCs/>
          <w:sz w:val="22"/>
          <w:szCs w:val="22"/>
          <w:lang w:val="sr-Latn-ME"/>
        </w:rPr>
        <w:t>m</w:t>
      </w:r>
      <w:r w:rsidR="00F34554" w:rsidRPr="0086063B">
        <w:rPr>
          <w:b/>
          <w:bCs/>
          <w:sz w:val="22"/>
          <w:szCs w:val="22"/>
          <w:lang w:val="sr-Latn-ME"/>
        </w:rPr>
        <w:t>a</w:t>
      </w:r>
      <w:r w:rsidRPr="0086063B">
        <w:rPr>
          <w:b/>
          <w:bCs/>
          <w:sz w:val="22"/>
          <w:szCs w:val="22"/>
          <w:lang w:val="sr-Latn-ME"/>
        </w:rPr>
        <w:t xml:space="preserve"> i </w:t>
      </w:r>
      <w:r w:rsidR="000D3449" w:rsidRPr="0086063B">
        <w:rPr>
          <w:b/>
          <w:bCs/>
          <w:sz w:val="22"/>
          <w:szCs w:val="22"/>
          <w:lang w:val="sr-Latn-ME"/>
        </w:rPr>
        <w:t xml:space="preserve">rukovanje </w:t>
      </w:r>
      <w:r w:rsidRPr="0086063B">
        <w:rPr>
          <w:b/>
          <w:bCs/>
          <w:sz w:val="22"/>
          <w:szCs w:val="22"/>
          <w:lang w:val="sr-Latn-ME"/>
        </w:rPr>
        <w:t>mašinama</w:t>
      </w:r>
    </w:p>
    <w:p w14:paraId="7EC09B96" w14:textId="690D9C27" w:rsidR="0072020E" w:rsidRPr="0086063B" w:rsidRDefault="0072020E" w:rsidP="00186EFF">
      <w:pPr>
        <w:tabs>
          <w:tab w:val="left" w:pos="540"/>
          <w:tab w:val="left" w:pos="569"/>
        </w:tabs>
        <w:jc w:val="both"/>
        <w:rPr>
          <w:b/>
          <w:bCs/>
          <w:sz w:val="22"/>
          <w:szCs w:val="22"/>
          <w:lang w:val="sr-Latn-ME"/>
        </w:rPr>
      </w:pPr>
    </w:p>
    <w:p w14:paraId="26BCDAC2" w14:textId="77777777" w:rsidR="008F7D68" w:rsidRPr="0086063B" w:rsidRDefault="008F7D68" w:rsidP="00186EFF">
      <w:pPr>
        <w:tabs>
          <w:tab w:val="left" w:pos="284"/>
        </w:tabs>
        <w:jc w:val="both"/>
        <w:rPr>
          <w:sz w:val="22"/>
          <w:szCs w:val="22"/>
          <w:lang w:val="sr-Latn-ME"/>
        </w:rPr>
      </w:pPr>
      <w:r w:rsidRPr="0086063B">
        <w:rPr>
          <w:sz w:val="22"/>
          <w:szCs w:val="22"/>
          <w:lang w:val="sr-Latn-ME"/>
        </w:rPr>
        <w:t>Uticaj ovog lijeka na psihofizičke sposobnosti prilikom upravljanja motornim vozilima i rukovanja</w:t>
      </w:r>
    </w:p>
    <w:p w14:paraId="3621073D" w14:textId="77777777" w:rsidR="008F7D68" w:rsidRPr="0086063B" w:rsidRDefault="008F7D68" w:rsidP="00186EFF">
      <w:pPr>
        <w:tabs>
          <w:tab w:val="left" w:pos="540"/>
          <w:tab w:val="left" w:pos="569"/>
        </w:tabs>
        <w:jc w:val="both"/>
        <w:rPr>
          <w:sz w:val="22"/>
          <w:szCs w:val="22"/>
          <w:lang w:val="sr-Latn-ME"/>
        </w:rPr>
      </w:pPr>
      <w:r w:rsidRPr="0086063B">
        <w:rPr>
          <w:sz w:val="22"/>
          <w:szCs w:val="22"/>
          <w:lang w:val="sr-Latn-ME"/>
        </w:rPr>
        <w:t>mašinama, nije ispitivan.</w:t>
      </w:r>
    </w:p>
    <w:p w14:paraId="4A2C7622" w14:textId="77777777" w:rsidR="008F7D68" w:rsidRPr="0086063B" w:rsidRDefault="008F7D68" w:rsidP="00186EFF">
      <w:pPr>
        <w:tabs>
          <w:tab w:val="left" w:pos="540"/>
          <w:tab w:val="left" w:pos="569"/>
        </w:tabs>
        <w:jc w:val="both"/>
        <w:rPr>
          <w:b/>
          <w:bCs/>
          <w:sz w:val="22"/>
          <w:szCs w:val="22"/>
          <w:lang w:val="sr-Latn-ME"/>
        </w:rPr>
      </w:pPr>
    </w:p>
    <w:p w14:paraId="3E1DBC95"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4.8. </w:t>
      </w:r>
      <w:r w:rsidR="00480FB1" w:rsidRPr="0086063B">
        <w:rPr>
          <w:b/>
          <w:bCs/>
          <w:sz w:val="22"/>
          <w:szCs w:val="22"/>
          <w:lang w:val="sr-Latn-ME"/>
        </w:rPr>
        <w:tab/>
      </w:r>
      <w:r w:rsidRPr="0086063B">
        <w:rPr>
          <w:b/>
          <w:bCs/>
          <w:sz w:val="22"/>
          <w:szCs w:val="22"/>
          <w:lang w:val="sr-Latn-ME"/>
        </w:rPr>
        <w:t>Neželjena dejstva</w:t>
      </w:r>
    </w:p>
    <w:p w14:paraId="17826D2E" w14:textId="77777777" w:rsidR="002F0D1C" w:rsidRPr="0086063B" w:rsidRDefault="002F0D1C" w:rsidP="00186EFF">
      <w:pPr>
        <w:tabs>
          <w:tab w:val="left" w:pos="284"/>
        </w:tabs>
        <w:jc w:val="both"/>
        <w:rPr>
          <w:sz w:val="22"/>
          <w:szCs w:val="22"/>
          <w:lang w:val="sr-Latn-ME"/>
        </w:rPr>
      </w:pPr>
    </w:p>
    <w:p w14:paraId="7ADBC1E5" w14:textId="243B6B4E" w:rsidR="008F7D68" w:rsidRPr="0086063B" w:rsidRDefault="008F7D68" w:rsidP="00186EFF">
      <w:pPr>
        <w:tabs>
          <w:tab w:val="left" w:pos="284"/>
        </w:tabs>
        <w:jc w:val="both"/>
        <w:rPr>
          <w:sz w:val="22"/>
          <w:szCs w:val="22"/>
          <w:lang w:val="sr-Latn-ME"/>
        </w:rPr>
      </w:pPr>
      <w:r w:rsidRPr="0086063B">
        <w:rPr>
          <w:sz w:val="22"/>
          <w:szCs w:val="22"/>
          <w:lang w:val="sr-Latn-ME"/>
        </w:rPr>
        <w:t xml:space="preserve">Prijavljene su reakcije preosjetljivosti (anafilaksa i neželjena dejstva koja mogu biti posredovana histaminom) (vidjeti </w:t>
      </w:r>
      <w:r w:rsidR="00E2457A" w:rsidRPr="0086063B">
        <w:rPr>
          <w:sz w:val="22"/>
          <w:szCs w:val="22"/>
          <w:lang w:val="sr-Latn-ME"/>
        </w:rPr>
        <w:t>dio</w:t>
      </w:r>
      <w:r w:rsidRPr="0086063B">
        <w:rPr>
          <w:sz w:val="22"/>
          <w:szCs w:val="22"/>
          <w:lang w:val="sr-Latn-ME"/>
        </w:rPr>
        <w:t xml:space="preserve"> 4.4).</w:t>
      </w:r>
    </w:p>
    <w:p w14:paraId="5BAA61BB" w14:textId="77777777" w:rsidR="008F7D68" w:rsidRPr="0086063B" w:rsidRDefault="008F7D68" w:rsidP="00186EFF">
      <w:pPr>
        <w:tabs>
          <w:tab w:val="left" w:pos="284"/>
        </w:tabs>
        <w:jc w:val="both"/>
        <w:rPr>
          <w:sz w:val="22"/>
          <w:szCs w:val="22"/>
          <w:lang w:val="sr-Latn-ME"/>
        </w:rPr>
      </w:pPr>
    </w:p>
    <w:p w14:paraId="3274205F" w14:textId="77777777" w:rsidR="008F7D68" w:rsidRPr="0086063B" w:rsidRDefault="008F7D68" w:rsidP="00186EFF">
      <w:pPr>
        <w:tabs>
          <w:tab w:val="left" w:pos="284"/>
        </w:tabs>
        <w:jc w:val="both"/>
        <w:rPr>
          <w:sz w:val="22"/>
          <w:szCs w:val="22"/>
          <w:lang w:val="sr-Latn-ME"/>
        </w:rPr>
      </w:pPr>
      <w:r w:rsidRPr="0086063B">
        <w:rPr>
          <w:sz w:val="22"/>
          <w:szCs w:val="22"/>
          <w:lang w:val="sr-Latn-ME"/>
        </w:rPr>
        <w:t>Kod pacijenata sa invazivnom aspergilozom bili su prijavljeni i plućni edem, akutni respiratorni distres sindrom kod odraslih (ARDS) i radiografski vidljivi infiltrati.</w:t>
      </w:r>
    </w:p>
    <w:p w14:paraId="2C0AA365" w14:textId="77777777" w:rsidR="008F7D68" w:rsidRPr="0086063B" w:rsidRDefault="008F7D68" w:rsidP="00186EFF">
      <w:pPr>
        <w:tabs>
          <w:tab w:val="left" w:pos="284"/>
        </w:tabs>
        <w:jc w:val="both"/>
        <w:rPr>
          <w:sz w:val="22"/>
          <w:szCs w:val="22"/>
          <w:lang w:val="sr-Latn-ME"/>
        </w:rPr>
      </w:pPr>
    </w:p>
    <w:p w14:paraId="2F2B2D17" w14:textId="77777777" w:rsidR="008F7D68" w:rsidRPr="0086063B" w:rsidRDefault="008F7D68" w:rsidP="00186EFF">
      <w:pPr>
        <w:tabs>
          <w:tab w:val="left" w:pos="284"/>
        </w:tabs>
        <w:jc w:val="both"/>
        <w:rPr>
          <w:i/>
          <w:iCs/>
          <w:sz w:val="22"/>
          <w:szCs w:val="22"/>
          <w:u w:val="single"/>
          <w:lang w:val="sr-Latn-ME"/>
        </w:rPr>
      </w:pPr>
      <w:r w:rsidRPr="0086063B">
        <w:rPr>
          <w:i/>
          <w:iCs/>
          <w:sz w:val="22"/>
          <w:szCs w:val="22"/>
          <w:u w:val="single"/>
          <w:lang w:val="sr-Latn-ME"/>
        </w:rPr>
        <w:t>Odrasli pacijenti</w:t>
      </w:r>
    </w:p>
    <w:p w14:paraId="266D8534" w14:textId="0CD4D848" w:rsidR="008F7D68" w:rsidRPr="0086063B" w:rsidRDefault="008F7D68" w:rsidP="00186EFF">
      <w:pPr>
        <w:tabs>
          <w:tab w:val="left" w:pos="540"/>
          <w:tab w:val="left" w:pos="569"/>
        </w:tabs>
        <w:jc w:val="both"/>
        <w:rPr>
          <w:sz w:val="22"/>
          <w:szCs w:val="22"/>
          <w:lang w:val="sr-Latn-ME"/>
        </w:rPr>
      </w:pPr>
      <w:r w:rsidRPr="0086063B">
        <w:rPr>
          <w:sz w:val="22"/>
          <w:szCs w:val="22"/>
          <w:lang w:val="sr-Latn-ME"/>
        </w:rPr>
        <w:t>U kliničkim ispitivanjima 1865 odraslih osoba je primilo pojedinačnu ili više doza kaspofungina: 564 febrilna pacijenta sa neutropenijom (ispitivanje empirijskog liječenja), 382 pacijenta sa invazivnom kandidijazom, 228 pacijenata sa invazivnom aspergilozom, 297 pacijenata sa lokalizovan</w:t>
      </w:r>
      <w:r w:rsidR="00F43B2A" w:rsidRPr="0086063B">
        <w:rPr>
          <w:sz w:val="22"/>
          <w:szCs w:val="22"/>
          <w:lang w:val="sr-Latn-ME"/>
        </w:rPr>
        <w:t>i</w:t>
      </w:r>
      <w:r w:rsidRPr="0086063B">
        <w:rPr>
          <w:sz w:val="22"/>
          <w:szCs w:val="22"/>
          <w:lang w:val="sr-Latn-ME"/>
        </w:rPr>
        <w:t>m infekcij</w:t>
      </w:r>
      <w:r w:rsidR="00F43B2A" w:rsidRPr="0086063B">
        <w:rPr>
          <w:sz w:val="22"/>
          <w:szCs w:val="22"/>
          <w:lang w:val="sr-Latn-ME"/>
        </w:rPr>
        <w:t>a</w:t>
      </w:r>
      <w:r w:rsidRPr="0086063B">
        <w:rPr>
          <w:sz w:val="22"/>
          <w:szCs w:val="22"/>
          <w:lang w:val="sr-Latn-ME"/>
        </w:rPr>
        <w:t>m</w:t>
      </w:r>
      <w:r w:rsidR="00F43B2A" w:rsidRPr="0086063B">
        <w:rPr>
          <w:sz w:val="22"/>
          <w:szCs w:val="22"/>
          <w:lang w:val="sr-Latn-ME"/>
        </w:rPr>
        <w:t>a</w:t>
      </w:r>
      <w:r w:rsidRPr="0086063B">
        <w:rPr>
          <w:sz w:val="22"/>
          <w:szCs w:val="22"/>
          <w:lang w:val="sr-Latn-ME"/>
        </w:rPr>
        <w:t xml:space="preserve"> </w:t>
      </w:r>
      <w:r w:rsidRPr="0086063B">
        <w:rPr>
          <w:i/>
          <w:sz w:val="22"/>
          <w:szCs w:val="22"/>
          <w:lang w:val="sr-Latn-ME"/>
        </w:rPr>
        <w:t>Candidom</w:t>
      </w:r>
      <w:r w:rsidRPr="0086063B">
        <w:rPr>
          <w:sz w:val="22"/>
          <w:szCs w:val="22"/>
          <w:lang w:val="sr-Latn-ME"/>
        </w:rPr>
        <w:t xml:space="preserve"> i 394 pojedinca uključena u </w:t>
      </w:r>
      <w:r w:rsidR="00F43B2A" w:rsidRPr="0086063B">
        <w:rPr>
          <w:sz w:val="22"/>
          <w:szCs w:val="22"/>
          <w:lang w:val="sr-Latn-ME"/>
        </w:rPr>
        <w:t xml:space="preserve">fazu I </w:t>
      </w:r>
      <w:r w:rsidRPr="0086063B">
        <w:rPr>
          <w:sz w:val="22"/>
          <w:szCs w:val="22"/>
          <w:lang w:val="sr-Latn-ME"/>
        </w:rPr>
        <w:t>ispitivanja. U kliničkom ispitivanju empirijskog liječenja pacijenti su primali hemoterapiju zbog maligne bolesti ili im je urađena transplantacija matičnih ćelija hematopoeze (uključujući 39 alogenih transplantacija). U kliničkim ispitivanjima u koj</w:t>
      </w:r>
      <w:r w:rsidR="00EB09CA" w:rsidRPr="0086063B">
        <w:rPr>
          <w:sz w:val="22"/>
          <w:szCs w:val="22"/>
          <w:lang w:val="sr-Latn-ME"/>
        </w:rPr>
        <w:t>ima</w:t>
      </w:r>
      <w:r w:rsidR="00174F9A" w:rsidRPr="0086063B">
        <w:rPr>
          <w:sz w:val="22"/>
          <w:szCs w:val="22"/>
          <w:lang w:val="sr-Latn-ME"/>
        </w:rPr>
        <w:t xml:space="preserve"> </w:t>
      </w:r>
      <w:r w:rsidRPr="0086063B">
        <w:rPr>
          <w:sz w:val="22"/>
          <w:szCs w:val="22"/>
          <w:lang w:val="sr-Latn-ME"/>
        </w:rPr>
        <w:t xml:space="preserve">su uključeni pacijenti sa potvrđenom infekcijom uzrokovanom rodom </w:t>
      </w:r>
      <w:r w:rsidRPr="0086063B">
        <w:rPr>
          <w:i/>
          <w:sz w:val="22"/>
          <w:szCs w:val="22"/>
          <w:lang w:val="sr-Latn-ME"/>
        </w:rPr>
        <w:t>Candida</w:t>
      </w:r>
      <w:r w:rsidRPr="0086063B">
        <w:rPr>
          <w:sz w:val="22"/>
          <w:szCs w:val="22"/>
          <w:lang w:val="sr-Latn-ME"/>
        </w:rPr>
        <w:t xml:space="preserve">, kod većine pacijenata sa invazivnom infekcijom rodom </w:t>
      </w:r>
      <w:r w:rsidRPr="0086063B">
        <w:rPr>
          <w:i/>
          <w:sz w:val="22"/>
          <w:szCs w:val="22"/>
          <w:lang w:val="sr-Latn-ME"/>
        </w:rPr>
        <w:t>Candida</w:t>
      </w:r>
      <w:r w:rsidRPr="0086063B">
        <w:rPr>
          <w:sz w:val="22"/>
          <w:szCs w:val="22"/>
          <w:lang w:val="sr-Latn-ME"/>
        </w:rPr>
        <w:t xml:space="preserve"> postojalo je neko teško osnovno oboljenje (na primjer hematološka ili neka druga maligna bolest, nedavni veliki hirurški zahvat, HIV infekcija) zbog koga su pacijenti morali da istovremeno uzimaju više ljekova. Pacijenti sa infekcijama rodom </w:t>
      </w:r>
      <w:r w:rsidRPr="0086063B">
        <w:rPr>
          <w:i/>
          <w:sz w:val="22"/>
          <w:szCs w:val="22"/>
          <w:lang w:val="sr-Latn-ME"/>
        </w:rPr>
        <w:t>Aspergillus</w:t>
      </w:r>
      <w:r w:rsidRPr="0086063B">
        <w:rPr>
          <w:sz w:val="22"/>
          <w:szCs w:val="22"/>
          <w:lang w:val="sr-Latn-ME"/>
        </w:rPr>
        <w:t xml:space="preserve"> uključeni u istraživanje koje nije bilo poredbeno često su imali ozbiljno predisponirajuće stanje (na primjer presađivanje koštane srži ili transplantaciju perifernih matičnih ćelija, hematološke maligne bolesti, solidne tumore ili presađivanje organa) zbog čega su morali da primaju više ljekova istovremeno.</w:t>
      </w:r>
    </w:p>
    <w:p w14:paraId="529BD80F" w14:textId="77777777" w:rsidR="008F7D68" w:rsidRPr="0086063B" w:rsidRDefault="008F7D68" w:rsidP="00186EFF">
      <w:pPr>
        <w:tabs>
          <w:tab w:val="left" w:pos="540"/>
          <w:tab w:val="left" w:pos="569"/>
        </w:tabs>
        <w:jc w:val="both"/>
        <w:rPr>
          <w:sz w:val="22"/>
          <w:szCs w:val="22"/>
          <w:lang w:val="sr-Latn-ME"/>
        </w:rPr>
      </w:pPr>
    </w:p>
    <w:p w14:paraId="3FBC8BD2" w14:textId="5C79EF30" w:rsidR="008F7D68" w:rsidRPr="0086063B" w:rsidRDefault="008F7D68" w:rsidP="00186EFF">
      <w:pPr>
        <w:tabs>
          <w:tab w:val="left" w:pos="540"/>
          <w:tab w:val="left" w:pos="569"/>
        </w:tabs>
        <w:jc w:val="both"/>
        <w:rPr>
          <w:sz w:val="22"/>
          <w:szCs w:val="22"/>
          <w:lang w:val="sr-Latn-ME"/>
        </w:rPr>
      </w:pPr>
      <w:r w:rsidRPr="0086063B">
        <w:rPr>
          <w:sz w:val="22"/>
          <w:szCs w:val="22"/>
          <w:lang w:val="sr-Latn-ME"/>
        </w:rPr>
        <w:lastRenderedPageBreak/>
        <w:t xml:space="preserve">Jedno od čestih neželjenih </w:t>
      </w:r>
      <w:r w:rsidR="00F43B2A" w:rsidRPr="0086063B">
        <w:rPr>
          <w:sz w:val="22"/>
          <w:szCs w:val="22"/>
          <w:lang w:val="sr-Latn-ME"/>
        </w:rPr>
        <w:t>dejstava</w:t>
      </w:r>
      <w:r w:rsidRPr="0086063B">
        <w:rPr>
          <w:sz w:val="22"/>
          <w:szCs w:val="22"/>
          <w:lang w:val="sr-Latn-ME"/>
        </w:rPr>
        <w:t xml:space="preserve"> koje je prijavljeno u svim populacijama pacijenata bilo je flebitis</w:t>
      </w:r>
      <w:r w:rsidR="00F43B2A" w:rsidRPr="0086063B">
        <w:rPr>
          <w:sz w:val="22"/>
          <w:szCs w:val="22"/>
          <w:lang w:val="sr-Latn-ME"/>
        </w:rPr>
        <w:t xml:space="preserve">, </w:t>
      </w:r>
      <w:r w:rsidRPr="0086063B">
        <w:rPr>
          <w:sz w:val="22"/>
          <w:szCs w:val="22"/>
          <w:lang w:val="sr-Latn-ME"/>
        </w:rPr>
        <w:t xml:space="preserve"> na mestu davanja injekcije. Ostale lokalne neželjene reakcije bile su eritem, bol/osjetljivost, svrab, iscjedak i osjećaj pečenja.</w:t>
      </w:r>
    </w:p>
    <w:p w14:paraId="3F4CBEFF" w14:textId="77777777" w:rsidR="008F7D68" w:rsidRPr="0086063B" w:rsidRDefault="008F7D68" w:rsidP="00186EFF">
      <w:pPr>
        <w:tabs>
          <w:tab w:val="left" w:pos="540"/>
          <w:tab w:val="left" w:pos="569"/>
        </w:tabs>
        <w:jc w:val="both"/>
        <w:rPr>
          <w:sz w:val="22"/>
          <w:szCs w:val="22"/>
          <w:lang w:val="sr-Latn-ME"/>
        </w:rPr>
      </w:pPr>
    </w:p>
    <w:p w14:paraId="7E480FF4" w14:textId="77777777" w:rsidR="008F7D68" w:rsidRPr="0086063B" w:rsidRDefault="008F7D68" w:rsidP="00186EFF">
      <w:pPr>
        <w:tabs>
          <w:tab w:val="left" w:pos="540"/>
          <w:tab w:val="left" w:pos="569"/>
        </w:tabs>
        <w:jc w:val="both"/>
        <w:rPr>
          <w:sz w:val="22"/>
          <w:szCs w:val="22"/>
          <w:lang w:val="sr-Latn-ME"/>
        </w:rPr>
      </w:pPr>
      <w:r w:rsidRPr="0086063B">
        <w:rPr>
          <w:sz w:val="22"/>
          <w:szCs w:val="22"/>
          <w:lang w:val="sr-Latn-ME"/>
        </w:rPr>
        <w:t>Prijavljene kliničke i laboratorijske abnormalnosti kod svih odraslih koji su primali kaspofungin (ukupno njih 1780) po pravilu su bile blage i zbog njih je rijetko bilo potrebno da se prekine sa uzimanjem lijeka.</w:t>
      </w:r>
    </w:p>
    <w:p w14:paraId="2D99033F" w14:textId="77777777" w:rsidR="008F7D68" w:rsidRPr="0086063B" w:rsidRDefault="008F7D68" w:rsidP="00186EFF">
      <w:pPr>
        <w:tabs>
          <w:tab w:val="left" w:pos="540"/>
          <w:tab w:val="left" w:pos="569"/>
        </w:tabs>
        <w:jc w:val="both"/>
        <w:rPr>
          <w:sz w:val="22"/>
          <w:szCs w:val="22"/>
          <w:lang w:val="sr-Latn-ME"/>
        </w:rPr>
      </w:pPr>
    </w:p>
    <w:p w14:paraId="621E4840" w14:textId="77777777" w:rsidR="008F7D68" w:rsidRPr="0086063B" w:rsidRDefault="008F7D68" w:rsidP="00186EFF">
      <w:pPr>
        <w:tabs>
          <w:tab w:val="left" w:pos="284"/>
        </w:tabs>
        <w:jc w:val="both"/>
        <w:rPr>
          <w:sz w:val="22"/>
          <w:szCs w:val="22"/>
          <w:u w:val="single"/>
          <w:lang w:val="sr-Latn-ME"/>
        </w:rPr>
      </w:pPr>
      <w:r w:rsidRPr="0086063B">
        <w:rPr>
          <w:sz w:val="22"/>
          <w:szCs w:val="22"/>
          <w:u w:val="single"/>
          <w:lang w:val="sr-Latn-ME"/>
        </w:rPr>
        <w:t>Tabelarni prikaz neželjenih dejstava</w:t>
      </w:r>
    </w:p>
    <w:p w14:paraId="3EC69A37" w14:textId="77777777" w:rsidR="008F7D68" w:rsidRPr="0086063B" w:rsidRDefault="008F7D68" w:rsidP="00186EFF">
      <w:pPr>
        <w:tabs>
          <w:tab w:val="left" w:pos="284"/>
        </w:tabs>
        <w:jc w:val="both"/>
        <w:rPr>
          <w:i/>
          <w:iCs/>
          <w:sz w:val="22"/>
          <w:szCs w:val="22"/>
          <w:u w:val="single"/>
          <w:lang w:val="sr-Latn-ME"/>
        </w:rPr>
      </w:pPr>
    </w:p>
    <w:p w14:paraId="6416F716" w14:textId="02833EAF" w:rsidR="008F7D68" w:rsidRPr="0086063B" w:rsidRDefault="008F7D68" w:rsidP="00186EFF">
      <w:pPr>
        <w:tabs>
          <w:tab w:val="left" w:pos="284"/>
        </w:tabs>
        <w:jc w:val="both"/>
        <w:rPr>
          <w:iCs/>
          <w:sz w:val="22"/>
          <w:szCs w:val="22"/>
          <w:lang w:val="sr-Latn-ME"/>
        </w:rPr>
      </w:pPr>
      <w:r w:rsidRPr="0086063B">
        <w:rPr>
          <w:iCs/>
          <w:sz w:val="22"/>
          <w:szCs w:val="22"/>
          <w:lang w:val="sr-Latn-ME"/>
        </w:rPr>
        <w:t>Sl</w:t>
      </w:r>
      <w:r w:rsidR="00F43B2A" w:rsidRPr="0086063B">
        <w:rPr>
          <w:iCs/>
          <w:sz w:val="22"/>
          <w:szCs w:val="22"/>
          <w:lang w:val="sr-Latn-ME"/>
        </w:rPr>
        <w:t>j</w:t>
      </w:r>
      <w:r w:rsidRPr="0086063B">
        <w:rPr>
          <w:iCs/>
          <w:sz w:val="22"/>
          <w:szCs w:val="22"/>
          <w:lang w:val="sr-Latn-ME"/>
        </w:rPr>
        <w:t>edeća neželjena dejstva prijavljena su tokom kliničkih ispitivanja i/ili nakon stavljanja lijeka u promet:</w:t>
      </w:r>
    </w:p>
    <w:p w14:paraId="6011EF4A" w14:textId="77777777" w:rsidR="008F7D68" w:rsidRPr="0086063B" w:rsidRDefault="008F7D68" w:rsidP="00186EFF">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489"/>
        <w:gridCol w:w="2489"/>
        <w:gridCol w:w="2490"/>
      </w:tblGrid>
      <w:tr w:rsidR="008F7D68" w:rsidRPr="0086063B" w14:paraId="69E40E37" w14:textId="77777777" w:rsidTr="008F7D68">
        <w:tc>
          <w:tcPr>
            <w:tcW w:w="2489" w:type="dxa"/>
            <w:shd w:val="clear" w:color="auto" w:fill="auto"/>
          </w:tcPr>
          <w:p w14:paraId="2B15E418" w14:textId="77777777" w:rsidR="008F7D68" w:rsidRPr="0086063B" w:rsidRDefault="008F7D68" w:rsidP="00186EFF">
            <w:pPr>
              <w:tabs>
                <w:tab w:val="left" w:pos="284"/>
              </w:tabs>
              <w:jc w:val="both"/>
              <w:rPr>
                <w:sz w:val="22"/>
                <w:szCs w:val="22"/>
                <w:lang w:val="sr-Latn-ME"/>
              </w:rPr>
            </w:pPr>
            <w:r w:rsidRPr="0086063B">
              <w:rPr>
                <w:b/>
                <w:bCs/>
                <w:i/>
                <w:iCs/>
                <w:sz w:val="22"/>
                <w:szCs w:val="22"/>
                <w:lang w:val="sr-Latn-ME"/>
              </w:rPr>
              <w:t>Klasifikacija sistema organa</w:t>
            </w:r>
          </w:p>
        </w:tc>
        <w:tc>
          <w:tcPr>
            <w:tcW w:w="2489" w:type="dxa"/>
            <w:shd w:val="clear" w:color="auto" w:fill="auto"/>
          </w:tcPr>
          <w:p w14:paraId="01DC2A04" w14:textId="77777777" w:rsidR="008F7D68" w:rsidRPr="0086063B" w:rsidRDefault="008F7D68" w:rsidP="00186EFF">
            <w:pPr>
              <w:tabs>
                <w:tab w:val="left" w:pos="284"/>
              </w:tabs>
              <w:jc w:val="both"/>
              <w:rPr>
                <w:b/>
                <w:sz w:val="22"/>
                <w:szCs w:val="22"/>
                <w:lang w:val="sr-Latn-ME"/>
              </w:rPr>
            </w:pPr>
            <w:r w:rsidRPr="0086063B">
              <w:rPr>
                <w:b/>
                <w:i/>
                <w:sz w:val="22"/>
                <w:szCs w:val="22"/>
                <w:lang w:val="sr-Latn-ME"/>
              </w:rPr>
              <w:t>Česta (</w:t>
            </w:r>
            <w:r w:rsidRPr="0086063B">
              <w:rPr>
                <w:b/>
                <w:i/>
                <w:sz w:val="22"/>
                <w:szCs w:val="22"/>
                <w:lang w:val="sr-Latn-ME"/>
              </w:rPr>
              <w:sym w:font="Symbol" w:char="F0B3"/>
            </w:r>
            <w:r w:rsidRPr="0086063B">
              <w:rPr>
                <w:b/>
                <w:i/>
                <w:sz w:val="22"/>
                <w:szCs w:val="22"/>
                <w:lang w:val="sr-Latn-ME"/>
              </w:rPr>
              <w:t xml:space="preserve"> 1/100 i </w:t>
            </w:r>
            <w:r w:rsidRPr="0086063B">
              <w:rPr>
                <w:b/>
                <w:i/>
                <w:sz w:val="22"/>
                <w:szCs w:val="22"/>
                <w:lang w:val="sr-Latn-ME"/>
              </w:rPr>
              <w:sym w:font="Symbol" w:char="F03C"/>
            </w:r>
            <w:r w:rsidRPr="0086063B">
              <w:rPr>
                <w:b/>
                <w:i/>
                <w:sz w:val="22"/>
                <w:szCs w:val="22"/>
                <w:lang w:val="sr-Latn-ME"/>
              </w:rPr>
              <w:t xml:space="preserve"> 1/10)</w:t>
            </w:r>
          </w:p>
        </w:tc>
        <w:tc>
          <w:tcPr>
            <w:tcW w:w="2489" w:type="dxa"/>
            <w:shd w:val="clear" w:color="auto" w:fill="auto"/>
          </w:tcPr>
          <w:p w14:paraId="76447EE4" w14:textId="77777777" w:rsidR="008F7D68" w:rsidRPr="0086063B" w:rsidRDefault="008F7D68" w:rsidP="00186EFF">
            <w:pPr>
              <w:tabs>
                <w:tab w:val="left" w:pos="284"/>
              </w:tabs>
              <w:jc w:val="both"/>
              <w:rPr>
                <w:b/>
                <w:i/>
                <w:sz w:val="22"/>
                <w:szCs w:val="22"/>
                <w:lang w:val="sr-Latn-ME"/>
              </w:rPr>
            </w:pPr>
            <w:r w:rsidRPr="0086063B">
              <w:rPr>
                <w:b/>
                <w:i/>
                <w:sz w:val="22"/>
                <w:szCs w:val="22"/>
                <w:lang w:val="sr-Latn-ME"/>
              </w:rPr>
              <w:t xml:space="preserve">Povremena(&gt;1/1000 i </w:t>
            </w:r>
            <w:r w:rsidRPr="0086063B">
              <w:rPr>
                <w:b/>
                <w:i/>
                <w:sz w:val="22"/>
                <w:szCs w:val="22"/>
                <w:lang w:val="sr-Latn-ME"/>
              </w:rPr>
              <w:sym w:font="Symbol" w:char="F03C"/>
            </w:r>
            <w:r w:rsidRPr="0086063B">
              <w:rPr>
                <w:b/>
                <w:i/>
                <w:sz w:val="22"/>
                <w:szCs w:val="22"/>
                <w:lang w:val="sr-Latn-ME"/>
              </w:rPr>
              <w:t xml:space="preserve"> 1/100)</w:t>
            </w:r>
          </w:p>
        </w:tc>
        <w:tc>
          <w:tcPr>
            <w:tcW w:w="2490" w:type="dxa"/>
            <w:shd w:val="clear" w:color="auto" w:fill="auto"/>
          </w:tcPr>
          <w:p w14:paraId="3CC4EDD0" w14:textId="3AE4DDF0" w:rsidR="008F7D68" w:rsidRPr="0086063B" w:rsidRDefault="008F7D68" w:rsidP="00186EFF">
            <w:pPr>
              <w:tabs>
                <w:tab w:val="left" w:pos="284"/>
              </w:tabs>
              <w:jc w:val="both"/>
              <w:rPr>
                <w:sz w:val="22"/>
                <w:szCs w:val="22"/>
                <w:lang w:val="sr-Latn-ME"/>
              </w:rPr>
            </w:pPr>
            <w:r w:rsidRPr="0086063B">
              <w:rPr>
                <w:b/>
                <w:bCs/>
                <w:i/>
                <w:iCs/>
                <w:sz w:val="22"/>
                <w:szCs w:val="22"/>
                <w:lang w:val="sr-Latn-ME"/>
              </w:rPr>
              <w:t>Nepoznata(ne može da se proc</w:t>
            </w:r>
            <w:r w:rsidR="002602F9" w:rsidRPr="0086063B">
              <w:rPr>
                <w:b/>
                <w:bCs/>
                <w:i/>
                <w:iCs/>
                <w:sz w:val="22"/>
                <w:szCs w:val="22"/>
                <w:lang w:val="sr-Latn-ME"/>
              </w:rPr>
              <w:t>ij</w:t>
            </w:r>
            <w:r w:rsidRPr="0086063B">
              <w:rPr>
                <w:b/>
                <w:bCs/>
                <w:i/>
                <w:iCs/>
                <w:sz w:val="22"/>
                <w:szCs w:val="22"/>
                <w:lang w:val="sr-Latn-ME"/>
              </w:rPr>
              <w:t>eni iz dostupnih podataka)</w:t>
            </w:r>
          </w:p>
        </w:tc>
      </w:tr>
      <w:tr w:rsidR="008F7D68" w:rsidRPr="0086063B" w14:paraId="651ADF38" w14:textId="77777777" w:rsidTr="00186EFF">
        <w:tc>
          <w:tcPr>
            <w:tcW w:w="2489" w:type="dxa"/>
            <w:shd w:val="clear" w:color="auto" w:fill="auto"/>
          </w:tcPr>
          <w:p w14:paraId="6D024306" w14:textId="77777777" w:rsidR="008F7D68" w:rsidRPr="0086063B" w:rsidRDefault="008F7D68" w:rsidP="00186EFF">
            <w:pPr>
              <w:tabs>
                <w:tab w:val="left" w:pos="284"/>
              </w:tabs>
              <w:jc w:val="both"/>
              <w:rPr>
                <w:b/>
                <w:i/>
                <w:sz w:val="22"/>
                <w:szCs w:val="22"/>
                <w:lang w:val="sr-Latn-ME"/>
              </w:rPr>
            </w:pPr>
            <w:r w:rsidRPr="0086063B">
              <w:rPr>
                <w:b/>
                <w:i/>
                <w:sz w:val="22"/>
                <w:szCs w:val="22"/>
                <w:lang w:val="sr-Latn-ME"/>
              </w:rPr>
              <w:t>Poremećaji na nivou krvi i limfnog sistema</w:t>
            </w:r>
          </w:p>
          <w:p w14:paraId="0AD21E5E" w14:textId="77777777" w:rsidR="008F7D68" w:rsidRPr="0086063B" w:rsidRDefault="008F7D68" w:rsidP="00186EFF">
            <w:pPr>
              <w:tabs>
                <w:tab w:val="left" w:pos="284"/>
              </w:tabs>
              <w:jc w:val="both"/>
              <w:rPr>
                <w:sz w:val="22"/>
                <w:szCs w:val="22"/>
                <w:lang w:val="sr-Latn-ME"/>
              </w:rPr>
            </w:pPr>
          </w:p>
        </w:tc>
        <w:tc>
          <w:tcPr>
            <w:tcW w:w="2489" w:type="dxa"/>
            <w:shd w:val="clear" w:color="auto" w:fill="auto"/>
          </w:tcPr>
          <w:p w14:paraId="39E39FE4" w14:textId="77777777" w:rsidR="008F7D68" w:rsidRPr="0086063B" w:rsidRDefault="008F7D68" w:rsidP="00186EFF">
            <w:pPr>
              <w:tabs>
                <w:tab w:val="left" w:pos="284"/>
              </w:tabs>
              <w:jc w:val="both"/>
              <w:rPr>
                <w:sz w:val="22"/>
                <w:szCs w:val="22"/>
                <w:lang w:val="sr-Latn-ME"/>
              </w:rPr>
            </w:pPr>
            <w:r w:rsidRPr="0086063B">
              <w:rPr>
                <w:sz w:val="22"/>
                <w:szCs w:val="22"/>
                <w:lang w:val="sr-Latn-ME"/>
              </w:rPr>
              <w:t>smanjenje hemoglobina, smanjenje hematokrita, smanjenje broja leukocita</w:t>
            </w:r>
          </w:p>
        </w:tc>
        <w:tc>
          <w:tcPr>
            <w:tcW w:w="2489" w:type="dxa"/>
            <w:shd w:val="clear" w:color="auto" w:fill="auto"/>
            <w:vAlign w:val="center"/>
          </w:tcPr>
          <w:p w14:paraId="6C79B9F4" w14:textId="77777777" w:rsidR="008F7D68" w:rsidRPr="0086063B" w:rsidRDefault="008F7D68" w:rsidP="002C5194">
            <w:pPr>
              <w:tabs>
                <w:tab w:val="left" w:pos="284"/>
              </w:tabs>
              <w:rPr>
                <w:sz w:val="22"/>
                <w:szCs w:val="22"/>
                <w:lang w:val="sr-Latn-ME"/>
              </w:rPr>
            </w:pPr>
            <w:r w:rsidRPr="0086063B">
              <w:rPr>
                <w:sz w:val="22"/>
                <w:szCs w:val="22"/>
                <w:lang w:val="sr-Latn-ME"/>
              </w:rPr>
              <w:t>anemija, trombocitopenija, koagulopatija, leukopenija, povećanje broja eozinofila, smanjenje broja trombocita, povećanje broja trombocita, smanjenje broja limfocita, povećanje broja leukocita, smanjenje broja neutrofila</w:t>
            </w:r>
          </w:p>
        </w:tc>
        <w:tc>
          <w:tcPr>
            <w:tcW w:w="2490" w:type="dxa"/>
            <w:shd w:val="clear" w:color="auto" w:fill="auto"/>
          </w:tcPr>
          <w:p w14:paraId="14DFB476" w14:textId="77777777" w:rsidR="008F7D68" w:rsidRPr="0086063B" w:rsidRDefault="008F7D68" w:rsidP="00186EFF">
            <w:pPr>
              <w:tabs>
                <w:tab w:val="left" w:pos="284"/>
              </w:tabs>
              <w:jc w:val="both"/>
              <w:rPr>
                <w:sz w:val="22"/>
                <w:szCs w:val="22"/>
                <w:lang w:val="sr-Latn-ME"/>
              </w:rPr>
            </w:pPr>
          </w:p>
        </w:tc>
      </w:tr>
      <w:tr w:rsidR="008F7D68" w:rsidRPr="0086063B" w14:paraId="04ABDD19" w14:textId="77777777" w:rsidTr="00186EFF">
        <w:tc>
          <w:tcPr>
            <w:tcW w:w="2489" w:type="dxa"/>
            <w:shd w:val="clear" w:color="auto" w:fill="auto"/>
          </w:tcPr>
          <w:p w14:paraId="52F244B4" w14:textId="77777777" w:rsidR="008F7D68" w:rsidRPr="0086063B" w:rsidRDefault="008F7D68" w:rsidP="00186EFF">
            <w:pPr>
              <w:tabs>
                <w:tab w:val="left" w:pos="284"/>
              </w:tabs>
              <w:jc w:val="both"/>
              <w:rPr>
                <w:b/>
                <w:i/>
                <w:sz w:val="22"/>
                <w:szCs w:val="22"/>
                <w:lang w:val="sr-Latn-ME"/>
              </w:rPr>
            </w:pPr>
            <w:r w:rsidRPr="0086063B">
              <w:rPr>
                <w:b/>
                <w:i/>
                <w:sz w:val="22"/>
                <w:szCs w:val="22"/>
                <w:lang w:val="sr-Latn-ME"/>
              </w:rPr>
              <w:t>Poremećaji metabolizma i ishrane</w:t>
            </w:r>
          </w:p>
          <w:p w14:paraId="334293AB" w14:textId="77777777" w:rsidR="008F7D68" w:rsidRPr="0086063B" w:rsidRDefault="008F7D68" w:rsidP="00186EFF">
            <w:pPr>
              <w:tabs>
                <w:tab w:val="left" w:pos="284"/>
              </w:tabs>
              <w:jc w:val="both"/>
              <w:rPr>
                <w:b/>
                <w:i/>
                <w:sz w:val="22"/>
                <w:szCs w:val="22"/>
                <w:lang w:val="sr-Latn-ME"/>
              </w:rPr>
            </w:pPr>
          </w:p>
        </w:tc>
        <w:tc>
          <w:tcPr>
            <w:tcW w:w="2489" w:type="dxa"/>
            <w:shd w:val="clear" w:color="auto" w:fill="auto"/>
          </w:tcPr>
          <w:p w14:paraId="1C27DEA4" w14:textId="77777777" w:rsidR="008F7D68" w:rsidRPr="0086063B" w:rsidRDefault="008F7D68" w:rsidP="00186EFF">
            <w:pPr>
              <w:tabs>
                <w:tab w:val="left" w:pos="284"/>
              </w:tabs>
              <w:jc w:val="both"/>
              <w:rPr>
                <w:sz w:val="22"/>
                <w:szCs w:val="22"/>
                <w:lang w:val="sr-Latn-ME"/>
              </w:rPr>
            </w:pPr>
            <w:r w:rsidRPr="0086063B">
              <w:rPr>
                <w:sz w:val="22"/>
                <w:szCs w:val="22"/>
                <w:lang w:val="sr-Latn-ME"/>
              </w:rPr>
              <w:t>hipokalijemija</w:t>
            </w:r>
          </w:p>
          <w:p w14:paraId="4094F30C"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2D3CF96A" w14:textId="77777777" w:rsidR="008F7D68" w:rsidRPr="0086063B" w:rsidRDefault="008F7D68" w:rsidP="002C5194">
            <w:pPr>
              <w:tabs>
                <w:tab w:val="left" w:pos="284"/>
              </w:tabs>
              <w:rPr>
                <w:sz w:val="22"/>
                <w:szCs w:val="22"/>
                <w:lang w:val="sr-Latn-ME"/>
              </w:rPr>
            </w:pPr>
            <w:r w:rsidRPr="0086063B">
              <w:rPr>
                <w:sz w:val="22"/>
                <w:szCs w:val="22"/>
                <w:lang w:val="sr-Latn-ME"/>
              </w:rPr>
              <w:t>opterećenje tečnošću u organizmu, hipomagnezijemija, anoreksija, elektrolitni disbalans, hiperglikemija, hipokalcemija, metabolička acidoza</w:t>
            </w:r>
          </w:p>
        </w:tc>
        <w:tc>
          <w:tcPr>
            <w:tcW w:w="2490" w:type="dxa"/>
            <w:shd w:val="clear" w:color="auto" w:fill="auto"/>
          </w:tcPr>
          <w:p w14:paraId="17391A1F" w14:textId="77777777" w:rsidR="008F7D68" w:rsidRPr="0086063B" w:rsidRDefault="008F7D68" w:rsidP="00186EFF">
            <w:pPr>
              <w:tabs>
                <w:tab w:val="left" w:pos="284"/>
              </w:tabs>
              <w:jc w:val="both"/>
              <w:rPr>
                <w:sz w:val="22"/>
                <w:szCs w:val="22"/>
                <w:lang w:val="sr-Latn-ME"/>
              </w:rPr>
            </w:pPr>
          </w:p>
        </w:tc>
      </w:tr>
      <w:tr w:rsidR="008F7D68" w:rsidRPr="0086063B" w14:paraId="3918A038" w14:textId="77777777" w:rsidTr="008F7D68">
        <w:tc>
          <w:tcPr>
            <w:tcW w:w="2489" w:type="dxa"/>
            <w:shd w:val="clear" w:color="auto" w:fill="auto"/>
          </w:tcPr>
          <w:p w14:paraId="504DC6A6"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Psihijatrijski poremećaji</w:t>
            </w:r>
          </w:p>
          <w:p w14:paraId="52CA9B7B" w14:textId="77777777" w:rsidR="008F7D68" w:rsidRPr="0086063B" w:rsidRDefault="008F7D68" w:rsidP="00186EFF">
            <w:pPr>
              <w:tabs>
                <w:tab w:val="left" w:pos="284"/>
              </w:tabs>
              <w:jc w:val="both"/>
              <w:rPr>
                <w:b/>
                <w:i/>
                <w:sz w:val="22"/>
                <w:szCs w:val="22"/>
                <w:lang w:val="sr-Latn-ME"/>
              </w:rPr>
            </w:pPr>
          </w:p>
        </w:tc>
        <w:tc>
          <w:tcPr>
            <w:tcW w:w="2489" w:type="dxa"/>
            <w:shd w:val="clear" w:color="auto" w:fill="auto"/>
          </w:tcPr>
          <w:p w14:paraId="41BB9AF8" w14:textId="77777777" w:rsidR="008F7D68" w:rsidRPr="0086063B" w:rsidRDefault="008F7D68" w:rsidP="00186EFF">
            <w:pPr>
              <w:tabs>
                <w:tab w:val="left" w:pos="284"/>
              </w:tabs>
              <w:jc w:val="both"/>
              <w:rPr>
                <w:sz w:val="22"/>
                <w:szCs w:val="22"/>
                <w:lang w:val="sr-Latn-ME"/>
              </w:rPr>
            </w:pPr>
          </w:p>
        </w:tc>
        <w:tc>
          <w:tcPr>
            <w:tcW w:w="2489" w:type="dxa"/>
            <w:shd w:val="clear" w:color="auto" w:fill="auto"/>
          </w:tcPr>
          <w:p w14:paraId="5534FB67" w14:textId="77777777" w:rsidR="008F7D68" w:rsidRPr="0086063B" w:rsidRDefault="008F7D68" w:rsidP="00186EFF">
            <w:pPr>
              <w:tabs>
                <w:tab w:val="left" w:pos="284"/>
              </w:tabs>
              <w:jc w:val="both"/>
              <w:rPr>
                <w:sz w:val="22"/>
                <w:szCs w:val="22"/>
                <w:lang w:val="sr-Latn-ME"/>
              </w:rPr>
            </w:pPr>
            <w:r w:rsidRPr="0086063B">
              <w:rPr>
                <w:sz w:val="22"/>
                <w:szCs w:val="22"/>
                <w:lang w:val="sr-Latn-ME"/>
              </w:rPr>
              <w:t>anksioznost, dezorijentisanost, insomnija</w:t>
            </w:r>
          </w:p>
          <w:p w14:paraId="6C9D7A0E" w14:textId="77777777" w:rsidR="008F7D68" w:rsidRPr="0086063B" w:rsidRDefault="008F7D68" w:rsidP="00186EFF">
            <w:pPr>
              <w:tabs>
                <w:tab w:val="left" w:pos="284"/>
              </w:tabs>
              <w:jc w:val="both"/>
              <w:rPr>
                <w:sz w:val="22"/>
                <w:szCs w:val="22"/>
                <w:lang w:val="sr-Latn-ME"/>
              </w:rPr>
            </w:pPr>
          </w:p>
        </w:tc>
        <w:tc>
          <w:tcPr>
            <w:tcW w:w="2490" w:type="dxa"/>
            <w:shd w:val="clear" w:color="auto" w:fill="auto"/>
          </w:tcPr>
          <w:p w14:paraId="70604A8B" w14:textId="77777777" w:rsidR="008F7D68" w:rsidRPr="0086063B" w:rsidRDefault="008F7D68" w:rsidP="00186EFF">
            <w:pPr>
              <w:tabs>
                <w:tab w:val="left" w:pos="284"/>
              </w:tabs>
              <w:jc w:val="both"/>
              <w:rPr>
                <w:sz w:val="22"/>
                <w:szCs w:val="22"/>
                <w:lang w:val="sr-Latn-ME"/>
              </w:rPr>
            </w:pPr>
          </w:p>
        </w:tc>
      </w:tr>
      <w:tr w:rsidR="008F7D68" w:rsidRPr="0086063B" w14:paraId="238C7AC5" w14:textId="77777777" w:rsidTr="00186EFF">
        <w:tc>
          <w:tcPr>
            <w:tcW w:w="2489" w:type="dxa"/>
            <w:shd w:val="clear" w:color="auto" w:fill="auto"/>
          </w:tcPr>
          <w:p w14:paraId="00C76993"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Poremećaji nervnog sistema</w:t>
            </w:r>
          </w:p>
          <w:p w14:paraId="7D29EF16" w14:textId="77777777" w:rsidR="008F7D68" w:rsidRPr="0086063B" w:rsidRDefault="008F7D68" w:rsidP="00186EFF">
            <w:pPr>
              <w:tabs>
                <w:tab w:val="left" w:pos="284"/>
              </w:tabs>
              <w:ind w:right="65"/>
              <w:jc w:val="both"/>
              <w:rPr>
                <w:b/>
                <w:i/>
                <w:sz w:val="22"/>
                <w:szCs w:val="22"/>
                <w:lang w:val="sr-Latn-ME"/>
              </w:rPr>
            </w:pPr>
          </w:p>
        </w:tc>
        <w:tc>
          <w:tcPr>
            <w:tcW w:w="2489" w:type="dxa"/>
            <w:shd w:val="clear" w:color="auto" w:fill="auto"/>
          </w:tcPr>
          <w:p w14:paraId="4CC61228" w14:textId="77777777" w:rsidR="008F7D68" w:rsidRPr="0086063B" w:rsidRDefault="008F7D68" w:rsidP="00186EFF">
            <w:pPr>
              <w:tabs>
                <w:tab w:val="left" w:pos="284"/>
              </w:tabs>
              <w:jc w:val="both"/>
              <w:rPr>
                <w:sz w:val="22"/>
                <w:szCs w:val="22"/>
                <w:lang w:val="sr-Latn-ME"/>
              </w:rPr>
            </w:pPr>
            <w:r w:rsidRPr="0086063B">
              <w:rPr>
                <w:sz w:val="22"/>
                <w:szCs w:val="22"/>
                <w:lang w:val="sr-Latn-ME"/>
              </w:rPr>
              <w:t>glavobolja</w:t>
            </w:r>
          </w:p>
          <w:p w14:paraId="65B374F3"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309A881D" w14:textId="77777777" w:rsidR="008F7D68" w:rsidRPr="0086063B" w:rsidRDefault="008F7D68" w:rsidP="002C5194">
            <w:pPr>
              <w:tabs>
                <w:tab w:val="left" w:pos="284"/>
              </w:tabs>
              <w:rPr>
                <w:sz w:val="22"/>
                <w:szCs w:val="22"/>
                <w:lang w:val="sr-Latn-ME"/>
              </w:rPr>
            </w:pPr>
            <w:r w:rsidRPr="0086063B">
              <w:rPr>
                <w:sz w:val="22"/>
                <w:szCs w:val="22"/>
                <w:lang w:val="sr-Latn-ME"/>
              </w:rPr>
              <w:t>nesvjestica,</w:t>
            </w:r>
            <w:r w:rsidRPr="0086063B">
              <w:rPr>
                <w:b/>
                <w:sz w:val="22"/>
                <w:szCs w:val="22"/>
                <w:lang w:val="sr-Latn-ME"/>
              </w:rPr>
              <w:t xml:space="preserve"> </w:t>
            </w:r>
            <w:r w:rsidRPr="0086063B">
              <w:rPr>
                <w:sz w:val="22"/>
                <w:szCs w:val="22"/>
                <w:lang w:val="sr-Latn-ME"/>
              </w:rPr>
              <w:t>disgezija, parestezija, somnolenca, tremor, hipoestezija</w:t>
            </w:r>
          </w:p>
          <w:p w14:paraId="33648159" w14:textId="77777777" w:rsidR="008F7D68" w:rsidRPr="0086063B" w:rsidRDefault="008F7D68">
            <w:pPr>
              <w:tabs>
                <w:tab w:val="left" w:pos="284"/>
              </w:tabs>
              <w:rPr>
                <w:sz w:val="22"/>
                <w:szCs w:val="22"/>
                <w:lang w:val="sr-Latn-ME"/>
              </w:rPr>
            </w:pPr>
          </w:p>
        </w:tc>
        <w:tc>
          <w:tcPr>
            <w:tcW w:w="2490" w:type="dxa"/>
            <w:shd w:val="clear" w:color="auto" w:fill="auto"/>
          </w:tcPr>
          <w:p w14:paraId="31C311BE" w14:textId="77777777" w:rsidR="008F7D68" w:rsidRPr="0086063B" w:rsidRDefault="008F7D68" w:rsidP="00186EFF">
            <w:pPr>
              <w:tabs>
                <w:tab w:val="left" w:pos="284"/>
              </w:tabs>
              <w:jc w:val="both"/>
              <w:rPr>
                <w:sz w:val="22"/>
                <w:szCs w:val="22"/>
                <w:lang w:val="sr-Latn-ME"/>
              </w:rPr>
            </w:pPr>
          </w:p>
        </w:tc>
      </w:tr>
      <w:tr w:rsidR="008F7D68" w:rsidRPr="0086063B" w14:paraId="24BD0A54" w14:textId="77777777" w:rsidTr="00186EFF">
        <w:tc>
          <w:tcPr>
            <w:tcW w:w="2489" w:type="dxa"/>
            <w:shd w:val="clear" w:color="auto" w:fill="auto"/>
          </w:tcPr>
          <w:p w14:paraId="5F4E9BC0"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Poremećaji na nivou oka</w:t>
            </w:r>
          </w:p>
        </w:tc>
        <w:tc>
          <w:tcPr>
            <w:tcW w:w="2489" w:type="dxa"/>
            <w:shd w:val="clear" w:color="auto" w:fill="auto"/>
          </w:tcPr>
          <w:p w14:paraId="65B9F9D4"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2AB21521" w14:textId="77777777" w:rsidR="008F7D68" w:rsidRPr="0086063B" w:rsidRDefault="008F7D68" w:rsidP="002C5194">
            <w:pPr>
              <w:tabs>
                <w:tab w:val="left" w:pos="284"/>
              </w:tabs>
              <w:rPr>
                <w:sz w:val="22"/>
                <w:szCs w:val="22"/>
                <w:lang w:val="sr-Latn-ME"/>
              </w:rPr>
            </w:pPr>
            <w:r w:rsidRPr="0086063B">
              <w:rPr>
                <w:sz w:val="22"/>
                <w:szCs w:val="22"/>
                <w:lang w:val="sr-Latn-ME"/>
              </w:rPr>
              <w:t>okularni ikterus, zamućenje vida, edem očnih kapaka, povećana lakrimacija</w:t>
            </w:r>
          </w:p>
          <w:p w14:paraId="0CE16809" w14:textId="77777777" w:rsidR="008F7D68" w:rsidRPr="0086063B" w:rsidRDefault="008F7D68">
            <w:pPr>
              <w:tabs>
                <w:tab w:val="left" w:pos="284"/>
              </w:tabs>
              <w:rPr>
                <w:sz w:val="22"/>
                <w:szCs w:val="22"/>
                <w:lang w:val="sr-Latn-ME"/>
              </w:rPr>
            </w:pPr>
          </w:p>
        </w:tc>
        <w:tc>
          <w:tcPr>
            <w:tcW w:w="2490" w:type="dxa"/>
            <w:shd w:val="clear" w:color="auto" w:fill="auto"/>
          </w:tcPr>
          <w:p w14:paraId="3E60DAF7" w14:textId="77777777" w:rsidR="008F7D68" w:rsidRPr="0086063B" w:rsidRDefault="008F7D68" w:rsidP="00186EFF">
            <w:pPr>
              <w:tabs>
                <w:tab w:val="left" w:pos="284"/>
              </w:tabs>
              <w:jc w:val="both"/>
              <w:rPr>
                <w:sz w:val="22"/>
                <w:szCs w:val="22"/>
                <w:lang w:val="sr-Latn-ME"/>
              </w:rPr>
            </w:pPr>
          </w:p>
        </w:tc>
      </w:tr>
      <w:tr w:rsidR="008F7D68" w:rsidRPr="0086063B" w14:paraId="648E9F20" w14:textId="77777777" w:rsidTr="00186EFF">
        <w:tc>
          <w:tcPr>
            <w:tcW w:w="2489" w:type="dxa"/>
            <w:shd w:val="clear" w:color="auto" w:fill="auto"/>
          </w:tcPr>
          <w:p w14:paraId="0341EEC5"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Kardiološki poremećaji</w:t>
            </w:r>
          </w:p>
        </w:tc>
        <w:tc>
          <w:tcPr>
            <w:tcW w:w="2489" w:type="dxa"/>
            <w:shd w:val="clear" w:color="auto" w:fill="auto"/>
          </w:tcPr>
          <w:p w14:paraId="13719C2A"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0880AB44" w14:textId="77777777" w:rsidR="008F7D68" w:rsidRPr="0086063B" w:rsidRDefault="008F7D68" w:rsidP="002C5194">
            <w:pPr>
              <w:tabs>
                <w:tab w:val="left" w:pos="284"/>
              </w:tabs>
              <w:rPr>
                <w:sz w:val="22"/>
                <w:szCs w:val="22"/>
                <w:lang w:val="sr-Latn-ME"/>
              </w:rPr>
            </w:pPr>
            <w:r w:rsidRPr="0086063B">
              <w:rPr>
                <w:sz w:val="22"/>
                <w:szCs w:val="22"/>
                <w:lang w:val="sr-Latn-ME"/>
              </w:rPr>
              <w:t>palpitacije, tahikardija, aritmija, atrijalna fibrilacija, kongestivna srčana insuficijencija</w:t>
            </w:r>
          </w:p>
          <w:p w14:paraId="4B36F611" w14:textId="77777777" w:rsidR="008F7D68" w:rsidRPr="0086063B" w:rsidRDefault="008F7D68">
            <w:pPr>
              <w:tabs>
                <w:tab w:val="left" w:pos="284"/>
              </w:tabs>
              <w:rPr>
                <w:sz w:val="22"/>
                <w:szCs w:val="22"/>
                <w:lang w:val="sr-Latn-ME"/>
              </w:rPr>
            </w:pPr>
          </w:p>
        </w:tc>
        <w:tc>
          <w:tcPr>
            <w:tcW w:w="2490" w:type="dxa"/>
            <w:shd w:val="clear" w:color="auto" w:fill="auto"/>
          </w:tcPr>
          <w:p w14:paraId="168AC405" w14:textId="77777777" w:rsidR="008F7D68" w:rsidRPr="0086063B" w:rsidRDefault="008F7D68" w:rsidP="00186EFF">
            <w:pPr>
              <w:tabs>
                <w:tab w:val="left" w:pos="284"/>
              </w:tabs>
              <w:jc w:val="both"/>
              <w:rPr>
                <w:sz w:val="22"/>
                <w:szCs w:val="22"/>
                <w:lang w:val="sr-Latn-ME"/>
              </w:rPr>
            </w:pPr>
          </w:p>
        </w:tc>
      </w:tr>
      <w:tr w:rsidR="008F7D68" w:rsidRPr="0086063B" w14:paraId="24BA4C82" w14:textId="77777777" w:rsidTr="00186EFF">
        <w:tc>
          <w:tcPr>
            <w:tcW w:w="2489" w:type="dxa"/>
            <w:shd w:val="clear" w:color="auto" w:fill="auto"/>
          </w:tcPr>
          <w:p w14:paraId="4E7B6804"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lastRenderedPageBreak/>
              <w:t>Vaskularni poremećaji</w:t>
            </w:r>
          </w:p>
        </w:tc>
        <w:tc>
          <w:tcPr>
            <w:tcW w:w="2489" w:type="dxa"/>
            <w:shd w:val="clear" w:color="auto" w:fill="auto"/>
          </w:tcPr>
          <w:p w14:paraId="6F522FAD" w14:textId="77777777" w:rsidR="008F7D68" w:rsidRPr="0086063B" w:rsidRDefault="008F7D68" w:rsidP="00186EFF">
            <w:pPr>
              <w:tabs>
                <w:tab w:val="left" w:pos="284"/>
              </w:tabs>
              <w:jc w:val="both"/>
              <w:rPr>
                <w:sz w:val="22"/>
                <w:szCs w:val="22"/>
                <w:lang w:val="sr-Latn-ME"/>
              </w:rPr>
            </w:pPr>
            <w:r w:rsidRPr="0086063B">
              <w:rPr>
                <w:sz w:val="22"/>
                <w:szCs w:val="22"/>
                <w:lang w:val="sr-Latn-ME"/>
              </w:rPr>
              <w:t>flebitis</w:t>
            </w:r>
          </w:p>
        </w:tc>
        <w:tc>
          <w:tcPr>
            <w:tcW w:w="2489" w:type="dxa"/>
            <w:shd w:val="clear" w:color="auto" w:fill="auto"/>
            <w:vAlign w:val="center"/>
          </w:tcPr>
          <w:p w14:paraId="3EFBF1F7" w14:textId="77777777" w:rsidR="008F7D68" w:rsidRPr="0086063B" w:rsidRDefault="008F7D68" w:rsidP="002C5194">
            <w:pPr>
              <w:tabs>
                <w:tab w:val="left" w:pos="284"/>
              </w:tabs>
              <w:rPr>
                <w:sz w:val="22"/>
                <w:szCs w:val="22"/>
                <w:lang w:val="sr-Latn-ME"/>
              </w:rPr>
            </w:pPr>
            <w:r w:rsidRPr="0086063B">
              <w:rPr>
                <w:sz w:val="22"/>
                <w:szCs w:val="22"/>
                <w:lang w:val="sr-Latn-ME"/>
              </w:rPr>
              <w:t>tromboflebitis, crvenilo, naleti vrućine, hipertenzija, hipotenzija</w:t>
            </w:r>
          </w:p>
        </w:tc>
        <w:tc>
          <w:tcPr>
            <w:tcW w:w="2490" w:type="dxa"/>
            <w:shd w:val="clear" w:color="auto" w:fill="auto"/>
          </w:tcPr>
          <w:p w14:paraId="627E5CC8" w14:textId="77777777" w:rsidR="008F7D68" w:rsidRPr="0086063B" w:rsidRDefault="008F7D68" w:rsidP="00186EFF">
            <w:pPr>
              <w:tabs>
                <w:tab w:val="left" w:pos="284"/>
              </w:tabs>
              <w:jc w:val="both"/>
              <w:rPr>
                <w:sz w:val="22"/>
                <w:szCs w:val="22"/>
                <w:lang w:val="sr-Latn-ME"/>
              </w:rPr>
            </w:pPr>
          </w:p>
        </w:tc>
      </w:tr>
      <w:tr w:rsidR="008F7D68" w:rsidRPr="0086063B" w14:paraId="3FB1F43C" w14:textId="77777777" w:rsidTr="00186EFF">
        <w:tc>
          <w:tcPr>
            <w:tcW w:w="2489" w:type="dxa"/>
            <w:shd w:val="clear" w:color="auto" w:fill="auto"/>
          </w:tcPr>
          <w:p w14:paraId="1A15E7A1"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Respiratorni, torakalni i medijastinalni poremećaji</w:t>
            </w:r>
          </w:p>
        </w:tc>
        <w:tc>
          <w:tcPr>
            <w:tcW w:w="2489" w:type="dxa"/>
            <w:shd w:val="clear" w:color="auto" w:fill="auto"/>
          </w:tcPr>
          <w:p w14:paraId="5563BB24" w14:textId="77777777" w:rsidR="008F7D68" w:rsidRPr="0086063B" w:rsidRDefault="008F7D68" w:rsidP="00186EFF">
            <w:pPr>
              <w:tabs>
                <w:tab w:val="left" w:pos="284"/>
              </w:tabs>
              <w:jc w:val="both"/>
              <w:rPr>
                <w:sz w:val="22"/>
                <w:szCs w:val="22"/>
                <w:lang w:val="sr-Latn-ME"/>
              </w:rPr>
            </w:pPr>
            <w:r w:rsidRPr="0086063B">
              <w:rPr>
                <w:sz w:val="22"/>
                <w:szCs w:val="22"/>
                <w:lang w:val="sr-Latn-ME"/>
              </w:rPr>
              <w:t>dispneja</w:t>
            </w:r>
          </w:p>
        </w:tc>
        <w:tc>
          <w:tcPr>
            <w:tcW w:w="2489" w:type="dxa"/>
            <w:shd w:val="clear" w:color="auto" w:fill="auto"/>
            <w:vAlign w:val="center"/>
          </w:tcPr>
          <w:p w14:paraId="6E0F41FF" w14:textId="77777777" w:rsidR="008F7D68" w:rsidRPr="0086063B" w:rsidRDefault="008F7D68" w:rsidP="002C5194">
            <w:pPr>
              <w:tabs>
                <w:tab w:val="left" w:pos="284"/>
              </w:tabs>
              <w:rPr>
                <w:sz w:val="22"/>
                <w:szCs w:val="22"/>
                <w:lang w:val="sr-Latn-ME"/>
              </w:rPr>
            </w:pPr>
            <w:r w:rsidRPr="0086063B">
              <w:rPr>
                <w:sz w:val="22"/>
                <w:szCs w:val="22"/>
                <w:lang w:val="sr-Latn-ME"/>
              </w:rPr>
              <w:t>nazalna kongestija, faringolaringealni bol, tahipneja, bronhospazam, kašalj, noćna paroksizmalna dispneja, hipoksija, krkljanje, šištanje</w:t>
            </w:r>
          </w:p>
        </w:tc>
        <w:tc>
          <w:tcPr>
            <w:tcW w:w="2490" w:type="dxa"/>
            <w:shd w:val="clear" w:color="auto" w:fill="auto"/>
          </w:tcPr>
          <w:p w14:paraId="5A63BF62" w14:textId="77777777" w:rsidR="008F7D68" w:rsidRPr="0086063B" w:rsidRDefault="008F7D68" w:rsidP="00186EFF">
            <w:pPr>
              <w:tabs>
                <w:tab w:val="left" w:pos="284"/>
              </w:tabs>
              <w:jc w:val="both"/>
              <w:rPr>
                <w:sz w:val="22"/>
                <w:szCs w:val="22"/>
                <w:lang w:val="sr-Latn-ME"/>
              </w:rPr>
            </w:pPr>
          </w:p>
        </w:tc>
      </w:tr>
      <w:tr w:rsidR="008F7D68" w:rsidRPr="0086063B" w14:paraId="4B5DB1AE" w14:textId="77777777" w:rsidTr="00186EFF">
        <w:tc>
          <w:tcPr>
            <w:tcW w:w="2489" w:type="dxa"/>
            <w:shd w:val="clear" w:color="auto" w:fill="auto"/>
          </w:tcPr>
          <w:p w14:paraId="28F36F46"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Gastrointestinalni poremećaji</w:t>
            </w:r>
          </w:p>
        </w:tc>
        <w:tc>
          <w:tcPr>
            <w:tcW w:w="2489" w:type="dxa"/>
            <w:shd w:val="clear" w:color="auto" w:fill="auto"/>
          </w:tcPr>
          <w:p w14:paraId="1E00A33A" w14:textId="77777777" w:rsidR="008F7D68" w:rsidRPr="0086063B" w:rsidRDefault="008F7D68" w:rsidP="00186EFF">
            <w:pPr>
              <w:tabs>
                <w:tab w:val="left" w:pos="284"/>
              </w:tabs>
              <w:jc w:val="both"/>
              <w:rPr>
                <w:sz w:val="22"/>
                <w:szCs w:val="22"/>
                <w:lang w:val="sr-Latn-ME"/>
              </w:rPr>
            </w:pPr>
            <w:r w:rsidRPr="0086063B">
              <w:rPr>
                <w:sz w:val="22"/>
                <w:szCs w:val="22"/>
                <w:lang w:val="sr-Latn-ME"/>
              </w:rPr>
              <w:t>mučnina, dijareja, povraćanje</w:t>
            </w:r>
          </w:p>
          <w:p w14:paraId="1982B6E6"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46AF4C54" w14:textId="77777777" w:rsidR="008F7D68" w:rsidRPr="0086063B" w:rsidRDefault="008F7D68" w:rsidP="002C5194">
            <w:pPr>
              <w:tabs>
                <w:tab w:val="left" w:pos="284"/>
              </w:tabs>
              <w:rPr>
                <w:sz w:val="22"/>
                <w:szCs w:val="22"/>
                <w:lang w:val="sr-Latn-ME"/>
              </w:rPr>
            </w:pPr>
            <w:r w:rsidRPr="0086063B">
              <w:rPr>
                <w:sz w:val="22"/>
                <w:szCs w:val="22"/>
                <w:lang w:val="sr-Latn-ME"/>
              </w:rPr>
              <w:t>abdominalni bol, bol u gornjim partijama abdomena, suvoća usta, dispepsija, osjećaj nelagodnosti u stomaku, abdominalna distenzija, ascites, konstipacija, disfagija, nadutost</w:t>
            </w:r>
          </w:p>
          <w:p w14:paraId="4E1003E3" w14:textId="77777777" w:rsidR="008F7D68" w:rsidRPr="0086063B" w:rsidRDefault="008F7D68">
            <w:pPr>
              <w:tabs>
                <w:tab w:val="left" w:pos="284"/>
              </w:tabs>
              <w:rPr>
                <w:sz w:val="22"/>
                <w:szCs w:val="22"/>
                <w:lang w:val="sr-Latn-ME"/>
              </w:rPr>
            </w:pPr>
          </w:p>
        </w:tc>
        <w:tc>
          <w:tcPr>
            <w:tcW w:w="2490" w:type="dxa"/>
            <w:shd w:val="clear" w:color="auto" w:fill="auto"/>
          </w:tcPr>
          <w:p w14:paraId="5771FF58" w14:textId="77777777" w:rsidR="008F7D68" w:rsidRPr="0086063B" w:rsidRDefault="008F7D68" w:rsidP="00186EFF">
            <w:pPr>
              <w:tabs>
                <w:tab w:val="left" w:pos="284"/>
              </w:tabs>
              <w:jc w:val="both"/>
              <w:rPr>
                <w:sz w:val="22"/>
                <w:szCs w:val="22"/>
                <w:lang w:val="sr-Latn-ME"/>
              </w:rPr>
            </w:pPr>
          </w:p>
        </w:tc>
      </w:tr>
      <w:tr w:rsidR="008F7D68" w:rsidRPr="0086063B" w14:paraId="2030E294" w14:textId="77777777" w:rsidTr="00186EFF">
        <w:tc>
          <w:tcPr>
            <w:tcW w:w="2489" w:type="dxa"/>
            <w:shd w:val="clear" w:color="auto" w:fill="auto"/>
          </w:tcPr>
          <w:p w14:paraId="64762A77"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Hepatobilijarni poremećaji</w:t>
            </w:r>
          </w:p>
        </w:tc>
        <w:tc>
          <w:tcPr>
            <w:tcW w:w="2489" w:type="dxa"/>
            <w:shd w:val="clear" w:color="auto" w:fill="auto"/>
          </w:tcPr>
          <w:p w14:paraId="2447F14C" w14:textId="77777777" w:rsidR="008F7D68" w:rsidRPr="0086063B" w:rsidRDefault="008F7D68" w:rsidP="00186EFF">
            <w:pPr>
              <w:tabs>
                <w:tab w:val="left" w:pos="284"/>
              </w:tabs>
              <w:jc w:val="both"/>
              <w:rPr>
                <w:sz w:val="22"/>
                <w:szCs w:val="22"/>
                <w:lang w:val="sr-Latn-ME"/>
              </w:rPr>
            </w:pPr>
            <w:r w:rsidRPr="0086063B">
              <w:rPr>
                <w:sz w:val="22"/>
                <w:szCs w:val="22"/>
                <w:lang w:val="sr-Latn-ME"/>
              </w:rPr>
              <w:t>povećanje vrijednosti jetrenih parametara (alanin aminotransferaza, aspartat aminotransferaza, alkalna fosfataza u krvi, konjugovani bilirubin, bilirubin u krvi)</w:t>
            </w:r>
          </w:p>
          <w:p w14:paraId="7700B0D2"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708C5BAD" w14:textId="77777777" w:rsidR="008F7D68" w:rsidRPr="0086063B" w:rsidRDefault="008F7D68" w:rsidP="002C5194">
            <w:pPr>
              <w:tabs>
                <w:tab w:val="left" w:pos="284"/>
              </w:tabs>
              <w:rPr>
                <w:sz w:val="22"/>
                <w:szCs w:val="22"/>
                <w:lang w:val="sr-Latn-ME"/>
              </w:rPr>
            </w:pPr>
            <w:r w:rsidRPr="0086063B">
              <w:rPr>
                <w:sz w:val="22"/>
                <w:szCs w:val="22"/>
                <w:lang w:val="sr-Latn-ME"/>
              </w:rPr>
              <w:t>holestaza, hepatomegalija, hiperbilirubinemija, žutica, poremećaj funkcije jetre, hepatotoksičnost, oboljenje jetre, povećanje aktivnosti gama-glutamiltransferaze</w:t>
            </w:r>
          </w:p>
        </w:tc>
        <w:tc>
          <w:tcPr>
            <w:tcW w:w="2490" w:type="dxa"/>
            <w:shd w:val="clear" w:color="auto" w:fill="auto"/>
          </w:tcPr>
          <w:p w14:paraId="53A5F18F" w14:textId="77777777" w:rsidR="008F7D68" w:rsidRPr="0086063B" w:rsidRDefault="008F7D68" w:rsidP="00186EFF">
            <w:pPr>
              <w:tabs>
                <w:tab w:val="left" w:pos="284"/>
              </w:tabs>
              <w:jc w:val="both"/>
              <w:rPr>
                <w:sz w:val="22"/>
                <w:szCs w:val="22"/>
                <w:lang w:val="sr-Latn-ME"/>
              </w:rPr>
            </w:pPr>
          </w:p>
        </w:tc>
      </w:tr>
      <w:tr w:rsidR="008F7D68" w:rsidRPr="0086063B" w14:paraId="4EC06C8B" w14:textId="77777777" w:rsidTr="00186EFF">
        <w:tc>
          <w:tcPr>
            <w:tcW w:w="2489" w:type="dxa"/>
            <w:shd w:val="clear" w:color="auto" w:fill="auto"/>
          </w:tcPr>
          <w:p w14:paraId="0E710343"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Poremećaji na nivou kože i potkožnog tkiva</w:t>
            </w:r>
          </w:p>
        </w:tc>
        <w:tc>
          <w:tcPr>
            <w:tcW w:w="2489" w:type="dxa"/>
            <w:shd w:val="clear" w:color="auto" w:fill="auto"/>
          </w:tcPr>
          <w:p w14:paraId="2096DD5C" w14:textId="77777777" w:rsidR="008F7D68" w:rsidRPr="0086063B" w:rsidRDefault="008F7D68" w:rsidP="00186EFF">
            <w:pPr>
              <w:tabs>
                <w:tab w:val="left" w:pos="284"/>
              </w:tabs>
              <w:jc w:val="both"/>
              <w:rPr>
                <w:sz w:val="22"/>
                <w:szCs w:val="22"/>
                <w:lang w:val="sr-Latn-ME"/>
              </w:rPr>
            </w:pPr>
            <w:r w:rsidRPr="0086063B">
              <w:rPr>
                <w:sz w:val="22"/>
                <w:szCs w:val="22"/>
                <w:lang w:val="sr-Latn-ME"/>
              </w:rPr>
              <w:t>osip, pruritus, eritem, hiperhidroza</w:t>
            </w:r>
          </w:p>
          <w:p w14:paraId="56B6D8DA"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3FAA1982" w14:textId="77777777" w:rsidR="008F7D68" w:rsidRPr="0086063B" w:rsidRDefault="008F7D68" w:rsidP="002C5194">
            <w:pPr>
              <w:tabs>
                <w:tab w:val="left" w:pos="284"/>
              </w:tabs>
              <w:rPr>
                <w:sz w:val="22"/>
                <w:szCs w:val="22"/>
                <w:lang w:val="sr-Latn-ME"/>
              </w:rPr>
            </w:pPr>
            <w:r w:rsidRPr="0086063B">
              <w:rPr>
                <w:i/>
                <w:sz w:val="22"/>
                <w:szCs w:val="22"/>
                <w:lang w:val="sr-Latn-ME"/>
              </w:rPr>
              <w:t>erythema multiforme</w:t>
            </w:r>
            <w:r w:rsidRPr="0086063B">
              <w:rPr>
                <w:sz w:val="22"/>
                <w:szCs w:val="22"/>
                <w:lang w:val="sr-Latn-ME"/>
              </w:rPr>
              <w:t>, makularni osip, makulo-papularni osip, osip sa pruritusom, urtikarija, alergijski dermatitis, generalizovani pruritus, eritematozni osip, generalizovani osip, morbiliformni osip, lezije na koži</w:t>
            </w:r>
          </w:p>
          <w:p w14:paraId="7BA162CB" w14:textId="77777777" w:rsidR="008F7D68" w:rsidRPr="0086063B" w:rsidRDefault="008F7D68">
            <w:pPr>
              <w:tabs>
                <w:tab w:val="left" w:pos="284"/>
              </w:tabs>
              <w:rPr>
                <w:sz w:val="22"/>
                <w:szCs w:val="22"/>
                <w:lang w:val="sr-Latn-ME"/>
              </w:rPr>
            </w:pPr>
          </w:p>
        </w:tc>
        <w:tc>
          <w:tcPr>
            <w:tcW w:w="2490" w:type="dxa"/>
            <w:shd w:val="clear" w:color="auto" w:fill="auto"/>
          </w:tcPr>
          <w:p w14:paraId="79580C64" w14:textId="77777777" w:rsidR="008F7D68" w:rsidRPr="0086063B" w:rsidRDefault="008F7D68" w:rsidP="00186EFF">
            <w:pPr>
              <w:tabs>
                <w:tab w:val="left" w:pos="284"/>
              </w:tabs>
              <w:jc w:val="both"/>
              <w:rPr>
                <w:i/>
                <w:sz w:val="22"/>
                <w:szCs w:val="22"/>
                <w:lang w:val="sr-Latn-ME"/>
              </w:rPr>
            </w:pPr>
            <w:r w:rsidRPr="0086063B">
              <w:rPr>
                <w:sz w:val="22"/>
                <w:szCs w:val="22"/>
                <w:lang w:val="sr-Latn-ME"/>
              </w:rPr>
              <w:t xml:space="preserve">toksična epidermalna nekroliza i </w:t>
            </w:r>
            <w:r w:rsidRPr="0086063B">
              <w:rPr>
                <w:i/>
                <w:sz w:val="22"/>
                <w:szCs w:val="22"/>
                <w:lang w:val="sr-Latn-ME"/>
              </w:rPr>
              <w:t>Stevens-</w:t>
            </w:r>
          </w:p>
          <w:p w14:paraId="41E041E7" w14:textId="77777777" w:rsidR="008F7D68" w:rsidRPr="0086063B" w:rsidRDefault="008F7D68" w:rsidP="00186EFF">
            <w:pPr>
              <w:tabs>
                <w:tab w:val="left" w:pos="284"/>
              </w:tabs>
              <w:jc w:val="both"/>
              <w:rPr>
                <w:sz w:val="22"/>
                <w:szCs w:val="22"/>
                <w:lang w:val="sr-Latn-ME"/>
              </w:rPr>
            </w:pPr>
            <w:r w:rsidRPr="0086063B">
              <w:rPr>
                <w:i/>
                <w:sz w:val="22"/>
                <w:szCs w:val="22"/>
                <w:lang w:val="sr-Latn-ME"/>
              </w:rPr>
              <w:t>Johnson-</w:t>
            </w:r>
            <w:r w:rsidRPr="0086063B">
              <w:rPr>
                <w:sz w:val="22"/>
                <w:szCs w:val="22"/>
                <w:lang w:val="sr-Latn-ME"/>
              </w:rPr>
              <w:t>ov sindrom</w:t>
            </w:r>
          </w:p>
          <w:p w14:paraId="534D1235" w14:textId="4CD9E4A5" w:rsidR="008F7D68" w:rsidRPr="0086063B" w:rsidRDefault="008F7D68" w:rsidP="00186EFF">
            <w:pPr>
              <w:tabs>
                <w:tab w:val="left" w:pos="284"/>
              </w:tabs>
              <w:jc w:val="both"/>
              <w:rPr>
                <w:sz w:val="22"/>
                <w:szCs w:val="22"/>
                <w:lang w:val="sr-Latn-ME"/>
              </w:rPr>
            </w:pPr>
            <w:r w:rsidRPr="0086063B">
              <w:rPr>
                <w:sz w:val="22"/>
                <w:szCs w:val="22"/>
                <w:lang w:val="sr-Latn-ME"/>
              </w:rPr>
              <w:t>(vid</w:t>
            </w:r>
            <w:r w:rsidR="002602F9" w:rsidRPr="0086063B">
              <w:rPr>
                <w:sz w:val="22"/>
                <w:szCs w:val="22"/>
                <w:lang w:val="sr-Latn-ME"/>
              </w:rPr>
              <w:t>j</w:t>
            </w:r>
            <w:r w:rsidRPr="0086063B">
              <w:rPr>
                <w:sz w:val="22"/>
                <w:szCs w:val="22"/>
                <w:lang w:val="sr-Latn-ME"/>
              </w:rPr>
              <w:t xml:space="preserve">eti </w:t>
            </w:r>
            <w:r w:rsidR="0017305F" w:rsidRPr="0086063B">
              <w:rPr>
                <w:sz w:val="22"/>
                <w:szCs w:val="22"/>
                <w:lang w:val="sr-Latn-ME"/>
              </w:rPr>
              <w:t>dio</w:t>
            </w:r>
            <w:r w:rsidRPr="0086063B">
              <w:rPr>
                <w:sz w:val="22"/>
                <w:szCs w:val="22"/>
                <w:lang w:val="sr-Latn-ME"/>
              </w:rPr>
              <w:t xml:space="preserve"> 4.4).</w:t>
            </w:r>
          </w:p>
        </w:tc>
      </w:tr>
      <w:tr w:rsidR="008F7D68" w:rsidRPr="0086063B" w14:paraId="61DF11B2" w14:textId="77777777" w:rsidTr="00186EFF">
        <w:tc>
          <w:tcPr>
            <w:tcW w:w="2489" w:type="dxa"/>
            <w:shd w:val="clear" w:color="auto" w:fill="auto"/>
          </w:tcPr>
          <w:p w14:paraId="471102E9" w14:textId="77777777" w:rsidR="008F7D68" w:rsidRPr="0086063B" w:rsidRDefault="008F7D68" w:rsidP="00E92A04">
            <w:pPr>
              <w:tabs>
                <w:tab w:val="center" w:pos="4536"/>
                <w:tab w:val="right" w:pos="9072"/>
              </w:tabs>
              <w:jc w:val="both"/>
              <w:rPr>
                <w:b/>
                <w:i/>
                <w:sz w:val="22"/>
                <w:szCs w:val="22"/>
                <w:lang w:val="sr-Latn-ME" w:eastAsia="x-none"/>
              </w:rPr>
            </w:pPr>
            <w:r w:rsidRPr="0086063B">
              <w:rPr>
                <w:b/>
                <w:i/>
                <w:sz w:val="22"/>
                <w:szCs w:val="22"/>
                <w:lang w:val="sr-Latn-ME" w:eastAsia="x-none"/>
              </w:rPr>
              <w:t>Poremećaji mišićno-skeletnog, koštanog i vezivnog tkiva</w:t>
            </w:r>
          </w:p>
          <w:p w14:paraId="72A98C7E" w14:textId="77777777" w:rsidR="008F7D68" w:rsidRPr="0086063B" w:rsidRDefault="008F7D68" w:rsidP="00186EFF">
            <w:pPr>
              <w:tabs>
                <w:tab w:val="left" w:pos="284"/>
              </w:tabs>
              <w:ind w:right="65"/>
              <w:jc w:val="both"/>
              <w:rPr>
                <w:b/>
                <w:i/>
                <w:sz w:val="22"/>
                <w:szCs w:val="22"/>
                <w:lang w:val="sr-Latn-ME"/>
              </w:rPr>
            </w:pPr>
          </w:p>
        </w:tc>
        <w:tc>
          <w:tcPr>
            <w:tcW w:w="2489" w:type="dxa"/>
            <w:shd w:val="clear" w:color="auto" w:fill="auto"/>
          </w:tcPr>
          <w:p w14:paraId="6D7FB488" w14:textId="77777777" w:rsidR="008F7D68" w:rsidRPr="0086063B" w:rsidRDefault="008F7D68" w:rsidP="00186EFF">
            <w:pPr>
              <w:tabs>
                <w:tab w:val="left" w:pos="284"/>
              </w:tabs>
              <w:jc w:val="both"/>
              <w:rPr>
                <w:sz w:val="22"/>
                <w:szCs w:val="22"/>
                <w:lang w:val="sr-Latn-ME"/>
              </w:rPr>
            </w:pPr>
            <w:r w:rsidRPr="0086063B">
              <w:rPr>
                <w:sz w:val="22"/>
                <w:szCs w:val="22"/>
                <w:lang w:val="sr-Latn-ME"/>
              </w:rPr>
              <w:t>artralgija</w:t>
            </w:r>
          </w:p>
        </w:tc>
        <w:tc>
          <w:tcPr>
            <w:tcW w:w="2489" w:type="dxa"/>
            <w:shd w:val="clear" w:color="auto" w:fill="auto"/>
            <w:vAlign w:val="center"/>
          </w:tcPr>
          <w:p w14:paraId="573DC1DC" w14:textId="77777777" w:rsidR="008F7D68" w:rsidRPr="0086063B" w:rsidRDefault="008F7D68" w:rsidP="002C5194">
            <w:pPr>
              <w:tabs>
                <w:tab w:val="left" w:pos="284"/>
              </w:tabs>
              <w:rPr>
                <w:i/>
                <w:sz w:val="22"/>
                <w:szCs w:val="22"/>
                <w:lang w:val="sr-Latn-ME"/>
              </w:rPr>
            </w:pPr>
            <w:r w:rsidRPr="0086063B">
              <w:rPr>
                <w:sz w:val="22"/>
                <w:szCs w:val="22"/>
                <w:lang w:val="sr-Latn-ME"/>
              </w:rPr>
              <w:t>bol u leđima, bol u ekstremitetima, bol u kostima, slabost mišića, mijalgija</w:t>
            </w:r>
          </w:p>
        </w:tc>
        <w:tc>
          <w:tcPr>
            <w:tcW w:w="2490" w:type="dxa"/>
            <w:shd w:val="clear" w:color="auto" w:fill="auto"/>
          </w:tcPr>
          <w:p w14:paraId="774309E2" w14:textId="77777777" w:rsidR="008F7D68" w:rsidRPr="0086063B" w:rsidRDefault="008F7D68" w:rsidP="00186EFF">
            <w:pPr>
              <w:tabs>
                <w:tab w:val="left" w:pos="284"/>
              </w:tabs>
              <w:jc w:val="both"/>
              <w:rPr>
                <w:sz w:val="22"/>
                <w:szCs w:val="22"/>
                <w:lang w:val="sr-Latn-ME"/>
              </w:rPr>
            </w:pPr>
          </w:p>
        </w:tc>
      </w:tr>
      <w:tr w:rsidR="008F7D68" w:rsidRPr="0086063B" w14:paraId="2E018134" w14:textId="77777777" w:rsidTr="00186EFF">
        <w:tc>
          <w:tcPr>
            <w:tcW w:w="2489" w:type="dxa"/>
            <w:shd w:val="clear" w:color="auto" w:fill="auto"/>
          </w:tcPr>
          <w:p w14:paraId="45B6B766" w14:textId="77777777" w:rsidR="008F7D68" w:rsidRPr="0086063B" w:rsidRDefault="008F7D68" w:rsidP="00E92A04">
            <w:pPr>
              <w:tabs>
                <w:tab w:val="center" w:pos="4536"/>
                <w:tab w:val="right" w:pos="9072"/>
              </w:tabs>
              <w:jc w:val="both"/>
              <w:rPr>
                <w:b/>
                <w:i/>
                <w:sz w:val="22"/>
                <w:szCs w:val="22"/>
                <w:lang w:val="sr-Latn-ME" w:eastAsia="x-none"/>
              </w:rPr>
            </w:pPr>
            <w:r w:rsidRPr="0086063B">
              <w:rPr>
                <w:b/>
                <w:i/>
                <w:sz w:val="22"/>
                <w:szCs w:val="22"/>
                <w:lang w:val="sr-Latn-ME"/>
              </w:rPr>
              <w:t>Poremećaji na nivou bubrega i urinarnog sistema</w:t>
            </w:r>
          </w:p>
        </w:tc>
        <w:tc>
          <w:tcPr>
            <w:tcW w:w="2489" w:type="dxa"/>
            <w:shd w:val="clear" w:color="auto" w:fill="auto"/>
          </w:tcPr>
          <w:p w14:paraId="0DA6A6D0"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4D5A3C79" w14:textId="77777777" w:rsidR="008F7D68" w:rsidRPr="0086063B" w:rsidRDefault="008F7D68" w:rsidP="002C5194">
            <w:pPr>
              <w:tabs>
                <w:tab w:val="left" w:pos="284"/>
              </w:tabs>
              <w:rPr>
                <w:sz w:val="22"/>
                <w:szCs w:val="22"/>
                <w:lang w:val="sr-Latn-ME"/>
              </w:rPr>
            </w:pPr>
            <w:r w:rsidRPr="0086063B">
              <w:rPr>
                <w:sz w:val="22"/>
                <w:szCs w:val="22"/>
                <w:lang w:val="sr-Latn-ME"/>
              </w:rPr>
              <w:t>renalna insuficijencija, akutna renalna insuficijencija</w:t>
            </w:r>
          </w:p>
        </w:tc>
        <w:tc>
          <w:tcPr>
            <w:tcW w:w="2490" w:type="dxa"/>
            <w:shd w:val="clear" w:color="auto" w:fill="auto"/>
          </w:tcPr>
          <w:p w14:paraId="19CECFAB" w14:textId="77777777" w:rsidR="008F7D68" w:rsidRPr="0086063B" w:rsidRDefault="008F7D68" w:rsidP="00186EFF">
            <w:pPr>
              <w:tabs>
                <w:tab w:val="left" w:pos="284"/>
              </w:tabs>
              <w:jc w:val="both"/>
              <w:rPr>
                <w:sz w:val="22"/>
                <w:szCs w:val="22"/>
                <w:lang w:val="sr-Latn-ME"/>
              </w:rPr>
            </w:pPr>
          </w:p>
        </w:tc>
      </w:tr>
      <w:tr w:rsidR="008F7D68" w:rsidRPr="0086063B" w14:paraId="22FC7211" w14:textId="77777777" w:rsidTr="00186EFF">
        <w:tc>
          <w:tcPr>
            <w:tcW w:w="2489" w:type="dxa"/>
            <w:shd w:val="clear" w:color="auto" w:fill="auto"/>
          </w:tcPr>
          <w:p w14:paraId="0AC67692" w14:textId="77777777" w:rsidR="008F7D68" w:rsidRPr="0086063B" w:rsidRDefault="008F7D68" w:rsidP="00E92A04">
            <w:pPr>
              <w:tabs>
                <w:tab w:val="center" w:pos="4536"/>
                <w:tab w:val="right" w:pos="9072"/>
              </w:tabs>
              <w:jc w:val="both"/>
              <w:rPr>
                <w:b/>
                <w:i/>
                <w:sz w:val="22"/>
                <w:szCs w:val="22"/>
                <w:lang w:val="sr-Latn-ME"/>
              </w:rPr>
            </w:pPr>
            <w:r w:rsidRPr="0086063B">
              <w:rPr>
                <w:b/>
                <w:i/>
                <w:sz w:val="22"/>
                <w:szCs w:val="22"/>
                <w:lang w:val="sr-Latn-ME"/>
              </w:rPr>
              <w:t>Opšti poremećaji i reakcije na mjestu primene</w:t>
            </w:r>
          </w:p>
        </w:tc>
        <w:tc>
          <w:tcPr>
            <w:tcW w:w="2489" w:type="dxa"/>
            <w:shd w:val="clear" w:color="auto" w:fill="auto"/>
          </w:tcPr>
          <w:p w14:paraId="7ABF67DF" w14:textId="6CF6E8BA" w:rsidR="008F7D68" w:rsidRPr="0086063B" w:rsidRDefault="008F7D68" w:rsidP="00186EFF">
            <w:pPr>
              <w:tabs>
                <w:tab w:val="left" w:pos="284"/>
              </w:tabs>
              <w:ind w:right="65"/>
              <w:jc w:val="both"/>
              <w:rPr>
                <w:sz w:val="22"/>
                <w:szCs w:val="22"/>
                <w:lang w:val="sr-Latn-ME"/>
              </w:rPr>
            </w:pPr>
            <w:r w:rsidRPr="0086063B">
              <w:rPr>
                <w:sz w:val="22"/>
                <w:szCs w:val="22"/>
                <w:lang w:val="sr-Latn-ME"/>
              </w:rPr>
              <w:t>pireksija, groznica, svrab na m</w:t>
            </w:r>
            <w:r w:rsidR="009B678F" w:rsidRPr="0086063B">
              <w:rPr>
                <w:sz w:val="22"/>
                <w:szCs w:val="22"/>
                <w:lang w:val="sr-Latn-ME"/>
              </w:rPr>
              <w:t>j</w:t>
            </w:r>
            <w:r w:rsidRPr="0086063B">
              <w:rPr>
                <w:sz w:val="22"/>
                <w:szCs w:val="22"/>
                <w:lang w:val="sr-Latn-ME"/>
              </w:rPr>
              <w:t>estu prim</w:t>
            </w:r>
            <w:r w:rsidR="009B678F" w:rsidRPr="0086063B">
              <w:rPr>
                <w:sz w:val="22"/>
                <w:szCs w:val="22"/>
                <w:lang w:val="sr-Latn-ME"/>
              </w:rPr>
              <w:t>j</w:t>
            </w:r>
            <w:r w:rsidRPr="0086063B">
              <w:rPr>
                <w:sz w:val="22"/>
                <w:szCs w:val="22"/>
                <w:lang w:val="sr-Latn-ME"/>
              </w:rPr>
              <w:t>ene</w:t>
            </w:r>
          </w:p>
          <w:p w14:paraId="1C00D5FE"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671E2E0A" w14:textId="5E257078" w:rsidR="008F7D68" w:rsidRPr="0086063B" w:rsidRDefault="008F7D68" w:rsidP="002C5194">
            <w:pPr>
              <w:tabs>
                <w:tab w:val="left" w:pos="284"/>
              </w:tabs>
              <w:rPr>
                <w:sz w:val="22"/>
                <w:szCs w:val="22"/>
                <w:lang w:val="sr-Latn-ME"/>
              </w:rPr>
            </w:pPr>
            <w:r w:rsidRPr="0086063B">
              <w:rPr>
                <w:sz w:val="22"/>
                <w:szCs w:val="22"/>
                <w:lang w:val="sr-Latn-ME"/>
              </w:rPr>
              <w:t>bol, bol na m</w:t>
            </w:r>
            <w:r w:rsidR="002C5194" w:rsidRPr="0086063B">
              <w:rPr>
                <w:sz w:val="22"/>
                <w:szCs w:val="22"/>
                <w:lang w:val="sr-Latn-ME"/>
              </w:rPr>
              <w:t>j</w:t>
            </w:r>
            <w:r w:rsidRPr="0086063B">
              <w:rPr>
                <w:sz w:val="22"/>
                <w:szCs w:val="22"/>
                <w:lang w:val="sr-Latn-ME"/>
              </w:rPr>
              <w:t>estu postavljanja katetera, zamor, osjećaj hladnoće, osjećaj vrućine, eritem na mjestu infuzije, induracije na mjestu infuzije, bol na mjestu infuzije, otok na mjestu infuzije, flebitis na mjestu prim</w:t>
            </w:r>
            <w:r w:rsidR="009B678F" w:rsidRPr="0086063B">
              <w:rPr>
                <w:sz w:val="22"/>
                <w:szCs w:val="22"/>
                <w:lang w:val="sr-Latn-ME"/>
              </w:rPr>
              <w:t>j</w:t>
            </w:r>
            <w:r w:rsidRPr="0086063B">
              <w:rPr>
                <w:sz w:val="22"/>
                <w:szCs w:val="22"/>
                <w:lang w:val="sr-Latn-ME"/>
              </w:rPr>
              <w:t xml:space="preserve">ene </w:t>
            </w:r>
            <w:r w:rsidRPr="0086063B">
              <w:rPr>
                <w:sz w:val="22"/>
                <w:szCs w:val="22"/>
                <w:lang w:val="sr-Latn-ME"/>
              </w:rPr>
              <w:lastRenderedPageBreak/>
              <w:t>injekcije, periferni edem, preosjetljivost, osjećaj nelagodnosti u grudima, bol u grudima, otok lica, osjećaj promjene temperature tijela, induracija, ekstravazacija na mjestu infuzije, iritacija na mjestu infuzije, flebitis na mjestu infuzije, osip na mjestu infuzije, urtikarija na mjestu infuzije, eritem na mjestu primjene injekcije, edem na mjestu primjene injekcije, bol na mjestu prim</w:t>
            </w:r>
            <w:r w:rsidR="009B678F" w:rsidRPr="0086063B">
              <w:rPr>
                <w:sz w:val="22"/>
                <w:szCs w:val="22"/>
                <w:lang w:val="sr-Latn-ME"/>
              </w:rPr>
              <w:t>j</w:t>
            </w:r>
            <w:r w:rsidRPr="0086063B">
              <w:rPr>
                <w:sz w:val="22"/>
                <w:szCs w:val="22"/>
                <w:lang w:val="sr-Latn-ME"/>
              </w:rPr>
              <w:t xml:space="preserve">ene injekcije, otok na mjestu primjene injekcije, </w:t>
            </w:r>
            <w:r w:rsidR="0017305F" w:rsidRPr="0086063B">
              <w:rPr>
                <w:sz w:val="22"/>
                <w:szCs w:val="22"/>
                <w:lang w:val="sr-Latn-ME"/>
              </w:rPr>
              <w:t>malaksalost</w:t>
            </w:r>
            <w:r w:rsidRPr="0086063B">
              <w:rPr>
                <w:sz w:val="22"/>
                <w:szCs w:val="22"/>
                <w:lang w:val="sr-Latn-ME"/>
              </w:rPr>
              <w:t>, edem</w:t>
            </w:r>
          </w:p>
        </w:tc>
        <w:tc>
          <w:tcPr>
            <w:tcW w:w="2490" w:type="dxa"/>
            <w:shd w:val="clear" w:color="auto" w:fill="auto"/>
          </w:tcPr>
          <w:p w14:paraId="0BD91B64" w14:textId="77777777" w:rsidR="008F7D68" w:rsidRPr="0086063B" w:rsidRDefault="008F7D68" w:rsidP="00186EFF">
            <w:pPr>
              <w:tabs>
                <w:tab w:val="left" w:pos="284"/>
              </w:tabs>
              <w:jc w:val="both"/>
              <w:rPr>
                <w:sz w:val="22"/>
                <w:szCs w:val="22"/>
                <w:lang w:val="sr-Latn-ME"/>
              </w:rPr>
            </w:pPr>
          </w:p>
        </w:tc>
      </w:tr>
      <w:tr w:rsidR="008F7D68" w:rsidRPr="0086063B" w14:paraId="0AC1301C" w14:textId="77777777" w:rsidTr="00186EFF">
        <w:tc>
          <w:tcPr>
            <w:tcW w:w="2489" w:type="dxa"/>
            <w:shd w:val="clear" w:color="auto" w:fill="auto"/>
          </w:tcPr>
          <w:p w14:paraId="49B0CC7E" w14:textId="77777777" w:rsidR="008F7D68" w:rsidRPr="0086063B" w:rsidRDefault="008F7D68" w:rsidP="00E92A04">
            <w:pPr>
              <w:tabs>
                <w:tab w:val="center" w:pos="4536"/>
                <w:tab w:val="right" w:pos="9072"/>
              </w:tabs>
              <w:jc w:val="both"/>
              <w:rPr>
                <w:b/>
                <w:i/>
                <w:sz w:val="22"/>
                <w:szCs w:val="22"/>
                <w:lang w:val="sr-Latn-ME"/>
              </w:rPr>
            </w:pPr>
            <w:r w:rsidRPr="0086063B">
              <w:rPr>
                <w:b/>
                <w:i/>
                <w:sz w:val="22"/>
                <w:szCs w:val="22"/>
                <w:lang w:val="sr-Latn-ME"/>
              </w:rPr>
              <w:t>Laboratorijska ispitivanja</w:t>
            </w:r>
          </w:p>
        </w:tc>
        <w:tc>
          <w:tcPr>
            <w:tcW w:w="2489" w:type="dxa"/>
            <w:shd w:val="clear" w:color="auto" w:fill="auto"/>
          </w:tcPr>
          <w:p w14:paraId="1EA1E135"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snižene vrijednosti kalijuma, snižene vrijednosti albumina u krvi</w:t>
            </w:r>
          </w:p>
        </w:tc>
        <w:tc>
          <w:tcPr>
            <w:tcW w:w="2489" w:type="dxa"/>
            <w:shd w:val="clear" w:color="auto" w:fill="auto"/>
            <w:vAlign w:val="center"/>
          </w:tcPr>
          <w:p w14:paraId="43496327" w14:textId="01E1B7D4" w:rsidR="008F7D68" w:rsidRPr="0086063B" w:rsidRDefault="008F7D68" w:rsidP="002C5194">
            <w:pPr>
              <w:tabs>
                <w:tab w:val="left" w:pos="284"/>
              </w:tabs>
              <w:rPr>
                <w:sz w:val="22"/>
                <w:szCs w:val="22"/>
                <w:lang w:val="sr-Latn-ME"/>
              </w:rPr>
            </w:pPr>
            <w:r w:rsidRPr="0086063B">
              <w:rPr>
                <w:sz w:val="22"/>
                <w:szCs w:val="22"/>
                <w:lang w:val="sr-Latn-ME"/>
              </w:rPr>
              <w:t xml:space="preserve">povišena vrijednost kreatinina u krvi, pozitivan nalaz eritrocita u urinu, snižena vrijednost ukupnih proteina, prisustvo proteina u urinu, produženo protrombinsko vrijeme, skraćeno protrombinsko vijreme, smanjenje vrijednosti natrijuma u krvi, povećanje vrijednosti natrijuma u krvi, smanjenje vrijednosti kalcijuma u krvi, povećanje vrijednosti kalcijuma u krvi, smanjenje vrijednosti hlorida u krvi, povećanje vrijednosti glukoze u krvi, smanjenje vrijednosti magnezijuma u krvi, smanjenje vrijednosti fosfora u krvi, povećanje vrijednosti fosfora u krvi, povećanje vrijednosti uree u krvi, produženo aktivirano parcijalno tromboplastinsko vrijeme, smanjenje vrijednosti bikarbonata u krvi, povećanje vrijednosti hlorida u krvi, povećanje vrijednosti </w:t>
            </w:r>
            <w:r w:rsidRPr="0086063B">
              <w:rPr>
                <w:sz w:val="22"/>
                <w:szCs w:val="22"/>
                <w:lang w:val="sr-Latn-ME"/>
              </w:rPr>
              <w:lastRenderedPageBreak/>
              <w:t>kalijuma u krvi, povećanje vrijednosti krvnog pritiska, smanjenje vrijednosti mokraćne kiseline u krvi, prisustvo krvi u urinu, nenormalan zvuk pri disanju, smanjenje vrijednosti ugljen dioksida u izdahnutom vazduhu, povećanje koncentracije imunosupresiva u krvi, povećanje INR vr</w:t>
            </w:r>
            <w:r w:rsidR="009B678F" w:rsidRPr="0086063B">
              <w:rPr>
                <w:sz w:val="22"/>
                <w:szCs w:val="22"/>
                <w:lang w:val="sr-Latn-ME"/>
              </w:rPr>
              <w:t>ij</w:t>
            </w:r>
            <w:r w:rsidRPr="0086063B">
              <w:rPr>
                <w:sz w:val="22"/>
                <w:szCs w:val="22"/>
                <w:lang w:val="sr-Latn-ME"/>
              </w:rPr>
              <w:t>ednosti, pojava krvnih cilindara u urinu, pozitivan test na leukocite u urinu i povećanje pH urina.</w:t>
            </w:r>
          </w:p>
          <w:p w14:paraId="716DB225" w14:textId="77777777" w:rsidR="008F7D68" w:rsidRPr="0086063B" w:rsidRDefault="008F7D68" w:rsidP="002C5194">
            <w:pPr>
              <w:tabs>
                <w:tab w:val="left" w:pos="284"/>
              </w:tabs>
              <w:rPr>
                <w:sz w:val="22"/>
                <w:szCs w:val="22"/>
                <w:lang w:val="sr-Latn-ME"/>
              </w:rPr>
            </w:pPr>
          </w:p>
        </w:tc>
        <w:tc>
          <w:tcPr>
            <w:tcW w:w="2490" w:type="dxa"/>
            <w:shd w:val="clear" w:color="auto" w:fill="auto"/>
          </w:tcPr>
          <w:p w14:paraId="185833A0" w14:textId="77777777" w:rsidR="008F7D68" w:rsidRPr="0086063B" w:rsidRDefault="008F7D68" w:rsidP="00186EFF">
            <w:pPr>
              <w:tabs>
                <w:tab w:val="left" w:pos="284"/>
              </w:tabs>
              <w:jc w:val="both"/>
              <w:rPr>
                <w:sz w:val="22"/>
                <w:szCs w:val="22"/>
                <w:lang w:val="sr-Latn-ME"/>
              </w:rPr>
            </w:pPr>
          </w:p>
        </w:tc>
      </w:tr>
    </w:tbl>
    <w:p w14:paraId="305F5161" w14:textId="77777777" w:rsidR="008F7D68" w:rsidRPr="0086063B" w:rsidRDefault="008F7D68" w:rsidP="00186EFF">
      <w:pPr>
        <w:tabs>
          <w:tab w:val="left" w:pos="540"/>
          <w:tab w:val="left" w:pos="569"/>
        </w:tabs>
        <w:jc w:val="both"/>
        <w:rPr>
          <w:sz w:val="22"/>
          <w:szCs w:val="22"/>
          <w:lang w:val="sr-Latn-ME"/>
        </w:rPr>
      </w:pPr>
    </w:p>
    <w:p w14:paraId="53C1BA59" w14:textId="77777777" w:rsidR="008F7D68" w:rsidRPr="0086063B" w:rsidRDefault="008F7D68" w:rsidP="00186EFF">
      <w:pPr>
        <w:tabs>
          <w:tab w:val="left" w:pos="540"/>
          <w:tab w:val="left" w:pos="569"/>
        </w:tabs>
        <w:jc w:val="both"/>
        <w:rPr>
          <w:sz w:val="22"/>
          <w:szCs w:val="22"/>
          <w:lang w:val="sr-Latn-ME"/>
        </w:rPr>
      </w:pPr>
    </w:p>
    <w:p w14:paraId="4A16C671" w14:textId="77777777" w:rsidR="008F7D68" w:rsidRPr="0086063B" w:rsidRDefault="008F7D68" w:rsidP="00186EFF">
      <w:pPr>
        <w:tabs>
          <w:tab w:val="left" w:pos="284"/>
        </w:tabs>
        <w:ind w:right="65"/>
        <w:jc w:val="both"/>
        <w:rPr>
          <w:sz w:val="22"/>
          <w:szCs w:val="22"/>
          <w:lang w:val="sr-Latn-ME"/>
        </w:rPr>
      </w:pPr>
    </w:p>
    <w:p w14:paraId="66C7BC48" w14:textId="6C9CD92F" w:rsidR="008F7D68" w:rsidRPr="0086063B" w:rsidRDefault="008F7D68" w:rsidP="00186EFF">
      <w:pPr>
        <w:tabs>
          <w:tab w:val="left" w:pos="284"/>
        </w:tabs>
        <w:ind w:right="65"/>
        <w:jc w:val="both"/>
        <w:rPr>
          <w:sz w:val="22"/>
          <w:szCs w:val="22"/>
          <w:lang w:val="sr-Latn-ME"/>
        </w:rPr>
      </w:pPr>
      <w:r w:rsidRPr="0086063B">
        <w:rPr>
          <w:sz w:val="22"/>
          <w:szCs w:val="22"/>
          <w:lang w:val="sr-Latn-ME"/>
        </w:rPr>
        <w:t xml:space="preserve">Kaspofungin je takođe bio ispitivan pri dozi od 150 mg dnevno (u trajanju do 51 dana) na 100 odraslih pacijenata (vidjeti </w:t>
      </w:r>
      <w:r w:rsidR="0017305F" w:rsidRPr="0086063B">
        <w:rPr>
          <w:sz w:val="22"/>
          <w:szCs w:val="22"/>
          <w:lang w:val="sr-Latn-ME"/>
        </w:rPr>
        <w:t>dio</w:t>
      </w:r>
      <w:r w:rsidRPr="0086063B">
        <w:rPr>
          <w:sz w:val="22"/>
          <w:szCs w:val="22"/>
          <w:lang w:val="sr-Latn-ME"/>
        </w:rPr>
        <w:t xml:space="preserve"> 5.1). Studija je poredila kaspofungin</w:t>
      </w:r>
      <w:r w:rsidRPr="0086063B">
        <w:rPr>
          <w:b/>
          <w:sz w:val="22"/>
          <w:szCs w:val="22"/>
          <w:lang w:val="sr-Latn-ME"/>
        </w:rPr>
        <w:t xml:space="preserve"> </w:t>
      </w:r>
      <w:r w:rsidRPr="0086063B">
        <w:rPr>
          <w:sz w:val="22"/>
          <w:szCs w:val="22"/>
          <w:lang w:val="sr-Latn-ME"/>
        </w:rPr>
        <w:t>u dozi od 50 mg dnevno (nakon primjene udarne doze od 70 mg prvog dana) sa dnevnom dozom od 150 mg u liječenju invazivne kandidijaze. U ovoj grupi pacijenata, bezbjednost kaspofungina</w:t>
      </w:r>
      <w:r w:rsidRPr="0086063B">
        <w:rPr>
          <w:b/>
          <w:sz w:val="22"/>
          <w:szCs w:val="22"/>
          <w:lang w:val="sr-Latn-ME"/>
        </w:rPr>
        <w:t xml:space="preserve"> </w:t>
      </w:r>
      <w:r w:rsidRPr="0086063B">
        <w:rPr>
          <w:sz w:val="22"/>
          <w:szCs w:val="22"/>
          <w:lang w:val="sr-Latn-ME"/>
        </w:rPr>
        <w:t>pri višoj dozi djelovala je generalno slično bezbjednosti koja je ispoljena kod pacijenata koji su primali dnevnu doz</w:t>
      </w:r>
      <w:r w:rsidR="009B678F" w:rsidRPr="0086063B">
        <w:rPr>
          <w:sz w:val="22"/>
          <w:szCs w:val="22"/>
          <w:lang w:val="sr-Latn-ME"/>
        </w:rPr>
        <w:t>u</w:t>
      </w:r>
      <w:r w:rsidRPr="0086063B">
        <w:rPr>
          <w:sz w:val="22"/>
          <w:szCs w:val="22"/>
          <w:lang w:val="sr-Latn-ME"/>
        </w:rPr>
        <w:t xml:space="preserve"> od 50 mg kaspofungina. Broj pacijenata kod kojih su se ispoljil</w:t>
      </w:r>
      <w:r w:rsidR="00DB44BC" w:rsidRPr="0086063B">
        <w:rPr>
          <w:sz w:val="22"/>
          <w:szCs w:val="22"/>
          <w:lang w:val="sr-Latn-ME"/>
        </w:rPr>
        <w:t>a</w:t>
      </w:r>
      <w:r w:rsidRPr="0086063B">
        <w:rPr>
          <w:sz w:val="22"/>
          <w:szCs w:val="22"/>
          <w:lang w:val="sr-Latn-ME"/>
        </w:rPr>
        <w:t xml:space="preserve"> ozbiljn</w:t>
      </w:r>
      <w:r w:rsidR="00DB44BC" w:rsidRPr="0086063B">
        <w:rPr>
          <w:sz w:val="22"/>
          <w:szCs w:val="22"/>
          <w:lang w:val="sr-Latn-ME"/>
        </w:rPr>
        <w:t>a</w:t>
      </w:r>
      <w:r w:rsidRPr="0086063B">
        <w:rPr>
          <w:sz w:val="22"/>
          <w:szCs w:val="22"/>
          <w:lang w:val="sr-Latn-ME"/>
        </w:rPr>
        <w:t xml:space="preserve"> neželjen</w:t>
      </w:r>
      <w:r w:rsidR="00DB44BC" w:rsidRPr="0086063B">
        <w:rPr>
          <w:sz w:val="22"/>
          <w:szCs w:val="22"/>
          <w:lang w:val="sr-Latn-ME"/>
        </w:rPr>
        <w:t>a</w:t>
      </w:r>
      <w:r w:rsidRPr="0086063B">
        <w:rPr>
          <w:sz w:val="22"/>
          <w:szCs w:val="22"/>
          <w:lang w:val="sr-Latn-ME"/>
        </w:rPr>
        <w:t xml:space="preserve"> </w:t>
      </w:r>
      <w:r w:rsidR="00DB44BC" w:rsidRPr="0086063B">
        <w:rPr>
          <w:sz w:val="22"/>
          <w:szCs w:val="22"/>
          <w:lang w:val="sr-Latn-ME"/>
        </w:rPr>
        <w:t>dejstva</w:t>
      </w:r>
      <w:r w:rsidRPr="0086063B">
        <w:rPr>
          <w:sz w:val="22"/>
          <w:szCs w:val="22"/>
          <w:lang w:val="sr-Latn-ME"/>
        </w:rPr>
        <w:t xml:space="preserve"> koj</w:t>
      </w:r>
      <w:r w:rsidR="00DB44BC" w:rsidRPr="0086063B">
        <w:rPr>
          <w:sz w:val="22"/>
          <w:szCs w:val="22"/>
          <w:lang w:val="sr-Latn-ME"/>
        </w:rPr>
        <w:t>a</w:t>
      </w:r>
      <w:r w:rsidRPr="0086063B">
        <w:rPr>
          <w:sz w:val="22"/>
          <w:szCs w:val="22"/>
          <w:lang w:val="sr-Latn-ME"/>
        </w:rPr>
        <w:t xml:space="preserve"> su bil</w:t>
      </w:r>
      <w:r w:rsidR="00DB44BC" w:rsidRPr="0086063B">
        <w:rPr>
          <w:sz w:val="22"/>
          <w:szCs w:val="22"/>
          <w:lang w:val="sr-Latn-ME"/>
        </w:rPr>
        <w:t>a</w:t>
      </w:r>
      <w:r w:rsidRPr="0086063B">
        <w:rPr>
          <w:sz w:val="22"/>
          <w:szCs w:val="22"/>
          <w:lang w:val="sr-Latn-ME"/>
        </w:rPr>
        <w:t xml:space="preserve"> </w:t>
      </w:r>
      <w:r w:rsidR="009B678F" w:rsidRPr="0086063B">
        <w:rPr>
          <w:sz w:val="22"/>
          <w:szCs w:val="22"/>
          <w:lang w:val="sr-Latn-ME"/>
        </w:rPr>
        <w:t>povezana</w:t>
      </w:r>
      <w:r w:rsidRPr="0086063B">
        <w:rPr>
          <w:sz w:val="22"/>
          <w:szCs w:val="22"/>
          <w:lang w:val="sr-Latn-ME"/>
        </w:rPr>
        <w:t xml:space="preserve"> sa</w:t>
      </w:r>
      <w:r w:rsidR="00336B80" w:rsidRPr="0086063B">
        <w:rPr>
          <w:sz w:val="22"/>
          <w:szCs w:val="22"/>
          <w:lang w:val="sr-Latn-ME"/>
        </w:rPr>
        <w:t xml:space="preserve"> primjenom</w:t>
      </w:r>
      <w:r w:rsidRPr="0086063B">
        <w:rPr>
          <w:sz w:val="22"/>
          <w:szCs w:val="22"/>
          <w:lang w:val="sr-Latn-ME"/>
        </w:rPr>
        <w:t xml:space="preserve"> lijek</w:t>
      </w:r>
      <w:r w:rsidR="006B0CB6" w:rsidRPr="0086063B">
        <w:rPr>
          <w:sz w:val="22"/>
          <w:szCs w:val="22"/>
          <w:lang w:val="sr-Latn-ME"/>
        </w:rPr>
        <w:t>a</w:t>
      </w:r>
      <w:r w:rsidRPr="0086063B">
        <w:rPr>
          <w:sz w:val="22"/>
          <w:szCs w:val="22"/>
          <w:lang w:val="sr-Latn-ME"/>
        </w:rPr>
        <w:t xml:space="preserve"> ili neželjen</w:t>
      </w:r>
      <w:r w:rsidR="00DB44BC" w:rsidRPr="0086063B">
        <w:rPr>
          <w:sz w:val="22"/>
          <w:szCs w:val="22"/>
          <w:lang w:val="sr-Latn-ME"/>
        </w:rPr>
        <w:t>a</w:t>
      </w:r>
      <w:r w:rsidRPr="0086063B">
        <w:rPr>
          <w:sz w:val="22"/>
          <w:szCs w:val="22"/>
          <w:lang w:val="sr-Latn-ME"/>
        </w:rPr>
        <w:t xml:space="preserve"> </w:t>
      </w:r>
      <w:r w:rsidR="00DB44BC" w:rsidRPr="0086063B">
        <w:rPr>
          <w:sz w:val="22"/>
          <w:szCs w:val="22"/>
          <w:lang w:val="sr-Latn-ME"/>
        </w:rPr>
        <w:t>dejstva</w:t>
      </w:r>
      <w:r w:rsidR="00C436B9" w:rsidRPr="0086063B">
        <w:rPr>
          <w:sz w:val="22"/>
          <w:szCs w:val="22"/>
          <w:lang w:val="sr-Latn-ME"/>
        </w:rPr>
        <w:t xml:space="preserve"> povezana sa primjenom lijeka zbog kojih se moralo prekinuti liječenje kaspofunginom</w:t>
      </w:r>
      <w:r w:rsidRPr="0086063B">
        <w:rPr>
          <w:sz w:val="22"/>
          <w:szCs w:val="22"/>
          <w:lang w:val="sr-Latn-ME"/>
        </w:rPr>
        <w:t xml:space="preserve"> je bio uporediv</w:t>
      </w:r>
      <w:r w:rsidR="00C436B9" w:rsidRPr="0086063B">
        <w:rPr>
          <w:sz w:val="22"/>
          <w:szCs w:val="22"/>
          <w:lang w:val="sr-Latn-ME"/>
        </w:rPr>
        <w:t xml:space="preserve"> u obije grupe</w:t>
      </w:r>
      <w:r w:rsidRPr="0086063B">
        <w:rPr>
          <w:sz w:val="22"/>
          <w:szCs w:val="22"/>
          <w:lang w:val="sr-Latn-ME"/>
        </w:rPr>
        <w:t>.</w:t>
      </w:r>
    </w:p>
    <w:p w14:paraId="178F1131" w14:textId="77777777" w:rsidR="008F7D68" w:rsidRPr="0086063B" w:rsidRDefault="008F7D68" w:rsidP="00186EFF">
      <w:pPr>
        <w:tabs>
          <w:tab w:val="left" w:pos="284"/>
        </w:tabs>
        <w:jc w:val="both"/>
        <w:rPr>
          <w:sz w:val="22"/>
          <w:szCs w:val="22"/>
          <w:u w:val="single"/>
          <w:lang w:val="sr-Latn-ME"/>
        </w:rPr>
      </w:pPr>
    </w:p>
    <w:p w14:paraId="66934204" w14:textId="77777777" w:rsidR="008F7D68" w:rsidRPr="0086063B" w:rsidRDefault="008F7D68" w:rsidP="00186EFF">
      <w:pPr>
        <w:tabs>
          <w:tab w:val="left" w:pos="284"/>
        </w:tabs>
        <w:jc w:val="both"/>
        <w:rPr>
          <w:i/>
          <w:sz w:val="22"/>
          <w:szCs w:val="22"/>
          <w:u w:val="single"/>
          <w:lang w:val="sr-Latn-ME"/>
        </w:rPr>
      </w:pPr>
      <w:r w:rsidRPr="0086063B">
        <w:rPr>
          <w:i/>
          <w:sz w:val="22"/>
          <w:szCs w:val="22"/>
          <w:u w:val="single"/>
          <w:lang w:val="sr-Latn-ME"/>
        </w:rPr>
        <w:t>Pedijatrijski pacijenti</w:t>
      </w:r>
    </w:p>
    <w:p w14:paraId="3A587CA7" w14:textId="1ACF9FC8" w:rsidR="008F7D68" w:rsidRPr="0086063B" w:rsidRDefault="008F7D68" w:rsidP="00186EFF">
      <w:pPr>
        <w:tabs>
          <w:tab w:val="left" w:pos="284"/>
        </w:tabs>
        <w:jc w:val="both"/>
        <w:rPr>
          <w:sz w:val="22"/>
          <w:szCs w:val="22"/>
          <w:lang w:val="sr-Latn-ME"/>
        </w:rPr>
      </w:pPr>
      <w:r w:rsidRPr="0086063B">
        <w:rPr>
          <w:sz w:val="22"/>
          <w:szCs w:val="22"/>
          <w:lang w:val="sr-Latn-ME"/>
        </w:rPr>
        <w:t>Podaci iz 5 kliničkih studija sa ukupno 171 pedijatrijskim pacijentom pokazuju da ukupna učestalost kliničkih neželjenih d</w:t>
      </w:r>
      <w:r w:rsidR="0038081D" w:rsidRPr="0086063B">
        <w:rPr>
          <w:sz w:val="22"/>
          <w:szCs w:val="22"/>
          <w:lang w:val="sr-Latn-ME"/>
        </w:rPr>
        <w:t>ejst</w:t>
      </w:r>
      <w:r w:rsidRPr="0086063B">
        <w:rPr>
          <w:sz w:val="22"/>
          <w:szCs w:val="22"/>
          <w:lang w:val="sr-Latn-ME"/>
        </w:rPr>
        <w:t>a</w:t>
      </w:r>
      <w:r w:rsidR="0038081D" w:rsidRPr="0086063B">
        <w:rPr>
          <w:sz w:val="22"/>
          <w:szCs w:val="22"/>
          <w:lang w:val="sr-Latn-ME"/>
        </w:rPr>
        <w:t>va</w:t>
      </w:r>
      <w:r w:rsidRPr="0086063B">
        <w:rPr>
          <w:sz w:val="22"/>
          <w:szCs w:val="22"/>
          <w:lang w:val="sr-Latn-ME"/>
        </w:rPr>
        <w:t xml:space="preserve"> (26,3 %; 95%CI -19,9, 33,6) nije lošija nego što je zabilježeno kod odraslih pacijenata liječenih kaspofunginom (43,1%; 95% CI -40,0, 46,2). Međutim, pedijatrijski pacijenti vjerovatno imaju drugačiji profil neželjenih </w:t>
      </w:r>
      <w:r w:rsidR="00C436B9" w:rsidRPr="0086063B">
        <w:rPr>
          <w:sz w:val="22"/>
          <w:szCs w:val="22"/>
          <w:lang w:val="sr-Latn-ME"/>
        </w:rPr>
        <w:t>dejstava</w:t>
      </w:r>
      <w:r w:rsidRPr="0086063B">
        <w:rPr>
          <w:sz w:val="22"/>
          <w:szCs w:val="22"/>
          <w:lang w:val="sr-Latn-ME"/>
        </w:rPr>
        <w:t xml:space="preserve"> u odnosu na odrasle pacijente. Najčešć</w:t>
      </w:r>
      <w:r w:rsidR="00C436B9" w:rsidRPr="0086063B">
        <w:rPr>
          <w:sz w:val="22"/>
          <w:szCs w:val="22"/>
          <w:lang w:val="sr-Latn-ME"/>
        </w:rPr>
        <w:t>a</w:t>
      </w:r>
      <w:r w:rsidRPr="0086063B">
        <w:rPr>
          <w:sz w:val="22"/>
          <w:szCs w:val="22"/>
          <w:lang w:val="sr-Latn-ME"/>
        </w:rPr>
        <w:t xml:space="preserve"> neželjen</w:t>
      </w:r>
      <w:r w:rsidR="00C436B9" w:rsidRPr="0086063B">
        <w:rPr>
          <w:sz w:val="22"/>
          <w:szCs w:val="22"/>
          <w:lang w:val="sr-Latn-ME"/>
        </w:rPr>
        <w:t>a dejstva</w:t>
      </w:r>
      <w:r w:rsidRPr="0086063B">
        <w:rPr>
          <w:sz w:val="22"/>
          <w:szCs w:val="22"/>
          <w:lang w:val="sr-Latn-ME"/>
        </w:rPr>
        <w:t xml:space="preserve"> povezan</w:t>
      </w:r>
      <w:r w:rsidR="00C436B9" w:rsidRPr="0086063B">
        <w:rPr>
          <w:sz w:val="22"/>
          <w:szCs w:val="22"/>
          <w:lang w:val="sr-Latn-ME"/>
        </w:rPr>
        <w:t>a</w:t>
      </w:r>
      <w:r w:rsidRPr="0086063B">
        <w:rPr>
          <w:sz w:val="22"/>
          <w:szCs w:val="22"/>
          <w:lang w:val="sr-Latn-ME"/>
        </w:rPr>
        <w:t xml:space="preserve"> sa primjenom kaspofungina zabilježen</w:t>
      </w:r>
      <w:r w:rsidR="00C436B9" w:rsidRPr="0086063B">
        <w:rPr>
          <w:sz w:val="22"/>
          <w:szCs w:val="22"/>
          <w:lang w:val="sr-Latn-ME"/>
        </w:rPr>
        <w:t>a</w:t>
      </w:r>
      <w:r w:rsidRPr="0086063B">
        <w:rPr>
          <w:sz w:val="22"/>
          <w:szCs w:val="22"/>
          <w:lang w:val="sr-Latn-ME"/>
        </w:rPr>
        <w:t xml:space="preserve"> kod pedijatrijskih pacijenata bil</w:t>
      </w:r>
      <w:r w:rsidR="00C436B9" w:rsidRPr="0086063B">
        <w:rPr>
          <w:sz w:val="22"/>
          <w:szCs w:val="22"/>
          <w:lang w:val="sr-Latn-ME"/>
        </w:rPr>
        <w:t>a</w:t>
      </w:r>
      <w:r w:rsidRPr="0086063B">
        <w:rPr>
          <w:sz w:val="22"/>
          <w:szCs w:val="22"/>
          <w:lang w:val="sr-Latn-ME"/>
        </w:rPr>
        <w:t xml:space="preserve"> su pireksija (11,7%), osip (4,7%) i glavobolja (2,9%). </w:t>
      </w:r>
    </w:p>
    <w:p w14:paraId="6FB2ED67" w14:textId="77777777" w:rsidR="008F7D68" w:rsidRPr="0086063B" w:rsidRDefault="008F7D68" w:rsidP="00186EFF">
      <w:pPr>
        <w:tabs>
          <w:tab w:val="left" w:pos="284"/>
        </w:tabs>
        <w:jc w:val="both"/>
        <w:rPr>
          <w:sz w:val="22"/>
          <w:szCs w:val="22"/>
          <w:lang w:val="sr-Latn-ME"/>
        </w:rPr>
      </w:pPr>
    </w:p>
    <w:p w14:paraId="3E4A8759" w14:textId="77777777" w:rsidR="008F7D68" w:rsidRPr="0086063B" w:rsidRDefault="008F7D68" w:rsidP="00186EFF">
      <w:pPr>
        <w:tabs>
          <w:tab w:val="left" w:pos="284"/>
        </w:tabs>
        <w:jc w:val="both"/>
        <w:rPr>
          <w:sz w:val="22"/>
          <w:szCs w:val="22"/>
          <w:lang w:val="sr-Latn-ME"/>
        </w:rPr>
      </w:pPr>
    </w:p>
    <w:p w14:paraId="4C372FC8" w14:textId="77777777" w:rsidR="008F7D68" w:rsidRPr="0086063B" w:rsidRDefault="008F7D68" w:rsidP="00186EFF">
      <w:pPr>
        <w:tabs>
          <w:tab w:val="left" w:pos="284"/>
        </w:tabs>
        <w:jc w:val="both"/>
        <w:rPr>
          <w:sz w:val="22"/>
          <w:szCs w:val="22"/>
          <w:u w:val="single"/>
          <w:lang w:val="sr-Latn-ME"/>
        </w:rPr>
      </w:pPr>
      <w:r w:rsidRPr="0086063B">
        <w:rPr>
          <w:sz w:val="22"/>
          <w:szCs w:val="22"/>
          <w:u w:val="single"/>
          <w:lang w:val="sr-Latn-ME"/>
        </w:rPr>
        <w:t>Tabelarni prikaz neželjenih dejstava</w:t>
      </w:r>
    </w:p>
    <w:p w14:paraId="7C30EC4F" w14:textId="77777777" w:rsidR="008F7D68" w:rsidRPr="0086063B" w:rsidRDefault="008F7D68" w:rsidP="00186EFF">
      <w:pPr>
        <w:tabs>
          <w:tab w:val="left" w:pos="284"/>
        </w:tabs>
        <w:jc w:val="both"/>
        <w:rPr>
          <w:sz w:val="22"/>
          <w:szCs w:val="22"/>
          <w:lang w:val="sr-Latn-ME"/>
        </w:rPr>
      </w:pPr>
    </w:p>
    <w:p w14:paraId="7BE69F09" w14:textId="77777777" w:rsidR="008F7D68" w:rsidRPr="0086063B" w:rsidRDefault="008F7D68" w:rsidP="00186EFF">
      <w:pPr>
        <w:tabs>
          <w:tab w:val="left" w:pos="284"/>
        </w:tabs>
        <w:jc w:val="both"/>
        <w:rPr>
          <w:sz w:val="22"/>
          <w:szCs w:val="22"/>
          <w:lang w:val="sr-Latn-ME"/>
        </w:rPr>
      </w:pPr>
      <w:r w:rsidRPr="0086063B">
        <w:rPr>
          <w:sz w:val="22"/>
          <w:szCs w:val="22"/>
          <w:lang w:val="sr-Latn-ME"/>
        </w:rPr>
        <w:t>Prijavljena su sljedeća neželjena dejstva: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489"/>
        <w:gridCol w:w="2489"/>
      </w:tblGrid>
      <w:tr w:rsidR="008F7D68" w:rsidRPr="0086063B" w14:paraId="40591747" w14:textId="77777777" w:rsidTr="008F7D68">
        <w:tc>
          <w:tcPr>
            <w:tcW w:w="2489" w:type="dxa"/>
            <w:shd w:val="clear" w:color="auto" w:fill="auto"/>
          </w:tcPr>
          <w:p w14:paraId="597024B6" w14:textId="77777777" w:rsidR="008F7D68" w:rsidRPr="0086063B" w:rsidRDefault="008F7D68" w:rsidP="00186EFF">
            <w:pPr>
              <w:tabs>
                <w:tab w:val="left" w:pos="284"/>
              </w:tabs>
              <w:jc w:val="both"/>
              <w:rPr>
                <w:b/>
                <w:bCs/>
                <w:i/>
                <w:iCs/>
                <w:sz w:val="22"/>
                <w:szCs w:val="22"/>
                <w:lang w:val="sr-Latn-ME"/>
              </w:rPr>
            </w:pPr>
            <w:r w:rsidRPr="0086063B">
              <w:rPr>
                <w:b/>
                <w:bCs/>
                <w:i/>
                <w:iCs/>
                <w:sz w:val="22"/>
                <w:szCs w:val="22"/>
                <w:lang w:val="sr-Latn-ME"/>
              </w:rPr>
              <w:t>Klasifikacija</w:t>
            </w:r>
          </w:p>
          <w:p w14:paraId="3E3D517A" w14:textId="77777777" w:rsidR="008F7D68" w:rsidRPr="0086063B" w:rsidRDefault="008F7D68" w:rsidP="00186EFF">
            <w:pPr>
              <w:tabs>
                <w:tab w:val="left" w:pos="284"/>
              </w:tabs>
              <w:jc w:val="both"/>
              <w:rPr>
                <w:sz w:val="22"/>
                <w:szCs w:val="22"/>
                <w:lang w:val="sr-Latn-ME"/>
              </w:rPr>
            </w:pPr>
            <w:r w:rsidRPr="0086063B">
              <w:rPr>
                <w:b/>
                <w:bCs/>
                <w:i/>
                <w:iCs/>
                <w:sz w:val="22"/>
                <w:szCs w:val="22"/>
                <w:lang w:val="sr-Latn-ME"/>
              </w:rPr>
              <w:t>Sistema organa</w:t>
            </w:r>
          </w:p>
        </w:tc>
        <w:tc>
          <w:tcPr>
            <w:tcW w:w="2489" w:type="dxa"/>
            <w:shd w:val="clear" w:color="auto" w:fill="auto"/>
          </w:tcPr>
          <w:p w14:paraId="516B9CB8" w14:textId="77777777" w:rsidR="008F7D68" w:rsidRPr="0086063B" w:rsidRDefault="008F7D68" w:rsidP="00186EFF">
            <w:pPr>
              <w:tabs>
                <w:tab w:val="left" w:pos="284"/>
              </w:tabs>
              <w:jc w:val="both"/>
              <w:rPr>
                <w:b/>
                <w:sz w:val="22"/>
                <w:szCs w:val="22"/>
                <w:lang w:val="sr-Latn-ME"/>
              </w:rPr>
            </w:pPr>
            <w:r w:rsidRPr="0086063B">
              <w:rPr>
                <w:b/>
                <w:i/>
                <w:iCs/>
                <w:sz w:val="22"/>
                <w:szCs w:val="22"/>
                <w:lang w:val="sr-Latn-ME"/>
              </w:rPr>
              <w:t>Veoma česta (</w:t>
            </w:r>
            <w:r w:rsidRPr="0086063B">
              <w:rPr>
                <w:b/>
                <w:i/>
                <w:iCs/>
                <w:sz w:val="22"/>
                <w:szCs w:val="22"/>
                <w:lang w:val="sr-Latn-ME"/>
              </w:rPr>
              <w:sym w:font="Symbol" w:char="F0B3"/>
            </w:r>
            <w:r w:rsidRPr="0086063B">
              <w:rPr>
                <w:b/>
                <w:i/>
                <w:iCs/>
                <w:sz w:val="22"/>
                <w:szCs w:val="22"/>
                <w:lang w:val="sr-Latn-ME"/>
              </w:rPr>
              <w:t xml:space="preserve"> 1/10)</w:t>
            </w:r>
          </w:p>
        </w:tc>
        <w:tc>
          <w:tcPr>
            <w:tcW w:w="2489" w:type="dxa"/>
            <w:shd w:val="clear" w:color="auto" w:fill="auto"/>
          </w:tcPr>
          <w:p w14:paraId="28683229" w14:textId="77777777" w:rsidR="008F7D68" w:rsidRPr="0086063B" w:rsidRDefault="008F7D68" w:rsidP="00186EFF">
            <w:pPr>
              <w:tabs>
                <w:tab w:val="left" w:pos="284"/>
              </w:tabs>
              <w:jc w:val="both"/>
              <w:rPr>
                <w:b/>
                <w:i/>
                <w:sz w:val="22"/>
                <w:szCs w:val="22"/>
                <w:lang w:val="sr-Latn-ME"/>
              </w:rPr>
            </w:pPr>
            <w:r w:rsidRPr="0086063B">
              <w:rPr>
                <w:b/>
                <w:i/>
                <w:sz w:val="22"/>
                <w:szCs w:val="22"/>
                <w:lang w:val="sr-Latn-ME"/>
              </w:rPr>
              <w:t>Česta (</w:t>
            </w:r>
            <w:r w:rsidRPr="0086063B">
              <w:rPr>
                <w:i/>
                <w:iCs/>
                <w:sz w:val="22"/>
                <w:szCs w:val="22"/>
                <w:lang w:val="sr-Latn-ME"/>
              </w:rPr>
              <w:sym w:font="Symbol" w:char="F0B3"/>
            </w:r>
            <w:r w:rsidRPr="0086063B">
              <w:rPr>
                <w:b/>
                <w:i/>
                <w:sz w:val="22"/>
                <w:szCs w:val="22"/>
                <w:lang w:val="sr-Latn-ME"/>
              </w:rPr>
              <w:t xml:space="preserve"> 1/100 i </w:t>
            </w:r>
            <w:r w:rsidRPr="0086063B">
              <w:rPr>
                <w:b/>
                <w:i/>
                <w:iCs/>
                <w:sz w:val="22"/>
                <w:szCs w:val="22"/>
                <w:lang w:val="sr-Latn-ME"/>
              </w:rPr>
              <w:sym w:font="Symbol" w:char="F03C"/>
            </w:r>
            <w:r w:rsidRPr="0086063B">
              <w:rPr>
                <w:b/>
                <w:i/>
                <w:iCs/>
                <w:sz w:val="22"/>
                <w:szCs w:val="22"/>
                <w:lang w:val="sr-Latn-ME"/>
              </w:rPr>
              <w:t xml:space="preserve"> </w:t>
            </w:r>
            <w:r w:rsidRPr="0086063B">
              <w:rPr>
                <w:b/>
                <w:i/>
                <w:sz w:val="22"/>
                <w:szCs w:val="22"/>
                <w:lang w:val="sr-Latn-ME"/>
              </w:rPr>
              <w:t xml:space="preserve"> 1/10)</w:t>
            </w:r>
          </w:p>
        </w:tc>
      </w:tr>
      <w:tr w:rsidR="008F7D68" w:rsidRPr="0086063B" w14:paraId="7085D5D9" w14:textId="77777777" w:rsidTr="00186EFF">
        <w:tc>
          <w:tcPr>
            <w:tcW w:w="2489" w:type="dxa"/>
            <w:shd w:val="clear" w:color="auto" w:fill="auto"/>
          </w:tcPr>
          <w:p w14:paraId="34DEC41A" w14:textId="77777777" w:rsidR="008F7D68" w:rsidRPr="0086063B" w:rsidRDefault="008F7D68" w:rsidP="00186EFF">
            <w:pPr>
              <w:tabs>
                <w:tab w:val="left" w:pos="284"/>
              </w:tabs>
              <w:jc w:val="both"/>
              <w:rPr>
                <w:b/>
                <w:i/>
                <w:sz w:val="22"/>
                <w:szCs w:val="22"/>
                <w:lang w:val="sr-Latn-ME"/>
              </w:rPr>
            </w:pPr>
            <w:r w:rsidRPr="0086063B">
              <w:rPr>
                <w:b/>
                <w:i/>
                <w:sz w:val="22"/>
                <w:szCs w:val="22"/>
                <w:lang w:val="sr-Latn-ME"/>
              </w:rPr>
              <w:t>Poremećaji na nivou krvi i limfnog sistema</w:t>
            </w:r>
          </w:p>
          <w:p w14:paraId="6115F3F5" w14:textId="77777777" w:rsidR="008F7D68" w:rsidRPr="0086063B" w:rsidRDefault="008F7D68" w:rsidP="00186EFF">
            <w:pPr>
              <w:tabs>
                <w:tab w:val="left" w:pos="284"/>
              </w:tabs>
              <w:jc w:val="both"/>
              <w:rPr>
                <w:sz w:val="22"/>
                <w:szCs w:val="22"/>
                <w:lang w:val="sr-Latn-ME"/>
              </w:rPr>
            </w:pPr>
          </w:p>
        </w:tc>
        <w:tc>
          <w:tcPr>
            <w:tcW w:w="2489" w:type="dxa"/>
            <w:shd w:val="clear" w:color="auto" w:fill="auto"/>
          </w:tcPr>
          <w:p w14:paraId="223CE808"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159E2F36" w14:textId="77777777" w:rsidR="008F7D68" w:rsidRPr="0086063B" w:rsidRDefault="008F7D68" w:rsidP="002C5194">
            <w:pPr>
              <w:tabs>
                <w:tab w:val="left" w:pos="284"/>
              </w:tabs>
              <w:rPr>
                <w:sz w:val="22"/>
                <w:szCs w:val="22"/>
                <w:lang w:val="sr-Latn-ME"/>
              </w:rPr>
            </w:pPr>
            <w:r w:rsidRPr="0086063B">
              <w:rPr>
                <w:sz w:val="22"/>
                <w:szCs w:val="22"/>
                <w:lang w:val="sr-Latn-ME"/>
              </w:rPr>
              <w:t>povećanje broja eozinofila</w:t>
            </w:r>
          </w:p>
        </w:tc>
      </w:tr>
      <w:tr w:rsidR="008F7D68" w:rsidRPr="0086063B" w14:paraId="0CE6A79A" w14:textId="77777777" w:rsidTr="00186EFF">
        <w:tc>
          <w:tcPr>
            <w:tcW w:w="2489" w:type="dxa"/>
            <w:shd w:val="clear" w:color="auto" w:fill="auto"/>
          </w:tcPr>
          <w:p w14:paraId="5969DE9D"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Poremećaji nervnog sistema</w:t>
            </w:r>
          </w:p>
          <w:p w14:paraId="4D8E25BE" w14:textId="77777777" w:rsidR="008F7D68" w:rsidRPr="0086063B" w:rsidRDefault="008F7D68" w:rsidP="00186EFF">
            <w:pPr>
              <w:tabs>
                <w:tab w:val="left" w:pos="284"/>
              </w:tabs>
              <w:ind w:right="65"/>
              <w:jc w:val="both"/>
              <w:rPr>
                <w:b/>
                <w:i/>
                <w:sz w:val="22"/>
                <w:szCs w:val="22"/>
                <w:lang w:val="sr-Latn-ME"/>
              </w:rPr>
            </w:pPr>
          </w:p>
        </w:tc>
        <w:tc>
          <w:tcPr>
            <w:tcW w:w="2489" w:type="dxa"/>
            <w:shd w:val="clear" w:color="auto" w:fill="auto"/>
          </w:tcPr>
          <w:p w14:paraId="614ADBC3"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0FDDBDB5" w14:textId="77777777" w:rsidR="008F7D68" w:rsidRPr="0086063B" w:rsidRDefault="008F7D68" w:rsidP="002C5194">
            <w:pPr>
              <w:tabs>
                <w:tab w:val="left" w:pos="284"/>
              </w:tabs>
              <w:rPr>
                <w:sz w:val="22"/>
                <w:szCs w:val="22"/>
                <w:lang w:val="sr-Latn-ME"/>
              </w:rPr>
            </w:pPr>
            <w:r w:rsidRPr="0086063B">
              <w:rPr>
                <w:sz w:val="22"/>
                <w:szCs w:val="22"/>
                <w:lang w:val="sr-Latn-ME"/>
              </w:rPr>
              <w:t>glavobolja</w:t>
            </w:r>
          </w:p>
          <w:p w14:paraId="48C37184" w14:textId="77777777" w:rsidR="008F7D68" w:rsidRPr="0086063B" w:rsidRDefault="008F7D68">
            <w:pPr>
              <w:tabs>
                <w:tab w:val="left" w:pos="284"/>
              </w:tabs>
              <w:rPr>
                <w:sz w:val="22"/>
                <w:szCs w:val="22"/>
                <w:lang w:val="sr-Latn-ME"/>
              </w:rPr>
            </w:pPr>
          </w:p>
        </w:tc>
      </w:tr>
      <w:tr w:rsidR="008F7D68" w:rsidRPr="0086063B" w14:paraId="438BEC01" w14:textId="77777777" w:rsidTr="00186EFF">
        <w:tc>
          <w:tcPr>
            <w:tcW w:w="2489" w:type="dxa"/>
            <w:shd w:val="clear" w:color="auto" w:fill="auto"/>
          </w:tcPr>
          <w:p w14:paraId="07B87FD6"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Kardiološki poremećaji</w:t>
            </w:r>
          </w:p>
        </w:tc>
        <w:tc>
          <w:tcPr>
            <w:tcW w:w="2489" w:type="dxa"/>
            <w:shd w:val="clear" w:color="auto" w:fill="auto"/>
          </w:tcPr>
          <w:p w14:paraId="4C0CF3C2"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27F02A1A" w14:textId="77777777" w:rsidR="008F7D68" w:rsidRPr="0086063B" w:rsidRDefault="008F7D68" w:rsidP="002C5194">
            <w:pPr>
              <w:tabs>
                <w:tab w:val="left" w:pos="284"/>
              </w:tabs>
              <w:rPr>
                <w:sz w:val="22"/>
                <w:szCs w:val="22"/>
                <w:lang w:val="sr-Latn-ME"/>
              </w:rPr>
            </w:pPr>
            <w:r w:rsidRPr="0086063B">
              <w:rPr>
                <w:sz w:val="22"/>
                <w:szCs w:val="22"/>
                <w:lang w:val="sr-Latn-ME"/>
              </w:rPr>
              <w:t>tahikardija</w:t>
            </w:r>
          </w:p>
        </w:tc>
      </w:tr>
      <w:tr w:rsidR="008F7D68" w:rsidRPr="0086063B" w14:paraId="6556CD80" w14:textId="77777777" w:rsidTr="00186EFF">
        <w:tc>
          <w:tcPr>
            <w:tcW w:w="2489" w:type="dxa"/>
            <w:shd w:val="clear" w:color="auto" w:fill="auto"/>
          </w:tcPr>
          <w:p w14:paraId="69E9C3EB"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Vaskularni poremećaji</w:t>
            </w:r>
          </w:p>
        </w:tc>
        <w:tc>
          <w:tcPr>
            <w:tcW w:w="2489" w:type="dxa"/>
            <w:shd w:val="clear" w:color="auto" w:fill="auto"/>
          </w:tcPr>
          <w:p w14:paraId="480DFB3E"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5B6C5070" w14:textId="77777777" w:rsidR="008F7D68" w:rsidRPr="0086063B" w:rsidRDefault="008F7D68" w:rsidP="002C5194">
            <w:pPr>
              <w:tabs>
                <w:tab w:val="left" w:pos="284"/>
              </w:tabs>
              <w:rPr>
                <w:sz w:val="22"/>
                <w:szCs w:val="22"/>
                <w:lang w:val="sr-Latn-ME"/>
              </w:rPr>
            </w:pPr>
            <w:r w:rsidRPr="0086063B">
              <w:rPr>
                <w:sz w:val="22"/>
                <w:szCs w:val="22"/>
                <w:lang w:val="sr-Latn-ME"/>
              </w:rPr>
              <w:t>crvenilo uz osećaj vrućine, hipotenzija</w:t>
            </w:r>
          </w:p>
        </w:tc>
      </w:tr>
      <w:tr w:rsidR="008F7D68" w:rsidRPr="0086063B" w14:paraId="4C7F3CC0" w14:textId="77777777" w:rsidTr="00186EFF">
        <w:tc>
          <w:tcPr>
            <w:tcW w:w="2489" w:type="dxa"/>
            <w:shd w:val="clear" w:color="auto" w:fill="auto"/>
          </w:tcPr>
          <w:p w14:paraId="4E168828"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lastRenderedPageBreak/>
              <w:t>Hepatobilijarni poremećaji</w:t>
            </w:r>
          </w:p>
        </w:tc>
        <w:tc>
          <w:tcPr>
            <w:tcW w:w="2489" w:type="dxa"/>
            <w:shd w:val="clear" w:color="auto" w:fill="auto"/>
          </w:tcPr>
          <w:p w14:paraId="51724C82"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28EDF93C" w14:textId="77777777" w:rsidR="008F7D68" w:rsidRPr="0086063B" w:rsidRDefault="008F7D68" w:rsidP="002C5194">
            <w:pPr>
              <w:tabs>
                <w:tab w:val="left" w:pos="284"/>
              </w:tabs>
              <w:rPr>
                <w:sz w:val="22"/>
                <w:szCs w:val="22"/>
                <w:lang w:val="sr-Latn-ME"/>
              </w:rPr>
            </w:pPr>
            <w:r w:rsidRPr="0086063B">
              <w:rPr>
                <w:sz w:val="22"/>
                <w:szCs w:val="22"/>
                <w:lang w:val="sr-Latn-ME"/>
              </w:rPr>
              <w:t>povišene vrijednosti enzima jetre (AST, ALT)</w:t>
            </w:r>
          </w:p>
        </w:tc>
      </w:tr>
      <w:tr w:rsidR="008F7D68" w:rsidRPr="0086063B" w14:paraId="7CC51A8B" w14:textId="77777777" w:rsidTr="00186EFF">
        <w:tc>
          <w:tcPr>
            <w:tcW w:w="2489" w:type="dxa"/>
            <w:shd w:val="clear" w:color="auto" w:fill="auto"/>
          </w:tcPr>
          <w:p w14:paraId="484A764E" w14:textId="77777777" w:rsidR="008F7D68" w:rsidRPr="0086063B" w:rsidRDefault="008F7D68" w:rsidP="00186EFF">
            <w:pPr>
              <w:tabs>
                <w:tab w:val="left" w:pos="284"/>
              </w:tabs>
              <w:ind w:right="65"/>
              <w:jc w:val="both"/>
              <w:rPr>
                <w:b/>
                <w:i/>
                <w:sz w:val="22"/>
                <w:szCs w:val="22"/>
                <w:lang w:val="sr-Latn-ME"/>
              </w:rPr>
            </w:pPr>
            <w:r w:rsidRPr="0086063B">
              <w:rPr>
                <w:b/>
                <w:i/>
                <w:sz w:val="22"/>
                <w:szCs w:val="22"/>
                <w:lang w:val="sr-Latn-ME"/>
              </w:rPr>
              <w:t>Poremećaji na nivou kože i potkožnog tkiva</w:t>
            </w:r>
          </w:p>
        </w:tc>
        <w:tc>
          <w:tcPr>
            <w:tcW w:w="2489" w:type="dxa"/>
            <w:shd w:val="clear" w:color="auto" w:fill="auto"/>
          </w:tcPr>
          <w:p w14:paraId="6BA95F08" w14:textId="77777777" w:rsidR="008F7D68" w:rsidRPr="0086063B" w:rsidRDefault="008F7D68" w:rsidP="00186EFF">
            <w:pPr>
              <w:tabs>
                <w:tab w:val="left" w:pos="284"/>
              </w:tabs>
              <w:jc w:val="both"/>
              <w:rPr>
                <w:sz w:val="22"/>
                <w:szCs w:val="22"/>
                <w:lang w:val="sr-Latn-ME"/>
              </w:rPr>
            </w:pPr>
          </w:p>
        </w:tc>
        <w:tc>
          <w:tcPr>
            <w:tcW w:w="2489" w:type="dxa"/>
            <w:shd w:val="clear" w:color="auto" w:fill="auto"/>
            <w:vAlign w:val="center"/>
          </w:tcPr>
          <w:p w14:paraId="5BAFA7CC" w14:textId="77777777" w:rsidR="008F7D68" w:rsidRPr="0086063B" w:rsidRDefault="008F7D68" w:rsidP="002C5194">
            <w:pPr>
              <w:tabs>
                <w:tab w:val="left" w:pos="284"/>
              </w:tabs>
              <w:rPr>
                <w:sz w:val="22"/>
                <w:szCs w:val="22"/>
                <w:lang w:val="sr-Latn-ME"/>
              </w:rPr>
            </w:pPr>
            <w:r w:rsidRPr="0086063B">
              <w:rPr>
                <w:sz w:val="22"/>
                <w:szCs w:val="22"/>
                <w:lang w:val="sr-Latn-ME"/>
              </w:rPr>
              <w:t>osip, pruritus</w:t>
            </w:r>
          </w:p>
        </w:tc>
      </w:tr>
      <w:tr w:rsidR="008F7D68" w:rsidRPr="0086063B" w14:paraId="029BD3E3" w14:textId="77777777" w:rsidTr="00186EFF">
        <w:tc>
          <w:tcPr>
            <w:tcW w:w="2489" w:type="dxa"/>
            <w:shd w:val="clear" w:color="auto" w:fill="auto"/>
          </w:tcPr>
          <w:p w14:paraId="309833BE" w14:textId="77777777" w:rsidR="008F7D68" w:rsidRPr="0086063B" w:rsidRDefault="008F7D68" w:rsidP="00E92A04">
            <w:pPr>
              <w:tabs>
                <w:tab w:val="center" w:pos="4536"/>
                <w:tab w:val="right" w:pos="9072"/>
              </w:tabs>
              <w:jc w:val="both"/>
              <w:rPr>
                <w:b/>
                <w:i/>
                <w:sz w:val="22"/>
                <w:szCs w:val="22"/>
                <w:lang w:val="sr-Latn-ME"/>
              </w:rPr>
            </w:pPr>
            <w:r w:rsidRPr="0086063B">
              <w:rPr>
                <w:b/>
                <w:i/>
                <w:sz w:val="22"/>
                <w:szCs w:val="22"/>
                <w:lang w:val="sr-Latn-ME"/>
              </w:rPr>
              <w:t>Opšti poremećaji i reakcije na mjestu primjene</w:t>
            </w:r>
          </w:p>
        </w:tc>
        <w:tc>
          <w:tcPr>
            <w:tcW w:w="2489" w:type="dxa"/>
            <w:shd w:val="clear" w:color="auto" w:fill="auto"/>
          </w:tcPr>
          <w:p w14:paraId="5A05D391" w14:textId="77777777" w:rsidR="008F7D68" w:rsidRPr="0086063B" w:rsidRDefault="008F7D68" w:rsidP="00186EFF">
            <w:pPr>
              <w:tabs>
                <w:tab w:val="left" w:pos="284"/>
              </w:tabs>
              <w:jc w:val="both"/>
              <w:rPr>
                <w:sz w:val="22"/>
                <w:szCs w:val="22"/>
                <w:lang w:val="sr-Latn-ME"/>
              </w:rPr>
            </w:pPr>
            <w:r w:rsidRPr="0086063B">
              <w:rPr>
                <w:sz w:val="22"/>
                <w:szCs w:val="22"/>
                <w:lang w:val="sr-Latn-ME"/>
              </w:rPr>
              <w:t>groznica</w:t>
            </w:r>
          </w:p>
        </w:tc>
        <w:tc>
          <w:tcPr>
            <w:tcW w:w="2489" w:type="dxa"/>
            <w:shd w:val="clear" w:color="auto" w:fill="auto"/>
            <w:vAlign w:val="center"/>
          </w:tcPr>
          <w:p w14:paraId="2C924FD2" w14:textId="77777777" w:rsidR="008F7D68" w:rsidRPr="0086063B" w:rsidRDefault="008F7D68" w:rsidP="002C5194">
            <w:pPr>
              <w:tabs>
                <w:tab w:val="left" w:pos="284"/>
              </w:tabs>
              <w:rPr>
                <w:sz w:val="22"/>
                <w:szCs w:val="22"/>
                <w:lang w:val="sr-Latn-ME"/>
              </w:rPr>
            </w:pPr>
            <w:r w:rsidRPr="0086063B">
              <w:rPr>
                <w:sz w:val="22"/>
                <w:szCs w:val="22"/>
                <w:lang w:val="sr-Latn-ME"/>
              </w:rPr>
              <w:t>drhtavica, bol na mjestu postavljanja katetera</w:t>
            </w:r>
          </w:p>
          <w:p w14:paraId="040D0595" w14:textId="77777777" w:rsidR="008F7D68" w:rsidRPr="0086063B" w:rsidRDefault="008F7D68">
            <w:pPr>
              <w:tabs>
                <w:tab w:val="left" w:pos="284"/>
              </w:tabs>
              <w:rPr>
                <w:sz w:val="22"/>
                <w:szCs w:val="22"/>
                <w:lang w:val="sr-Latn-ME"/>
              </w:rPr>
            </w:pPr>
          </w:p>
        </w:tc>
      </w:tr>
      <w:tr w:rsidR="008F7D68" w:rsidRPr="0086063B" w14:paraId="3C55D5D4" w14:textId="77777777" w:rsidTr="00186EFF">
        <w:tc>
          <w:tcPr>
            <w:tcW w:w="2489" w:type="dxa"/>
            <w:shd w:val="clear" w:color="auto" w:fill="auto"/>
          </w:tcPr>
          <w:p w14:paraId="2F1C6C21" w14:textId="77777777" w:rsidR="008F7D68" w:rsidRPr="0086063B" w:rsidRDefault="008F7D68" w:rsidP="00E92A04">
            <w:pPr>
              <w:tabs>
                <w:tab w:val="center" w:pos="4536"/>
                <w:tab w:val="right" w:pos="9072"/>
              </w:tabs>
              <w:jc w:val="both"/>
              <w:rPr>
                <w:b/>
                <w:i/>
                <w:sz w:val="22"/>
                <w:szCs w:val="22"/>
                <w:lang w:val="sr-Latn-ME"/>
              </w:rPr>
            </w:pPr>
            <w:r w:rsidRPr="0086063B">
              <w:rPr>
                <w:b/>
                <w:i/>
                <w:sz w:val="22"/>
                <w:szCs w:val="22"/>
                <w:lang w:val="sr-Latn-ME"/>
              </w:rPr>
              <w:t>Laboratorijska ispitivanja</w:t>
            </w:r>
          </w:p>
        </w:tc>
        <w:tc>
          <w:tcPr>
            <w:tcW w:w="2489" w:type="dxa"/>
            <w:shd w:val="clear" w:color="auto" w:fill="auto"/>
          </w:tcPr>
          <w:p w14:paraId="706CFE76" w14:textId="77777777" w:rsidR="008F7D68" w:rsidRPr="0086063B" w:rsidRDefault="008F7D68" w:rsidP="00186EFF">
            <w:pPr>
              <w:tabs>
                <w:tab w:val="left" w:pos="284"/>
              </w:tabs>
              <w:ind w:right="65"/>
              <w:jc w:val="both"/>
              <w:rPr>
                <w:sz w:val="22"/>
                <w:szCs w:val="22"/>
                <w:lang w:val="sr-Latn-ME"/>
              </w:rPr>
            </w:pPr>
          </w:p>
        </w:tc>
        <w:tc>
          <w:tcPr>
            <w:tcW w:w="2489" w:type="dxa"/>
            <w:shd w:val="clear" w:color="auto" w:fill="auto"/>
            <w:vAlign w:val="center"/>
          </w:tcPr>
          <w:p w14:paraId="206AE8DC" w14:textId="77777777" w:rsidR="008F7D68" w:rsidRPr="0086063B" w:rsidRDefault="008F7D68" w:rsidP="002C5194">
            <w:pPr>
              <w:tabs>
                <w:tab w:val="left" w:pos="284"/>
              </w:tabs>
              <w:rPr>
                <w:sz w:val="22"/>
                <w:szCs w:val="22"/>
                <w:lang w:val="sr-Latn-ME"/>
              </w:rPr>
            </w:pPr>
            <w:r w:rsidRPr="0086063B">
              <w:rPr>
                <w:sz w:val="22"/>
                <w:szCs w:val="22"/>
                <w:lang w:val="sr-Latn-ME"/>
              </w:rPr>
              <w:t>snižene vrijednosti kalijuma u krvi, hipomagnezijemija, povišene vrijednosti glukoze, snižene vrijednosti fosfora, povišene vrijednosti fosfora</w:t>
            </w:r>
          </w:p>
          <w:p w14:paraId="4073FA4B" w14:textId="77777777" w:rsidR="008F7D68" w:rsidRPr="0086063B" w:rsidRDefault="008F7D68">
            <w:pPr>
              <w:tabs>
                <w:tab w:val="left" w:pos="284"/>
              </w:tabs>
              <w:rPr>
                <w:sz w:val="22"/>
                <w:szCs w:val="22"/>
                <w:lang w:val="sr-Latn-ME"/>
              </w:rPr>
            </w:pPr>
          </w:p>
        </w:tc>
      </w:tr>
    </w:tbl>
    <w:p w14:paraId="43F903E7" w14:textId="77777777" w:rsidR="008F7D68" w:rsidRPr="0086063B" w:rsidRDefault="008F7D68" w:rsidP="00186EFF">
      <w:pPr>
        <w:tabs>
          <w:tab w:val="left" w:pos="284"/>
        </w:tabs>
        <w:jc w:val="both"/>
        <w:rPr>
          <w:sz w:val="22"/>
          <w:szCs w:val="22"/>
          <w:lang w:val="sr-Latn-ME"/>
        </w:rPr>
      </w:pPr>
    </w:p>
    <w:p w14:paraId="43177F3F" w14:textId="77777777" w:rsidR="008F7D68" w:rsidRPr="0086063B" w:rsidRDefault="008F7D68" w:rsidP="00186EFF">
      <w:pPr>
        <w:spacing w:after="200" w:line="276" w:lineRule="auto"/>
        <w:jc w:val="both"/>
        <w:rPr>
          <w:rFonts w:eastAsia="Calibri"/>
          <w:sz w:val="22"/>
          <w:szCs w:val="22"/>
          <w:u w:val="single"/>
          <w:lang w:val="sr-Latn-ME"/>
        </w:rPr>
      </w:pPr>
    </w:p>
    <w:p w14:paraId="15D879F9" w14:textId="77777777" w:rsidR="005A23D2" w:rsidRPr="0086063B" w:rsidRDefault="005A23D2" w:rsidP="00186EFF">
      <w:pPr>
        <w:spacing w:after="200" w:line="276" w:lineRule="auto"/>
        <w:jc w:val="both"/>
        <w:rPr>
          <w:rFonts w:eastAsia="Calibri"/>
          <w:sz w:val="22"/>
          <w:szCs w:val="22"/>
          <w:u w:val="single"/>
          <w:lang w:val="sr-Latn-ME"/>
        </w:rPr>
      </w:pPr>
      <w:r w:rsidRPr="0086063B">
        <w:rPr>
          <w:rFonts w:eastAsia="Calibri"/>
          <w:sz w:val="22"/>
          <w:szCs w:val="22"/>
          <w:u w:val="single"/>
          <w:lang w:val="sr-Latn-ME"/>
        </w:rPr>
        <w:t>Prijavljivanje sumnji na neželjena dejstva</w:t>
      </w:r>
    </w:p>
    <w:p w14:paraId="2CCBF0C4" w14:textId="2A316EAF" w:rsidR="005A23D2" w:rsidRPr="0086063B" w:rsidRDefault="005A23D2" w:rsidP="00E92A04">
      <w:pPr>
        <w:spacing w:after="200"/>
        <w:jc w:val="both"/>
        <w:rPr>
          <w:rFonts w:eastAsia="Calibri"/>
          <w:sz w:val="22"/>
          <w:szCs w:val="22"/>
          <w:lang w:val="sr-Latn-ME"/>
        </w:rPr>
      </w:pPr>
      <w:r w:rsidRPr="0086063B">
        <w:rPr>
          <w:rFonts w:eastAsia="Calibri"/>
          <w:sz w:val="22"/>
          <w:szCs w:val="22"/>
          <w:lang w:val="sr-Latn-ME"/>
        </w:rPr>
        <w:t>Prijavljivanje neželjenih dejstava nakon dobijanja dozvole je od velikog značaja jer obezbjeđuje kont</w:t>
      </w:r>
      <w:r w:rsidR="00EA5765" w:rsidRPr="0086063B">
        <w:rPr>
          <w:rFonts w:eastAsia="Calibri"/>
          <w:sz w:val="22"/>
          <w:szCs w:val="22"/>
          <w:lang w:val="sr-Latn-ME"/>
        </w:rPr>
        <w:t>inuirano praćenje odnosa korist</w:t>
      </w:r>
      <w:r w:rsidRPr="0086063B">
        <w:rPr>
          <w:rFonts w:eastAsia="Calibri"/>
          <w:sz w:val="22"/>
          <w:szCs w:val="22"/>
          <w:lang w:val="sr-Latn-ME"/>
        </w:rPr>
        <w:t>/rizik primjene lijeka. Zdravstveni radnici treba da prijave svaku sumnju na neželjeno</w:t>
      </w:r>
      <w:r w:rsidR="009B062A" w:rsidRPr="0086063B">
        <w:rPr>
          <w:rFonts w:eastAsia="Calibri"/>
          <w:sz w:val="22"/>
          <w:szCs w:val="22"/>
          <w:lang w:val="sr-Latn-ME"/>
        </w:rPr>
        <w:t xml:space="preserve"> </w:t>
      </w:r>
      <w:r w:rsidRPr="0086063B">
        <w:rPr>
          <w:rFonts w:eastAsia="Calibri"/>
          <w:sz w:val="22"/>
          <w:szCs w:val="22"/>
          <w:lang w:val="sr-Latn-ME"/>
        </w:rPr>
        <w:t xml:space="preserve">dejstvo ovog lijeka </w:t>
      </w:r>
      <w:r w:rsidR="00C436B9" w:rsidRPr="0086063B">
        <w:rPr>
          <w:rFonts w:eastAsia="Calibri"/>
          <w:sz w:val="22"/>
          <w:szCs w:val="22"/>
          <w:lang w:val="sr-Latn-ME"/>
        </w:rPr>
        <w:t>Institutu za ljekove i medicinska sredstva (CInMED):</w:t>
      </w:r>
      <w:r w:rsidR="00C436B9" w:rsidRPr="0086063B" w:rsidDel="00C436B9">
        <w:rPr>
          <w:rFonts w:eastAsia="Calibri"/>
          <w:sz w:val="22"/>
          <w:szCs w:val="22"/>
          <w:lang w:val="sr-Latn-ME"/>
        </w:rPr>
        <w:t xml:space="preserve"> </w:t>
      </w:r>
    </w:p>
    <w:p w14:paraId="690A966F" w14:textId="77777777" w:rsidR="00C436B9" w:rsidRPr="0086063B" w:rsidRDefault="00C436B9" w:rsidP="00E92A04">
      <w:pPr>
        <w:pStyle w:val="NoSpacing"/>
        <w:jc w:val="both"/>
        <w:rPr>
          <w:rFonts w:eastAsia="Calibri"/>
          <w:sz w:val="22"/>
          <w:szCs w:val="22"/>
          <w:lang w:val="sr-Latn-ME"/>
        </w:rPr>
      </w:pPr>
      <w:r w:rsidRPr="0086063B">
        <w:rPr>
          <w:rFonts w:eastAsia="Calibri"/>
          <w:sz w:val="22"/>
          <w:szCs w:val="22"/>
          <w:lang w:val="sr-Latn-ME"/>
        </w:rPr>
        <w:t xml:space="preserve">Institut za ljekove i medicinska sredstva </w:t>
      </w:r>
    </w:p>
    <w:p w14:paraId="563A2087" w14:textId="77777777" w:rsidR="00C436B9" w:rsidRPr="0086063B" w:rsidRDefault="00C436B9" w:rsidP="00E92A04">
      <w:pPr>
        <w:pStyle w:val="NoSpacing"/>
        <w:jc w:val="both"/>
        <w:rPr>
          <w:rFonts w:eastAsia="Calibri"/>
          <w:sz w:val="22"/>
          <w:szCs w:val="22"/>
          <w:lang w:val="sr-Latn-ME"/>
        </w:rPr>
      </w:pPr>
      <w:r w:rsidRPr="0086063B">
        <w:rPr>
          <w:rFonts w:eastAsia="Calibri"/>
          <w:sz w:val="22"/>
          <w:szCs w:val="22"/>
          <w:lang w:val="sr-Latn-ME"/>
        </w:rPr>
        <w:t>Odjeljenje za farmakovigilancu</w:t>
      </w:r>
    </w:p>
    <w:p w14:paraId="0EFEACB8" w14:textId="77777777" w:rsidR="00C436B9" w:rsidRPr="0086063B" w:rsidRDefault="00C436B9">
      <w:pPr>
        <w:pStyle w:val="NoSpacing"/>
        <w:jc w:val="both"/>
        <w:rPr>
          <w:rFonts w:eastAsia="Calibri"/>
          <w:sz w:val="22"/>
          <w:szCs w:val="22"/>
          <w:lang w:val="sr-Latn-ME"/>
        </w:rPr>
      </w:pPr>
      <w:r w:rsidRPr="0086063B">
        <w:rPr>
          <w:rFonts w:eastAsia="Calibri"/>
          <w:sz w:val="22"/>
          <w:szCs w:val="22"/>
          <w:lang w:val="sr-Latn-ME"/>
        </w:rPr>
        <w:t>Bulevar Ivana Crnojevića 64a, 81000 Podgorica</w:t>
      </w:r>
    </w:p>
    <w:p w14:paraId="5B34C1DE" w14:textId="77777777" w:rsidR="00C436B9" w:rsidRPr="0086063B" w:rsidRDefault="00C436B9" w:rsidP="00186EFF">
      <w:pPr>
        <w:pStyle w:val="NoSpacing"/>
        <w:jc w:val="both"/>
        <w:rPr>
          <w:rFonts w:eastAsia="Calibri"/>
          <w:sz w:val="22"/>
          <w:szCs w:val="22"/>
          <w:lang w:val="sr-Latn-ME"/>
        </w:rPr>
      </w:pPr>
    </w:p>
    <w:p w14:paraId="11FE563D" w14:textId="77777777" w:rsidR="00C436B9" w:rsidRPr="0086063B" w:rsidRDefault="00C436B9" w:rsidP="00E92A04">
      <w:pPr>
        <w:pStyle w:val="NoSpacing"/>
        <w:jc w:val="both"/>
        <w:rPr>
          <w:rFonts w:eastAsia="Calibri"/>
          <w:sz w:val="22"/>
          <w:szCs w:val="22"/>
          <w:lang w:val="sr-Latn-ME"/>
        </w:rPr>
      </w:pPr>
      <w:r w:rsidRPr="0086063B">
        <w:rPr>
          <w:rFonts w:eastAsia="Calibri"/>
          <w:sz w:val="22"/>
          <w:szCs w:val="22"/>
          <w:lang w:val="sr-Latn-ME"/>
        </w:rPr>
        <w:t>tel: +382 (0) 20 310 280</w:t>
      </w:r>
    </w:p>
    <w:p w14:paraId="653F2DE9" w14:textId="77777777" w:rsidR="00C436B9" w:rsidRPr="0086063B" w:rsidRDefault="00C436B9" w:rsidP="00E92A04">
      <w:pPr>
        <w:pStyle w:val="NoSpacing"/>
        <w:jc w:val="both"/>
        <w:rPr>
          <w:rFonts w:eastAsia="Calibri"/>
          <w:sz w:val="22"/>
          <w:szCs w:val="22"/>
          <w:lang w:val="sr-Latn-ME"/>
        </w:rPr>
      </w:pPr>
      <w:r w:rsidRPr="0086063B">
        <w:rPr>
          <w:rFonts w:eastAsia="Calibri"/>
          <w:sz w:val="22"/>
          <w:szCs w:val="22"/>
          <w:lang w:val="sr-Latn-ME"/>
        </w:rPr>
        <w:t>fax: +382 (0) 20 310 581</w:t>
      </w:r>
    </w:p>
    <w:p w14:paraId="43D135FC" w14:textId="77777777" w:rsidR="00C436B9" w:rsidRPr="0086063B" w:rsidRDefault="00C154CE" w:rsidP="00E92A04">
      <w:pPr>
        <w:pStyle w:val="NoSpacing"/>
        <w:jc w:val="both"/>
        <w:rPr>
          <w:rFonts w:eastAsia="Calibri"/>
          <w:sz w:val="22"/>
          <w:szCs w:val="22"/>
          <w:lang w:val="sr-Latn-ME"/>
        </w:rPr>
      </w:pPr>
      <w:hyperlink r:id="rId12" w:history="1">
        <w:r w:rsidR="00C436B9" w:rsidRPr="0086063B">
          <w:rPr>
            <w:rStyle w:val="Hyperlink"/>
            <w:rFonts w:eastAsia="Calibri"/>
            <w:sz w:val="22"/>
            <w:szCs w:val="22"/>
            <w:lang w:val="sr-Latn-ME"/>
          </w:rPr>
          <w:t>www.cinmed.me</w:t>
        </w:r>
      </w:hyperlink>
    </w:p>
    <w:p w14:paraId="4C10E56E" w14:textId="77777777" w:rsidR="00C436B9" w:rsidRPr="0086063B" w:rsidRDefault="00C154CE" w:rsidP="00E92A04">
      <w:pPr>
        <w:pStyle w:val="NoSpacing"/>
        <w:jc w:val="both"/>
        <w:rPr>
          <w:rFonts w:eastAsia="Calibri"/>
          <w:color w:val="0000FF"/>
          <w:sz w:val="22"/>
          <w:szCs w:val="22"/>
          <w:u w:val="single"/>
          <w:lang w:val="sr-Latn-ME"/>
        </w:rPr>
      </w:pPr>
      <w:hyperlink r:id="rId13" w:history="1">
        <w:r w:rsidR="00C436B9" w:rsidRPr="0086063B">
          <w:rPr>
            <w:rStyle w:val="Hyperlink"/>
            <w:rFonts w:eastAsia="Calibri"/>
            <w:sz w:val="22"/>
            <w:szCs w:val="22"/>
            <w:lang w:val="sr-Latn-ME"/>
          </w:rPr>
          <w:t>nezeljenadejstva@cinmed.me</w:t>
        </w:r>
      </w:hyperlink>
    </w:p>
    <w:p w14:paraId="3F3E817B" w14:textId="77777777" w:rsidR="00C436B9" w:rsidRPr="0086063B" w:rsidRDefault="00C436B9">
      <w:pPr>
        <w:pStyle w:val="NoSpacing"/>
        <w:jc w:val="both"/>
        <w:rPr>
          <w:rFonts w:eastAsia="Calibri"/>
          <w:sz w:val="22"/>
          <w:szCs w:val="22"/>
          <w:lang w:val="sr-Latn-ME"/>
        </w:rPr>
      </w:pPr>
      <w:r w:rsidRPr="0086063B">
        <w:rPr>
          <w:rFonts w:eastAsia="Calibri"/>
          <w:sz w:val="22"/>
          <w:szCs w:val="22"/>
          <w:lang w:val="sr-Latn-ME"/>
        </w:rPr>
        <w:t>putem IS zdravstvene zaštite</w:t>
      </w:r>
    </w:p>
    <w:p w14:paraId="0595609C" w14:textId="77777777" w:rsidR="00563193" w:rsidRPr="0086063B" w:rsidRDefault="00563193" w:rsidP="00563193">
      <w:pPr>
        <w:pStyle w:val="NoSpacing"/>
        <w:jc w:val="both"/>
        <w:rPr>
          <w:rFonts w:eastAsia="Calibri"/>
          <w:sz w:val="22"/>
          <w:szCs w:val="22"/>
          <w:lang w:val="sr-Latn-ME"/>
        </w:rPr>
      </w:pPr>
      <w:r w:rsidRPr="0086063B">
        <w:rPr>
          <w:rFonts w:eastAsia="Calibri"/>
          <w:sz w:val="22"/>
          <w:szCs w:val="22"/>
          <w:lang w:val="sr-Latn-ME"/>
        </w:rPr>
        <w:t>QR kod za online prijavu sumnje na neželjeno dejstvo lijeka:</w:t>
      </w:r>
    </w:p>
    <w:p w14:paraId="4EA7EC0E" w14:textId="77777777" w:rsidR="00563193" w:rsidRPr="0086063B" w:rsidRDefault="00563193" w:rsidP="00563193">
      <w:pPr>
        <w:pStyle w:val="NoSpacing"/>
        <w:jc w:val="both"/>
        <w:rPr>
          <w:rFonts w:eastAsia="Calibri"/>
          <w:sz w:val="22"/>
          <w:szCs w:val="22"/>
          <w:lang w:val="sr-Latn-ME"/>
        </w:rPr>
      </w:pPr>
    </w:p>
    <w:p w14:paraId="1B17B572" w14:textId="580DDB1E" w:rsidR="00563193" w:rsidRPr="0086063B" w:rsidRDefault="00563193" w:rsidP="00563193">
      <w:pPr>
        <w:pStyle w:val="NoSpacing"/>
        <w:rPr>
          <w:rFonts w:eastAsia="Calibri"/>
          <w:sz w:val="22"/>
          <w:szCs w:val="22"/>
          <w:lang w:val="sr-Latn-ME"/>
        </w:rPr>
      </w:pPr>
      <w:r w:rsidRPr="0086063B">
        <w:rPr>
          <w:noProof/>
        </w:rPr>
        <w:drawing>
          <wp:inline distT="0" distB="0" distL="0" distR="0" wp14:anchorId="726E1E82" wp14:editId="4F0A4535">
            <wp:extent cx="971550" cy="971550"/>
            <wp:effectExtent l="0" t="0" r="0" b="0"/>
            <wp:docPr id="1" name="Picture 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798A084" w14:textId="77777777" w:rsidR="00563193" w:rsidRPr="0086063B" w:rsidRDefault="00563193" w:rsidP="00563193">
      <w:pPr>
        <w:tabs>
          <w:tab w:val="left" w:pos="540"/>
          <w:tab w:val="left" w:pos="569"/>
        </w:tabs>
        <w:rPr>
          <w:b/>
          <w:bCs/>
          <w:sz w:val="22"/>
          <w:szCs w:val="22"/>
          <w:lang w:val="sr-Latn-ME"/>
        </w:rPr>
      </w:pPr>
    </w:p>
    <w:p w14:paraId="56433390" w14:textId="77777777" w:rsidR="00836B35" w:rsidRPr="0086063B" w:rsidRDefault="00836B35" w:rsidP="00186EFF">
      <w:pPr>
        <w:tabs>
          <w:tab w:val="left" w:pos="540"/>
          <w:tab w:val="left" w:pos="569"/>
        </w:tabs>
        <w:jc w:val="both"/>
        <w:rPr>
          <w:b/>
          <w:bCs/>
          <w:sz w:val="22"/>
          <w:szCs w:val="22"/>
          <w:lang w:val="sr-Latn-ME"/>
        </w:rPr>
      </w:pPr>
    </w:p>
    <w:p w14:paraId="6B1DFE37" w14:textId="77777777" w:rsidR="00CD6F02"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4.9. </w:t>
      </w:r>
      <w:r w:rsidR="00480FB1" w:rsidRPr="0086063B">
        <w:rPr>
          <w:b/>
          <w:bCs/>
          <w:sz w:val="22"/>
          <w:szCs w:val="22"/>
          <w:lang w:val="sr-Latn-ME"/>
        </w:rPr>
        <w:tab/>
      </w:r>
      <w:r w:rsidRPr="0086063B">
        <w:rPr>
          <w:b/>
          <w:bCs/>
          <w:sz w:val="22"/>
          <w:szCs w:val="22"/>
          <w:lang w:val="sr-Latn-ME"/>
        </w:rPr>
        <w:t>Predoziranje</w:t>
      </w:r>
      <w:r w:rsidR="002846DB" w:rsidRPr="0086063B">
        <w:rPr>
          <w:b/>
          <w:bCs/>
          <w:sz w:val="22"/>
          <w:szCs w:val="22"/>
          <w:lang w:val="sr-Latn-ME"/>
        </w:rPr>
        <w:t xml:space="preserve"> </w:t>
      </w:r>
    </w:p>
    <w:p w14:paraId="78AE7B30" w14:textId="77777777" w:rsidR="00CD6F02" w:rsidRPr="0086063B" w:rsidRDefault="00CD6F02" w:rsidP="00186EFF">
      <w:pPr>
        <w:tabs>
          <w:tab w:val="left" w:pos="540"/>
          <w:tab w:val="left" w:pos="569"/>
        </w:tabs>
        <w:jc w:val="both"/>
        <w:rPr>
          <w:b/>
          <w:bCs/>
          <w:sz w:val="22"/>
          <w:szCs w:val="22"/>
          <w:lang w:val="sr-Latn-ME"/>
        </w:rPr>
      </w:pPr>
    </w:p>
    <w:p w14:paraId="4DF3B394" w14:textId="7127496D" w:rsidR="008F7D68" w:rsidRPr="0086063B" w:rsidRDefault="008F7D68" w:rsidP="00186EFF">
      <w:pPr>
        <w:tabs>
          <w:tab w:val="left" w:pos="540"/>
          <w:tab w:val="left" w:pos="569"/>
        </w:tabs>
        <w:jc w:val="both"/>
        <w:rPr>
          <w:b/>
          <w:bCs/>
          <w:sz w:val="22"/>
          <w:szCs w:val="22"/>
          <w:lang w:val="sr-Latn-ME"/>
        </w:rPr>
      </w:pPr>
      <w:r w:rsidRPr="0086063B">
        <w:rPr>
          <w:sz w:val="22"/>
          <w:szCs w:val="22"/>
          <w:lang w:val="sr-Latn-ME"/>
        </w:rPr>
        <w:t>Opisano je nenamjerno uzimanje kaspofungina u količini do 400 mg u jednom danu. To nije prouzrokovalo nikakv</w:t>
      </w:r>
      <w:r w:rsidR="00C436B9" w:rsidRPr="0086063B">
        <w:rPr>
          <w:sz w:val="22"/>
          <w:szCs w:val="22"/>
          <w:lang w:val="sr-Latn-ME"/>
        </w:rPr>
        <w:t>a</w:t>
      </w:r>
      <w:r w:rsidRPr="0086063B">
        <w:rPr>
          <w:sz w:val="22"/>
          <w:szCs w:val="22"/>
          <w:lang w:val="sr-Latn-ME"/>
        </w:rPr>
        <w:t xml:space="preserve"> klinički značajn</w:t>
      </w:r>
      <w:r w:rsidR="00C436B9" w:rsidRPr="0086063B">
        <w:rPr>
          <w:sz w:val="22"/>
          <w:szCs w:val="22"/>
          <w:lang w:val="sr-Latn-ME"/>
        </w:rPr>
        <w:t>a</w:t>
      </w:r>
      <w:r w:rsidRPr="0086063B">
        <w:rPr>
          <w:sz w:val="22"/>
          <w:szCs w:val="22"/>
          <w:lang w:val="sr-Latn-ME"/>
        </w:rPr>
        <w:t xml:space="preserve"> neže</w:t>
      </w:r>
      <w:r w:rsidR="00C436B9" w:rsidRPr="0086063B">
        <w:rPr>
          <w:sz w:val="22"/>
          <w:szCs w:val="22"/>
          <w:lang w:val="sr-Latn-ME"/>
        </w:rPr>
        <w:t>ljena dejstva</w:t>
      </w:r>
      <w:r w:rsidRPr="0086063B">
        <w:rPr>
          <w:sz w:val="22"/>
          <w:szCs w:val="22"/>
          <w:lang w:val="sr-Latn-ME"/>
        </w:rPr>
        <w:t>. Kaspofungin se ne može ukloniti iz organizma dijalizom.</w:t>
      </w:r>
    </w:p>
    <w:p w14:paraId="58B8E057" w14:textId="2B93B759" w:rsidR="00227BDB" w:rsidRPr="0086063B" w:rsidRDefault="00227BDB" w:rsidP="00186EFF">
      <w:pPr>
        <w:tabs>
          <w:tab w:val="left" w:pos="540"/>
          <w:tab w:val="left" w:pos="569"/>
        </w:tabs>
        <w:jc w:val="both"/>
        <w:rPr>
          <w:b/>
          <w:bCs/>
          <w:sz w:val="22"/>
          <w:szCs w:val="22"/>
          <w:lang w:val="sr-Latn-ME"/>
        </w:rPr>
      </w:pPr>
    </w:p>
    <w:p w14:paraId="5CEDABFE" w14:textId="77777777" w:rsidR="00227ECB" w:rsidRPr="0086063B" w:rsidRDefault="00227ECB" w:rsidP="00186EFF">
      <w:pPr>
        <w:tabs>
          <w:tab w:val="left" w:pos="540"/>
          <w:tab w:val="left" w:pos="569"/>
        </w:tabs>
        <w:jc w:val="both"/>
        <w:rPr>
          <w:b/>
          <w:bCs/>
          <w:sz w:val="22"/>
          <w:szCs w:val="22"/>
          <w:lang w:val="sr-Latn-ME"/>
        </w:rPr>
      </w:pPr>
    </w:p>
    <w:p w14:paraId="478345D8"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5. </w:t>
      </w:r>
      <w:r w:rsidR="00480FB1" w:rsidRPr="0086063B">
        <w:rPr>
          <w:b/>
          <w:bCs/>
          <w:sz w:val="22"/>
          <w:szCs w:val="22"/>
          <w:lang w:val="sr-Latn-ME"/>
        </w:rPr>
        <w:tab/>
      </w:r>
      <w:r w:rsidRPr="0086063B">
        <w:rPr>
          <w:b/>
          <w:bCs/>
          <w:sz w:val="22"/>
          <w:szCs w:val="22"/>
          <w:lang w:val="sr-Latn-ME"/>
        </w:rPr>
        <w:t>FARMAKOLOŠK</w:t>
      </w:r>
      <w:r w:rsidR="000D425A" w:rsidRPr="0086063B">
        <w:rPr>
          <w:b/>
          <w:bCs/>
          <w:sz w:val="22"/>
          <w:szCs w:val="22"/>
          <w:lang w:val="sr-Latn-ME"/>
        </w:rPr>
        <w:t>I</w:t>
      </w:r>
      <w:r w:rsidRPr="0086063B">
        <w:rPr>
          <w:b/>
          <w:bCs/>
          <w:sz w:val="22"/>
          <w:szCs w:val="22"/>
          <w:lang w:val="sr-Latn-ME"/>
        </w:rPr>
        <w:t xml:space="preserve"> PODACI</w:t>
      </w:r>
    </w:p>
    <w:p w14:paraId="121B39F3" w14:textId="77777777" w:rsidR="0072020E" w:rsidRPr="0086063B" w:rsidRDefault="0072020E" w:rsidP="00186EFF">
      <w:pPr>
        <w:tabs>
          <w:tab w:val="left" w:pos="540"/>
          <w:tab w:val="left" w:pos="569"/>
        </w:tabs>
        <w:jc w:val="both"/>
        <w:rPr>
          <w:b/>
          <w:bCs/>
          <w:sz w:val="22"/>
          <w:szCs w:val="22"/>
          <w:lang w:val="sr-Latn-ME"/>
        </w:rPr>
      </w:pPr>
    </w:p>
    <w:p w14:paraId="398AE7E2"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5.1. </w:t>
      </w:r>
      <w:r w:rsidR="00480FB1" w:rsidRPr="0086063B">
        <w:rPr>
          <w:b/>
          <w:bCs/>
          <w:sz w:val="22"/>
          <w:szCs w:val="22"/>
          <w:lang w:val="sr-Latn-ME"/>
        </w:rPr>
        <w:tab/>
      </w:r>
      <w:r w:rsidRPr="0086063B">
        <w:rPr>
          <w:b/>
          <w:bCs/>
          <w:sz w:val="22"/>
          <w:szCs w:val="22"/>
          <w:lang w:val="sr-Latn-ME"/>
        </w:rPr>
        <w:t>Farmakodinamski podaci</w:t>
      </w:r>
      <w:r w:rsidR="003A7059" w:rsidRPr="0086063B">
        <w:rPr>
          <w:b/>
          <w:bCs/>
          <w:sz w:val="22"/>
          <w:szCs w:val="22"/>
          <w:lang w:val="sr-Latn-ME"/>
        </w:rPr>
        <w:t xml:space="preserve"> </w:t>
      </w:r>
    </w:p>
    <w:p w14:paraId="20EEA351" w14:textId="77777777" w:rsidR="00F45F77" w:rsidRPr="0086063B" w:rsidRDefault="00F45F77" w:rsidP="00186EFF">
      <w:pPr>
        <w:tabs>
          <w:tab w:val="left" w:pos="540"/>
          <w:tab w:val="left" w:pos="569"/>
        </w:tabs>
        <w:jc w:val="both"/>
        <w:rPr>
          <w:b/>
          <w:bCs/>
          <w:sz w:val="22"/>
          <w:szCs w:val="22"/>
          <w:lang w:val="sr-Latn-ME"/>
        </w:rPr>
      </w:pPr>
    </w:p>
    <w:p w14:paraId="7DFC2893" w14:textId="1EFDFBA0" w:rsidR="0072020E" w:rsidRPr="0086063B" w:rsidRDefault="0072020E" w:rsidP="00186EFF">
      <w:pPr>
        <w:tabs>
          <w:tab w:val="left" w:pos="540"/>
          <w:tab w:val="left" w:pos="569"/>
        </w:tabs>
        <w:jc w:val="both"/>
        <w:rPr>
          <w:bCs/>
          <w:sz w:val="22"/>
          <w:szCs w:val="22"/>
          <w:lang w:val="sr-Latn-ME"/>
        </w:rPr>
      </w:pPr>
      <w:r w:rsidRPr="0086063B">
        <w:rPr>
          <w:bCs/>
          <w:sz w:val="22"/>
          <w:szCs w:val="22"/>
          <w:lang w:val="sr-Latn-ME"/>
        </w:rPr>
        <w:t>Farmakoterapijska grupa:</w:t>
      </w:r>
      <w:r w:rsidR="008F7D68" w:rsidRPr="0086063B">
        <w:rPr>
          <w:bCs/>
          <w:sz w:val="22"/>
          <w:szCs w:val="22"/>
          <w:lang w:val="sr-Latn-ME"/>
        </w:rPr>
        <w:t xml:space="preserve"> Ostali antimikotici za sistemsku upotrebu.</w:t>
      </w:r>
    </w:p>
    <w:p w14:paraId="4DAD7A8D" w14:textId="77777777" w:rsidR="0072020E" w:rsidRPr="0086063B" w:rsidRDefault="0072020E" w:rsidP="00186EFF">
      <w:pPr>
        <w:tabs>
          <w:tab w:val="left" w:pos="540"/>
          <w:tab w:val="left" w:pos="569"/>
        </w:tabs>
        <w:jc w:val="both"/>
        <w:rPr>
          <w:bCs/>
          <w:sz w:val="22"/>
          <w:szCs w:val="22"/>
          <w:lang w:val="sr-Latn-ME"/>
        </w:rPr>
      </w:pPr>
    </w:p>
    <w:p w14:paraId="13434379" w14:textId="04D8081C" w:rsidR="0072020E" w:rsidRPr="0086063B" w:rsidRDefault="0072020E" w:rsidP="00186EFF">
      <w:pPr>
        <w:tabs>
          <w:tab w:val="left" w:pos="540"/>
          <w:tab w:val="left" w:pos="569"/>
        </w:tabs>
        <w:jc w:val="both"/>
        <w:rPr>
          <w:bCs/>
          <w:sz w:val="22"/>
          <w:szCs w:val="22"/>
          <w:lang w:val="sr-Latn-ME"/>
        </w:rPr>
      </w:pPr>
      <w:r w:rsidRPr="0086063B">
        <w:rPr>
          <w:bCs/>
          <w:sz w:val="22"/>
          <w:szCs w:val="22"/>
          <w:lang w:val="sr-Latn-ME"/>
        </w:rPr>
        <w:lastRenderedPageBreak/>
        <w:t>ATC kod:</w:t>
      </w:r>
      <w:r w:rsidR="008F7D68" w:rsidRPr="0086063B">
        <w:rPr>
          <w:bCs/>
          <w:sz w:val="22"/>
          <w:szCs w:val="22"/>
          <w:lang w:val="sr-Latn-ME"/>
        </w:rPr>
        <w:t xml:space="preserve"> J02AX04</w:t>
      </w:r>
    </w:p>
    <w:p w14:paraId="1680410A" w14:textId="39266BF0" w:rsidR="002E37A5" w:rsidRPr="0086063B" w:rsidRDefault="002E37A5" w:rsidP="00186EFF">
      <w:pPr>
        <w:tabs>
          <w:tab w:val="left" w:pos="540"/>
          <w:tab w:val="left" w:pos="569"/>
        </w:tabs>
        <w:jc w:val="both"/>
        <w:rPr>
          <w:b/>
          <w:bCs/>
          <w:sz w:val="22"/>
          <w:szCs w:val="22"/>
          <w:lang w:val="sr-Latn-ME"/>
        </w:rPr>
      </w:pPr>
    </w:p>
    <w:p w14:paraId="4C0FCD2E" w14:textId="77777777" w:rsidR="008F7D68" w:rsidRPr="0086063B" w:rsidRDefault="008F7D68" w:rsidP="00186EFF">
      <w:pPr>
        <w:pStyle w:val="Header"/>
        <w:tabs>
          <w:tab w:val="left" w:pos="284"/>
        </w:tabs>
        <w:ind w:right="65"/>
        <w:jc w:val="both"/>
        <w:rPr>
          <w:i/>
          <w:sz w:val="22"/>
          <w:szCs w:val="22"/>
          <w:u w:val="single"/>
          <w:lang w:val="sr-Latn-ME"/>
        </w:rPr>
      </w:pPr>
      <w:r w:rsidRPr="0086063B">
        <w:rPr>
          <w:i/>
          <w:sz w:val="22"/>
          <w:szCs w:val="22"/>
          <w:u w:val="single"/>
          <w:lang w:val="sr-Latn-ME"/>
        </w:rPr>
        <w:t>Mehanizam dejstva</w:t>
      </w:r>
    </w:p>
    <w:p w14:paraId="153F3C80" w14:textId="77777777"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 xml:space="preserve">Kaspofungin acetat je polusintetsko lipopeptidno (ehinokandinsko) jedinjenje koje se sintetiše iz fermentacijskog produkta vrste </w:t>
      </w:r>
      <w:r w:rsidRPr="0086063B">
        <w:rPr>
          <w:i/>
          <w:sz w:val="22"/>
          <w:szCs w:val="22"/>
          <w:lang w:val="sr-Latn-ME"/>
        </w:rPr>
        <w:t>Glarea lozoyensis</w:t>
      </w:r>
      <w:r w:rsidRPr="0086063B">
        <w:rPr>
          <w:sz w:val="22"/>
          <w:szCs w:val="22"/>
          <w:lang w:val="sr-Latn-ME"/>
        </w:rPr>
        <w:t>. Kaspofungin acetat inhibiše sintezu beta-(1,3)-D-glukana, esencijalnog sastavnog dijela ćelijskog zida mnogih filamentoznih gljivica i kvasnica. Ćelije sisara ne sadrže beta-(1,3)-D-glukan.</w:t>
      </w:r>
    </w:p>
    <w:p w14:paraId="3600A55C" w14:textId="77777777" w:rsidR="008F7D68" w:rsidRPr="0086063B" w:rsidRDefault="008F7D68" w:rsidP="00186EFF">
      <w:pPr>
        <w:pStyle w:val="Header"/>
        <w:tabs>
          <w:tab w:val="left" w:pos="284"/>
        </w:tabs>
        <w:ind w:right="65"/>
        <w:jc w:val="both"/>
        <w:rPr>
          <w:sz w:val="22"/>
          <w:szCs w:val="22"/>
          <w:lang w:val="sr-Latn-ME"/>
        </w:rPr>
      </w:pPr>
    </w:p>
    <w:p w14:paraId="51D4905D" w14:textId="1A40F3F2"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 xml:space="preserve">Dokazano je fungicidno dejstvo kaspofungina na kvasnice roda </w:t>
      </w:r>
      <w:r w:rsidRPr="0086063B">
        <w:rPr>
          <w:i/>
          <w:sz w:val="22"/>
          <w:szCs w:val="22"/>
          <w:lang w:val="sr-Latn-ME"/>
        </w:rPr>
        <w:t>Candida</w:t>
      </w:r>
      <w:r w:rsidRPr="0086063B">
        <w:rPr>
          <w:sz w:val="22"/>
          <w:szCs w:val="22"/>
          <w:lang w:val="sr-Latn-ME"/>
        </w:rPr>
        <w:t xml:space="preserve">. Ispitivanja </w:t>
      </w:r>
      <w:r w:rsidRPr="0086063B">
        <w:rPr>
          <w:i/>
          <w:sz w:val="22"/>
          <w:szCs w:val="22"/>
          <w:lang w:val="sr-Latn-ME"/>
        </w:rPr>
        <w:t>in vitro</w:t>
      </w:r>
      <w:r w:rsidRPr="0086063B">
        <w:rPr>
          <w:sz w:val="22"/>
          <w:szCs w:val="22"/>
          <w:lang w:val="sr-Latn-ME"/>
        </w:rPr>
        <w:t xml:space="preserve"> i </w:t>
      </w:r>
      <w:r w:rsidRPr="0086063B">
        <w:rPr>
          <w:i/>
          <w:sz w:val="22"/>
          <w:szCs w:val="22"/>
          <w:lang w:val="sr-Latn-ME"/>
        </w:rPr>
        <w:t>in vivo</w:t>
      </w:r>
      <w:r w:rsidRPr="0086063B">
        <w:rPr>
          <w:sz w:val="22"/>
          <w:szCs w:val="22"/>
          <w:lang w:val="sr-Latn-ME"/>
        </w:rPr>
        <w:t xml:space="preserve"> pokazala su da izlaganje </w:t>
      </w:r>
      <w:r w:rsidRPr="0086063B">
        <w:rPr>
          <w:i/>
          <w:sz w:val="22"/>
          <w:szCs w:val="22"/>
          <w:lang w:val="sr-Latn-ME"/>
        </w:rPr>
        <w:t>Aspergillus</w:t>
      </w:r>
      <w:r w:rsidRPr="0086063B">
        <w:rPr>
          <w:sz w:val="22"/>
          <w:szCs w:val="22"/>
          <w:lang w:val="sr-Latn-ME"/>
        </w:rPr>
        <w:t>-a dejstvu kaspofungina dovodi do lize i odumiranja apikalnih d</w:t>
      </w:r>
      <w:r w:rsidR="00F30093" w:rsidRPr="0086063B">
        <w:rPr>
          <w:sz w:val="22"/>
          <w:szCs w:val="22"/>
          <w:lang w:val="sr-Latn-ME"/>
        </w:rPr>
        <w:t>j</w:t>
      </w:r>
      <w:r w:rsidRPr="0086063B">
        <w:rPr>
          <w:sz w:val="22"/>
          <w:szCs w:val="22"/>
          <w:lang w:val="sr-Latn-ME"/>
        </w:rPr>
        <w:t>elova hifa i mjesta grananja na kojima se odvijaju rast i dioba ćelija.</w:t>
      </w:r>
    </w:p>
    <w:p w14:paraId="62B326BC" w14:textId="77777777" w:rsidR="008F7D68" w:rsidRPr="0086063B" w:rsidRDefault="008F7D68" w:rsidP="00186EFF">
      <w:pPr>
        <w:pStyle w:val="Header"/>
        <w:tabs>
          <w:tab w:val="left" w:pos="284"/>
        </w:tabs>
        <w:ind w:right="65"/>
        <w:jc w:val="both"/>
        <w:rPr>
          <w:sz w:val="22"/>
          <w:szCs w:val="22"/>
          <w:lang w:val="sr-Latn-ME"/>
        </w:rPr>
      </w:pPr>
    </w:p>
    <w:p w14:paraId="0DE1EA2B" w14:textId="77777777" w:rsidR="008F7D68" w:rsidRPr="0086063B" w:rsidRDefault="008F7D68" w:rsidP="00186EFF">
      <w:pPr>
        <w:pStyle w:val="Header"/>
        <w:tabs>
          <w:tab w:val="left" w:pos="284"/>
        </w:tabs>
        <w:ind w:right="65"/>
        <w:jc w:val="both"/>
        <w:rPr>
          <w:i/>
          <w:sz w:val="22"/>
          <w:szCs w:val="22"/>
          <w:u w:val="single"/>
          <w:lang w:val="sr-Latn-ME"/>
        </w:rPr>
      </w:pPr>
      <w:r w:rsidRPr="0086063B">
        <w:rPr>
          <w:i/>
          <w:sz w:val="22"/>
          <w:szCs w:val="22"/>
          <w:u w:val="single"/>
          <w:lang w:val="sr-Latn-ME"/>
        </w:rPr>
        <w:t>Farmakodinamski efekti</w:t>
      </w:r>
    </w:p>
    <w:p w14:paraId="75A018A7" w14:textId="20ABE645" w:rsidR="004C7306" w:rsidRPr="0086063B" w:rsidRDefault="008F7D68">
      <w:pPr>
        <w:pStyle w:val="Header"/>
        <w:ind w:right="65"/>
        <w:jc w:val="both"/>
        <w:rPr>
          <w:sz w:val="22"/>
          <w:szCs w:val="22"/>
          <w:lang w:val="sr-Latn-ME"/>
        </w:rPr>
      </w:pPr>
      <w:r w:rsidRPr="0086063B">
        <w:rPr>
          <w:sz w:val="22"/>
          <w:szCs w:val="22"/>
          <w:lang w:val="sr-Latn-ME"/>
        </w:rPr>
        <w:t>Kaspofungin d</w:t>
      </w:r>
      <w:r w:rsidR="00F30093" w:rsidRPr="0086063B">
        <w:rPr>
          <w:sz w:val="22"/>
          <w:szCs w:val="22"/>
          <w:lang w:val="sr-Latn-ME"/>
        </w:rPr>
        <w:t>j</w:t>
      </w:r>
      <w:r w:rsidRPr="0086063B">
        <w:rPr>
          <w:sz w:val="22"/>
          <w:szCs w:val="22"/>
          <w:lang w:val="sr-Latn-ME"/>
        </w:rPr>
        <w:t xml:space="preserve">eluje </w:t>
      </w:r>
      <w:r w:rsidRPr="0086063B">
        <w:rPr>
          <w:i/>
          <w:sz w:val="22"/>
          <w:szCs w:val="22"/>
          <w:lang w:val="sr-Latn-ME"/>
        </w:rPr>
        <w:t>in vitro</w:t>
      </w:r>
      <w:r w:rsidRPr="0086063B">
        <w:rPr>
          <w:sz w:val="22"/>
          <w:szCs w:val="22"/>
          <w:lang w:val="sr-Latn-ME"/>
        </w:rPr>
        <w:t xml:space="preserve"> protiv vrsta roda </w:t>
      </w:r>
      <w:r w:rsidRPr="0086063B">
        <w:rPr>
          <w:i/>
          <w:sz w:val="22"/>
          <w:szCs w:val="22"/>
          <w:lang w:val="sr-Latn-ME"/>
        </w:rPr>
        <w:t>Aspergillus</w:t>
      </w:r>
      <w:r w:rsidRPr="0086063B">
        <w:rPr>
          <w:sz w:val="22"/>
          <w:szCs w:val="22"/>
          <w:lang w:val="sr-Latn-ME"/>
        </w:rPr>
        <w:t xml:space="preserve"> (</w:t>
      </w:r>
      <w:r w:rsidRPr="0086063B">
        <w:rPr>
          <w:i/>
          <w:sz w:val="22"/>
          <w:szCs w:val="22"/>
          <w:lang w:val="sr-Latn-ME"/>
        </w:rPr>
        <w:t>Aspergillus fumigatus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N=75</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Aspergillus flavus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N=111</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Aspergillus niger</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N=31</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Aspergillus nidulans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N=8</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Aspergillus terreus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N=52</w:t>
      </w:r>
      <w:r w:rsidRPr="0086063B">
        <w:rPr>
          <w:sz w:val="22"/>
          <w:szCs w:val="22"/>
          <w:lang w:val="sr-Latn-ME"/>
        </w:rPr>
        <w:sym w:font="Symbol" w:char="F05D"/>
      </w:r>
      <w:r w:rsidRPr="0086063B">
        <w:rPr>
          <w:sz w:val="22"/>
          <w:szCs w:val="22"/>
          <w:lang w:val="sr-Latn-ME"/>
        </w:rPr>
        <w:t xml:space="preserve"> i </w:t>
      </w:r>
      <w:r w:rsidRPr="0086063B">
        <w:rPr>
          <w:i/>
          <w:sz w:val="22"/>
          <w:szCs w:val="22"/>
          <w:lang w:val="sr-Latn-ME"/>
        </w:rPr>
        <w:t>Aspergillus candidus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N=3</w:t>
      </w:r>
      <w:r w:rsidRPr="0086063B">
        <w:rPr>
          <w:sz w:val="22"/>
          <w:szCs w:val="22"/>
          <w:lang w:val="sr-Latn-ME"/>
        </w:rPr>
        <w:sym w:font="Symbol" w:char="F05D"/>
      </w:r>
      <w:r w:rsidRPr="0086063B">
        <w:rPr>
          <w:sz w:val="22"/>
          <w:szCs w:val="22"/>
          <w:lang w:val="sr-Latn-ME"/>
        </w:rPr>
        <w:t>). Kaspofungin d</w:t>
      </w:r>
      <w:r w:rsidR="00F30093" w:rsidRPr="0086063B">
        <w:rPr>
          <w:sz w:val="22"/>
          <w:szCs w:val="22"/>
          <w:lang w:val="sr-Latn-ME"/>
        </w:rPr>
        <w:t>j</w:t>
      </w:r>
      <w:r w:rsidRPr="0086063B">
        <w:rPr>
          <w:sz w:val="22"/>
          <w:szCs w:val="22"/>
          <w:lang w:val="sr-Latn-ME"/>
        </w:rPr>
        <w:t xml:space="preserve">eluje </w:t>
      </w:r>
      <w:r w:rsidRPr="0086063B">
        <w:rPr>
          <w:i/>
          <w:sz w:val="22"/>
          <w:szCs w:val="22"/>
          <w:lang w:val="sr-Latn-ME"/>
        </w:rPr>
        <w:t>in vitro</w:t>
      </w:r>
      <w:r w:rsidRPr="0086063B">
        <w:rPr>
          <w:sz w:val="22"/>
          <w:szCs w:val="22"/>
          <w:lang w:val="sr-Latn-ME"/>
        </w:rPr>
        <w:t xml:space="preserve"> protiv vrsta roda </w:t>
      </w:r>
      <w:r w:rsidRPr="0086063B">
        <w:rPr>
          <w:i/>
          <w:sz w:val="22"/>
          <w:szCs w:val="22"/>
          <w:lang w:val="sr-Latn-ME"/>
        </w:rPr>
        <w:t>Candida</w:t>
      </w:r>
      <w:r w:rsidRPr="0086063B">
        <w:rPr>
          <w:sz w:val="22"/>
          <w:szCs w:val="22"/>
          <w:lang w:val="sr-Latn-ME"/>
        </w:rPr>
        <w:t xml:space="preserve"> (</w:t>
      </w:r>
      <w:r w:rsidRPr="0086063B">
        <w:rPr>
          <w:i/>
          <w:sz w:val="22"/>
          <w:szCs w:val="22"/>
          <w:lang w:val="sr-Latn-ME"/>
        </w:rPr>
        <w:t>Candida albicans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N=1032</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dubliniensis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N=100</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globrata</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N=151</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guilliermondii</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N=67</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kefyr</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N=62</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krusei</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N=147</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lipolytica</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N=20</w:t>
      </w:r>
      <w:r w:rsidRPr="0086063B">
        <w:rPr>
          <w:sz w:val="22"/>
          <w:szCs w:val="22"/>
          <w:lang w:val="sr-Latn-ME"/>
        </w:rPr>
        <w:sym w:font="Symbol" w:char="F05D"/>
      </w:r>
      <w:r w:rsidRPr="0086063B">
        <w:rPr>
          <w:sz w:val="22"/>
          <w:szCs w:val="22"/>
          <w:lang w:val="sr-Latn-ME"/>
        </w:rPr>
        <w:t>,</w:t>
      </w:r>
      <w:r w:rsidR="004C7306" w:rsidRPr="0086063B">
        <w:rPr>
          <w:i/>
          <w:sz w:val="22"/>
          <w:szCs w:val="22"/>
          <w:lang w:val="sr-Latn-ME"/>
        </w:rPr>
        <w:t xml:space="preserve"> </w:t>
      </w:r>
      <w:r w:rsidRPr="0086063B">
        <w:rPr>
          <w:i/>
          <w:sz w:val="22"/>
          <w:szCs w:val="22"/>
          <w:lang w:val="sr-Latn-ME"/>
        </w:rPr>
        <w:t>Candida lusitaniae</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N=80</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parapsilosis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N=215</w:t>
      </w:r>
      <w:r w:rsidRPr="0086063B">
        <w:rPr>
          <w:sz w:val="22"/>
          <w:szCs w:val="22"/>
          <w:lang w:val="sr-Latn-ME"/>
        </w:rPr>
        <w:sym w:font="Symbol" w:char="F05D"/>
      </w:r>
      <w:r w:rsidRPr="0086063B">
        <w:rPr>
          <w:sz w:val="22"/>
          <w:szCs w:val="22"/>
          <w:lang w:val="sr-Latn-ME"/>
        </w:rPr>
        <w:t xml:space="preserve">, </w:t>
      </w:r>
      <w:r w:rsidRPr="0086063B">
        <w:rPr>
          <w:i/>
          <w:sz w:val="22"/>
          <w:szCs w:val="22"/>
          <w:lang w:val="sr-Latn-ME"/>
        </w:rPr>
        <w:t>Candida rugosa</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N=1</w:t>
      </w:r>
      <w:r w:rsidRPr="0086063B">
        <w:rPr>
          <w:sz w:val="22"/>
          <w:szCs w:val="22"/>
          <w:lang w:val="sr-Latn-ME"/>
        </w:rPr>
        <w:sym w:font="Symbol" w:char="F05D"/>
      </w:r>
      <w:r w:rsidRPr="0086063B">
        <w:rPr>
          <w:sz w:val="22"/>
          <w:szCs w:val="22"/>
          <w:lang w:val="sr-Latn-ME"/>
        </w:rPr>
        <w:t xml:space="preserve"> i </w:t>
      </w:r>
      <w:r w:rsidRPr="0086063B">
        <w:rPr>
          <w:i/>
          <w:sz w:val="22"/>
          <w:szCs w:val="22"/>
          <w:lang w:val="sr-Latn-ME"/>
        </w:rPr>
        <w:t>Candida tropicalis</w:t>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N=258</w:t>
      </w:r>
      <w:r w:rsidRPr="0086063B">
        <w:rPr>
          <w:sz w:val="22"/>
          <w:szCs w:val="22"/>
          <w:lang w:val="sr-Latn-ME"/>
        </w:rPr>
        <w:sym w:font="Symbol" w:char="F05D"/>
      </w:r>
      <w:r w:rsidRPr="0086063B">
        <w:rPr>
          <w:sz w:val="22"/>
          <w:szCs w:val="22"/>
          <w:lang w:val="sr-Latn-ME"/>
        </w:rPr>
        <w:t>), uključujući izolate sa višestrukim mutacijama transportnog sistema koji uzrokuju rezistenciju, kao i one sa urođenom ili stečenom rezistencijom na flukonazol, amfotericin B i 5-flucitozin.</w:t>
      </w:r>
      <w:r w:rsidR="002C2C86" w:rsidRPr="0086063B">
        <w:rPr>
          <w:sz w:val="22"/>
          <w:szCs w:val="22"/>
          <w:lang w:val="sr-Latn-ME"/>
        </w:rPr>
        <w:t xml:space="preserve"> </w:t>
      </w:r>
      <w:r w:rsidRPr="0086063B">
        <w:rPr>
          <w:sz w:val="22"/>
          <w:szCs w:val="22"/>
          <w:lang w:val="sr-Latn-ME"/>
        </w:rPr>
        <w:t xml:space="preserve">Sprovedeno je ispitivanje osjetljivosti na osnovu modifikovane metode M38-A2 (za vrste roda </w:t>
      </w:r>
      <w:r w:rsidRPr="0086063B">
        <w:rPr>
          <w:i/>
          <w:sz w:val="22"/>
          <w:szCs w:val="22"/>
          <w:lang w:val="sr-Latn-ME"/>
        </w:rPr>
        <w:t>Aspergillus</w:t>
      </w:r>
      <w:r w:rsidRPr="0086063B">
        <w:rPr>
          <w:sz w:val="22"/>
          <w:szCs w:val="22"/>
          <w:lang w:val="sr-Latn-ME"/>
        </w:rPr>
        <w:t xml:space="preserve">) i metode M27-A3 (za vrste roda </w:t>
      </w:r>
      <w:r w:rsidRPr="0086063B">
        <w:rPr>
          <w:i/>
          <w:sz w:val="22"/>
          <w:szCs w:val="22"/>
          <w:lang w:val="sr-Latn-ME"/>
        </w:rPr>
        <w:t>Candida</w:t>
      </w:r>
      <w:r w:rsidRPr="0086063B">
        <w:rPr>
          <w:sz w:val="22"/>
          <w:szCs w:val="22"/>
          <w:lang w:val="sr-Latn-ME"/>
        </w:rPr>
        <w:t>) Instituta za kliničke i laboratorijske standarde (CLSI, ranije poznat pod imenom Nacionalni komitet za standarde kliničkih laboratorija</w:t>
      </w:r>
      <w:r w:rsidRPr="0086063B">
        <w:rPr>
          <w:i/>
          <w:sz w:val="22"/>
          <w:szCs w:val="22"/>
          <w:lang w:val="sr-Latn-ME"/>
        </w:rPr>
        <w:t xml:space="preserve">, </w:t>
      </w:r>
      <w:r w:rsidRPr="0086063B">
        <w:rPr>
          <w:sz w:val="22"/>
          <w:szCs w:val="22"/>
          <w:lang w:val="sr-Latn-ME"/>
        </w:rPr>
        <w:t xml:space="preserve">NCCLS). </w:t>
      </w:r>
    </w:p>
    <w:p w14:paraId="0DE36A14" w14:textId="77777777" w:rsidR="004C7306" w:rsidRPr="0086063B" w:rsidRDefault="004C7306">
      <w:pPr>
        <w:pStyle w:val="Header"/>
        <w:ind w:right="65"/>
        <w:jc w:val="both"/>
        <w:rPr>
          <w:sz w:val="22"/>
          <w:szCs w:val="22"/>
          <w:lang w:val="sr-Latn-ME"/>
        </w:rPr>
      </w:pPr>
    </w:p>
    <w:p w14:paraId="2EE12E5E" w14:textId="19DEA818" w:rsidR="008F7D68" w:rsidRPr="0086063B" w:rsidRDefault="008F7D68" w:rsidP="00186EFF">
      <w:pPr>
        <w:pStyle w:val="Header"/>
        <w:ind w:right="65"/>
        <w:jc w:val="both"/>
        <w:rPr>
          <w:sz w:val="22"/>
          <w:szCs w:val="22"/>
          <w:lang w:val="sr-Latn-ME"/>
        </w:rPr>
      </w:pPr>
      <w:r w:rsidRPr="0086063B">
        <w:rPr>
          <w:sz w:val="22"/>
          <w:szCs w:val="22"/>
          <w:lang w:val="sr-Latn-ME"/>
        </w:rPr>
        <w:t xml:space="preserve">EUCAST je uspostavio standardizovane metode testiranja osjetljivosti na kvasnice. </w:t>
      </w:r>
    </w:p>
    <w:p w14:paraId="0FBC8F36" w14:textId="3936CA76" w:rsidR="008F7D68" w:rsidRPr="0086063B" w:rsidRDefault="008F7D68" w:rsidP="00186EFF">
      <w:pPr>
        <w:pStyle w:val="Header"/>
        <w:ind w:right="65"/>
        <w:jc w:val="both"/>
        <w:rPr>
          <w:sz w:val="22"/>
          <w:szCs w:val="22"/>
          <w:lang w:val="sr-Latn-ME"/>
        </w:rPr>
      </w:pPr>
      <w:r w:rsidRPr="0086063B">
        <w:rPr>
          <w:sz w:val="22"/>
          <w:szCs w:val="22"/>
          <w:lang w:val="sr-Latn-ME"/>
        </w:rPr>
        <w:t>EUCAST granične vrijednosti za kaspofungin još uv</w:t>
      </w:r>
      <w:r w:rsidR="0019476D" w:rsidRPr="0086063B">
        <w:rPr>
          <w:sz w:val="22"/>
          <w:szCs w:val="22"/>
          <w:lang w:val="sr-Latn-ME"/>
        </w:rPr>
        <w:t>ij</w:t>
      </w:r>
      <w:r w:rsidRPr="0086063B">
        <w:rPr>
          <w:sz w:val="22"/>
          <w:szCs w:val="22"/>
          <w:lang w:val="sr-Latn-ME"/>
        </w:rPr>
        <w:t>ek nijesu ustanovljene zbog značajnih varijacija u opsezima MIK vrijednosti za kaspofungin među laboratorijama.</w:t>
      </w:r>
      <w:r w:rsidR="00A65B6C" w:rsidRPr="0086063B">
        <w:rPr>
          <w:sz w:val="22"/>
          <w:szCs w:val="22"/>
          <w:lang w:val="sr-Latn-ME"/>
        </w:rPr>
        <w:t xml:space="preserve"> </w:t>
      </w:r>
      <w:r w:rsidRPr="0086063B">
        <w:rPr>
          <w:sz w:val="22"/>
          <w:szCs w:val="22"/>
          <w:lang w:val="sr-Latn-ME"/>
        </w:rPr>
        <w:t xml:space="preserve">Umjesto graničnih vrijednosti, izolati roda </w:t>
      </w:r>
      <w:r w:rsidRPr="0086063B">
        <w:rPr>
          <w:i/>
          <w:sz w:val="22"/>
          <w:szCs w:val="22"/>
          <w:lang w:val="sr-Latn-ME"/>
        </w:rPr>
        <w:t xml:space="preserve">Candida </w:t>
      </w:r>
      <w:r w:rsidRPr="0086063B">
        <w:rPr>
          <w:sz w:val="22"/>
          <w:szCs w:val="22"/>
          <w:lang w:val="sr-Latn-ME"/>
        </w:rPr>
        <w:t xml:space="preserve">koji su osjetljivi na anidulafungin, isto kao i na mikafungin treba da se smatraju osjetljivim na kaspofungin. Slično tome, izolati vrste </w:t>
      </w:r>
      <w:r w:rsidRPr="0086063B">
        <w:rPr>
          <w:i/>
          <w:sz w:val="22"/>
          <w:szCs w:val="22"/>
          <w:lang w:val="sr-Latn-ME"/>
        </w:rPr>
        <w:t>C. parapsilosis</w:t>
      </w:r>
      <w:r w:rsidRPr="0086063B">
        <w:rPr>
          <w:sz w:val="22"/>
          <w:szCs w:val="22"/>
          <w:lang w:val="sr-Latn-ME"/>
        </w:rPr>
        <w:t xml:space="preserve"> intermedijarno osjetljive na anidulafungin i mikafungin mogu da se smatraju intermedijerno osjetljivim na kaspofungin.</w:t>
      </w:r>
    </w:p>
    <w:p w14:paraId="4CA3EAC2" w14:textId="77777777" w:rsidR="008F7D68" w:rsidRPr="0086063B" w:rsidRDefault="008F7D68" w:rsidP="00186EFF">
      <w:pPr>
        <w:pStyle w:val="Header"/>
        <w:tabs>
          <w:tab w:val="left" w:pos="284"/>
        </w:tabs>
        <w:ind w:right="65"/>
        <w:jc w:val="both"/>
        <w:rPr>
          <w:sz w:val="22"/>
          <w:szCs w:val="22"/>
          <w:lang w:val="sr-Latn-ME"/>
        </w:rPr>
      </w:pPr>
    </w:p>
    <w:p w14:paraId="4771E3E7" w14:textId="77777777" w:rsidR="008F7D68" w:rsidRPr="0086063B" w:rsidRDefault="008F7D68" w:rsidP="00186EFF">
      <w:pPr>
        <w:pStyle w:val="Header"/>
        <w:tabs>
          <w:tab w:val="left" w:pos="284"/>
        </w:tabs>
        <w:ind w:right="65"/>
        <w:jc w:val="both"/>
        <w:rPr>
          <w:sz w:val="22"/>
          <w:szCs w:val="22"/>
          <w:u w:val="single"/>
          <w:lang w:val="sr-Latn-ME"/>
        </w:rPr>
      </w:pPr>
      <w:r w:rsidRPr="0086063B">
        <w:rPr>
          <w:sz w:val="22"/>
          <w:szCs w:val="22"/>
          <w:u w:val="single"/>
          <w:lang w:val="sr-Latn-ME"/>
        </w:rPr>
        <w:t>Mehanizmi rezistencije</w:t>
      </w:r>
    </w:p>
    <w:p w14:paraId="7740DD12" w14:textId="09D5A63F" w:rsidR="008F7D68" w:rsidRPr="0086063B" w:rsidRDefault="008F7D68">
      <w:pPr>
        <w:pStyle w:val="Header"/>
        <w:tabs>
          <w:tab w:val="left" w:pos="284"/>
        </w:tabs>
        <w:ind w:right="65"/>
        <w:jc w:val="both"/>
        <w:rPr>
          <w:sz w:val="22"/>
          <w:szCs w:val="22"/>
          <w:lang w:val="sr-Latn-ME"/>
        </w:rPr>
      </w:pPr>
      <w:r w:rsidRPr="0086063B">
        <w:rPr>
          <w:sz w:val="22"/>
          <w:szCs w:val="22"/>
          <w:lang w:val="sr-Latn-ME"/>
        </w:rPr>
        <w:t xml:space="preserve">Kod malog broja pacijenata za vrijeme liječenja pronađeni su izolati vrste </w:t>
      </w:r>
      <w:r w:rsidRPr="0086063B">
        <w:rPr>
          <w:i/>
          <w:sz w:val="22"/>
          <w:szCs w:val="22"/>
          <w:lang w:val="sr-Latn-ME"/>
        </w:rPr>
        <w:t>Candida</w:t>
      </w:r>
      <w:r w:rsidRPr="0086063B">
        <w:rPr>
          <w:sz w:val="22"/>
          <w:szCs w:val="22"/>
          <w:lang w:val="sr-Latn-ME"/>
        </w:rPr>
        <w:t xml:space="preserve"> koji su imali smanjenu osjetljivost na kaspofungin (MIK vrijednosti  za kaspofungin &gt;2 mg/</w:t>
      </w:r>
      <w:r w:rsidR="00FA1D78" w:rsidRPr="0086063B">
        <w:rPr>
          <w:sz w:val="22"/>
          <w:szCs w:val="22"/>
          <w:lang w:val="sr-Latn-ME"/>
        </w:rPr>
        <w:t>l</w:t>
      </w:r>
      <w:r w:rsidRPr="0086063B">
        <w:rPr>
          <w:sz w:val="22"/>
          <w:szCs w:val="22"/>
          <w:lang w:val="sr-Latn-ME"/>
        </w:rPr>
        <w:t xml:space="preserve"> (uvećanje MIK vrijednosti  4 do 30 puta) zabilježene su prilikom primjene standardizovanog MIK ispitivanja odobrenog od strane CLSI). Mehanizam rezistencije je identifikovan kao mutacija gena FKS1 i/ili FKS2 (za </w:t>
      </w:r>
      <w:r w:rsidRPr="0086063B">
        <w:rPr>
          <w:i/>
          <w:sz w:val="22"/>
          <w:szCs w:val="22"/>
          <w:lang w:val="sr-Latn-ME"/>
        </w:rPr>
        <w:t>C, glabrata</w:t>
      </w:r>
      <w:r w:rsidRPr="0086063B">
        <w:rPr>
          <w:sz w:val="22"/>
          <w:szCs w:val="22"/>
          <w:lang w:val="sr-Latn-ME"/>
        </w:rPr>
        <w:t>). Ovi slučajevi su povezani sa lošim kliničkim rezultatima.</w:t>
      </w:r>
    </w:p>
    <w:p w14:paraId="26195A35" w14:textId="77777777" w:rsidR="004C7306" w:rsidRPr="0086063B" w:rsidRDefault="004C7306" w:rsidP="00186EFF">
      <w:pPr>
        <w:pStyle w:val="Header"/>
        <w:tabs>
          <w:tab w:val="left" w:pos="284"/>
        </w:tabs>
        <w:ind w:right="65"/>
        <w:jc w:val="both"/>
        <w:rPr>
          <w:sz w:val="22"/>
          <w:szCs w:val="22"/>
          <w:lang w:val="sr-Latn-ME"/>
        </w:rPr>
      </w:pPr>
    </w:p>
    <w:p w14:paraId="0E6DF8AC" w14:textId="645776DB"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 xml:space="preserve">Identifikovan je razvoj </w:t>
      </w:r>
      <w:r w:rsidRPr="0086063B">
        <w:rPr>
          <w:i/>
          <w:sz w:val="22"/>
          <w:szCs w:val="22"/>
          <w:lang w:val="sr-Latn-ME"/>
        </w:rPr>
        <w:t>in vitro</w:t>
      </w:r>
      <w:r w:rsidRPr="0086063B">
        <w:rPr>
          <w:sz w:val="22"/>
          <w:szCs w:val="22"/>
          <w:lang w:val="sr-Latn-ME"/>
        </w:rPr>
        <w:t xml:space="preserve"> rezistencije vrsta roda </w:t>
      </w:r>
      <w:r w:rsidRPr="0086063B">
        <w:rPr>
          <w:i/>
          <w:sz w:val="22"/>
          <w:szCs w:val="22"/>
          <w:lang w:val="sr-Latn-ME"/>
        </w:rPr>
        <w:t>Aspergillus</w:t>
      </w:r>
      <w:r w:rsidRPr="0086063B">
        <w:rPr>
          <w:sz w:val="22"/>
          <w:szCs w:val="22"/>
          <w:lang w:val="sr-Latn-ME"/>
        </w:rPr>
        <w:t xml:space="preserve"> na kaspofungin. Ograničena klinička iskustva ukazuju na pojavu rezistencije na kaspofungin kod pacijenata sa invazivnom aspergilozom. Mehanizam rezistencije nije utvrđen. Pojava rezistencije različitih kliničkih izolata roda </w:t>
      </w:r>
      <w:r w:rsidRPr="0086063B">
        <w:rPr>
          <w:i/>
          <w:sz w:val="22"/>
          <w:szCs w:val="22"/>
          <w:lang w:val="sr-Latn-ME"/>
        </w:rPr>
        <w:t>Aspergillus</w:t>
      </w:r>
      <w:r w:rsidRPr="0086063B">
        <w:rPr>
          <w:sz w:val="22"/>
          <w:szCs w:val="22"/>
          <w:lang w:val="sr-Latn-ME"/>
        </w:rPr>
        <w:t xml:space="preserve"> na kaspofungin je rijetka. Primijećena je rezistencija kod roda </w:t>
      </w:r>
      <w:r w:rsidRPr="0086063B">
        <w:rPr>
          <w:i/>
          <w:sz w:val="22"/>
          <w:szCs w:val="22"/>
          <w:lang w:val="sr-Latn-ME"/>
        </w:rPr>
        <w:t>Candida</w:t>
      </w:r>
      <w:r w:rsidRPr="0086063B">
        <w:rPr>
          <w:sz w:val="22"/>
          <w:szCs w:val="22"/>
          <w:lang w:val="sr-Latn-ME"/>
        </w:rPr>
        <w:t xml:space="preserve"> na kaspofungin, ali incidenca varira u zavisnosti od vrste ili regiona.</w:t>
      </w:r>
    </w:p>
    <w:p w14:paraId="2BE99F26" w14:textId="77777777" w:rsidR="008F7D68" w:rsidRPr="0086063B" w:rsidRDefault="008F7D68" w:rsidP="00186EFF">
      <w:pPr>
        <w:pStyle w:val="Header"/>
        <w:tabs>
          <w:tab w:val="left" w:pos="284"/>
        </w:tabs>
        <w:ind w:right="65"/>
        <w:jc w:val="both"/>
        <w:rPr>
          <w:sz w:val="22"/>
          <w:szCs w:val="22"/>
          <w:lang w:val="sr-Latn-ME"/>
        </w:rPr>
      </w:pPr>
    </w:p>
    <w:p w14:paraId="3C8B4547" w14:textId="77777777" w:rsidR="008F7D68" w:rsidRPr="0086063B" w:rsidRDefault="008F7D68" w:rsidP="00186EFF">
      <w:pPr>
        <w:pStyle w:val="Header"/>
        <w:tabs>
          <w:tab w:val="left" w:pos="284"/>
        </w:tabs>
        <w:ind w:right="65"/>
        <w:jc w:val="both"/>
        <w:rPr>
          <w:i/>
          <w:sz w:val="22"/>
          <w:szCs w:val="22"/>
          <w:u w:val="single"/>
          <w:lang w:val="sr-Latn-ME"/>
        </w:rPr>
      </w:pPr>
      <w:r w:rsidRPr="0086063B">
        <w:rPr>
          <w:i/>
          <w:sz w:val="22"/>
          <w:szCs w:val="22"/>
          <w:u w:val="single"/>
          <w:lang w:val="sr-Latn-ME"/>
        </w:rPr>
        <w:t>Klinička efikasnost i bezbjednost</w:t>
      </w:r>
    </w:p>
    <w:p w14:paraId="45ED91C7" w14:textId="6476E3AC" w:rsidR="008F7D68" w:rsidRPr="0086063B" w:rsidRDefault="008F7D68" w:rsidP="00186EFF">
      <w:pPr>
        <w:pStyle w:val="Header"/>
        <w:tabs>
          <w:tab w:val="left" w:pos="284"/>
        </w:tabs>
        <w:ind w:right="65"/>
        <w:jc w:val="both"/>
        <w:rPr>
          <w:sz w:val="22"/>
          <w:szCs w:val="22"/>
          <w:lang w:val="sr-Latn-ME"/>
        </w:rPr>
      </w:pPr>
      <w:r w:rsidRPr="0086063B">
        <w:rPr>
          <w:i/>
          <w:sz w:val="22"/>
          <w:szCs w:val="22"/>
          <w:lang w:val="sr-Latn-ME"/>
        </w:rPr>
        <w:t>Invazivna kandidijaza kod odraslih pacijenata</w:t>
      </w:r>
      <w:r w:rsidRPr="0086063B">
        <w:rPr>
          <w:sz w:val="22"/>
          <w:szCs w:val="22"/>
          <w:lang w:val="sr-Latn-ME"/>
        </w:rPr>
        <w:t xml:space="preserve">: 239 pacijenata uključeno je u inicijalno ispitivanje u kome je poređeno dejstvo kaspofungina i amfotericina B u liječenju invazivne kandidijaze. 24 pacijenta su imali neutropeniju. Najčešće dijagnoze su bile infekcije krvotoka (kandidemija) (77%, n=186) i peritonitis uzrokovan vrstama roda </w:t>
      </w:r>
      <w:r w:rsidRPr="0086063B">
        <w:rPr>
          <w:i/>
          <w:sz w:val="22"/>
          <w:szCs w:val="22"/>
          <w:lang w:val="sr-Latn-ME"/>
        </w:rPr>
        <w:t>Candida</w:t>
      </w:r>
      <w:r w:rsidRPr="0086063B">
        <w:rPr>
          <w:sz w:val="22"/>
          <w:szCs w:val="22"/>
          <w:lang w:val="sr-Latn-ME"/>
        </w:rPr>
        <w:t xml:space="preserve"> (8%, n=19); pacijenti sa endokarditisom, osteomijelitisom ili meningitisom uzrokovanim vrstama roda </w:t>
      </w:r>
      <w:r w:rsidRPr="0086063B">
        <w:rPr>
          <w:i/>
          <w:sz w:val="22"/>
          <w:szCs w:val="22"/>
          <w:lang w:val="sr-Latn-ME"/>
        </w:rPr>
        <w:t>Candida</w:t>
      </w:r>
      <w:r w:rsidRPr="0086063B">
        <w:rPr>
          <w:sz w:val="22"/>
          <w:szCs w:val="22"/>
          <w:lang w:val="sr-Latn-ME"/>
        </w:rPr>
        <w:t xml:space="preserve"> nijesu bili uključeni u ovo ispitivanje. Nakon udarne doze od 70 mg pacijenti su primali po 50 mg kaspofungina jednom dnevno, dok se amfotericin B davao u dozama od 0,6 do 0,7 mg/kg/dan pacijentima koji ni</w:t>
      </w:r>
      <w:r w:rsidR="004D0241" w:rsidRPr="0086063B">
        <w:rPr>
          <w:sz w:val="22"/>
          <w:szCs w:val="22"/>
          <w:lang w:val="sr-Latn-ME"/>
        </w:rPr>
        <w:t>je</w:t>
      </w:r>
      <w:r w:rsidRPr="0086063B">
        <w:rPr>
          <w:sz w:val="22"/>
          <w:szCs w:val="22"/>
          <w:lang w:val="sr-Latn-ME"/>
        </w:rPr>
        <w:t xml:space="preserve">su imali neutropeniju, ili u dozama od 0,7 do 1,0 mg/kg/dan pacijentima sa neutropenijom. Srednje vrijeme trajanja </w:t>
      </w:r>
      <w:r w:rsidR="000F252E" w:rsidRPr="0086063B">
        <w:rPr>
          <w:sz w:val="22"/>
          <w:szCs w:val="22"/>
          <w:lang w:val="sr-Latn-ME"/>
        </w:rPr>
        <w:t>intravenske</w:t>
      </w:r>
      <w:r w:rsidRPr="0086063B">
        <w:rPr>
          <w:sz w:val="22"/>
          <w:szCs w:val="22"/>
          <w:lang w:val="sr-Latn-ME"/>
        </w:rPr>
        <w:t xml:space="preserve"> terapije iznosilo je 11,9 dana, uz raspon od 1 do 28 dana. Smatralo se da je odgovor povoljan ako su nestali simptomi infekcije i ako se mikrobiološki dokazalo odsustvo infekcije vrstama roda </w:t>
      </w:r>
      <w:r w:rsidRPr="0086063B">
        <w:rPr>
          <w:i/>
          <w:sz w:val="22"/>
          <w:szCs w:val="22"/>
          <w:lang w:val="sr-Latn-ME"/>
        </w:rPr>
        <w:t>Candida</w:t>
      </w:r>
      <w:r w:rsidRPr="0086063B">
        <w:rPr>
          <w:sz w:val="22"/>
          <w:szCs w:val="22"/>
          <w:lang w:val="sr-Latn-ME"/>
        </w:rPr>
        <w:t xml:space="preserve">. U </w:t>
      </w:r>
      <w:r w:rsidRPr="0086063B">
        <w:rPr>
          <w:sz w:val="22"/>
          <w:szCs w:val="22"/>
          <w:lang w:val="sr-Latn-ME"/>
        </w:rPr>
        <w:lastRenderedPageBreak/>
        <w:t xml:space="preserve">primarnu analizu efikasnosti (analiza MITT) po okončanju </w:t>
      </w:r>
      <w:r w:rsidR="000F252E" w:rsidRPr="0086063B">
        <w:rPr>
          <w:sz w:val="22"/>
          <w:szCs w:val="22"/>
          <w:lang w:val="sr-Latn-ME"/>
        </w:rPr>
        <w:t>int</w:t>
      </w:r>
      <w:r w:rsidR="00D541B7" w:rsidRPr="0086063B">
        <w:rPr>
          <w:sz w:val="22"/>
          <w:szCs w:val="22"/>
          <w:lang w:val="sr-Latn-ME"/>
        </w:rPr>
        <w:t>rave</w:t>
      </w:r>
      <w:r w:rsidR="00E73C4B" w:rsidRPr="0086063B">
        <w:rPr>
          <w:sz w:val="22"/>
          <w:szCs w:val="22"/>
          <w:lang w:val="sr-Latn-ME"/>
        </w:rPr>
        <w:t>nske</w:t>
      </w:r>
      <w:r w:rsidRPr="0086063B">
        <w:rPr>
          <w:sz w:val="22"/>
          <w:szCs w:val="22"/>
          <w:lang w:val="sr-Latn-ME"/>
        </w:rPr>
        <w:t xml:space="preserve"> </w:t>
      </w:r>
      <w:r w:rsidR="00D541B7" w:rsidRPr="0086063B">
        <w:rPr>
          <w:sz w:val="22"/>
          <w:szCs w:val="22"/>
          <w:lang w:val="sr-Latn-ME"/>
        </w:rPr>
        <w:t>terapije</w:t>
      </w:r>
      <w:r w:rsidRPr="0086063B">
        <w:rPr>
          <w:sz w:val="22"/>
          <w:szCs w:val="22"/>
          <w:lang w:val="sr-Latn-ME"/>
        </w:rPr>
        <w:t xml:space="preserve"> </w:t>
      </w:r>
      <w:r w:rsidR="00E73C4B" w:rsidRPr="0086063B">
        <w:rPr>
          <w:sz w:val="22"/>
          <w:szCs w:val="22"/>
          <w:lang w:val="sr-Latn-ME"/>
        </w:rPr>
        <w:t xml:space="preserve">bila su </w:t>
      </w:r>
      <w:r w:rsidRPr="0086063B">
        <w:rPr>
          <w:sz w:val="22"/>
          <w:szCs w:val="22"/>
          <w:lang w:val="sr-Latn-ME"/>
        </w:rPr>
        <w:t xml:space="preserve">uključena 224 pacijenta; stope povoljnih odgovora na liječenje invazivne kandidijaze kaspofunginom (73% </w:t>
      </w:r>
      <w:r w:rsidRPr="0086063B">
        <w:rPr>
          <w:sz w:val="22"/>
          <w:szCs w:val="22"/>
          <w:lang w:val="sr-Latn-ME"/>
        </w:rPr>
        <w:sym w:font="Symbol" w:char="F05B"/>
      </w:r>
      <w:r w:rsidRPr="0086063B">
        <w:rPr>
          <w:sz w:val="22"/>
          <w:szCs w:val="22"/>
          <w:lang w:val="sr-Latn-ME"/>
        </w:rPr>
        <w:t>80/109</w:t>
      </w:r>
      <w:r w:rsidRPr="0086063B">
        <w:rPr>
          <w:sz w:val="22"/>
          <w:szCs w:val="22"/>
          <w:lang w:val="sr-Latn-ME"/>
        </w:rPr>
        <w:sym w:font="Symbol" w:char="F05D"/>
      </w:r>
      <w:r w:rsidRPr="0086063B">
        <w:rPr>
          <w:sz w:val="22"/>
          <w:szCs w:val="22"/>
          <w:lang w:val="sr-Latn-ME"/>
        </w:rPr>
        <w:t xml:space="preserve">) bile su uporedive sa stopama dobijenim kod terapije amfotericinom B (62% </w:t>
      </w:r>
      <w:r w:rsidRPr="0086063B">
        <w:rPr>
          <w:sz w:val="22"/>
          <w:szCs w:val="22"/>
          <w:lang w:val="sr-Latn-ME"/>
        </w:rPr>
        <w:sym w:font="Symbol" w:char="F05B"/>
      </w:r>
      <w:r w:rsidRPr="0086063B">
        <w:rPr>
          <w:sz w:val="22"/>
          <w:szCs w:val="22"/>
          <w:lang w:val="sr-Latn-ME"/>
        </w:rPr>
        <w:t>71/115</w:t>
      </w:r>
      <w:r w:rsidRPr="0086063B">
        <w:rPr>
          <w:sz w:val="22"/>
          <w:szCs w:val="22"/>
          <w:lang w:val="sr-Latn-ME"/>
        </w:rPr>
        <w:sym w:font="Symbol" w:char="F05D"/>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12,7% razlike (interval pouzdanosti od 95,6% CI -0,7, 26,0)</w:t>
      </w:r>
      <w:r w:rsidRPr="0086063B">
        <w:rPr>
          <w:sz w:val="22"/>
          <w:szCs w:val="22"/>
          <w:lang w:val="sr-Latn-ME"/>
        </w:rPr>
        <w:sym w:font="Symbol" w:char="F05D"/>
      </w:r>
      <w:r w:rsidRPr="0086063B">
        <w:rPr>
          <w:sz w:val="22"/>
          <w:szCs w:val="22"/>
          <w:lang w:val="sr-Latn-ME"/>
        </w:rPr>
        <w:t xml:space="preserve">. Kod pacijenata sa kandidemijom stopa povoljnih odgovora po okončanju IV terapije kaspofunginom (72% </w:t>
      </w:r>
      <w:r w:rsidRPr="0086063B">
        <w:rPr>
          <w:sz w:val="22"/>
          <w:szCs w:val="22"/>
          <w:lang w:val="sr-Latn-ME"/>
        </w:rPr>
        <w:sym w:font="Symbol" w:char="F05B"/>
      </w:r>
      <w:r w:rsidRPr="0086063B">
        <w:rPr>
          <w:sz w:val="22"/>
          <w:szCs w:val="22"/>
          <w:lang w:val="sr-Latn-ME"/>
        </w:rPr>
        <w:t>66/92</w:t>
      </w:r>
      <w:r w:rsidRPr="0086063B">
        <w:rPr>
          <w:sz w:val="22"/>
          <w:szCs w:val="22"/>
          <w:lang w:val="sr-Latn-ME"/>
        </w:rPr>
        <w:sym w:font="Symbol" w:char="F05D"/>
      </w:r>
      <w:r w:rsidRPr="0086063B">
        <w:rPr>
          <w:sz w:val="22"/>
          <w:szCs w:val="22"/>
          <w:lang w:val="sr-Latn-ME"/>
        </w:rPr>
        <w:t xml:space="preserve">) bila je u primarnoj analizi efikasnosti (analiza MITT) uporediva sa stopama dobijenim kod terapije amfotericinom B (63% </w:t>
      </w:r>
      <w:r w:rsidRPr="0086063B">
        <w:rPr>
          <w:sz w:val="22"/>
          <w:szCs w:val="22"/>
          <w:lang w:val="sr-Latn-ME"/>
        </w:rPr>
        <w:sym w:font="Symbol" w:char="F05B"/>
      </w:r>
      <w:r w:rsidRPr="0086063B">
        <w:rPr>
          <w:sz w:val="22"/>
          <w:szCs w:val="22"/>
          <w:lang w:val="sr-Latn-ME"/>
        </w:rPr>
        <w:t>59/94</w:t>
      </w:r>
      <w:r w:rsidRPr="0086063B">
        <w:rPr>
          <w:sz w:val="22"/>
          <w:szCs w:val="22"/>
          <w:lang w:val="sr-Latn-ME"/>
        </w:rPr>
        <w:sym w:font="Symbol" w:char="F05D"/>
      </w:r>
      <w:r w:rsidRPr="0086063B">
        <w:rPr>
          <w:sz w:val="22"/>
          <w:szCs w:val="22"/>
          <w:lang w:val="sr-Latn-ME"/>
        </w:rPr>
        <w:t xml:space="preserve">) </w:t>
      </w:r>
      <w:r w:rsidRPr="0086063B">
        <w:rPr>
          <w:sz w:val="22"/>
          <w:szCs w:val="22"/>
          <w:lang w:val="sr-Latn-ME"/>
        </w:rPr>
        <w:sym w:font="Symbol" w:char="F05B"/>
      </w:r>
      <w:r w:rsidRPr="0086063B">
        <w:rPr>
          <w:sz w:val="22"/>
          <w:szCs w:val="22"/>
          <w:lang w:val="sr-Latn-ME"/>
        </w:rPr>
        <w:t>10,0% razlike (interval pouzdanosti od 95,0% CI -4,5, 24,5)</w:t>
      </w:r>
      <w:r w:rsidRPr="0086063B">
        <w:rPr>
          <w:sz w:val="22"/>
          <w:szCs w:val="22"/>
          <w:lang w:val="sr-Latn-ME"/>
        </w:rPr>
        <w:sym w:font="Symbol" w:char="F05D"/>
      </w:r>
      <w:r w:rsidRPr="0086063B">
        <w:rPr>
          <w:sz w:val="22"/>
          <w:szCs w:val="22"/>
          <w:lang w:val="sr-Latn-ME"/>
        </w:rPr>
        <w:t>. Podaci o pacijentima kod kojih mjesto infekcije nije bilo u krvi znatno su ograničeniji. Stopa povoljnih odgovora kod pacijenata sa neutropenijom iznosila je 7/14 (50%) kod pacijenata koji su liječeni kaspofunginom, a 4/10 (40%) kod pacijenata koji su primali amfotericin B. Ove ograničene podatke podržavaju podaci dobijeni u kliničkim ispitivanjima empirijskog liječenja.</w:t>
      </w:r>
    </w:p>
    <w:p w14:paraId="45FE6917" w14:textId="77777777" w:rsidR="008F7D68" w:rsidRPr="0086063B" w:rsidRDefault="008F7D68" w:rsidP="00186EFF">
      <w:pPr>
        <w:pStyle w:val="Header"/>
        <w:tabs>
          <w:tab w:val="left" w:pos="284"/>
        </w:tabs>
        <w:ind w:right="65"/>
        <w:jc w:val="both"/>
        <w:rPr>
          <w:sz w:val="22"/>
          <w:szCs w:val="22"/>
          <w:lang w:val="sr-Latn-ME"/>
        </w:rPr>
      </w:pPr>
    </w:p>
    <w:p w14:paraId="4C12837A" w14:textId="395A6B1B"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 xml:space="preserve">U drugoj studiji, pacijenti sa invazivnom kandidijazom su primili dnevno kaspofungin u dozi od 50 mg/dan (nakon udarne doze od 70 mg prvog dana) ili kaspofungin u dozi od 150 mg/dnevno (vidjeti  </w:t>
      </w:r>
      <w:r w:rsidR="00D541B7" w:rsidRPr="0086063B">
        <w:rPr>
          <w:sz w:val="22"/>
          <w:szCs w:val="22"/>
          <w:lang w:val="sr-Latn-ME"/>
        </w:rPr>
        <w:t>dio</w:t>
      </w:r>
      <w:r w:rsidR="004D0241" w:rsidRPr="0086063B">
        <w:rPr>
          <w:sz w:val="22"/>
          <w:szCs w:val="22"/>
          <w:lang w:val="sr-Latn-ME"/>
        </w:rPr>
        <w:t xml:space="preserve"> </w:t>
      </w:r>
      <w:r w:rsidRPr="0086063B">
        <w:rPr>
          <w:sz w:val="22"/>
          <w:szCs w:val="22"/>
          <w:lang w:val="sr-Latn-ME"/>
        </w:rPr>
        <w:t>4.8). U ovoj studiji, kaspofungin je prim</w:t>
      </w:r>
      <w:r w:rsidR="00931098" w:rsidRPr="0086063B">
        <w:rPr>
          <w:sz w:val="22"/>
          <w:szCs w:val="22"/>
          <w:lang w:val="sr-Latn-ME"/>
        </w:rPr>
        <w:t>i</w:t>
      </w:r>
      <w:r w:rsidRPr="0086063B">
        <w:rPr>
          <w:sz w:val="22"/>
          <w:szCs w:val="22"/>
          <w:lang w:val="sr-Latn-ME"/>
        </w:rPr>
        <w:t xml:space="preserve">jenjivan duže od 2 sata (umjesto rutinske primjene u trajanju od 1 sata). Studija nije uključivala pacijente sa endokarditisom, meningitisom ili osteomijelitisom suspektno izazvanim </w:t>
      </w:r>
      <w:r w:rsidRPr="0086063B">
        <w:rPr>
          <w:i/>
          <w:sz w:val="22"/>
          <w:szCs w:val="22"/>
          <w:lang w:val="sr-Latn-ME"/>
        </w:rPr>
        <w:t xml:space="preserve">Candida </w:t>
      </w:r>
      <w:r w:rsidRPr="0086063B">
        <w:rPr>
          <w:sz w:val="22"/>
          <w:szCs w:val="22"/>
          <w:lang w:val="sr-Latn-ME"/>
        </w:rPr>
        <w:t>rodom. S obzirom da je ovo bila primarna terapijska studija, pacijenti koji su ispoljili refraktarnost na prethodnu upotrebu antifungalne terapije su takođe bili isključeni. Broj pacijenata sa neutropenijom koji su ušli u studiju je takođe bio ograničen (8,0%). Efikasnost je bila sekundarni parametar praćenja u ovoj studiji. Pacijenti koji su ispunili kriterijume uključivanja u studiju i primili jednu ili više doza studijskog lijeka su bili uključeni u analizu efikasnosti. Željeni procenat efekta na kraju terapije je bio približno isti u ob</w:t>
      </w:r>
      <w:r w:rsidR="00931098" w:rsidRPr="0086063B">
        <w:rPr>
          <w:sz w:val="22"/>
          <w:szCs w:val="22"/>
          <w:lang w:val="sr-Latn-ME"/>
        </w:rPr>
        <w:t>ij</w:t>
      </w:r>
      <w:r w:rsidRPr="0086063B">
        <w:rPr>
          <w:sz w:val="22"/>
          <w:szCs w:val="22"/>
          <w:lang w:val="sr-Latn-ME"/>
        </w:rPr>
        <w:t>e grupe: 72% (73/102), odnosno 78% (74/95), za kaspofungin od 50 mg, odnosno od 150 mg (razlika 6,3% [95% CI -5,9, 18,4]).</w:t>
      </w:r>
    </w:p>
    <w:p w14:paraId="7D4ABD47" w14:textId="77777777" w:rsidR="008F7D68" w:rsidRPr="0086063B" w:rsidRDefault="008F7D68" w:rsidP="00186EFF">
      <w:pPr>
        <w:pStyle w:val="Header"/>
        <w:tabs>
          <w:tab w:val="left" w:pos="284"/>
        </w:tabs>
        <w:ind w:right="65"/>
        <w:jc w:val="both"/>
        <w:rPr>
          <w:sz w:val="22"/>
          <w:szCs w:val="22"/>
          <w:lang w:val="sr-Latn-ME"/>
        </w:rPr>
      </w:pPr>
    </w:p>
    <w:p w14:paraId="374C4474" w14:textId="11D37401" w:rsidR="008F7D68" w:rsidRPr="0086063B" w:rsidRDefault="008F7D68" w:rsidP="00186EFF">
      <w:pPr>
        <w:pStyle w:val="Header"/>
        <w:tabs>
          <w:tab w:val="left" w:pos="284"/>
        </w:tabs>
        <w:ind w:right="65"/>
        <w:jc w:val="both"/>
        <w:rPr>
          <w:sz w:val="22"/>
          <w:szCs w:val="22"/>
          <w:lang w:val="sr-Latn-ME"/>
        </w:rPr>
      </w:pPr>
      <w:r w:rsidRPr="0086063B">
        <w:rPr>
          <w:i/>
          <w:sz w:val="22"/>
          <w:szCs w:val="22"/>
          <w:lang w:val="sr-Latn-ME"/>
        </w:rPr>
        <w:t>Invazivna aspergiloza kod odraslih pacijenata</w:t>
      </w:r>
      <w:r w:rsidRPr="0086063B">
        <w:rPr>
          <w:sz w:val="22"/>
          <w:szCs w:val="22"/>
          <w:lang w:val="sr-Latn-ME"/>
        </w:rPr>
        <w:t xml:space="preserve">: U otvorenom, nekomparativnom ispitivanju bezbjednosti, podnošljivosti i efikasnosti kaspofungina uključeno je 69 odraslih pacijenata (uzrasta od 18 do 80 godina) sa invazivnom aspergilozom. Pacijenti su imali ili refraktornu bolest tj. bolest koja ne odgovara na standardno liječenje (napredovanje bolesti ili izostanak poboljšanja pri liječenju sa drugim antimikoticima koje su primali najmanje 7 dana) (84% uključenih pacijenata) ili nijesu podnosili druge standardne antimikotike (16% uključenih pacijenata). Kod većine pacijenata postojala je neka osnovna bolest (hematološka maligna bolest </w:t>
      </w:r>
      <w:r w:rsidRPr="0086063B">
        <w:rPr>
          <w:sz w:val="22"/>
          <w:szCs w:val="22"/>
          <w:lang w:val="sr-Latn-ME"/>
        </w:rPr>
        <w:sym w:font="Symbol" w:char="F05B"/>
      </w:r>
      <w:r w:rsidRPr="0086063B">
        <w:rPr>
          <w:sz w:val="22"/>
          <w:szCs w:val="22"/>
          <w:lang w:val="sr-Latn-ME"/>
        </w:rPr>
        <w:t>N=24</w:t>
      </w:r>
      <w:r w:rsidRPr="0086063B">
        <w:rPr>
          <w:sz w:val="22"/>
          <w:szCs w:val="22"/>
          <w:lang w:val="sr-Latn-ME"/>
        </w:rPr>
        <w:sym w:font="Symbol" w:char="F05D"/>
      </w:r>
      <w:r w:rsidRPr="0086063B">
        <w:rPr>
          <w:sz w:val="22"/>
          <w:szCs w:val="22"/>
          <w:lang w:val="sr-Latn-ME"/>
        </w:rPr>
        <w:t xml:space="preserve">, alogena transplantacija koštane srži ili transplantacija matičnih ćelija </w:t>
      </w:r>
      <w:r w:rsidRPr="0086063B">
        <w:rPr>
          <w:sz w:val="22"/>
          <w:szCs w:val="22"/>
          <w:lang w:val="sr-Latn-ME"/>
        </w:rPr>
        <w:sym w:font="Symbol" w:char="F05B"/>
      </w:r>
      <w:r w:rsidRPr="0086063B">
        <w:rPr>
          <w:sz w:val="22"/>
          <w:szCs w:val="22"/>
          <w:lang w:val="sr-Latn-ME"/>
        </w:rPr>
        <w:t>N=18</w:t>
      </w:r>
      <w:r w:rsidRPr="0086063B">
        <w:rPr>
          <w:sz w:val="22"/>
          <w:szCs w:val="22"/>
          <w:lang w:val="sr-Latn-ME"/>
        </w:rPr>
        <w:sym w:font="Symbol" w:char="F05D"/>
      </w:r>
      <w:r w:rsidRPr="0086063B">
        <w:rPr>
          <w:sz w:val="22"/>
          <w:szCs w:val="22"/>
          <w:lang w:val="sr-Latn-ME"/>
        </w:rPr>
        <w:t xml:space="preserve">, presađivanje organa </w:t>
      </w:r>
      <w:r w:rsidRPr="0086063B">
        <w:rPr>
          <w:sz w:val="22"/>
          <w:szCs w:val="22"/>
          <w:lang w:val="sr-Latn-ME"/>
        </w:rPr>
        <w:sym w:font="Symbol" w:char="F05B"/>
      </w:r>
      <w:r w:rsidRPr="0086063B">
        <w:rPr>
          <w:sz w:val="22"/>
          <w:szCs w:val="22"/>
          <w:lang w:val="sr-Latn-ME"/>
        </w:rPr>
        <w:t>N=8</w:t>
      </w:r>
      <w:r w:rsidRPr="0086063B">
        <w:rPr>
          <w:sz w:val="22"/>
          <w:szCs w:val="22"/>
          <w:lang w:val="sr-Latn-ME"/>
        </w:rPr>
        <w:sym w:font="Symbol" w:char="F05D"/>
      </w:r>
      <w:r w:rsidRPr="0086063B">
        <w:rPr>
          <w:sz w:val="22"/>
          <w:szCs w:val="22"/>
          <w:lang w:val="sr-Latn-ME"/>
        </w:rPr>
        <w:t xml:space="preserve">, solidni tumor </w:t>
      </w:r>
      <w:r w:rsidRPr="0086063B">
        <w:rPr>
          <w:sz w:val="22"/>
          <w:szCs w:val="22"/>
          <w:lang w:val="sr-Latn-ME"/>
        </w:rPr>
        <w:sym w:font="Symbol" w:char="F05B"/>
      </w:r>
      <w:r w:rsidRPr="0086063B">
        <w:rPr>
          <w:sz w:val="22"/>
          <w:szCs w:val="22"/>
          <w:lang w:val="sr-Latn-ME"/>
        </w:rPr>
        <w:t>N=3</w:t>
      </w:r>
      <w:r w:rsidRPr="0086063B">
        <w:rPr>
          <w:sz w:val="22"/>
          <w:szCs w:val="22"/>
          <w:lang w:val="sr-Latn-ME"/>
        </w:rPr>
        <w:sym w:font="Symbol" w:char="F05D"/>
      </w:r>
      <w:r w:rsidRPr="0086063B">
        <w:rPr>
          <w:sz w:val="22"/>
          <w:szCs w:val="22"/>
          <w:lang w:val="sr-Latn-ME"/>
        </w:rPr>
        <w:t xml:space="preserve"> ili neko drugo stanje </w:t>
      </w:r>
      <w:r w:rsidRPr="0086063B">
        <w:rPr>
          <w:sz w:val="22"/>
          <w:szCs w:val="22"/>
          <w:lang w:val="sr-Latn-ME"/>
        </w:rPr>
        <w:sym w:font="Symbol" w:char="F05B"/>
      </w:r>
      <w:r w:rsidRPr="0086063B">
        <w:rPr>
          <w:sz w:val="22"/>
          <w:szCs w:val="22"/>
          <w:lang w:val="sr-Latn-ME"/>
        </w:rPr>
        <w:t>N=10</w:t>
      </w:r>
      <w:r w:rsidRPr="0086063B">
        <w:rPr>
          <w:sz w:val="22"/>
          <w:szCs w:val="22"/>
          <w:lang w:val="sr-Latn-ME"/>
        </w:rPr>
        <w:sym w:font="Symbol" w:char="F05D"/>
      </w:r>
      <w:r w:rsidRPr="0086063B">
        <w:rPr>
          <w:sz w:val="22"/>
          <w:szCs w:val="22"/>
          <w:lang w:val="sr-Latn-ME"/>
        </w:rPr>
        <w:t>. Pri postavljanju dijagnoze invazivne aspergiloze, kao i pri procjeni odgovora na terapiju (za povoljan odgovor smatralo se klinički značajno poboljšanje potvrđeno radiografski, kao i poboljšanje znakova i simptoma bolesti) korišćene su precizne definicije u skladu sa kriterijumima Grupe za istraživanje mikoza (</w:t>
      </w:r>
      <w:r w:rsidRPr="0086063B">
        <w:rPr>
          <w:i/>
          <w:sz w:val="22"/>
          <w:szCs w:val="22"/>
          <w:lang w:val="sr-Latn-ME"/>
        </w:rPr>
        <w:t>Mycoses Study Group Criteria</w:t>
      </w:r>
      <w:r w:rsidRPr="0086063B">
        <w:rPr>
          <w:sz w:val="22"/>
          <w:szCs w:val="22"/>
          <w:lang w:val="sr-Latn-ME"/>
        </w:rPr>
        <w:t xml:space="preserve">). Srednja dužina liječenja bila je 33,7 dana uz raspon od 1 do 162 dana. Grupa nezavisnih stručnjaka procijenila je da je na liječenje povoljno odgovorilo 41% (26/63) pacijenata koji su primili najmanje jednu dozu kaspofungina. Kod pacijenata koji su primali kaspofungin duže od 7 dana povoljan odgovor je uočen kod 50% (26/52). Kod pacijenata koji ili nijesu odgovarali na prethodnu standardnu terapiju drugim antimikoticima ili je nijesu podnosili povoljan odgovor je uočen kod njih 36% (19/53), odnosno 70% (7/10). Iako su doze prethodne antigljivične terapije kod pet pacijenata (ti pacijenti su uključeni u studiju kao oni koji nijesu odgovarali na prethodnu terapiju) bile niže od onih koje se uobičajeno primjenjuju za liječenje invazivne aspergiloze, stopa povoljnih odgovora tokom liječenja kaspofunginom kod tih pacijenata bila je slična onoj kod preostalih pacijenata koji nijesu odgovarali na prethodnu terapiju (2/5 u odnosu na 17/48). Stopa povoljnih odgovora kod pacijenata sa plućnim oboljenjem iznosila je 47% (21/45), a ta stopa je bila 28% (5/18) kod pacijenata sa bolestima koje nijesu bile plućne. Među pacijentima sa bolestima koje nijesu bile plućne uočen je povoljan odgovor </w:t>
      </w:r>
      <w:r w:rsidR="00871F66" w:rsidRPr="0086063B">
        <w:rPr>
          <w:sz w:val="22"/>
          <w:szCs w:val="22"/>
          <w:lang w:val="sr-Latn-ME"/>
        </w:rPr>
        <w:t>kod</w:t>
      </w:r>
      <w:r w:rsidRPr="0086063B">
        <w:rPr>
          <w:sz w:val="22"/>
          <w:szCs w:val="22"/>
          <w:lang w:val="sr-Latn-ME"/>
        </w:rPr>
        <w:t xml:space="preserve"> dva od osam pacijenata sa dokazanom, vjerovatnom ili mogućom zahvaćenošću centralnog nervnog sistema (CNS).</w:t>
      </w:r>
    </w:p>
    <w:p w14:paraId="03EAF321" w14:textId="77777777" w:rsidR="008F7D68" w:rsidRPr="0086063B" w:rsidRDefault="008F7D68" w:rsidP="00186EFF">
      <w:pPr>
        <w:pStyle w:val="Header"/>
        <w:tabs>
          <w:tab w:val="left" w:pos="284"/>
        </w:tabs>
        <w:ind w:right="65"/>
        <w:jc w:val="both"/>
        <w:rPr>
          <w:b/>
          <w:i/>
          <w:sz w:val="22"/>
          <w:szCs w:val="22"/>
          <w:lang w:val="sr-Latn-ME"/>
        </w:rPr>
      </w:pPr>
    </w:p>
    <w:p w14:paraId="677DFC6C" w14:textId="78160002" w:rsidR="008F7D68" w:rsidRPr="0086063B" w:rsidRDefault="008F7D68" w:rsidP="00186EFF">
      <w:pPr>
        <w:pStyle w:val="Header"/>
        <w:tabs>
          <w:tab w:val="left" w:pos="284"/>
        </w:tabs>
        <w:jc w:val="both"/>
        <w:rPr>
          <w:sz w:val="22"/>
          <w:szCs w:val="22"/>
          <w:lang w:val="sr-Latn-ME"/>
        </w:rPr>
      </w:pPr>
      <w:r w:rsidRPr="0086063B">
        <w:rPr>
          <w:i/>
          <w:sz w:val="22"/>
          <w:szCs w:val="22"/>
          <w:lang w:val="sr-Latn-ME"/>
        </w:rPr>
        <w:t>Empirijsko liječenje odraslih febrilnih pacijenata sa neutropenijom</w:t>
      </w:r>
      <w:r w:rsidRPr="0086063B">
        <w:rPr>
          <w:sz w:val="22"/>
          <w:szCs w:val="22"/>
          <w:lang w:val="sr-Latn-ME"/>
        </w:rPr>
        <w:t>: Ukupno 1111 pacijenata sa upornom groznicom (perzistentnom povišenom temperaturom) i neutropenijom bilo je uključeno u kliničko ispitivanje i liječeno sa 50 mg kaspofungina jednom dnevno nakon početne udarne doze od 70 mg kaspofungina ili lipozomalnim amfotericinom B u dozi od 3,0 mg/kg/dan. Pacijenti koji su ispunjavali kriterijume za uključivanje primali su hemoterapiju zbog neke maligne bolesti ili im je urađena transplantacija matičnih ćelija hematopoeze, a imali su neutropeniju (</w:t>
      </w:r>
      <w:r w:rsidRPr="0086063B">
        <w:rPr>
          <w:sz w:val="22"/>
          <w:szCs w:val="22"/>
          <w:lang w:val="sr-Latn-ME"/>
        </w:rPr>
        <w:sym w:font="Symbol" w:char="F03C"/>
      </w:r>
      <w:r w:rsidRPr="0086063B">
        <w:rPr>
          <w:sz w:val="22"/>
          <w:szCs w:val="22"/>
          <w:lang w:val="sr-Latn-ME"/>
        </w:rPr>
        <w:t>500 ćelija/mm</w:t>
      </w:r>
      <w:r w:rsidRPr="0086063B">
        <w:rPr>
          <w:sz w:val="22"/>
          <w:szCs w:val="22"/>
          <w:vertAlign w:val="superscript"/>
          <w:lang w:val="sr-Latn-ME"/>
        </w:rPr>
        <w:t>3</w:t>
      </w:r>
      <w:r w:rsidRPr="0086063B">
        <w:rPr>
          <w:sz w:val="22"/>
          <w:szCs w:val="22"/>
          <w:lang w:val="sr-Latn-ME"/>
        </w:rPr>
        <w:t xml:space="preserve"> tokom </w:t>
      </w:r>
      <w:r w:rsidRPr="0086063B">
        <w:rPr>
          <w:sz w:val="22"/>
          <w:szCs w:val="22"/>
          <w:lang w:val="sr-Latn-ME"/>
        </w:rPr>
        <w:lastRenderedPageBreak/>
        <w:t>96 sati) i povišenu temperaturu (</w:t>
      </w:r>
      <w:r w:rsidRPr="0086063B">
        <w:rPr>
          <w:sz w:val="22"/>
          <w:szCs w:val="22"/>
          <w:lang w:val="sr-Latn-ME"/>
        </w:rPr>
        <w:sym w:font="Symbol" w:char="F03E"/>
      </w:r>
      <w:r w:rsidRPr="0086063B">
        <w:rPr>
          <w:sz w:val="22"/>
          <w:szCs w:val="22"/>
          <w:lang w:val="sr-Latn-ME"/>
        </w:rPr>
        <w:t>38,0</w:t>
      </w:r>
      <w:r w:rsidRPr="0086063B">
        <w:rPr>
          <w:sz w:val="22"/>
          <w:szCs w:val="22"/>
          <w:vertAlign w:val="superscript"/>
          <w:lang w:val="sr-Latn-ME"/>
        </w:rPr>
        <w:t>o</w:t>
      </w:r>
      <w:r w:rsidRPr="0086063B">
        <w:rPr>
          <w:sz w:val="22"/>
          <w:szCs w:val="22"/>
          <w:lang w:val="sr-Latn-ME"/>
        </w:rPr>
        <w:t xml:space="preserve">C) koje se nijesu povukle nakon </w:t>
      </w:r>
      <w:r w:rsidRPr="0086063B">
        <w:rPr>
          <w:sz w:val="22"/>
          <w:szCs w:val="22"/>
          <w:lang w:val="sr-Latn-ME"/>
        </w:rPr>
        <w:sym w:font="Symbol" w:char="F0B3"/>
      </w:r>
      <w:r w:rsidRPr="0086063B">
        <w:rPr>
          <w:sz w:val="22"/>
          <w:szCs w:val="22"/>
          <w:lang w:val="sr-Latn-ME"/>
        </w:rPr>
        <w:t xml:space="preserve"> 96 sati parenteralne primjene antibiotika. Pacijenti su bili liječeni u trajanju do 72 sata nakon povlačenja neutropenije, a najduže 28 dana. Pacijenti koji su imali potvrđenu gljivičnu infekciju mogli su i duže da se liječe. Ako je pacijent dobro podnosio lijek, ali temperatura nije prestajala i pacijentovo kliničko stanje se pogoršavalo nakon 5 dana terapije, doza ispitivanog lijeka mogla je da se poveća na 70 mg/dan kaspofungina (13,3% tretiranih pacijenata) ili na 5,0 mg/kg/dan lipozomalnog amfotericina B (14,3% tretiranih pacijenata). 1095 pacijenata bilo je uključeno u primarnu analizu efikasnosti </w:t>
      </w:r>
      <w:r w:rsidRPr="0086063B">
        <w:rPr>
          <w:i/>
          <w:sz w:val="22"/>
          <w:szCs w:val="22"/>
          <w:lang w:val="sr-Latn-ME"/>
        </w:rPr>
        <w:t>Modified Intention-To-Treat</w:t>
      </w:r>
      <w:r w:rsidRPr="0086063B">
        <w:rPr>
          <w:sz w:val="22"/>
          <w:szCs w:val="22"/>
          <w:lang w:val="sr-Latn-ME"/>
        </w:rPr>
        <w:t xml:space="preserve"> (MITT) ukupnih povoljnih odgovora na terapiju: kaspofungin (33,9%) je bio efikasan isto kao i lipozomalni amfotericin B (33,7%) </w:t>
      </w:r>
      <w:r w:rsidRPr="0086063B">
        <w:rPr>
          <w:sz w:val="22"/>
          <w:szCs w:val="22"/>
          <w:lang w:val="sr-Latn-ME"/>
        </w:rPr>
        <w:sym w:font="Symbol" w:char="F05B"/>
      </w:r>
      <w:r w:rsidRPr="0086063B">
        <w:rPr>
          <w:sz w:val="22"/>
          <w:szCs w:val="22"/>
          <w:lang w:val="sr-Latn-ME"/>
        </w:rPr>
        <w:t>0,2 % razlike (interval pouzdanosti: 95,2% CI -5,6, 6,0)</w:t>
      </w:r>
      <w:r w:rsidRPr="0086063B">
        <w:rPr>
          <w:sz w:val="22"/>
          <w:szCs w:val="22"/>
          <w:lang w:val="sr-Latn-ME"/>
        </w:rPr>
        <w:sym w:font="Symbol" w:char="F05D"/>
      </w:r>
      <w:r w:rsidRPr="0086063B">
        <w:rPr>
          <w:sz w:val="22"/>
          <w:szCs w:val="22"/>
          <w:lang w:val="sr-Latn-ME"/>
        </w:rPr>
        <w:t xml:space="preserve">. Ukupan povoljan odgovor na terapiju zahtijevao je ispunjavanje svih 5 kriterijuma: (1) uspješno liječenje svih gljivičnih infekcija koje su bile prisutne na početku ispitivanja (kaspofungin 51,9% </w:t>
      </w:r>
      <w:r w:rsidRPr="0086063B">
        <w:rPr>
          <w:sz w:val="22"/>
          <w:szCs w:val="22"/>
          <w:lang w:val="sr-Latn-ME"/>
        </w:rPr>
        <w:sym w:font="Symbol" w:char="F05B"/>
      </w:r>
      <w:r w:rsidRPr="0086063B">
        <w:rPr>
          <w:sz w:val="22"/>
          <w:szCs w:val="22"/>
          <w:lang w:val="sr-Latn-ME"/>
        </w:rPr>
        <w:t>14/27</w:t>
      </w:r>
      <w:r w:rsidRPr="0086063B">
        <w:rPr>
          <w:sz w:val="22"/>
          <w:szCs w:val="22"/>
          <w:lang w:val="sr-Latn-ME"/>
        </w:rPr>
        <w:sym w:font="Symbol" w:char="F05D"/>
      </w:r>
      <w:r w:rsidRPr="0086063B">
        <w:rPr>
          <w:sz w:val="22"/>
          <w:szCs w:val="22"/>
          <w:lang w:val="sr-Latn-ME"/>
        </w:rPr>
        <w:t xml:space="preserve">, lipozomalni amfotericin B 25,9% </w:t>
      </w:r>
      <w:r w:rsidRPr="0086063B">
        <w:rPr>
          <w:sz w:val="22"/>
          <w:szCs w:val="22"/>
          <w:lang w:val="sr-Latn-ME"/>
        </w:rPr>
        <w:sym w:font="Symbol" w:char="F05B"/>
      </w:r>
      <w:r w:rsidRPr="0086063B">
        <w:rPr>
          <w:sz w:val="22"/>
          <w:szCs w:val="22"/>
          <w:lang w:val="sr-Latn-ME"/>
        </w:rPr>
        <w:t>7/27</w:t>
      </w:r>
      <w:r w:rsidRPr="0086063B">
        <w:rPr>
          <w:sz w:val="22"/>
          <w:szCs w:val="22"/>
          <w:lang w:val="sr-Latn-ME"/>
        </w:rPr>
        <w:sym w:font="Symbol" w:char="F05D"/>
      </w:r>
      <w:r w:rsidRPr="0086063B">
        <w:rPr>
          <w:sz w:val="22"/>
          <w:szCs w:val="22"/>
          <w:lang w:val="sr-Latn-ME"/>
        </w:rPr>
        <w:t xml:space="preserve">), (2) bez novonastalih gljivičnih infekcija za vrijeme primanja ispitivanog lijeka ili 7 dana nakon završetka terapije (kaspofungin 94,8% </w:t>
      </w:r>
      <w:r w:rsidRPr="0086063B">
        <w:rPr>
          <w:sz w:val="22"/>
          <w:szCs w:val="22"/>
          <w:lang w:val="sr-Latn-ME"/>
        </w:rPr>
        <w:sym w:font="Symbol" w:char="F05B"/>
      </w:r>
      <w:r w:rsidRPr="0086063B">
        <w:rPr>
          <w:sz w:val="22"/>
          <w:szCs w:val="22"/>
          <w:lang w:val="sr-Latn-ME"/>
        </w:rPr>
        <w:t>527/556</w:t>
      </w:r>
      <w:r w:rsidRPr="0086063B">
        <w:rPr>
          <w:sz w:val="22"/>
          <w:szCs w:val="22"/>
          <w:lang w:val="sr-Latn-ME"/>
        </w:rPr>
        <w:sym w:font="Symbol" w:char="F05D"/>
      </w:r>
      <w:r w:rsidRPr="0086063B">
        <w:rPr>
          <w:sz w:val="22"/>
          <w:szCs w:val="22"/>
          <w:lang w:val="sr-Latn-ME"/>
        </w:rPr>
        <w:t xml:space="preserve">, lipozomalni amfotericin B 95,5% </w:t>
      </w:r>
      <w:r w:rsidRPr="0086063B">
        <w:rPr>
          <w:sz w:val="22"/>
          <w:szCs w:val="22"/>
          <w:lang w:val="sr-Latn-ME"/>
        </w:rPr>
        <w:sym w:font="Symbol" w:char="F05B"/>
      </w:r>
      <w:r w:rsidRPr="0086063B">
        <w:rPr>
          <w:sz w:val="22"/>
          <w:szCs w:val="22"/>
          <w:lang w:val="sr-Latn-ME"/>
        </w:rPr>
        <w:t>515/539</w:t>
      </w:r>
      <w:r w:rsidRPr="0086063B">
        <w:rPr>
          <w:sz w:val="22"/>
          <w:szCs w:val="22"/>
          <w:lang w:val="sr-Latn-ME"/>
        </w:rPr>
        <w:sym w:font="Symbol" w:char="F05D"/>
      </w:r>
      <w:r w:rsidRPr="0086063B">
        <w:rPr>
          <w:sz w:val="22"/>
          <w:szCs w:val="22"/>
          <w:lang w:val="sr-Latn-ME"/>
        </w:rPr>
        <w:t xml:space="preserve">), (3) preživljavanje 7 dana nakon završetka terapije ispitivanim lijekom (kaspofungin 92,6% </w:t>
      </w:r>
      <w:r w:rsidRPr="0086063B">
        <w:rPr>
          <w:sz w:val="22"/>
          <w:szCs w:val="22"/>
          <w:lang w:val="sr-Latn-ME"/>
        </w:rPr>
        <w:sym w:font="Symbol" w:char="F05B"/>
      </w:r>
      <w:r w:rsidRPr="0086063B">
        <w:rPr>
          <w:sz w:val="22"/>
          <w:szCs w:val="22"/>
          <w:lang w:val="sr-Latn-ME"/>
        </w:rPr>
        <w:t>515/556</w:t>
      </w:r>
      <w:r w:rsidRPr="0086063B">
        <w:rPr>
          <w:sz w:val="22"/>
          <w:szCs w:val="22"/>
          <w:lang w:val="sr-Latn-ME"/>
        </w:rPr>
        <w:sym w:font="Symbol" w:char="F05D"/>
      </w:r>
      <w:r w:rsidRPr="0086063B">
        <w:rPr>
          <w:sz w:val="22"/>
          <w:szCs w:val="22"/>
          <w:lang w:val="sr-Latn-ME"/>
        </w:rPr>
        <w:t xml:space="preserve">, lipozomalni amfotericin B 89,2% </w:t>
      </w:r>
      <w:r w:rsidRPr="0086063B">
        <w:rPr>
          <w:sz w:val="22"/>
          <w:szCs w:val="22"/>
          <w:lang w:val="sr-Latn-ME"/>
        </w:rPr>
        <w:sym w:font="Symbol" w:char="F05B"/>
      </w:r>
      <w:r w:rsidRPr="0086063B">
        <w:rPr>
          <w:sz w:val="22"/>
          <w:szCs w:val="22"/>
          <w:lang w:val="sr-Latn-ME"/>
        </w:rPr>
        <w:t>481/539</w:t>
      </w:r>
      <w:r w:rsidRPr="0086063B">
        <w:rPr>
          <w:sz w:val="22"/>
          <w:szCs w:val="22"/>
          <w:lang w:val="sr-Latn-ME"/>
        </w:rPr>
        <w:sym w:font="Symbol" w:char="F05D"/>
      </w:r>
      <w:r w:rsidRPr="0086063B">
        <w:rPr>
          <w:sz w:val="22"/>
          <w:szCs w:val="22"/>
          <w:lang w:val="sr-Latn-ME"/>
        </w:rPr>
        <w:t xml:space="preserve">), (4) da nije bilo prekida terapije zbog toksičnosti ili nedostatka efikasnosti ispitivanog lijeka (kaspofungin 89,7% </w:t>
      </w:r>
      <w:r w:rsidRPr="0086063B">
        <w:rPr>
          <w:sz w:val="22"/>
          <w:szCs w:val="22"/>
          <w:lang w:val="sr-Latn-ME"/>
        </w:rPr>
        <w:sym w:font="Symbol" w:char="F05B"/>
      </w:r>
      <w:r w:rsidRPr="0086063B">
        <w:rPr>
          <w:sz w:val="22"/>
          <w:szCs w:val="22"/>
          <w:lang w:val="sr-Latn-ME"/>
        </w:rPr>
        <w:t>499/556</w:t>
      </w:r>
      <w:r w:rsidRPr="0086063B">
        <w:rPr>
          <w:sz w:val="22"/>
          <w:szCs w:val="22"/>
          <w:lang w:val="sr-Latn-ME"/>
        </w:rPr>
        <w:sym w:font="Symbol" w:char="F05D"/>
      </w:r>
      <w:r w:rsidRPr="0086063B">
        <w:rPr>
          <w:sz w:val="22"/>
          <w:szCs w:val="22"/>
          <w:lang w:val="sr-Latn-ME"/>
        </w:rPr>
        <w:t xml:space="preserve">, lipozomalni amfotericin B 85,5% </w:t>
      </w:r>
      <w:r w:rsidRPr="0086063B">
        <w:rPr>
          <w:sz w:val="22"/>
          <w:szCs w:val="22"/>
          <w:lang w:val="sr-Latn-ME"/>
        </w:rPr>
        <w:sym w:font="Symbol" w:char="F05B"/>
      </w:r>
      <w:r w:rsidRPr="0086063B">
        <w:rPr>
          <w:sz w:val="22"/>
          <w:szCs w:val="22"/>
          <w:lang w:val="sr-Latn-ME"/>
        </w:rPr>
        <w:t>461/539</w:t>
      </w:r>
      <w:r w:rsidRPr="0086063B">
        <w:rPr>
          <w:sz w:val="22"/>
          <w:szCs w:val="22"/>
          <w:lang w:val="sr-Latn-ME"/>
        </w:rPr>
        <w:sym w:font="Symbol" w:char="F05D"/>
      </w:r>
      <w:r w:rsidRPr="0086063B">
        <w:rPr>
          <w:sz w:val="22"/>
          <w:szCs w:val="22"/>
          <w:lang w:val="sr-Latn-ME"/>
        </w:rPr>
        <w:t xml:space="preserve">), i (5) prestanak temperature za vreme trajanja neutropenije (kaspofungin 41,2% </w:t>
      </w:r>
      <w:r w:rsidRPr="0086063B">
        <w:rPr>
          <w:sz w:val="22"/>
          <w:szCs w:val="22"/>
          <w:lang w:val="sr-Latn-ME"/>
        </w:rPr>
        <w:sym w:font="Symbol" w:char="F05B"/>
      </w:r>
      <w:r w:rsidRPr="0086063B">
        <w:rPr>
          <w:sz w:val="22"/>
          <w:szCs w:val="22"/>
          <w:lang w:val="sr-Latn-ME"/>
        </w:rPr>
        <w:t>229/556</w:t>
      </w:r>
      <w:r w:rsidRPr="0086063B">
        <w:rPr>
          <w:sz w:val="22"/>
          <w:szCs w:val="22"/>
          <w:lang w:val="sr-Latn-ME"/>
        </w:rPr>
        <w:sym w:font="Symbol" w:char="F05D"/>
      </w:r>
      <w:r w:rsidRPr="0086063B">
        <w:rPr>
          <w:sz w:val="22"/>
          <w:szCs w:val="22"/>
          <w:lang w:val="sr-Latn-ME"/>
        </w:rPr>
        <w:t xml:space="preserve">, lipozomalni amfotericin B 41,4% </w:t>
      </w:r>
      <w:r w:rsidRPr="0086063B">
        <w:rPr>
          <w:sz w:val="22"/>
          <w:szCs w:val="22"/>
          <w:lang w:val="sr-Latn-ME"/>
        </w:rPr>
        <w:sym w:font="Symbol" w:char="F05B"/>
      </w:r>
      <w:r w:rsidRPr="0086063B">
        <w:rPr>
          <w:sz w:val="22"/>
          <w:szCs w:val="22"/>
          <w:lang w:val="sr-Latn-ME"/>
        </w:rPr>
        <w:t>223/539</w:t>
      </w:r>
      <w:r w:rsidRPr="0086063B">
        <w:rPr>
          <w:sz w:val="22"/>
          <w:szCs w:val="22"/>
          <w:lang w:val="sr-Latn-ME"/>
        </w:rPr>
        <w:sym w:font="Symbol" w:char="F05D"/>
      </w:r>
      <w:r w:rsidRPr="0086063B">
        <w:rPr>
          <w:sz w:val="22"/>
          <w:szCs w:val="22"/>
          <w:lang w:val="sr-Latn-ME"/>
        </w:rPr>
        <w:t xml:space="preserve">). Infekcije prisutne na početku ispitivanja, a uzrokovane vrstama roda </w:t>
      </w:r>
      <w:r w:rsidRPr="0086063B">
        <w:rPr>
          <w:i/>
          <w:sz w:val="22"/>
          <w:szCs w:val="22"/>
          <w:lang w:val="sr-Latn-ME"/>
        </w:rPr>
        <w:t>Aspergillus</w:t>
      </w:r>
      <w:r w:rsidRPr="0086063B">
        <w:rPr>
          <w:sz w:val="22"/>
          <w:szCs w:val="22"/>
          <w:lang w:val="sr-Latn-ME"/>
        </w:rPr>
        <w:t xml:space="preserve"> reagovale su na terapiju kaspofunginom u 41,7% (5/12), a lipozomalnim amfotericinom B u 8,3% (1/12) slučajeva. Infekcije prisutne na početku ispitivanja, a uzrokovane vrstama roda </w:t>
      </w:r>
      <w:r w:rsidRPr="0086063B">
        <w:rPr>
          <w:i/>
          <w:sz w:val="22"/>
          <w:szCs w:val="22"/>
          <w:lang w:val="sr-Latn-ME"/>
        </w:rPr>
        <w:t>Candida</w:t>
      </w:r>
      <w:r w:rsidRPr="0086063B">
        <w:rPr>
          <w:sz w:val="22"/>
          <w:szCs w:val="22"/>
          <w:lang w:val="sr-Latn-ME"/>
        </w:rPr>
        <w:t xml:space="preserve"> reagovale su na terapiju kaspofunginom u 66,7% (8/12), a lipozomalnim amfotericinom B u 41,7% (5/12) slučajeva. Kod pacijenata koji su primali kaspofungin pojavile su se novonastale gljivične infekcije rijetkim vrstama kvasaca i plijesni: vrsta </w:t>
      </w:r>
      <w:r w:rsidRPr="0086063B">
        <w:rPr>
          <w:i/>
          <w:sz w:val="22"/>
          <w:szCs w:val="22"/>
          <w:lang w:val="sr-Latn-ME"/>
        </w:rPr>
        <w:t>Trichosporon</w:t>
      </w:r>
      <w:r w:rsidRPr="0086063B">
        <w:rPr>
          <w:sz w:val="22"/>
          <w:szCs w:val="22"/>
          <w:lang w:val="sr-Latn-ME"/>
        </w:rPr>
        <w:t xml:space="preserve"> (1), vrsta </w:t>
      </w:r>
      <w:r w:rsidRPr="0086063B">
        <w:rPr>
          <w:i/>
          <w:sz w:val="22"/>
          <w:szCs w:val="22"/>
          <w:lang w:val="sr-Latn-ME"/>
        </w:rPr>
        <w:t>Fusarium</w:t>
      </w:r>
      <w:r w:rsidRPr="0086063B">
        <w:rPr>
          <w:sz w:val="22"/>
          <w:szCs w:val="22"/>
          <w:lang w:val="sr-Latn-ME"/>
        </w:rPr>
        <w:t xml:space="preserve"> (1), vrsta </w:t>
      </w:r>
      <w:r w:rsidRPr="0086063B">
        <w:rPr>
          <w:i/>
          <w:sz w:val="22"/>
          <w:szCs w:val="22"/>
          <w:lang w:val="sr-Latn-ME"/>
        </w:rPr>
        <w:t>Mucor</w:t>
      </w:r>
      <w:r w:rsidRPr="0086063B">
        <w:rPr>
          <w:sz w:val="22"/>
          <w:szCs w:val="22"/>
          <w:lang w:val="sr-Latn-ME"/>
        </w:rPr>
        <w:t xml:space="preserve"> (1) i vrsta </w:t>
      </w:r>
      <w:r w:rsidRPr="0086063B">
        <w:rPr>
          <w:i/>
          <w:sz w:val="22"/>
          <w:szCs w:val="22"/>
          <w:lang w:val="sr-Latn-ME"/>
        </w:rPr>
        <w:t>Rhizopus</w:t>
      </w:r>
      <w:r w:rsidRPr="0086063B">
        <w:rPr>
          <w:sz w:val="22"/>
          <w:szCs w:val="22"/>
          <w:lang w:val="sr-Latn-ME"/>
        </w:rPr>
        <w:t xml:space="preserve"> (1).</w:t>
      </w:r>
    </w:p>
    <w:p w14:paraId="6749A75B" w14:textId="77777777" w:rsidR="008F7D68" w:rsidRPr="0086063B" w:rsidRDefault="008F7D68" w:rsidP="00186EFF">
      <w:pPr>
        <w:pStyle w:val="Header"/>
        <w:tabs>
          <w:tab w:val="left" w:pos="284"/>
        </w:tabs>
        <w:jc w:val="both"/>
        <w:rPr>
          <w:sz w:val="22"/>
          <w:szCs w:val="22"/>
          <w:lang w:val="sr-Latn-ME"/>
        </w:rPr>
      </w:pPr>
    </w:p>
    <w:p w14:paraId="0FA62C06" w14:textId="77777777" w:rsidR="008F7D68" w:rsidRPr="0086063B" w:rsidRDefault="008F7D68" w:rsidP="00186EFF">
      <w:pPr>
        <w:pStyle w:val="Header"/>
        <w:tabs>
          <w:tab w:val="left" w:pos="284"/>
        </w:tabs>
        <w:ind w:right="65"/>
        <w:jc w:val="both"/>
        <w:rPr>
          <w:sz w:val="22"/>
          <w:szCs w:val="22"/>
          <w:u w:val="single"/>
          <w:lang w:val="sr-Latn-ME"/>
        </w:rPr>
      </w:pPr>
      <w:r w:rsidRPr="0086063B">
        <w:rPr>
          <w:sz w:val="22"/>
          <w:szCs w:val="22"/>
          <w:u w:val="single"/>
          <w:lang w:val="sr-Latn-ME"/>
        </w:rPr>
        <w:t>Pedijatrijski pacijenti</w:t>
      </w:r>
    </w:p>
    <w:p w14:paraId="74F38D1C" w14:textId="7F0B4F06"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Bezbjednost i efikasnost kaspofungina ispitivana je kod pedijatrijskih pacijenata uzrasta od 3 mjeseca do 17 godina u dva prospektivna, multicentrična klinička ispitivanja. Dizajn studije, dijagnostički kriterijumi, kao i kriterijumi za procjenu efikasnosti bili su slični kao i u odgovarajućim studijama sprovedenim na odraslim pacijentima (vidjeti</w:t>
      </w:r>
      <w:r w:rsidR="0016254B" w:rsidRPr="0086063B">
        <w:rPr>
          <w:sz w:val="22"/>
          <w:szCs w:val="22"/>
          <w:lang w:val="sr-Latn-ME"/>
        </w:rPr>
        <w:t xml:space="preserve"> dio</w:t>
      </w:r>
      <w:r w:rsidRPr="0086063B">
        <w:rPr>
          <w:sz w:val="22"/>
          <w:szCs w:val="22"/>
          <w:lang w:val="sr-Latn-ME"/>
        </w:rPr>
        <w:t xml:space="preserve"> 5.1).</w:t>
      </w:r>
    </w:p>
    <w:p w14:paraId="3E796E72" w14:textId="77777777" w:rsidR="008F7D68" w:rsidRPr="0086063B" w:rsidRDefault="008F7D68" w:rsidP="00186EFF">
      <w:pPr>
        <w:pStyle w:val="Header"/>
        <w:tabs>
          <w:tab w:val="left" w:pos="284"/>
        </w:tabs>
        <w:ind w:right="65"/>
        <w:jc w:val="both"/>
        <w:rPr>
          <w:sz w:val="22"/>
          <w:szCs w:val="22"/>
          <w:lang w:val="sr-Latn-ME"/>
        </w:rPr>
      </w:pPr>
    </w:p>
    <w:p w14:paraId="538EEE3E" w14:textId="6FE39496" w:rsidR="008F7D68" w:rsidRPr="0086063B" w:rsidRDefault="008F7D68" w:rsidP="00186EFF">
      <w:pPr>
        <w:pStyle w:val="Header"/>
        <w:tabs>
          <w:tab w:val="left" w:pos="284"/>
        </w:tabs>
        <w:ind w:right="65"/>
        <w:jc w:val="both"/>
        <w:rPr>
          <w:sz w:val="22"/>
          <w:szCs w:val="22"/>
          <w:lang w:val="sr-Latn-ME"/>
        </w:rPr>
      </w:pPr>
      <w:r w:rsidRPr="0086063B">
        <w:rPr>
          <w:sz w:val="22"/>
          <w:szCs w:val="22"/>
          <w:lang w:val="sr-Latn-ME"/>
        </w:rPr>
        <w:t>U prvu studiju</w:t>
      </w:r>
      <w:r w:rsidR="00BA4655" w:rsidRPr="0086063B">
        <w:rPr>
          <w:sz w:val="22"/>
          <w:szCs w:val="22"/>
          <w:lang w:val="sr-Latn-ME"/>
        </w:rPr>
        <w:t xml:space="preserve"> bila su</w:t>
      </w:r>
      <w:r w:rsidRPr="0086063B">
        <w:rPr>
          <w:sz w:val="22"/>
          <w:szCs w:val="22"/>
          <w:lang w:val="sr-Latn-ME"/>
        </w:rPr>
        <w:t xml:space="preserve"> uključen</w:t>
      </w:r>
      <w:r w:rsidR="00BA4655" w:rsidRPr="0086063B">
        <w:rPr>
          <w:sz w:val="22"/>
          <w:szCs w:val="22"/>
          <w:lang w:val="sr-Latn-ME"/>
        </w:rPr>
        <w:t>a</w:t>
      </w:r>
      <w:r w:rsidRPr="0086063B">
        <w:rPr>
          <w:sz w:val="22"/>
          <w:szCs w:val="22"/>
          <w:lang w:val="sr-Latn-ME"/>
        </w:rPr>
        <w:t xml:space="preserve"> 82 pacijenta uzrasta između 2 i 17 godina. To je bila randomizovana, dvostruko-slijepa studija u kojoj su poređeni kaspofungin (50 mg/m</w:t>
      </w:r>
      <w:r w:rsidRPr="0086063B">
        <w:rPr>
          <w:sz w:val="22"/>
          <w:szCs w:val="22"/>
          <w:vertAlign w:val="superscript"/>
          <w:lang w:val="sr-Latn-ME"/>
        </w:rPr>
        <w:t>2</w:t>
      </w:r>
      <w:r w:rsidRPr="0086063B">
        <w:rPr>
          <w:sz w:val="22"/>
          <w:szCs w:val="22"/>
          <w:lang w:val="sr-Latn-ME"/>
        </w:rPr>
        <w:t xml:space="preserve"> IV, jednom dnevno nakon primjene udarne doze od 70-mg/m</w:t>
      </w:r>
      <w:r w:rsidRPr="0086063B">
        <w:rPr>
          <w:sz w:val="22"/>
          <w:szCs w:val="22"/>
          <w:vertAlign w:val="superscript"/>
          <w:lang w:val="sr-Latn-ME"/>
        </w:rPr>
        <w:t>2</w:t>
      </w:r>
      <w:r w:rsidRPr="0086063B">
        <w:rPr>
          <w:sz w:val="22"/>
          <w:szCs w:val="22"/>
          <w:lang w:val="sr-Latn-ME"/>
        </w:rPr>
        <w:t xml:space="preserve"> prvog dana terapije </w:t>
      </w:r>
      <w:r w:rsidRPr="0086063B">
        <w:rPr>
          <w:sz w:val="22"/>
          <w:szCs w:val="22"/>
          <w:lang w:val="sr-Latn-ME"/>
        </w:rPr>
        <w:sym w:font="Symbol" w:char="F05B"/>
      </w:r>
      <w:r w:rsidRPr="0086063B">
        <w:rPr>
          <w:sz w:val="22"/>
          <w:szCs w:val="22"/>
          <w:lang w:val="sr-Latn-ME"/>
        </w:rPr>
        <w:t>ukupna dnevna doza nije sm</w:t>
      </w:r>
      <w:r w:rsidR="0016254B" w:rsidRPr="0086063B">
        <w:rPr>
          <w:sz w:val="22"/>
          <w:szCs w:val="22"/>
          <w:lang w:val="sr-Latn-ME"/>
        </w:rPr>
        <w:t>j</w:t>
      </w:r>
      <w:r w:rsidRPr="0086063B">
        <w:rPr>
          <w:sz w:val="22"/>
          <w:szCs w:val="22"/>
          <w:lang w:val="sr-Latn-ME"/>
        </w:rPr>
        <w:t>ela da bude veća od 70 mg</w:t>
      </w:r>
      <w:r w:rsidRPr="0086063B">
        <w:rPr>
          <w:sz w:val="22"/>
          <w:szCs w:val="22"/>
          <w:lang w:val="sr-Latn-ME"/>
        </w:rPr>
        <w:sym w:font="Symbol" w:char="F05D"/>
      </w:r>
      <w:r w:rsidRPr="0086063B">
        <w:rPr>
          <w:sz w:val="22"/>
          <w:szCs w:val="22"/>
          <w:lang w:val="sr-Latn-ME"/>
        </w:rPr>
        <w:t>) i lipozomalni amfotericin B (3 mg/kg, IV, dnevno) raspoređeni u grupe prema načinu liječenja u odnosu 2:1 (56 pacijenata je primalo kaspofungin</w:t>
      </w:r>
      <w:r w:rsidR="0025085E" w:rsidRPr="0086063B">
        <w:rPr>
          <w:sz w:val="22"/>
          <w:szCs w:val="22"/>
          <w:lang w:val="sr-Latn-ME"/>
        </w:rPr>
        <w:t>,</w:t>
      </w:r>
      <w:r w:rsidRPr="0086063B">
        <w:rPr>
          <w:sz w:val="22"/>
          <w:szCs w:val="22"/>
          <w:lang w:val="sr-Latn-ME"/>
        </w:rPr>
        <w:t xml:space="preserve"> a 26 lipozomalni amfotericin B), a kao empirijska terapija kod pedijatrijskih pacijenata sa upornom povišenom temperaturom i neutropenijom. Ukupna stopa uspjeha terapije prema rezultatima MITT analize, a prilagođeno na osnovu stratifikovanja rizika, bila je 46,6% (26/56) kod pacijenata liječenih kaspofunginom i 32,2% (8/25) kod pacijenata koji su primali lipozomalni amfotericin B.</w:t>
      </w:r>
    </w:p>
    <w:p w14:paraId="2D56B0C4" w14:textId="77777777" w:rsidR="008F7D68" w:rsidRPr="0086063B" w:rsidRDefault="008F7D68" w:rsidP="00186EFF">
      <w:pPr>
        <w:pStyle w:val="Header"/>
        <w:tabs>
          <w:tab w:val="left" w:pos="284"/>
        </w:tabs>
        <w:jc w:val="both"/>
        <w:rPr>
          <w:sz w:val="22"/>
          <w:szCs w:val="22"/>
          <w:lang w:val="sr-Latn-ME"/>
        </w:rPr>
      </w:pPr>
    </w:p>
    <w:p w14:paraId="71C82CC9" w14:textId="08C81EA1" w:rsidR="008F7D68" w:rsidRPr="0086063B" w:rsidRDefault="008F7D68" w:rsidP="00186EFF">
      <w:pPr>
        <w:pStyle w:val="Header"/>
        <w:tabs>
          <w:tab w:val="left" w:pos="284"/>
        </w:tabs>
        <w:jc w:val="both"/>
        <w:rPr>
          <w:sz w:val="22"/>
          <w:szCs w:val="22"/>
          <w:lang w:val="sr-Latn-ME"/>
        </w:rPr>
      </w:pPr>
      <w:r w:rsidRPr="0086063B">
        <w:rPr>
          <w:sz w:val="22"/>
          <w:szCs w:val="22"/>
          <w:lang w:val="sr-Latn-ME"/>
        </w:rPr>
        <w:t>Druga studija je bila prospektivna, otvorena, neporedbena studija u kojoj su procjenjivani bezbjednost i efikasnost kaspofungina kod pedijatrijskih pacijenata (uzrasta od 6 mjeseci do 17 godina) sa invazivnom kandidijazom, ezofagealnom kandidijazom i invazivnom aspergilozom (kao terapija spasavanja). U studiju je uključeno 49 pacijenata koji su primali kaspofungin u dozi od 50 mg/m</w:t>
      </w:r>
      <w:r w:rsidRPr="0086063B">
        <w:rPr>
          <w:sz w:val="22"/>
          <w:szCs w:val="22"/>
          <w:vertAlign w:val="superscript"/>
          <w:lang w:val="sr-Latn-ME"/>
        </w:rPr>
        <w:t>2</w:t>
      </w:r>
      <w:r w:rsidRPr="0086063B">
        <w:rPr>
          <w:sz w:val="22"/>
          <w:szCs w:val="22"/>
          <w:lang w:val="sr-Latn-ME"/>
        </w:rPr>
        <w:t xml:space="preserve"> IV, jednom dnevno nakon primjene udarne doze od 70</w:t>
      </w:r>
      <w:r w:rsidR="00AF411C" w:rsidRPr="0086063B">
        <w:rPr>
          <w:sz w:val="22"/>
          <w:szCs w:val="22"/>
          <w:lang w:val="sr-Latn-ME"/>
        </w:rPr>
        <w:t xml:space="preserve"> </w:t>
      </w:r>
      <w:r w:rsidRPr="0086063B">
        <w:rPr>
          <w:sz w:val="22"/>
          <w:szCs w:val="22"/>
          <w:lang w:val="sr-Latn-ME"/>
        </w:rPr>
        <w:t>mg/m</w:t>
      </w:r>
      <w:r w:rsidRPr="0086063B">
        <w:rPr>
          <w:sz w:val="22"/>
          <w:szCs w:val="22"/>
          <w:vertAlign w:val="superscript"/>
          <w:lang w:val="sr-Latn-ME"/>
        </w:rPr>
        <w:t>2</w:t>
      </w:r>
      <w:r w:rsidRPr="0086063B">
        <w:rPr>
          <w:sz w:val="22"/>
          <w:szCs w:val="22"/>
          <w:lang w:val="sr-Latn-ME"/>
        </w:rPr>
        <w:t xml:space="preserve"> prvog dana terapije (ukupna dnevna doza ne smije da bude veća od 70 mg), a njih 48 je uključeno u MITT analizu. 37 pacijenata je imalo invazivnu kandidijazu, 10 invazivnu aspergilozu, a 1 pacijent je imao ezofagealnu kandidijazu. Prema MITT analizi, povoljan odgovor na kraju terapije kaspofunginom, a za pojedinačne indikacije, bio je: 81% (30/37) za invazivnu kandidijazu, 50% (5/10) za invazivnu aspergilozu i 100% (1/1) za ezofagealnu kandidijazu.</w:t>
      </w:r>
    </w:p>
    <w:p w14:paraId="276B1634" w14:textId="77777777" w:rsidR="008F7D68" w:rsidRPr="0086063B" w:rsidRDefault="008F7D68" w:rsidP="00186EFF">
      <w:pPr>
        <w:tabs>
          <w:tab w:val="left" w:pos="540"/>
          <w:tab w:val="left" w:pos="569"/>
        </w:tabs>
        <w:jc w:val="both"/>
        <w:rPr>
          <w:bCs/>
          <w:sz w:val="22"/>
          <w:szCs w:val="22"/>
          <w:lang w:val="sr-Latn-ME"/>
        </w:rPr>
      </w:pPr>
    </w:p>
    <w:p w14:paraId="523F940B" w14:textId="004BBBC4" w:rsidR="008F7D68" w:rsidRPr="0086063B" w:rsidRDefault="008F7D68" w:rsidP="00186EFF">
      <w:pPr>
        <w:pStyle w:val="Header"/>
        <w:tabs>
          <w:tab w:val="left" w:pos="284"/>
        </w:tabs>
        <w:jc w:val="both"/>
        <w:rPr>
          <w:sz w:val="22"/>
          <w:szCs w:val="22"/>
          <w:lang w:val="sr-Latn-ME"/>
        </w:rPr>
      </w:pPr>
      <w:r w:rsidRPr="0086063B">
        <w:rPr>
          <w:sz w:val="22"/>
          <w:szCs w:val="22"/>
          <w:lang w:val="sr-Latn-ME"/>
        </w:rPr>
        <w:t xml:space="preserve">U dvostruko slijepom, randomizovanom (2:1), </w:t>
      </w:r>
      <w:r w:rsidR="00174F9A" w:rsidRPr="0086063B">
        <w:rPr>
          <w:sz w:val="22"/>
          <w:szCs w:val="22"/>
          <w:lang w:val="sr-Latn-ME"/>
        </w:rPr>
        <w:t xml:space="preserve">lijekom </w:t>
      </w:r>
      <w:r w:rsidRPr="0086063B">
        <w:rPr>
          <w:sz w:val="22"/>
          <w:szCs w:val="22"/>
          <w:lang w:val="sr-Latn-ME"/>
        </w:rPr>
        <w:t xml:space="preserve">komparatorom kontrolisanom kliničkom ispitivanju, procijenjena je bezbjednost, podnošljivosti i efikasnost kaspofungina (2 mg/kg/dan intravenski, primijenjenog infuzijom tokom 2 sata) u poređenju sa amfotericin B deoksikolatom (1 mg/kg/dan) kod novorođenčadi i odojčadi mlađih od 3 mjeseca sa invanzivnom kandidijazom (potvrđena kutura). Zbog lošeg odziva za uključivanje u studiju ispitivanje je ranije prekinuto i samo je </w:t>
      </w:r>
      <w:r w:rsidRPr="0086063B">
        <w:rPr>
          <w:sz w:val="22"/>
          <w:szCs w:val="22"/>
          <w:lang w:val="sr-Latn-ME"/>
        </w:rPr>
        <w:lastRenderedPageBreak/>
        <w:t>51 pacijent randomizovan. Udio pacijenata sa preživljavanjem bez gljivične infekcije u 2. ned</w:t>
      </w:r>
      <w:r w:rsidR="00081606" w:rsidRPr="0086063B">
        <w:rPr>
          <w:sz w:val="22"/>
          <w:szCs w:val="22"/>
          <w:lang w:val="sr-Latn-ME"/>
        </w:rPr>
        <w:t>j</w:t>
      </w:r>
      <w:r w:rsidRPr="0086063B">
        <w:rPr>
          <w:sz w:val="22"/>
          <w:szCs w:val="22"/>
          <w:lang w:val="sr-Latn-ME"/>
        </w:rPr>
        <w:t>elji nakon liječenja u grupi koja je primala kaspofungin (71,0%) bio je sličan onom koji je zabilježen u grupi koja je liječena amfotericin B deoksikolatom (68,8%). Na osnovu ovog ispitivanja, ne mogu se donijeti preporuke o doziranju kod novorođenčadi i odojčadi.</w:t>
      </w:r>
    </w:p>
    <w:p w14:paraId="373ACCBE" w14:textId="7335B61E" w:rsidR="00227ECB" w:rsidRPr="0086063B" w:rsidRDefault="00227ECB" w:rsidP="00186EFF">
      <w:pPr>
        <w:tabs>
          <w:tab w:val="left" w:pos="540"/>
          <w:tab w:val="left" w:pos="569"/>
        </w:tabs>
        <w:jc w:val="both"/>
        <w:rPr>
          <w:b/>
          <w:bCs/>
          <w:sz w:val="22"/>
          <w:szCs w:val="22"/>
          <w:lang w:val="sr-Latn-ME"/>
        </w:rPr>
      </w:pPr>
    </w:p>
    <w:p w14:paraId="514BEC6E" w14:textId="160E21FE"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5.2. </w:t>
      </w:r>
      <w:r w:rsidR="00480FB1" w:rsidRPr="0086063B">
        <w:rPr>
          <w:b/>
          <w:bCs/>
          <w:sz w:val="22"/>
          <w:szCs w:val="22"/>
          <w:lang w:val="sr-Latn-ME"/>
        </w:rPr>
        <w:tab/>
      </w:r>
      <w:r w:rsidRPr="0086063B">
        <w:rPr>
          <w:b/>
          <w:bCs/>
          <w:sz w:val="22"/>
          <w:szCs w:val="22"/>
          <w:lang w:val="sr-Latn-ME"/>
        </w:rPr>
        <w:t>Farmakokinetički podaci</w:t>
      </w:r>
      <w:r w:rsidR="003A7059" w:rsidRPr="0086063B">
        <w:rPr>
          <w:b/>
          <w:bCs/>
          <w:sz w:val="22"/>
          <w:szCs w:val="22"/>
          <w:lang w:val="sr-Latn-ME"/>
        </w:rPr>
        <w:t xml:space="preserve"> </w:t>
      </w:r>
    </w:p>
    <w:p w14:paraId="68BA22F5" w14:textId="6868484A" w:rsidR="0072020E" w:rsidRPr="0086063B" w:rsidRDefault="0072020E" w:rsidP="00186EFF">
      <w:pPr>
        <w:tabs>
          <w:tab w:val="left" w:pos="540"/>
          <w:tab w:val="left" w:pos="569"/>
        </w:tabs>
        <w:jc w:val="both"/>
        <w:rPr>
          <w:bCs/>
          <w:sz w:val="22"/>
          <w:szCs w:val="22"/>
          <w:lang w:val="sr-Latn-ME"/>
        </w:rPr>
      </w:pPr>
    </w:p>
    <w:p w14:paraId="2FD3BF42" w14:textId="77777777" w:rsidR="008F7D68" w:rsidRPr="0086063B" w:rsidRDefault="008F7D68" w:rsidP="00186EFF">
      <w:pPr>
        <w:tabs>
          <w:tab w:val="left" w:pos="284"/>
        </w:tabs>
        <w:ind w:right="65"/>
        <w:jc w:val="both"/>
        <w:rPr>
          <w:sz w:val="22"/>
          <w:szCs w:val="22"/>
          <w:u w:val="single"/>
          <w:lang w:val="sr-Latn-ME"/>
        </w:rPr>
      </w:pPr>
      <w:r w:rsidRPr="0086063B">
        <w:rPr>
          <w:sz w:val="22"/>
          <w:szCs w:val="22"/>
          <w:u w:val="single"/>
          <w:lang w:val="sr-Latn-ME"/>
        </w:rPr>
        <w:t>Distribucija</w:t>
      </w:r>
    </w:p>
    <w:p w14:paraId="695D2010" w14:textId="6277D82F" w:rsidR="008F7D68" w:rsidRPr="0086063B" w:rsidRDefault="008F7D68" w:rsidP="00186EFF">
      <w:pPr>
        <w:tabs>
          <w:tab w:val="left" w:pos="284"/>
        </w:tabs>
        <w:ind w:right="65"/>
        <w:jc w:val="both"/>
        <w:rPr>
          <w:sz w:val="22"/>
          <w:szCs w:val="22"/>
          <w:lang w:val="sr-Latn-ME"/>
        </w:rPr>
      </w:pPr>
      <w:r w:rsidRPr="0086063B">
        <w:rPr>
          <w:sz w:val="22"/>
          <w:szCs w:val="22"/>
          <w:lang w:val="sr-Latn-ME"/>
        </w:rPr>
        <w:t>Kaspofungin se u visokom stepenu vezuje za albumine. Ud</w:t>
      </w:r>
      <w:r w:rsidR="00DD32FF" w:rsidRPr="0086063B">
        <w:rPr>
          <w:sz w:val="22"/>
          <w:szCs w:val="22"/>
          <w:lang w:val="sr-Latn-ME"/>
        </w:rPr>
        <w:t>i</w:t>
      </w:r>
      <w:r w:rsidRPr="0086063B">
        <w:rPr>
          <w:sz w:val="22"/>
          <w:szCs w:val="22"/>
          <w:lang w:val="sr-Latn-ME"/>
        </w:rPr>
        <w:t>o nevezanog kaspofungina u plazmi (slobodna frakcija) kreće se u rasponu od 3,5% kod zdravih dobrovoljaca do 7,6% kod pacijenata sa invazivnom kandidijazom. Distribucija je veoma važna za farmakokinetiku kaspofungina i kontroliše brzinu i alfa- i beta-faze dispozicije (raspoređivanja) lijeka. Distribucija u tkiv</w:t>
      </w:r>
      <w:r w:rsidR="00DD32FF" w:rsidRPr="0086063B">
        <w:rPr>
          <w:sz w:val="22"/>
          <w:szCs w:val="22"/>
          <w:lang w:val="sr-Latn-ME"/>
        </w:rPr>
        <w:t>ima</w:t>
      </w:r>
      <w:r w:rsidRPr="0086063B">
        <w:rPr>
          <w:sz w:val="22"/>
          <w:szCs w:val="22"/>
          <w:lang w:val="sr-Latn-ME"/>
        </w:rPr>
        <w:t xml:space="preserve"> dostiže maksimum 1,5 do 2 dana nakon doziranja kada je 92% doze distribuirano u tkiva. Vjerovatno se samo mala frakcija kaspofungina raspoređenog u tkiva kasnije vraća u plazmu u izvornom obliku. Stoga se eliminacija odvija bez postizanja ravnoteže u distribuciji pa je za sada nemoguće izmjeriti stvarni volumen distribucije kaspofungina.</w:t>
      </w:r>
    </w:p>
    <w:p w14:paraId="34A404E4" w14:textId="77777777" w:rsidR="008F7D68" w:rsidRPr="0086063B" w:rsidRDefault="008F7D68" w:rsidP="00186EFF">
      <w:pPr>
        <w:tabs>
          <w:tab w:val="left" w:pos="284"/>
        </w:tabs>
        <w:ind w:right="65"/>
        <w:jc w:val="both"/>
        <w:rPr>
          <w:sz w:val="22"/>
          <w:szCs w:val="22"/>
          <w:lang w:val="sr-Latn-ME"/>
        </w:rPr>
      </w:pPr>
    </w:p>
    <w:p w14:paraId="135C7B11" w14:textId="77777777" w:rsidR="008F7D68" w:rsidRPr="0086063B" w:rsidRDefault="008F7D68" w:rsidP="00186EFF">
      <w:pPr>
        <w:tabs>
          <w:tab w:val="left" w:pos="284"/>
        </w:tabs>
        <w:ind w:right="65"/>
        <w:jc w:val="both"/>
        <w:rPr>
          <w:i/>
          <w:sz w:val="22"/>
          <w:szCs w:val="22"/>
          <w:u w:val="single"/>
          <w:lang w:val="sr-Latn-ME"/>
        </w:rPr>
      </w:pPr>
      <w:r w:rsidRPr="0086063B">
        <w:rPr>
          <w:sz w:val="22"/>
          <w:szCs w:val="22"/>
          <w:u w:val="single"/>
          <w:lang w:val="sr-Latn-ME"/>
        </w:rPr>
        <w:t>Biotransformacija</w:t>
      </w:r>
    </w:p>
    <w:p w14:paraId="5DEA05A7"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Kaspofungin se spontano razgrađuje u jedinjenje otvorenog prstena. Dalji metabolizam uključuje hidrolizu peptida i N-acetilaciju. Dva intermedijarna produkta koji nastaju pri razgradnji kaspofungina u jedinjenje otvorenog prstena formiraju kovalentne adukte za proteine plazme što za rezultat ima slabo i ireverzibilno vezivanje za proteine plazme.</w:t>
      </w:r>
    </w:p>
    <w:p w14:paraId="75E7C6A2" w14:textId="77777777" w:rsidR="008F7D68" w:rsidRPr="0086063B" w:rsidRDefault="008F7D68" w:rsidP="00186EFF">
      <w:pPr>
        <w:tabs>
          <w:tab w:val="left" w:pos="284"/>
        </w:tabs>
        <w:ind w:right="65"/>
        <w:jc w:val="both"/>
        <w:rPr>
          <w:sz w:val="22"/>
          <w:szCs w:val="22"/>
          <w:lang w:val="sr-Latn-ME"/>
        </w:rPr>
      </w:pPr>
    </w:p>
    <w:p w14:paraId="57BC356D" w14:textId="2AAD68C1" w:rsidR="008F7D68" w:rsidRPr="0086063B" w:rsidRDefault="008F7D68" w:rsidP="00186EFF">
      <w:pPr>
        <w:tabs>
          <w:tab w:val="left" w:pos="284"/>
        </w:tabs>
        <w:ind w:right="65"/>
        <w:jc w:val="both"/>
        <w:rPr>
          <w:sz w:val="22"/>
          <w:szCs w:val="22"/>
          <w:lang w:val="sr-Latn-ME"/>
        </w:rPr>
      </w:pPr>
      <w:r w:rsidRPr="0086063B">
        <w:rPr>
          <w:sz w:val="22"/>
          <w:szCs w:val="22"/>
          <w:lang w:val="sr-Latn-ME"/>
        </w:rPr>
        <w:t xml:space="preserve">Istraživanja </w:t>
      </w:r>
      <w:r w:rsidRPr="0086063B">
        <w:rPr>
          <w:i/>
          <w:sz w:val="22"/>
          <w:szCs w:val="22"/>
          <w:lang w:val="sr-Latn-ME"/>
        </w:rPr>
        <w:t>in vitro</w:t>
      </w:r>
      <w:r w:rsidRPr="0086063B">
        <w:rPr>
          <w:sz w:val="22"/>
          <w:szCs w:val="22"/>
          <w:lang w:val="sr-Latn-ME"/>
        </w:rPr>
        <w:t xml:space="preserve"> pokazuju da kaspofungin nije inhibitor enzima 1A2, 2A6, 2C9, 2C19, 2D6 niti 3A4 citohroma P450. U kliničkim ispitivanjima kaspofungin nije ni indukovao</w:t>
      </w:r>
      <w:r w:rsidR="00DD32FF" w:rsidRPr="0086063B">
        <w:rPr>
          <w:sz w:val="22"/>
          <w:szCs w:val="22"/>
          <w:lang w:val="sr-Latn-ME"/>
        </w:rPr>
        <w:t>,</w:t>
      </w:r>
      <w:r w:rsidRPr="0086063B">
        <w:rPr>
          <w:sz w:val="22"/>
          <w:szCs w:val="22"/>
          <w:lang w:val="sr-Latn-ME"/>
        </w:rPr>
        <w:t xml:space="preserve"> niti inhibirao metabolizam drugih ljekova posredovan enzimom CYP3A4. Kaspofungin nije supstrat za P-glikoprotein</w:t>
      </w:r>
      <w:r w:rsidR="00DD32FF" w:rsidRPr="0086063B">
        <w:rPr>
          <w:sz w:val="22"/>
          <w:szCs w:val="22"/>
          <w:lang w:val="sr-Latn-ME"/>
        </w:rPr>
        <w:t xml:space="preserve"> i</w:t>
      </w:r>
      <w:r w:rsidRPr="0086063B">
        <w:rPr>
          <w:sz w:val="22"/>
          <w:szCs w:val="22"/>
          <w:lang w:val="sr-Latn-ME"/>
        </w:rPr>
        <w:t xml:space="preserve"> slab je supstrat za enzime citohroma P450.</w:t>
      </w:r>
    </w:p>
    <w:p w14:paraId="6A5A8B1C" w14:textId="77777777" w:rsidR="008F7D68" w:rsidRPr="0086063B" w:rsidRDefault="008F7D68" w:rsidP="00186EFF">
      <w:pPr>
        <w:tabs>
          <w:tab w:val="left" w:pos="284"/>
        </w:tabs>
        <w:ind w:right="65"/>
        <w:jc w:val="both"/>
        <w:rPr>
          <w:sz w:val="22"/>
          <w:szCs w:val="22"/>
          <w:lang w:val="sr-Latn-ME"/>
        </w:rPr>
      </w:pPr>
    </w:p>
    <w:p w14:paraId="2E979C52" w14:textId="77777777" w:rsidR="008F7D68" w:rsidRPr="0086063B" w:rsidRDefault="008F7D68" w:rsidP="00186EFF">
      <w:pPr>
        <w:tabs>
          <w:tab w:val="left" w:pos="284"/>
        </w:tabs>
        <w:ind w:right="65"/>
        <w:jc w:val="both"/>
        <w:rPr>
          <w:sz w:val="22"/>
          <w:szCs w:val="22"/>
          <w:u w:val="single"/>
          <w:lang w:val="sr-Latn-ME"/>
        </w:rPr>
      </w:pPr>
      <w:r w:rsidRPr="0086063B">
        <w:rPr>
          <w:sz w:val="22"/>
          <w:szCs w:val="22"/>
          <w:u w:val="single"/>
          <w:lang w:val="sr-Latn-ME"/>
        </w:rPr>
        <w:t>Eliminacija</w:t>
      </w:r>
    </w:p>
    <w:p w14:paraId="0954C5E4" w14:textId="59987A3F" w:rsidR="008F7D68" w:rsidRPr="0086063B" w:rsidRDefault="008F7D68" w:rsidP="00186EFF">
      <w:pPr>
        <w:tabs>
          <w:tab w:val="left" w:pos="284"/>
        </w:tabs>
        <w:ind w:right="65"/>
        <w:jc w:val="both"/>
        <w:rPr>
          <w:sz w:val="22"/>
          <w:szCs w:val="22"/>
          <w:lang w:val="sr-Latn-ME"/>
        </w:rPr>
      </w:pPr>
      <w:r w:rsidRPr="0086063B">
        <w:rPr>
          <w:sz w:val="22"/>
          <w:szCs w:val="22"/>
          <w:lang w:val="sr-Latn-ME"/>
        </w:rPr>
        <w:t>Kaspofungin se sporo eliminiše iz plazme uz klirens od 10 do 12 m</w:t>
      </w:r>
      <w:r w:rsidR="00DD32FF" w:rsidRPr="0086063B">
        <w:rPr>
          <w:sz w:val="22"/>
          <w:szCs w:val="22"/>
          <w:lang w:val="sr-Latn-ME"/>
        </w:rPr>
        <w:t>l</w:t>
      </w:r>
      <w:r w:rsidRPr="0086063B">
        <w:rPr>
          <w:sz w:val="22"/>
          <w:szCs w:val="22"/>
          <w:lang w:val="sr-Latn-ME"/>
        </w:rPr>
        <w:t>/min. Nakon jednokratne intravenske infuzije u trajanju od sat vremena koncentracije kaspofungina u plazmi opadaju po polifaznom modelu. Kratka alfa-faza eliminacije nastupa ubrzo nakon završetka infuzije</w:t>
      </w:r>
      <w:r w:rsidR="00DD32FF" w:rsidRPr="0086063B">
        <w:rPr>
          <w:sz w:val="22"/>
          <w:szCs w:val="22"/>
          <w:lang w:val="sr-Latn-ME"/>
        </w:rPr>
        <w:t>,</w:t>
      </w:r>
      <w:r w:rsidRPr="0086063B">
        <w:rPr>
          <w:sz w:val="22"/>
          <w:szCs w:val="22"/>
          <w:lang w:val="sr-Latn-ME"/>
        </w:rPr>
        <w:t xml:space="preserve"> a nakon nje sl</w:t>
      </w:r>
      <w:r w:rsidR="00081606" w:rsidRPr="0086063B">
        <w:rPr>
          <w:sz w:val="22"/>
          <w:szCs w:val="22"/>
          <w:lang w:val="sr-Latn-ME"/>
        </w:rPr>
        <w:t>ij</w:t>
      </w:r>
      <w:r w:rsidRPr="0086063B">
        <w:rPr>
          <w:sz w:val="22"/>
          <w:szCs w:val="22"/>
          <w:lang w:val="sr-Latn-ME"/>
        </w:rPr>
        <w:t>edi beta-faza sa poluvremenom eliminacije od 9 do 11 sati. Zatim sl</w:t>
      </w:r>
      <w:r w:rsidR="00DD32FF" w:rsidRPr="0086063B">
        <w:rPr>
          <w:sz w:val="22"/>
          <w:szCs w:val="22"/>
          <w:lang w:val="sr-Latn-ME"/>
        </w:rPr>
        <w:t>ij</w:t>
      </w:r>
      <w:r w:rsidRPr="0086063B">
        <w:rPr>
          <w:sz w:val="22"/>
          <w:szCs w:val="22"/>
          <w:lang w:val="sr-Latn-ME"/>
        </w:rPr>
        <w:t>edi dodatna, gama-faza sa poluvremenom eliminacije od 45 sati. Dominantni mehanizam koji utiče na klirens plazme je njegova distribucija</w:t>
      </w:r>
      <w:r w:rsidR="00DD32FF" w:rsidRPr="0086063B">
        <w:rPr>
          <w:sz w:val="22"/>
          <w:szCs w:val="22"/>
          <w:lang w:val="sr-Latn-ME"/>
        </w:rPr>
        <w:t>,</w:t>
      </w:r>
      <w:r w:rsidRPr="0086063B">
        <w:rPr>
          <w:sz w:val="22"/>
          <w:szCs w:val="22"/>
          <w:lang w:val="sr-Latn-ME"/>
        </w:rPr>
        <w:t xml:space="preserve"> a ne izlučivanje ili biotransformacija.</w:t>
      </w:r>
    </w:p>
    <w:p w14:paraId="143875FA" w14:textId="77777777" w:rsidR="008F7D68" w:rsidRPr="0086063B" w:rsidRDefault="008F7D68" w:rsidP="00186EFF">
      <w:pPr>
        <w:tabs>
          <w:tab w:val="left" w:pos="284"/>
        </w:tabs>
        <w:ind w:right="65"/>
        <w:jc w:val="both"/>
        <w:rPr>
          <w:sz w:val="22"/>
          <w:szCs w:val="22"/>
          <w:lang w:val="sr-Latn-ME"/>
        </w:rPr>
      </w:pPr>
    </w:p>
    <w:p w14:paraId="5512A97F" w14:textId="0D91D869" w:rsidR="008F7D68" w:rsidRPr="0086063B" w:rsidRDefault="008F7D68" w:rsidP="00186EFF">
      <w:pPr>
        <w:tabs>
          <w:tab w:val="left" w:pos="284"/>
        </w:tabs>
        <w:ind w:right="65"/>
        <w:jc w:val="both"/>
        <w:rPr>
          <w:sz w:val="22"/>
          <w:szCs w:val="22"/>
          <w:lang w:val="sr-Latn-ME"/>
        </w:rPr>
      </w:pPr>
      <w:r w:rsidRPr="0086063B">
        <w:rPr>
          <w:sz w:val="22"/>
          <w:szCs w:val="22"/>
          <w:lang w:val="sr-Latn-ME"/>
        </w:rPr>
        <w:t>Oko 75% radioaktivne doze izluči se tokom 27 dana: 41% u urinu i 34% u fecesu. Tokom prvih 30 sati nakon primjene lijeka, mala količina kaspofungina se izluči ili biotransformiše. Izlučivanje je sporo i konačno poluvrijeme uklanjanja radioaktivnosti iznosi 12 do 15 dana. Mala količina kaspofungina se izluči u urinu u nepromjenjenom obliku (oko 1,4% un</w:t>
      </w:r>
      <w:r w:rsidR="00622294" w:rsidRPr="0086063B">
        <w:rPr>
          <w:sz w:val="22"/>
          <w:szCs w:val="22"/>
          <w:lang w:val="sr-Latn-ME"/>
        </w:rPr>
        <w:t>ij</w:t>
      </w:r>
      <w:r w:rsidRPr="0086063B">
        <w:rPr>
          <w:sz w:val="22"/>
          <w:szCs w:val="22"/>
          <w:lang w:val="sr-Latn-ME"/>
        </w:rPr>
        <w:t>ete doze).</w:t>
      </w:r>
    </w:p>
    <w:p w14:paraId="47FD5763" w14:textId="77777777" w:rsidR="008F7D68" w:rsidRPr="0086063B" w:rsidRDefault="008F7D68" w:rsidP="00186EFF">
      <w:pPr>
        <w:tabs>
          <w:tab w:val="left" w:pos="284"/>
        </w:tabs>
        <w:ind w:right="65"/>
        <w:jc w:val="both"/>
        <w:rPr>
          <w:sz w:val="22"/>
          <w:szCs w:val="22"/>
          <w:lang w:val="sr-Latn-ME"/>
        </w:rPr>
      </w:pPr>
    </w:p>
    <w:p w14:paraId="5D0E3A2B" w14:textId="0FEE3049" w:rsidR="008F7D68" w:rsidRPr="0086063B" w:rsidRDefault="008F7D68" w:rsidP="00186EFF">
      <w:pPr>
        <w:tabs>
          <w:tab w:val="left" w:pos="284"/>
        </w:tabs>
        <w:ind w:right="65"/>
        <w:jc w:val="both"/>
        <w:rPr>
          <w:sz w:val="22"/>
          <w:szCs w:val="22"/>
          <w:lang w:val="sr-Latn-ME"/>
        </w:rPr>
      </w:pPr>
      <w:r w:rsidRPr="0086063B">
        <w:rPr>
          <w:sz w:val="22"/>
          <w:szCs w:val="22"/>
          <w:lang w:val="sr-Latn-ME"/>
        </w:rPr>
        <w:t>Farmakokinetika kaspofungina je um</w:t>
      </w:r>
      <w:r w:rsidR="00081606" w:rsidRPr="0086063B">
        <w:rPr>
          <w:sz w:val="22"/>
          <w:szCs w:val="22"/>
          <w:lang w:val="sr-Latn-ME"/>
        </w:rPr>
        <w:t>j</w:t>
      </w:r>
      <w:r w:rsidRPr="0086063B">
        <w:rPr>
          <w:sz w:val="22"/>
          <w:szCs w:val="22"/>
          <w:lang w:val="sr-Latn-ME"/>
        </w:rPr>
        <w:t>ereno nelinearna, pri čemu se akumulacija lijeka povećava sa porastom doze, a vr</w:t>
      </w:r>
      <w:r w:rsidR="00622294" w:rsidRPr="0086063B">
        <w:rPr>
          <w:sz w:val="22"/>
          <w:szCs w:val="22"/>
          <w:lang w:val="sr-Latn-ME"/>
        </w:rPr>
        <w:t>ij</w:t>
      </w:r>
      <w:r w:rsidRPr="0086063B">
        <w:rPr>
          <w:sz w:val="22"/>
          <w:szCs w:val="22"/>
          <w:lang w:val="sr-Latn-ME"/>
        </w:rPr>
        <w:t>eme za postizanje ravnotežnog stanja je dozno zavisno nakon primjene višestrukih doza.</w:t>
      </w:r>
    </w:p>
    <w:p w14:paraId="05DA6F39" w14:textId="77777777" w:rsidR="008F7D68" w:rsidRPr="0086063B" w:rsidRDefault="008F7D68" w:rsidP="00186EFF">
      <w:pPr>
        <w:tabs>
          <w:tab w:val="left" w:pos="284"/>
        </w:tabs>
        <w:ind w:right="65"/>
        <w:jc w:val="both"/>
        <w:rPr>
          <w:sz w:val="22"/>
          <w:szCs w:val="22"/>
          <w:lang w:val="sr-Latn-ME"/>
        </w:rPr>
      </w:pPr>
    </w:p>
    <w:p w14:paraId="27E98AE4" w14:textId="77777777" w:rsidR="008F7D68" w:rsidRPr="0086063B" w:rsidRDefault="008F7D68" w:rsidP="00186EFF">
      <w:pPr>
        <w:tabs>
          <w:tab w:val="left" w:pos="284"/>
        </w:tabs>
        <w:ind w:right="65"/>
        <w:jc w:val="both"/>
        <w:rPr>
          <w:i/>
          <w:sz w:val="22"/>
          <w:szCs w:val="22"/>
          <w:u w:val="single"/>
          <w:lang w:val="sr-Latn-ME"/>
        </w:rPr>
      </w:pPr>
      <w:r w:rsidRPr="0086063B">
        <w:rPr>
          <w:i/>
          <w:sz w:val="22"/>
          <w:szCs w:val="22"/>
          <w:u w:val="single"/>
          <w:lang w:val="sr-Latn-ME"/>
        </w:rPr>
        <w:t>Farmakokinetika kod posebnih grupa pacijenata</w:t>
      </w:r>
    </w:p>
    <w:p w14:paraId="4582149C" w14:textId="321E5C35" w:rsidR="008F7D68" w:rsidRPr="0086063B" w:rsidRDefault="008F7D68" w:rsidP="00186EFF">
      <w:pPr>
        <w:tabs>
          <w:tab w:val="left" w:pos="284"/>
        </w:tabs>
        <w:ind w:right="65"/>
        <w:jc w:val="both"/>
        <w:rPr>
          <w:sz w:val="22"/>
          <w:szCs w:val="22"/>
          <w:lang w:val="sr-Latn-ME"/>
        </w:rPr>
      </w:pPr>
      <w:r w:rsidRPr="0086063B">
        <w:rPr>
          <w:sz w:val="22"/>
          <w:szCs w:val="22"/>
          <w:lang w:val="sr-Latn-ME"/>
        </w:rPr>
        <w:t>Povećana koncentracija kaspofungina uočena je kod odraslih pacijenata sa bubrežnom insuficijencijom i blagom insuficijencijom jetre, kod žena i starijih osoba. Ovaj porast je uopšteno bio umjeren i ne toliko veliki da bi bilo potrebno prilagođavati dozu. Kod pacijenata sa umjerenom insuficijencijom jetre ili kod pacijenata sa povećanom tjelesnom masom može biti potrebno prilagođavanje doze (vidjeti d</w:t>
      </w:r>
      <w:r w:rsidR="00081606" w:rsidRPr="0086063B">
        <w:rPr>
          <w:sz w:val="22"/>
          <w:szCs w:val="22"/>
          <w:lang w:val="sr-Latn-ME"/>
        </w:rPr>
        <w:t>alj</w:t>
      </w:r>
      <w:r w:rsidRPr="0086063B">
        <w:rPr>
          <w:sz w:val="22"/>
          <w:szCs w:val="22"/>
          <w:lang w:val="sr-Latn-ME"/>
        </w:rPr>
        <w:t>i tekst).</w:t>
      </w:r>
    </w:p>
    <w:p w14:paraId="2A5D7EF6" w14:textId="77777777" w:rsidR="008F7D68" w:rsidRPr="0086063B" w:rsidRDefault="008F7D68" w:rsidP="00186EFF">
      <w:pPr>
        <w:tabs>
          <w:tab w:val="left" w:pos="284"/>
        </w:tabs>
        <w:ind w:right="65"/>
        <w:jc w:val="both"/>
        <w:rPr>
          <w:sz w:val="22"/>
          <w:szCs w:val="22"/>
          <w:lang w:val="sr-Latn-ME"/>
        </w:rPr>
      </w:pPr>
    </w:p>
    <w:p w14:paraId="5FDC787C" w14:textId="51C43C0A" w:rsidR="008F7D68" w:rsidRPr="0086063B" w:rsidRDefault="008F7D68" w:rsidP="00186EFF">
      <w:pPr>
        <w:tabs>
          <w:tab w:val="left" w:pos="284"/>
        </w:tabs>
        <w:ind w:right="65"/>
        <w:jc w:val="both"/>
        <w:rPr>
          <w:i/>
          <w:sz w:val="22"/>
          <w:szCs w:val="22"/>
          <w:u w:val="single"/>
          <w:lang w:val="sr-Latn-ME"/>
        </w:rPr>
      </w:pPr>
      <w:r w:rsidRPr="0086063B">
        <w:rPr>
          <w:sz w:val="22"/>
          <w:szCs w:val="22"/>
          <w:lang w:val="sr-Latn-ME"/>
        </w:rPr>
        <w:t>Tjelesna masa: Populaciona farmakokinetička analiza sprovedena na odraslim pacijentima sa kandidijazom pokazala je da tjelesna masa utiče na farmakokinetiku kaspofungina. Sa porastom tjelesne mase smanjuje se koncentracija lijeka u plazmi. Proc</w:t>
      </w:r>
      <w:r w:rsidR="00081606" w:rsidRPr="0086063B">
        <w:rPr>
          <w:sz w:val="22"/>
          <w:szCs w:val="22"/>
          <w:lang w:val="sr-Latn-ME"/>
        </w:rPr>
        <w:t>j</w:t>
      </w:r>
      <w:r w:rsidRPr="0086063B">
        <w:rPr>
          <w:sz w:val="22"/>
          <w:szCs w:val="22"/>
          <w:lang w:val="sr-Latn-ME"/>
        </w:rPr>
        <w:t>enjuje se da je srednja izloženost d</w:t>
      </w:r>
      <w:r w:rsidR="00622294" w:rsidRPr="0086063B">
        <w:rPr>
          <w:sz w:val="22"/>
          <w:szCs w:val="22"/>
          <w:lang w:val="sr-Latn-ME"/>
        </w:rPr>
        <w:t>j</w:t>
      </w:r>
      <w:r w:rsidRPr="0086063B">
        <w:rPr>
          <w:sz w:val="22"/>
          <w:szCs w:val="22"/>
          <w:lang w:val="sr-Latn-ME"/>
        </w:rPr>
        <w:t>elovanju kaspofungina kod odraslih pacijenta sa tjelesnom masom od 80 kg oko 23% manja od one kod odraslog pacijenta teškog 60 kg (vidjeti</w:t>
      </w:r>
      <w:r w:rsidR="00A7654A" w:rsidRPr="0086063B">
        <w:rPr>
          <w:sz w:val="22"/>
          <w:szCs w:val="22"/>
          <w:lang w:val="sr-Latn-ME"/>
        </w:rPr>
        <w:t xml:space="preserve"> dio</w:t>
      </w:r>
      <w:r w:rsidRPr="0086063B">
        <w:rPr>
          <w:sz w:val="22"/>
          <w:szCs w:val="22"/>
          <w:lang w:val="sr-Latn-ME"/>
        </w:rPr>
        <w:t xml:space="preserve"> 4.2).</w:t>
      </w:r>
    </w:p>
    <w:p w14:paraId="28071413" w14:textId="77777777" w:rsidR="008F7D68" w:rsidRPr="0086063B" w:rsidRDefault="008F7D68" w:rsidP="00186EFF">
      <w:pPr>
        <w:tabs>
          <w:tab w:val="left" w:pos="284"/>
        </w:tabs>
        <w:ind w:right="65"/>
        <w:jc w:val="both"/>
        <w:rPr>
          <w:i/>
          <w:sz w:val="22"/>
          <w:szCs w:val="22"/>
          <w:u w:val="single"/>
          <w:lang w:val="sr-Latn-ME"/>
        </w:rPr>
      </w:pPr>
    </w:p>
    <w:p w14:paraId="3299ED60" w14:textId="669FD380" w:rsidR="008F7D68" w:rsidRPr="0086063B" w:rsidRDefault="008F7D68" w:rsidP="00186EFF">
      <w:pPr>
        <w:tabs>
          <w:tab w:val="left" w:pos="284"/>
        </w:tabs>
        <w:ind w:right="65"/>
        <w:jc w:val="both"/>
        <w:rPr>
          <w:sz w:val="22"/>
          <w:szCs w:val="22"/>
          <w:lang w:val="sr-Latn-ME"/>
        </w:rPr>
      </w:pPr>
      <w:r w:rsidRPr="0086063B">
        <w:rPr>
          <w:sz w:val="22"/>
          <w:szCs w:val="22"/>
          <w:lang w:val="sr-Latn-ME"/>
        </w:rPr>
        <w:t>Insuficijencija jetre: Kod odraslih pacijenata sa blagom insuficijencijom jetre PIK je porasla za 20%, a kod pacijenata sa um</w:t>
      </w:r>
      <w:r w:rsidR="00DD3859" w:rsidRPr="0086063B">
        <w:rPr>
          <w:sz w:val="22"/>
          <w:szCs w:val="22"/>
          <w:lang w:val="sr-Latn-ME"/>
        </w:rPr>
        <w:t>j</w:t>
      </w:r>
      <w:r w:rsidRPr="0086063B">
        <w:rPr>
          <w:sz w:val="22"/>
          <w:szCs w:val="22"/>
          <w:lang w:val="sr-Latn-ME"/>
        </w:rPr>
        <w:t>erenom insuficijencijom jetre za 75%. Nema kliničkih iskustava kod odraslih pacijenata sa teškom insuficijencijom jetre, kao ni kod pedijatrijskih pacijenata sa bilo kojim stepenom insuficijencije jetre. Ispitivanja sa primjenom višestrukih doza pokazala su da se sa smanjenjem doze na 35 mg dnevno kod odraslih pacijenata sa umjerenom insuficijencijom jetre dobija PIK sličan onom kao kod odraslih pacijenata sa normalnom funkcijom jetre koji primaju standardne doze lijeka (vidjeti</w:t>
      </w:r>
      <w:r w:rsidR="00FE2828" w:rsidRPr="0086063B">
        <w:rPr>
          <w:sz w:val="22"/>
          <w:szCs w:val="22"/>
          <w:lang w:val="sr-Latn-ME"/>
        </w:rPr>
        <w:t xml:space="preserve"> dio</w:t>
      </w:r>
      <w:r w:rsidRPr="0086063B">
        <w:rPr>
          <w:sz w:val="22"/>
          <w:szCs w:val="22"/>
          <w:lang w:val="sr-Latn-ME"/>
        </w:rPr>
        <w:t xml:space="preserve"> 4.2).</w:t>
      </w:r>
    </w:p>
    <w:p w14:paraId="563458DC" w14:textId="77777777" w:rsidR="008F7D68" w:rsidRPr="0086063B" w:rsidRDefault="008F7D68" w:rsidP="00186EFF">
      <w:pPr>
        <w:tabs>
          <w:tab w:val="left" w:pos="284"/>
        </w:tabs>
        <w:ind w:right="65"/>
        <w:jc w:val="both"/>
        <w:rPr>
          <w:bCs/>
          <w:i/>
          <w:sz w:val="22"/>
          <w:szCs w:val="22"/>
          <w:u w:val="single"/>
          <w:lang w:val="sr-Latn-ME"/>
        </w:rPr>
      </w:pPr>
    </w:p>
    <w:p w14:paraId="3141D9B9" w14:textId="12DDC3FD" w:rsidR="008F7D68" w:rsidRPr="0086063B" w:rsidRDefault="008F7D68" w:rsidP="00186EFF">
      <w:pPr>
        <w:tabs>
          <w:tab w:val="left" w:pos="284"/>
        </w:tabs>
        <w:ind w:right="65"/>
        <w:jc w:val="both"/>
        <w:rPr>
          <w:sz w:val="22"/>
          <w:szCs w:val="22"/>
          <w:lang w:val="sr-Latn-ME"/>
        </w:rPr>
      </w:pPr>
      <w:r w:rsidRPr="0086063B">
        <w:rPr>
          <w:bCs/>
          <w:sz w:val="22"/>
          <w:szCs w:val="22"/>
          <w:lang w:val="sr-Latn-ME"/>
        </w:rPr>
        <w:t xml:space="preserve">Insuficijencija bubrega: </w:t>
      </w:r>
      <w:r w:rsidRPr="0086063B">
        <w:rPr>
          <w:sz w:val="22"/>
          <w:szCs w:val="22"/>
          <w:lang w:val="sr-Latn-ME"/>
        </w:rPr>
        <w:t>Kliničko ispitivanje sa jednokratnom dozom od 70 mg pokazalo je da je farmakokinetika kaspofungina kod zdravih odraslih dobrovoljaca sa blagom insuficijencijom bubrega (klirens kreatinina 50 do 80 m</w:t>
      </w:r>
      <w:r w:rsidR="00DD3859" w:rsidRPr="0086063B">
        <w:rPr>
          <w:sz w:val="22"/>
          <w:szCs w:val="22"/>
          <w:lang w:val="sr-Latn-ME"/>
        </w:rPr>
        <w:t>l</w:t>
      </w:r>
      <w:r w:rsidRPr="0086063B">
        <w:rPr>
          <w:sz w:val="22"/>
          <w:szCs w:val="22"/>
          <w:lang w:val="sr-Latn-ME"/>
        </w:rPr>
        <w:t>/min) bila slična onoj kod kontrolne grupe. Kod umjerene (klirens kreatinina 31 do 49 m</w:t>
      </w:r>
      <w:r w:rsidR="00DD3859" w:rsidRPr="0086063B">
        <w:rPr>
          <w:sz w:val="22"/>
          <w:szCs w:val="22"/>
          <w:lang w:val="sr-Latn-ME"/>
        </w:rPr>
        <w:t>l</w:t>
      </w:r>
      <w:r w:rsidRPr="0086063B">
        <w:rPr>
          <w:sz w:val="22"/>
          <w:szCs w:val="22"/>
          <w:lang w:val="sr-Latn-ME"/>
        </w:rPr>
        <w:t>/min), uznapredovale (klirens kreatinina 5 do 30 m</w:t>
      </w:r>
      <w:r w:rsidR="00DD3859" w:rsidRPr="0086063B">
        <w:rPr>
          <w:sz w:val="22"/>
          <w:szCs w:val="22"/>
          <w:lang w:val="sr-Latn-ME"/>
        </w:rPr>
        <w:t>l</w:t>
      </w:r>
      <w:r w:rsidRPr="0086063B">
        <w:rPr>
          <w:sz w:val="22"/>
          <w:szCs w:val="22"/>
          <w:lang w:val="sr-Latn-ME"/>
        </w:rPr>
        <w:t xml:space="preserve">/min) i terminalne (klirens kreatinina </w:t>
      </w:r>
      <w:r w:rsidRPr="0086063B">
        <w:rPr>
          <w:sz w:val="22"/>
          <w:szCs w:val="22"/>
          <w:lang w:val="sr-Latn-ME"/>
        </w:rPr>
        <w:sym w:font="Symbol" w:char="F03C"/>
      </w:r>
      <w:r w:rsidRPr="0086063B">
        <w:rPr>
          <w:sz w:val="22"/>
          <w:szCs w:val="22"/>
          <w:lang w:val="sr-Latn-ME"/>
        </w:rPr>
        <w:t xml:space="preserve"> 10 m</w:t>
      </w:r>
      <w:r w:rsidR="00DD3859" w:rsidRPr="0086063B">
        <w:rPr>
          <w:sz w:val="22"/>
          <w:szCs w:val="22"/>
          <w:lang w:val="sr-Latn-ME"/>
        </w:rPr>
        <w:t>l</w:t>
      </w:r>
      <w:r w:rsidRPr="0086063B">
        <w:rPr>
          <w:sz w:val="22"/>
          <w:szCs w:val="22"/>
          <w:lang w:val="sr-Latn-ME"/>
        </w:rPr>
        <w:t xml:space="preserve">/min i zavisnost od dijalize) insuficijencije bubrega, koncentracije kaspofungina u plazmi samo su umjereno porasle nakon primjene jednokratne doze (raspon: 30 do 49% porasta vrijednosti  PIK). Međutim, kod odraslih pacijenata sa invazivnom kandidijazom, ezofagealnom kandidijazom ili invazivnom aspergilozom koji su primali višestruke dnevne doze kaspofungina od 50 mg nije uočen značajniji uticaj blage do uznapredovale insuficijencije bubrega na koncentracije kaspofungina. Kod pacijenata sa bubrežnom insuficijencijom dozu ne treba prilagođavati. Kaspofungin ne može da se ukloni iz organizma dijalizom tako da nakon hemodijalize nije potrebno davati dodatne doze lijeka. </w:t>
      </w:r>
    </w:p>
    <w:p w14:paraId="464A53F7" w14:textId="77777777" w:rsidR="008F7D68" w:rsidRPr="0086063B" w:rsidRDefault="008F7D68" w:rsidP="00186EFF">
      <w:pPr>
        <w:tabs>
          <w:tab w:val="left" w:pos="284"/>
        </w:tabs>
        <w:ind w:right="65"/>
        <w:jc w:val="both"/>
        <w:rPr>
          <w:sz w:val="22"/>
          <w:szCs w:val="22"/>
          <w:lang w:val="sr-Latn-ME"/>
        </w:rPr>
      </w:pPr>
    </w:p>
    <w:p w14:paraId="2C8408B1" w14:textId="31175FC8" w:rsidR="008F7D68" w:rsidRPr="0086063B" w:rsidRDefault="008F7D68" w:rsidP="00186EFF">
      <w:pPr>
        <w:tabs>
          <w:tab w:val="left" w:pos="284"/>
        </w:tabs>
        <w:ind w:right="65"/>
        <w:jc w:val="both"/>
        <w:rPr>
          <w:sz w:val="22"/>
          <w:szCs w:val="22"/>
          <w:lang w:val="sr-Latn-ME"/>
        </w:rPr>
      </w:pPr>
      <w:r w:rsidRPr="0086063B">
        <w:rPr>
          <w:sz w:val="22"/>
          <w:szCs w:val="22"/>
          <w:lang w:val="sr-Latn-ME"/>
        </w:rPr>
        <w:t>Pol: Koncentracije kaspofungina u plazmi bile su u pros</w:t>
      </w:r>
      <w:r w:rsidR="00DD3859" w:rsidRPr="0086063B">
        <w:rPr>
          <w:sz w:val="22"/>
          <w:szCs w:val="22"/>
          <w:lang w:val="sr-Latn-ME"/>
        </w:rPr>
        <w:t>j</w:t>
      </w:r>
      <w:r w:rsidRPr="0086063B">
        <w:rPr>
          <w:sz w:val="22"/>
          <w:szCs w:val="22"/>
          <w:lang w:val="sr-Latn-ME"/>
        </w:rPr>
        <w:t>eku 17-38% veće kod žena nego kod muškaraca.</w:t>
      </w:r>
    </w:p>
    <w:p w14:paraId="604E3F99" w14:textId="77777777" w:rsidR="008F7D68" w:rsidRPr="0086063B" w:rsidRDefault="008F7D68" w:rsidP="00186EFF">
      <w:pPr>
        <w:tabs>
          <w:tab w:val="left" w:pos="284"/>
        </w:tabs>
        <w:ind w:right="65"/>
        <w:jc w:val="both"/>
        <w:rPr>
          <w:i/>
          <w:sz w:val="22"/>
          <w:szCs w:val="22"/>
          <w:u w:val="single"/>
          <w:lang w:val="sr-Latn-ME"/>
        </w:rPr>
      </w:pPr>
    </w:p>
    <w:p w14:paraId="34EAAD7E" w14:textId="2D76CCBC" w:rsidR="008F7D68" w:rsidRPr="0086063B" w:rsidRDefault="008F7D68" w:rsidP="00186EFF">
      <w:pPr>
        <w:tabs>
          <w:tab w:val="left" w:pos="284"/>
        </w:tabs>
        <w:ind w:right="65"/>
        <w:jc w:val="both"/>
        <w:rPr>
          <w:sz w:val="22"/>
          <w:szCs w:val="22"/>
          <w:lang w:val="sr-Latn-ME"/>
        </w:rPr>
      </w:pPr>
      <w:r w:rsidRPr="0086063B">
        <w:rPr>
          <w:sz w:val="22"/>
          <w:szCs w:val="22"/>
          <w:lang w:val="sr-Latn-ME"/>
        </w:rPr>
        <w:t>Starije osobe: Kod starijih muškaraca uočen je um</w:t>
      </w:r>
      <w:r w:rsidR="00DD3859" w:rsidRPr="0086063B">
        <w:rPr>
          <w:sz w:val="22"/>
          <w:szCs w:val="22"/>
          <w:lang w:val="sr-Latn-ME"/>
        </w:rPr>
        <w:t>j</w:t>
      </w:r>
      <w:r w:rsidRPr="0086063B">
        <w:rPr>
          <w:sz w:val="22"/>
          <w:szCs w:val="22"/>
          <w:lang w:val="sr-Latn-ME"/>
        </w:rPr>
        <w:t>ereni porast PIK (28%) i C</w:t>
      </w:r>
      <w:r w:rsidRPr="0086063B">
        <w:rPr>
          <w:sz w:val="22"/>
          <w:szCs w:val="22"/>
          <w:vertAlign w:val="subscript"/>
          <w:lang w:val="sr-Latn-ME"/>
        </w:rPr>
        <w:t>24h</w:t>
      </w:r>
      <w:r w:rsidRPr="0086063B">
        <w:rPr>
          <w:sz w:val="22"/>
          <w:szCs w:val="22"/>
          <w:lang w:val="sr-Latn-ME"/>
        </w:rPr>
        <w:t xml:space="preserve"> (32%) u poređenju sa mladim muškarcima. Kod pacijenata na empirijskoj terapiji ili kod pacijenata sa invazivnom kandidijazom sličan umjereni uticaj godina starosti je uočen kod starijih pacijenata u odnosu na mlađe.</w:t>
      </w:r>
    </w:p>
    <w:p w14:paraId="2A0E9D9B" w14:textId="77777777" w:rsidR="008F7D68" w:rsidRPr="0086063B" w:rsidRDefault="008F7D68" w:rsidP="00186EFF">
      <w:pPr>
        <w:tabs>
          <w:tab w:val="left" w:pos="284"/>
        </w:tabs>
        <w:ind w:right="65"/>
        <w:jc w:val="both"/>
        <w:rPr>
          <w:sz w:val="22"/>
          <w:szCs w:val="22"/>
          <w:lang w:val="sr-Latn-ME"/>
        </w:rPr>
      </w:pPr>
    </w:p>
    <w:p w14:paraId="0DC10D31" w14:textId="0A823A7F" w:rsidR="008F7D68" w:rsidRPr="0086063B" w:rsidRDefault="008F7D68" w:rsidP="00186EFF">
      <w:pPr>
        <w:tabs>
          <w:tab w:val="left" w:pos="284"/>
        </w:tabs>
        <w:ind w:right="65"/>
        <w:jc w:val="both"/>
        <w:rPr>
          <w:sz w:val="22"/>
          <w:szCs w:val="22"/>
          <w:lang w:val="sr-Latn-ME"/>
        </w:rPr>
      </w:pPr>
      <w:r w:rsidRPr="0086063B">
        <w:rPr>
          <w:sz w:val="22"/>
          <w:szCs w:val="22"/>
          <w:lang w:val="sr-Latn-ME"/>
        </w:rPr>
        <w:t>Rasa: Farmakokinetički podaci pokazuju da nema klinički značajnih razlika u farmakokinetici kaspofungina između osoba b</w:t>
      </w:r>
      <w:r w:rsidR="00DD3859" w:rsidRPr="0086063B">
        <w:rPr>
          <w:sz w:val="22"/>
          <w:szCs w:val="22"/>
          <w:lang w:val="sr-Latn-ME"/>
        </w:rPr>
        <w:t>ij</w:t>
      </w:r>
      <w:r w:rsidRPr="0086063B">
        <w:rPr>
          <w:sz w:val="22"/>
          <w:szCs w:val="22"/>
          <w:lang w:val="sr-Latn-ME"/>
        </w:rPr>
        <w:t>ele rase, crne rase, hispano i mestika.</w:t>
      </w:r>
    </w:p>
    <w:p w14:paraId="4223C806" w14:textId="77777777" w:rsidR="008F7D68" w:rsidRPr="0086063B" w:rsidRDefault="008F7D68" w:rsidP="00186EFF">
      <w:pPr>
        <w:tabs>
          <w:tab w:val="left" w:pos="284"/>
        </w:tabs>
        <w:ind w:right="65"/>
        <w:jc w:val="both"/>
        <w:rPr>
          <w:bCs/>
          <w:sz w:val="22"/>
          <w:szCs w:val="22"/>
          <w:lang w:val="sr-Latn-ME"/>
        </w:rPr>
      </w:pPr>
    </w:p>
    <w:p w14:paraId="098BC228" w14:textId="780A2EDF" w:rsidR="008F7D68" w:rsidRPr="0086063B" w:rsidRDefault="008F7D68" w:rsidP="00186EFF">
      <w:pPr>
        <w:tabs>
          <w:tab w:val="left" w:pos="284"/>
        </w:tabs>
        <w:ind w:right="65"/>
        <w:jc w:val="both"/>
        <w:rPr>
          <w:bCs/>
          <w:sz w:val="22"/>
          <w:szCs w:val="22"/>
          <w:lang w:val="sr-Latn-ME"/>
        </w:rPr>
      </w:pPr>
      <w:r w:rsidRPr="0086063B">
        <w:rPr>
          <w:bCs/>
          <w:sz w:val="22"/>
          <w:szCs w:val="22"/>
          <w:lang w:val="sr-Latn-ME"/>
        </w:rPr>
        <w:t>Pedijatrijski pacijenti:</w:t>
      </w:r>
    </w:p>
    <w:p w14:paraId="51A43333" w14:textId="089F2C16" w:rsidR="008F7D68" w:rsidRPr="0086063B" w:rsidRDefault="008F7D68" w:rsidP="00186EFF">
      <w:pPr>
        <w:tabs>
          <w:tab w:val="left" w:pos="284"/>
        </w:tabs>
        <w:ind w:right="65"/>
        <w:jc w:val="both"/>
        <w:rPr>
          <w:bCs/>
          <w:sz w:val="22"/>
          <w:szCs w:val="22"/>
          <w:lang w:val="sr-Latn-ME"/>
        </w:rPr>
      </w:pPr>
      <w:r w:rsidRPr="0086063B">
        <w:rPr>
          <w:bCs/>
          <w:sz w:val="22"/>
          <w:szCs w:val="22"/>
          <w:lang w:val="sr-Latn-ME"/>
        </w:rPr>
        <w:t>Kod adolescenata (uzrasta od 12 do 17 godina) koji su primali kaspofungin u dozi od 50 mg/m</w:t>
      </w:r>
      <w:r w:rsidRPr="0086063B">
        <w:rPr>
          <w:bCs/>
          <w:sz w:val="22"/>
          <w:szCs w:val="22"/>
          <w:vertAlign w:val="superscript"/>
          <w:lang w:val="sr-Latn-ME"/>
        </w:rPr>
        <w:t>2</w:t>
      </w:r>
      <w:r w:rsidRPr="0086063B">
        <w:rPr>
          <w:bCs/>
          <w:sz w:val="22"/>
          <w:szCs w:val="22"/>
          <w:lang w:val="sr-Latn-ME"/>
        </w:rPr>
        <w:t xml:space="preserve"> dnevno (maksimalna doza od 70 mg dnevno) vrijednosti  PIK</w:t>
      </w:r>
      <w:r w:rsidRPr="0086063B">
        <w:rPr>
          <w:bCs/>
          <w:sz w:val="22"/>
          <w:szCs w:val="22"/>
          <w:vertAlign w:val="subscript"/>
          <w:lang w:val="sr-Latn-ME"/>
        </w:rPr>
        <w:t>0-24h</w:t>
      </w:r>
      <w:r w:rsidRPr="0086063B">
        <w:rPr>
          <w:bCs/>
          <w:sz w:val="22"/>
          <w:szCs w:val="22"/>
          <w:lang w:val="sr-Latn-ME"/>
        </w:rPr>
        <w:t xml:space="preserve"> kaspofungina u plazmi uopšteno su bile uporedive sa vrijednostima zab</w:t>
      </w:r>
      <w:r w:rsidR="00DD3859" w:rsidRPr="0086063B">
        <w:rPr>
          <w:bCs/>
          <w:sz w:val="22"/>
          <w:szCs w:val="22"/>
          <w:lang w:val="sr-Latn-ME"/>
        </w:rPr>
        <w:t>ilj</w:t>
      </w:r>
      <w:r w:rsidRPr="0086063B">
        <w:rPr>
          <w:bCs/>
          <w:sz w:val="22"/>
          <w:szCs w:val="22"/>
          <w:lang w:val="sr-Latn-ME"/>
        </w:rPr>
        <w:t xml:space="preserve">eženim kod odraslih pacijenata koji su primali kaspofungin u dozi od 50 mg dnevno. Svi adolescenti su primali doze </w:t>
      </w:r>
      <w:r w:rsidRPr="0086063B">
        <w:rPr>
          <w:bCs/>
          <w:sz w:val="22"/>
          <w:szCs w:val="22"/>
          <w:lang w:val="sr-Latn-ME"/>
        </w:rPr>
        <w:sym w:font="Symbol" w:char="F03E"/>
      </w:r>
      <w:r w:rsidRPr="0086063B">
        <w:rPr>
          <w:bCs/>
          <w:sz w:val="22"/>
          <w:szCs w:val="22"/>
          <w:lang w:val="sr-Latn-ME"/>
        </w:rPr>
        <w:t xml:space="preserve"> 50 mg dnevno, a njih 6 od 8 je primalo maksimalnu dozu od 70 mg dnevno. Koncentracije kaspofungina u plazmi kod ovih adolescenata smanjene su u skladu sa smanjenjem kod odraslih pacijenata koji su primali dozu od 70 mg dnevno, a to je doza koja se najčešće daje adolescentima.</w:t>
      </w:r>
    </w:p>
    <w:p w14:paraId="234D0DFC" w14:textId="77777777" w:rsidR="008F7D68" w:rsidRPr="0086063B" w:rsidRDefault="008F7D68" w:rsidP="00186EFF">
      <w:pPr>
        <w:tabs>
          <w:tab w:val="left" w:pos="284"/>
        </w:tabs>
        <w:ind w:right="65"/>
        <w:jc w:val="both"/>
        <w:rPr>
          <w:bCs/>
          <w:sz w:val="22"/>
          <w:szCs w:val="22"/>
          <w:lang w:val="sr-Latn-ME"/>
        </w:rPr>
      </w:pPr>
    </w:p>
    <w:p w14:paraId="5E1E49F2" w14:textId="6AF64B02" w:rsidR="008F7D68" w:rsidRPr="0086063B" w:rsidRDefault="008F7D68" w:rsidP="00186EFF">
      <w:pPr>
        <w:tabs>
          <w:tab w:val="left" w:pos="284"/>
        </w:tabs>
        <w:ind w:right="65"/>
        <w:jc w:val="both"/>
        <w:rPr>
          <w:bCs/>
          <w:sz w:val="22"/>
          <w:szCs w:val="22"/>
          <w:lang w:val="sr-Latn-ME"/>
        </w:rPr>
      </w:pPr>
      <w:r w:rsidRPr="0086063B">
        <w:rPr>
          <w:bCs/>
          <w:sz w:val="22"/>
          <w:szCs w:val="22"/>
          <w:lang w:val="sr-Latn-ME"/>
        </w:rPr>
        <w:t>Kod djece (uzrasta od 2 do 11 godina) koja su primala kaspofungin u dozi od 50 mg/m</w:t>
      </w:r>
      <w:r w:rsidRPr="0086063B">
        <w:rPr>
          <w:bCs/>
          <w:sz w:val="22"/>
          <w:szCs w:val="22"/>
          <w:vertAlign w:val="superscript"/>
          <w:lang w:val="sr-Latn-ME"/>
        </w:rPr>
        <w:t>2</w:t>
      </w:r>
      <w:r w:rsidRPr="0086063B">
        <w:rPr>
          <w:bCs/>
          <w:sz w:val="22"/>
          <w:szCs w:val="22"/>
          <w:lang w:val="sr-Latn-ME"/>
        </w:rPr>
        <w:t xml:space="preserve"> dnevno (maksimalna doza 70 mg dnevno) vrijednosti  PIK</w:t>
      </w:r>
      <w:r w:rsidRPr="0086063B">
        <w:rPr>
          <w:bCs/>
          <w:sz w:val="22"/>
          <w:szCs w:val="22"/>
          <w:vertAlign w:val="subscript"/>
          <w:lang w:val="sr-Latn-ME"/>
        </w:rPr>
        <w:t>0-24h</w:t>
      </w:r>
      <w:r w:rsidRPr="0086063B">
        <w:rPr>
          <w:bCs/>
          <w:sz w:val="22"/>
          <w:szCs w:val="22"/>
          <w:lang w:val="sr-Latn-ME"/>
        </w:rPr>
        <w:t xml:space="preserve"> kaspofungina u plazmi nakon primjene višestrukih doza bile su uporedive sa vrijednostima zab</w:t>
      </w:r>
      <w:r w:rsidR="008048BD" w:rsidRPr="0086063B">
        <w:rPr>
          <w:bCs/>
          <w:sz w:val="22"/>
          <w:szCs w:val="22"/>
          <w:lang w:val="sr-Latn-ME"/>
        </w:rPr>
        <w:t>i</w:t>
      </w:r>
      <w:r w:rsidRPr="0086063B">
        <w:rPr>
          <w:bCs/>
          <w:sz w:val="22"/>
          <w:szCs w:val="22"/>
          <w:lang w:val="sr-Latn-ME"/>
        </w:rPr>
        <w:t>l</w:t>
      </w:r>
      <w:r w:rsidR="008048BD" w:rsidRPr="0086063B">
        <w:rPr>
          <w:bCs/>
          <w:sz w:val="22"/>
          <w:szCs w:val="22"/>
          <w:lang w:val="sr-Latn-ME"/>
        </w:rPr>
        <w:t>j</w:t>
      </w:r>
      <w:r w:rsidRPr="0086063B">
        <w:rPr>
          <w:bCs/>
          <w:sz w:val="22"/>
          <w:szCs w:val="22"/>
          <w:lang w:val="sr-Latn-ME"/>
        </w:rPr>
        <w:t xml:space="preserve">eženim kod odraslih subjekata koji su primali kaspofungin u dozi od 50 mg dnevno. </w:t>
      </w:r>
    </w:p>
    <w:p w14:paraId="4B07BB1B" w14:textId="77777777" w:rsidR="008F7D68" w:rsidRPr="0086063B" w:rsidRDefault="008F7D68" w:rsidP="00186EFF">
      <w:pPr>
        <w:tabs>
          <w:tab w:val="left" w:pos="284"/>
        </w:tabs>
        <w:ind w:right="65"/>
        <w:jc w:val="both"/>
        <w:rPr>
          <w:bCs/>
          <w:sz w:val="22"/>
          <w:szCs w:val="22"/>
          <w:lang w:val="sr-Latn-ME"/>
        </w:rPr>
      </w:pPr>
    </w:p>
    <w:p w14:paraId="02A1CDC2" w14:textId="7E5F81A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Kod male djece (uzrasta od 12 do 23 m</w:t>
      </w:r>
      <w:r w:rsidR="00943880" w:rsidRPr="0086063B">
        <w:rPr>
          <w:bCs/>
          <w:sz w:val="22"/>
          <w:szCs w:val="22"/>
          <w:lang w:val="sr-Latn-ME"/>
        </w:rPr>
        <w:t>j</w:t>
      </w:r>
      <w:r w:rsidRPr="0086063B">
        <w:rPr>
          <w:bCs/>
          <w:sz w:val="22"/>
          <w:szCs w:val="22"/>
          <w:lang w:val="sr-Latn-ME"/>
        </w:rPr>
        <w:t>eseca) koja su primala kaspofungin u dozi od 50 mg/m</w:t>
      </w:r>
      <w:r w:rsidRPr="0086063B">
        <w:rPr>
          <w:bCs/>
          <w:sz w:val="22"/>
          <w:szCs w:val="22"/>
          <w:vertAlign w:val="superscript"/>
          <w:lang w:val="sr-Latn-ME"/>
        </w:rPr>
        <w:t>2</w:t>
      </w:r>
      <w:r w:rsidRPr="0086063B">
        <w:rPr>
          <w:bCs/>
          <w:sz w:val="22"/>
          <w:szCs w:val="22"/>
          <w:lang w:val="sr-Latn-ME"/>
        </w:rPr>
        <w:t xml:space="preserve"> dnevno (maksimalna doza 70 mg dnevno) vrijednosti PIK</w:t>
      </w:r>
      <w:r w:rsidRPr="0086063B">
        <w:rPr>
          <w:bCs/>
          <w:sz w:val="22"/>
          <w:szCs w:val="22"/>
          <w:vertAlign w:val="subscript"/>
          <w:lang w:val="sr-Latn-ME"/>
        </w:rPr>
        <w:t>0-24h</w:t>
      </w:r>
      <w:r w:rsidRPr="0086063B">
        <w:rPr>
          <w:bCs/>
          <w:sz w:val="22"/>
          <w:szCs w:val="22"/>
          <w:lang w:val="sr-Latn-ME"/>
        </w:rPr>
        <w:t xml:space="preserve"> kaspofungina u plazmi nakon primjene višestrukih doza bile su uporedive sa vrijednostima zab</w:t>
      </w:r>
      <w:r w:rsidR="008048BD" w:rsidRPr="0086063B">
        <w:rPr>
          <w:bCs/>
          <w:sz w:val="22"/>
          <w:szCs w:val="22"/>
          <w:lang w:val="sr-Latn-ME"/>
        </w:rPr>
        <w:t>iljež</w:t>
      </w:r>
      <w:r w:rsidRPr="0086063B">
        <w:rPr>
          <w:bCs/>
          <w:sz w:val="22"/>
          <w:szCs w:val="22"/>
          <w:lang w:val="sr-Latn-ME"/>
        </w:rPr>
        <w:t>enim kod odraslih subjekata koji su primali kaspofungin u dozi od 50 mg dnevno, kao i sa vrijednostima kod starije djece (uzrasta od 2 do 11 godina) koja su primala kaspofungin u dozi od 50 mg/m</w:t>
      </w:r>
      <w:r w:rsidRPr="0086063B">
        <w:rPr>
          <w:bCs/>
          <w:sz w:val="22"/>
          <w:szCs w:val="22"/>
          <w:vertAlign w:val="superscript"/>
          <w:lang w:val="sr-Latn-ME"/>
        </w:rPr>
        <w:t>2</w:t>
      </w:r>
      <w:r w:rsidRPr="0086063B">
        <w:rPr>
          <w:bCs/>
          <w:sz w:val="22"/>
          <w:szCs w:val="22"/>
          <w:lang w:val="sr-Latn-ME"/>
        </w:rPr>
        <w:t xml:space="preserve"> dnevno.</w:t>
      </w:r>
    </w:p>
    <w:p w14:paraId="145F41E1" w14:textId="77777777" w:rsidR="008F7D68" w:rsidRPr="0086063B" w:rsidRDefault="008F7D68" w:rsidP="00186EFF">
      <w:pPr>
        <w:tabs>
          <w:tab w:val="left" w:pos="284"/>
        </w:tabs>
        <w:ind w:right="65"/>
        <w:jc w:val="both"/>
        <w:rPr>
          <w:bCs/>
          <w:sz w:val="22"/>
          <w:szCs w:val="22"/>
          <w:lang w:val="sr-Latn-ME"/>
        </w:rPr>
      </w:pPr>
    </w:p>
    <w:p w14:paraId="256F0346" w14:textId="5191146F" w:rsidR="008F7D68" w:rsidRPr="0086063B" w:rsidRDefault="008F7D68" w:rsidP="00186EFF">
      <w:pPr>
        <w:tabs>
          <w:tab w:val="left" w:pos="284"/>
        </w:tabs>
        <w:ind w:right="65"/>
        <w:jc w:val="both"/>
        <w:rPr>
          <w:bCs/>
          <w:sz w:val="22"/>
          <w:szCs w:val="22"/>
          <w:lang w:val="sr-Latn-ME"/>
        </w:rPr>
      </w:pPr>
      <w:r w:rsidRPr="0086063B">
        <w:rPr>
          <w:bCs/>
          <w:sz w:val="22"/>
          <w:szCs w:val="22"/>
          <w:lang w:val="sr-Latn-ME"/>
        </w:rPr>
        <w:t>Sveukupni raspoloživi farmakokinetički podaci, kao i podaci o efikasnosti i bezb</w:t>
      </w:r>
      <w:r w:rsidR="002226AA" w:rsidRPr="0086063B">
        <w:rPr>
          <w:bCs/>
          <w:sz w:val="22"/>
          <w:szCs w:val="22"/>
          <w:lang w:val="sr-Latn-ME"/>
        </w:rPr>
        <w:t>j</w:t>
      </w:r>
      <w:r w:rsidRPr="0086063B">
        <w:rPr>
          <w:bCs/>
          <w:sz w:val="22"/>
          <w:szCs w:val="22"/>
          <w:lang w:val="sr-Latn-ME"/>
        </w:rPr>
        <w:t>ednosti lijeka su ograničeni za pacijente uzrasta od 3 do 10 m</w:t>
      </w:r>
      <w:r w:rsidR="002226AA" w:rsidRPr="0086063B">
        <w:rPr>
          <w:bCs/>
          <w:sz w:val="22"/>
          <w:szCs w:val="22"/>
          <w:lang w:val="sr-Latn-ME"/>
        </w:rPr>
        <w:t>j</w:t>
      </w:r>
      <w:r w:rsidRPr="0086063B">
        <w:rPr>
          <w:bCs/>
          <w:sz w:val="22"/>
          <w:szCs w:val="22"/>
          <w:lang w:val="sr-Latn-ME"/>
        </w:rPr>
        <w:t>eseci. Farmakokinetički podaci dobijeni od jednog 10-m</w:t>
      </w:r>
      <w:r w:rsidR="008048BD" w:rsidRPr="0086063B">
        <w:rPr>
          <w:bCs/>
          <w:sz w:val="22"/>
          <w:szCs w:val="22"/>
          <w:lang w:val="sr-Latn-ME"/>
        </w:rPr>
        <w:t>j</w:t>
      </w:r>
      <w:r w:rsidRPr="0086063B">
        <w:rPr>
          <w:bCs/>
          <w:sz w:val="22"/>
          <w:szCs w:val="22"/>
          <w:lang w:val="sr-Latn-ME"/>
        </w:rPr>
        <w:t>esečnog deteta koje je primalo dnevnu dozu od 50 mg/m</w:t>
      </w:r>
      <w:r w:rsidRPr="0086063B">
        <w:rPr>
          <w:bCs/>
          <w:sz w:val="22"/>
          <w:szCs w:val="22"/>
          <w:vertAlign w:val="superscript"/>
          <w:lang w:val="sr-Latn-ME"/>
        </w:rPr>
        <w:t>2</w:t>
      </w:r>
      <w:r w:rsidRPr="0086063B">
        <w:rPr>
          <w:bCs/>
          <w:sz w:val="22"/>
          <w:szCs w:val="22"/>
          <w:lang w:val="sr-Latn-ME"/>
        </w:rPr>
        <w:t xml:space="preserve"> pokazali su da su se vrijednosti  PIK</w:t>
      </w:r>
      <w:r w:rsidRPr="0086063B">
        <w:rPr>
          <w:bCs/>
          <w:sz w:val="22"/>
          <w:szCs w:val="22"/>
          <w:vertAlign w:val="subscript"/>
          <w:lang w:val="sr-Latn-ME"/>
        </w:rPr>
        <w:t>0-24h</w:t>
      </w:r>
      <w:r w:rsidRPr="0086063B">
        <w:rPr>
          <w:bCs/>
          <w:sz w:val="22"/>
          <w:szCs w:val="22"/>
          <w:lang w:val="sr-Latn-ME"/>
        </w:rPr>
        <w:t xml:space="preserve"> kretale u istom opsegu kao i kod starije djece i odraslih koji su primali dozu od 50 mg/m</w:t>
      </w:r>
      <w:r w:rsidRPr="0086063B">
        <w:rPr>
          <w:bCs/>
          <w:sz w:val="22"/>
          <w:szCs w:val="22"/>
          <w:vertAlign w:val="superscript"/>
          <w:lang w:val="sr-Latn-ME"/>
        </w:rPr>
        <w:t>2</w:t>
      </w:r>
      <w:r w:rsidRPr="0086063B">
        <w:rPr>
          <w:bCs/>
          <w:sz w:val="22"/>
          <w:szCs w:val="22"/>
          <w:lang w:val="sr-Latn-ME"/>
        </w:rPr>
        <w:t xml:space="preserve">, odnosno 50 </w:t>
      </w:r>
      <w:r w:rsidRPr="0086063B">
        <w:rPr>
          <w:bCs/>
          <w:sz w:val="22"/>
          <w:szCs w:val="22"/>
          <w:lang w:val="sr-Latn-ME"/>
        </w:rPr>
        <w:lastRenderedPageBreak/>
        <w:t>mg, a kod jednog 6-m</w:t>
      </w:r>
      <w:r w:rsidR="008048BD" w:rsidRPr="0086063B">
        <w:rPr>
          <w:bCs/>
          <w:sz w:val="22"/>
          <w:szCs w:val="22"/>
          <w:lang w:val="sr-Latn-ME"/>
        </w:rPr>
        <w:t>j</w:t>
      </w:r>
      <w:r w:rsidRPr="0086063B">
        <w:rPr>
          <w:bCs/>
          <w:sz w:val="22"/>
          <w:szCs w:val="22"/>
          <w:lang w:val="sr-Latn-ME"/>
        </w:rPr>
        <w:t>esečnog d</w:t>
      </w:r>
      <w:r w:rsidR="008048BD" w:rsidRPr="0086063B">
        <w:rPr>
          <w:bCs/>
          <w:sz w:val="22"/>
          <w:szCs w:val="22"/>
          <w:lang w:val="sr-Latn-ME"/>
        </w:rPr>
        <w:t>j</w:t>
      </w:r>
      <w:r w:rsidRPr="0086063B">
        <w:rPr>
          <w:bCs/>
          <w:sz w:val="22"/>
          <w:szCs w:val="22"/>
          <w:lang w:val="sr-Latn-ME"/>
        </w:rPr>
        <w:t>eteta koje je primalo dozu od 50 mg/m</w:t>
      </w:r>
      <w:r w:rsidRPr="0086063B">
        <w:rPr>
          <w:bCs/>
          <w:sz w:val="22"/>
          <w:szCs w:val="22"/>
          <w:vertAlign w:val="superscript"/>
          <w:lang w:val="sr-Latn-ME"/>
        </w:rPr>
        <w:t>2</w:t>
      </w:r>
      <w:r w:rsidRPr="0086063B">
        <w:rPr>
          <w:bCs/>
          <w:sz w:val="22"/>
          <w:szCs w:val="22"/>
          <w:lang w:val="sr-Latn-ME"/>
        </w:rPr>
        <w:t xml:space="preserve"> uočene su nešto veće vrijednosti  PIK</w:t>
      </w:r>
      <w:r w:rsidRPr="0086063B">
        <w:rPr>
          <w:bCs/>
          <w:sz w:val="22"/>
          <w:szCs w:val="22"/>
          <w:vertAlign w:val="subscript"/>
          <w:lang w:val="sr-Latn-ME"/>
        </w:rPr>
        <w:t>0-24h</w:t>
      </w:r>
      <w:r w:rsidRPr="0086063B">
        <w:rPr>
          <w:bCs/>
          <w:sz w:val="22"/>
          <w:szCs w:val="22"/>
          <w:lang w:val="sr-Latn-ME"/>
        </w:rPr>
        <w:t>.</w:t>
      </w:r>
    </w:p>
    <w:p w14:paraId="2EDD5731" w14:textId="77777777" w:rsidR="008F7D68" w:rsidRPr="0086063B" w:rsidRDefault="008F7D68" w:rsidP="00186EFF">
      <w:pPr>
        <w:tabs>
          <w:tab w:val="left" w:pos="284"/>
        </w:tabs>
        <w:ind w:right="65"/>
        <w:jc w:val="both"/>
        <w:rPr>
          <w:bCs/>
          <w:sz w:val="22"/>
          <w:szCs w:val="22"/>
          <w:lang w:val="sr-Latn-ME"/>
        </w:rPr>
      </w:pPr>
    </w:p>
    <w:p w14:paraId="7C66C691" w14:textId="2805C353" w:rsidR="008F7D68" w:rsidRPr="0086063B" w:rsidRDefault="008F7D68" w:rsidP="00186EFF">
      <w:pPr>
        <w:tabs>
          <w:tab w:val="left" w:pos="284"/>
        </w:tabs>
        <w:ind w:right="65"/>
        <w:jc w:val="both"/>
        <w:rPr>
          <w:bCs/>
          <w:sz w:val="22"/>
          <w:szCs w:val="22"/>
          <w:lang w:val="sr-Latn-ME"/>
        </w:rPr>
      </w:pPr>
      <w:r w:rsidRPr="0086063B">
        <w:rPr>
          <w:bCs/>
          <w:sz w:val="22"/>
          <w:szCs w:val="22"/>
          <w:lang w:val="sr-Latn-ME"/>
        </w:rPr>
        <w:t xml:space="preserve">Kod novorođenčadi i odojčadi (uzrasta </w:t>
      </w:r>
      <w:r w:rsidRPr="0086063B">
        <w:rPr>
          <w:bCs/>
          <w:sz w:val="22"/>
          <w:szCs w:val="22"/>
          <w:lang w:val="sr-Latn-ME"/>
        </w:rPr>
        <w:sym w:font="Symbol" w:char="F03C"/>
      </w:r>
      <w:r w:rsidRPr="0086063B">
        <w:rPr>
          <w:bCs/>
          <w:sz w:val="22"/>
          <w:szCs w:val="22"/>
          <w:lang w:val="sr-Latn-ME"/>
        </w:rPr>
        <w:t xml:space="preserve"> 3 m</w:t>
      </w:r>
      <w:r w:rsidR="002226AA" w:rsidRPr="0086063B">
        <w:rPr>
          <w:bCs/>
          <w:sz w:val="22"/>
          <w:szCs w:val="22"/>
          <w:lang w:val="sr-Latn-ME"/>
        </w:rPr>
        <w:t>j</w:t>
      </w:r>
      <w:r w:rsidRPr="0086063B">
        <w:rPr>
          <w:bCs/>
          <w:sz w:val="22"/>
          <w:szCs w:val="22"/>
          <w:lang w:val="sr-Latn-ME"/>
        </w:rPr>
        <w:t>eseca) koji su primali kaspofungin u dozi od 25 mg/m</w:t>
      </w:r>
      <w:r w:rsidRPr="0086063B">
        <w:rPr>
          <w:bCs/>
          <w:sz w:val="22"/>
          <w:szCs w:val="22"/>
          <w:vertAlign w:val="superscript"/>
          <w:lang w:val="sr-Latn-ME"/>
        </w:rPr>
        <w:t>2</w:t>
      </w:r>
      <w:r w:rsidRPr="0086063B">
        <w:rPr>
          <w:bCs/>
          <w:sz w:val="22"/>
          <w:szCs w:val="22"/>
          <w:lang w:val="sr-Latn-ME"/>
        </w:rPr>
        <w:t xml:space="preserve"> dnevno (odgovarajuća srednja dnevna doza od 2,1 mg/kg) maksimalne koncentracije kaspofungina (C</w:t>
      </w:r>
      <w:r w:rsidRPr="0086063B">
        <w:rPr>
          <w:bCs/>
          <w:sz w:val="22"/>
          <w:szCs w:val="22"/>
          <w:vertAlign w:val="subscript"/>
          <w:lang w:val="sr-Latn-ME"/>
        </w:rPr>
        <w:t>1h</w:t>
      </w:r>
      <w:r w:rsidRPr="0086063B">
        <w:rPr>
          <w:bCs/>
          <w:sz w:val="22"/>
          <w:szCs w:val="22"/>
          <w:lang w:val="sr-Latn-ME"/>
        </w:rPr>
        <w:t xml:space="preserve">) i </w:t>
      </w:r>
      <w:r w:rsidR="00BA4655" w:rsidRPr="0086063B">
        <w:rPr>
          <w:bCs/>
          <w:sz w:val="22"/>
          <w:szCs w:val="22"/>
          <w:lang w:val="sr-Latn-ME"/>
        </w:rPr>
        <w:t xml:space="preserve">najniže </w:t>
      </w:r>
      <w:r w:rsidRPr="0086063B">
        <w:rPr>
          <w:bCs/>
          <w:sz w:val="22"/>
          <w:szCs w:val="22"/>
          <w:lang w:val="sr-Latn-ME"/>
        </w:rPr>
        <w:t>koncentracije kaspofungina (C</w:t>
      </w:r>
      <w:r w:rsidRPr="0086063B">
        <w:rPr>
          <w:bCs/>
          <w:sz w:val="22"/>
          <w:szCs w:val="22"/>
          <w:vertAlign w:val="subscript"/>
          <w:lang w:val="sr-Latn-ME"/>
        </w:rPr>
        <w:t>24h</w:t>
      </w:r>
      <w:r w:rsidRPr="0086063B">
        <w:rPr>
          <w:bCs/>
          <w:sz w:val="22"/>
          <w:szCs w:val="22"/>
          <w:lang w:val="sr-Latn-ME"/>
        </w:rPr>
        <w:t>) nakon primjene višestrukih doza bile su uporedive sa koncentracijama zab</w:t>
      </w:r>
      <w:r w:rsidR="002226AA" w:rsidRPr="0086063B">
        <w:rPr>
          <w:bCs/>
          <w:sz w:val="22"/>
          <w:szCs w:val="22"/>
          <w:lang w:val="sr-Latn-ME"/>
        </w:rPr>
        <w:t>ilj</w:t>
      </w:r>
      <w:r w:rsidRPr="0086063B">
        <w:rPr>
          <w:bCs/>
          <w:sz w:val="22"/>
          <w:szCs w:val="22"/>
          <w:lang w:val="sr-Latn-ME"/>
        </w:rPr>
        <w:t>eženim kod odraslih pacijenata koji su dobijali kaspofungin u dozi od 50 mg dnevno. Prvog dana terapije C</w:t>
      </w:r>
      <w:r w:rsidRPr="0086063B">
        <w:rPr>
          <w:bCs/>
          <w:sz w:val="22"/>
          <w:szCs w:val="22"/>
          <w:vertAlign w:val="subscript"/>
          <w:lang w:val="sr-Latn-ME"/>
        </w:rPr>
        <w:t>1h</w:t>
      </w:r>
      <w:r w:rsidRPr="0086063B">
        <w:rPr>
          <w:bCs/>
          <w:sz w:val="22"/>
          <w:szCs w:val="22"/>
          <w:lang w:val="sr-Latn-ME"/>
        </w:rPr>
        <w:t xml:space="preserve"> bila je uporediva, a C</w:t>
      </w:r>
      <w:r w:rsidRPr="0086063B">
        <w:rPr>
          <w:bCs/>
          <w:sz w:val="22"/>
          <w:szCs w:val="22"/>
          <w:vertAlign w:val="subscript"/>
          <w:lang w:val="sr-Latn-ME"/>
        </w:rPr>
        <w:t>24h</w:t>
      </w:r>
      <w:r w:rsidRPr="0086063B">
        <w:rPr>
          <w:bCs/>
          <w:sz w:val="22"/>
          <w:szCs w:val="22"/>
          <w:lang w:val="sr-Latn-ME"/>
        </w:rPr>
        <w:t xml:space="preserve"> je bila blago povećana (36%) kod ovih novorođenčadi i odojčadi u poređenju sa odraslim pacijentima. Međutim, zab</w:t>
      </w:r>
      <w:r w:rsidR="00943880" w:rsidRPr="0086063B">
        <w:rPr>
          <w:bCs/>
          <w:sz w:val="22"/>
          <w:szCs w:val="22"/>
          <w:lang w:val="sr-Latn-ME"/>
        </w:rPr>
        <w:t>ilj</w:t>
      </w:r>
      <w:r w:rsidRPr="0086063B">
        <w:rPr>
          <w:bCs/>
          <w:sz w:val="22"/>
          <w:szCs w:val="22"/>
          <w:lang w:val="sr-Latn-ME"/>
        </w:rPr>
        <w:t>ežene su varijacije i kod C</w:t>
      </w:r>
      <w:r w:rsidRPr="0086063B">
        <w:rPr>
          <w:bCs/>
          <w:sz w:val="22"/>
          <w:szCs w:val="22"/>
          <w:vertAlign w:val="subscript"/>
          <w:lang w:val="sr-Latn-ME"/>
        </w:rPr>
        <w:t>1h</w:t>
      </w:r>
      <w:r w:rsidRPr="0086063B">
        <w:rPr>
          <w:bCs/>
          <w:sz w:val="22"/>
          <w:szCs w:val="22"/>
          <w:lang w:val="sr-Latn-ME"/>
        </w:rPr>
        <w:t xml:space="preserve"> (četvrtog dana terapije geometrijska sredina je iznosila 11,73 </w:t>
      </w:r>
      <w:r w:rsidRPr="0086063B">
        <w:rPr>
          <w:bCs/>
          <w:sz w:val="22"/>
          <w:szCs w:val="22"/>
          <w:lang w:val="sr-Latn-ME"/>
        </w:rPr>
        <w:sym w:font="Symbol" w:char="F06D"/>
      </w:r>
      <w:r w:rsidRPr="0086063B">
        <w:rPr>
          <w:bCs/>
          <w:sz w:val="22"/>
          <w:szCs w:val="22"/>
          <w:lang w:val="sr-Latn-ME"/>
        </w:rPr>
        <w:t>g/m</w:t>
      </w:r>
      <w:r w:rsidR="008048BD" w:rsidRPr="0086063B">
        <w:rPr>
          <w:bCs/>
          <w:sz w:val="22"/>
          <w:szCs w:val="22"/>
          <w:lang w:val="sr-Latn-ME"/>
        </w:rPr>
        <w:t>l</w:t>
      </w:r>
      <w:r w:rsidRPr="0086063B">
        <w:rPr>
          <w:bCs/>
          <w:sz w:val="22"/>
          <w:szCs w:val="22"/>
          <w:lang w:val="sr-Latn-ME"/>
        </w:rPr>
        <w:t xml:space="preserve">, a vrijednosti su se kretale u opsegu od 2,63 do 22,05 </w:t>
      </w:r>
      <w:r w:rsidRPr="0086063B">
        <w:rPr>
          <w:bCs/>
          <w:sz w:val="22"/>
          <w:szCs w:val="22"/>
          <w:lang w:val="sr-Latn-ME"/>
        </w:rPr>
        <w:sym w:font="Symbol" w:char="F06D"/>
      </w:r>
      <w:r w:rsidRPr="0086063B">
        <w:rPr>
          <w:bCs/>
          <w:sz w:val="22"/>
          <w:szCs w:val="22"/>
          <w:lang w:val="sr-Latn-ME"/>
        </w:rPr>
        <w:t>g/mL) i kod C</w:t>
      </w:r>
      <w:r w:rsidRPr="0086063B">
        <w:rPr>
          <w:bCs/>
          <w:sz w:val="22"/>
          <w:szCs w:val="22"/>
          <w:vertAlign w:val="subscript"/>
          <w:lang w:val="sr-Latn-ME"/>
        </w:rPr>
        <w:t>24h</w:t>
      </w:r>
      <w:r w:rsidRPr="0086063B">
        <w:rPr>
          <w:bCs/>
          <w:sz w:val="22"/>
          <w:szCs w:val="22"/>
          <w:lang w:val="sr-Latn-ME"/>
        </w:rPr>
        <w:t xml:space="preserve"> (četvrtog dana terapije geometrijska sredina je iznosila 3,55 </w:t>
      </w:r>
      <w:r w:rsidRPr="0086063B">
        <w:rPr>
          <w:bCs/>
          <w:sz w:val="22"/>
          <w:szCs w:val="22"/>
          <w:lang w:val="sr-Latn-ME"/>
        </w:rPr>
        <w:sym w:font="Symbol" w:char="F06D"/>
      </w:r>
      <w:r w:rsidRPr="0086063B">
        <w:rPr>
          <w:bCs/>
          <w:sz w:val="22"/>
          <w:szCs w:val="22"/>
          <w:lang w:val="sr-Latn-ME"/>
        </w:rPr>
        <w:t xml:space="preserve">g/mL, a vrijednosti  su se kretale u opsegu od 0,13 do 7,17 </w:t>
      </w:r>
      <w:r w:rsidRPr="0086063B">
        <w:rPr>
          <w:bCs/>
          <w:sz w:val="22"/>
          <w:szCs w:val="22"/>
          <w:lang w:val="sr-Latn-ME"/>
        </w:rPr>
        <w:sym w:font="Symbol" w:char="F06D"/>
      </w:r>
      <w:r w:rsidRPr="0086063B">
        <w:rPr>
          <w:bCs/>
          <w:sz w:val="22"/>
          <w:szCs w:val="22"/>
          <w:lang w:val="sr-Latn-ME"/>
        </w:rPr>
        <w:t>g/mL). U ovoj studiji ni</w:t>
      </w:r>
      <w:r w:rsidR="002226AA" w:rsidRPr="0086063B">
        <w:rPr>
          <w:bCs/>
          <w:sz w:val="22"/>
          <w:szCs w:val="22"/>
          <w:lang w:val="sr-Latn-ME"/>
        </w:rPr>
        <w:t>je</w:t>
      </w:r>
      <w:r w:rsidRPr="0086063B">
        <w:rPr>
          <w:bCs/>
          <w:sz w:val="22"/>
          <w:szCs w:val="22"/>
          <w:lang w:val="sr-Latn-ME"/>
        </w:rPr>
        <w:t>su rađena m</w:t>
      </w:r>
      <w:r w:rsidR="008048BD" w:rsidRPr="0086063B">
        <w:rPr>
          <w:bCs/>
          <w:sz w:val="22"/>
          <w:szCs w:val="22"/>
          <w:lang w:val="sr-Latn-ME"/>
        </w:rPr>
        <w:t>j</w:t>
      </w:r>
      <w:r w:rsidRPr="0086063B">
        <w:rPr>
          <w:bCs/>
          <w:sz w:val="22"/>
          <w:szCs w:val="22"/>
          <w:lang w:val="sr-Latn-ME"/>
        </w:rPr>
        <w:t>erenja vrijednosti  PIK</w:t>
      </w:r>
      <w:r w:rsidRPr="0086063B">
        <w:rPr>
          <w:bCs/>
          <w:sz w:val="22"/>
          <w:szCs w:val="22"/>
          <w:vertAlign w:val="subscript"/>
          <w:lang w:val="sr-Latn-ME"/>
        </w:rPr>
        <w:t>0-24h</w:t>
      </w:r>
      <w:r w:rsidRPr="0086063B">
        <w:rPr>
          <w:bCs/>
          <w:sz w:val="22"/>
          <w:szCs w:val="22"/>
          <w:lang w:val="sr-Latn-ME"/>
        </w:rPr>
        <w:t xml:space="preserve"> zbog nedovoljne količine uzoraka plazme. Treba napomenuti da efikasnost i bezb</w:t>
      </w:r>
      <w:r w:rsidR="00E92A04" w:rsidRPr="0086063B">
        <w:rPr>
          <w:bCs/>
          <w:sz w:val="22"/>
          <w:szCs w:val="22"/>
          <w:lang w:val="sr-Latn-ME"/>
        </w:rPr>
        <w:t>j</w:t>
      </w:r>
      <w:r w:rsidRPr="0086063B">
        <w:rPr>
          <w:bCs/>
          <w:sz w:val="22"/>
          <w:szCs w:val="22"/>
          <w:lang w:val="sr-Latn-ME"/>
        </w:rPr>
        <w:t>ednost kaspofungina ni</w:t>
      </w:r>
      <w:r w:rsidR="002250B0" w:rsidRPr="0086063B">
        <w:rPr>
          <w:bCs/>
          <w:sz w:val="22"/>
          <w:szCs w:val="22"/>
          <w:lang w:val="sr-Latn-ME"/>
        </w:rPr>
        <w:t>je</w:t>
      </w:r>
      <w:r w:rsidRPr="0086063B">
        <w:rPr>
          <w:bCs/>
          <w:sz w:val="22"/>
          <w:szCs w:val="22"/>
          <w:lang w:val="sr-Latn-ME"/>
        </w:rPr>
        <w:t>su odgovarajuće ispitivani u prospektivnim kliničkim ispitivanjima na novorođenčadi i odojčadi uzrasta ispod 3 mjeseca.</w:t>
      </w:r>
    </w:p>
    <w:p w14:paraId="03AA1AD3" w14:textId="77777777" w:rsidR="008F7D68" w:rsidRPr="0086063B" w:rsidRDefault="008F7D68" w:rsidP="00186EFF">
      <w:pPr>
        <w:tabs>
          <w:tab w:val="left" w:pos="540"/>
          <w:tab w:val="left" w:pos="569"/>
        </w:tabs>
        <w:jc w:val="both"/>
        <w:rPr>
          <w:bCs/>
          <w:sz w:val="22"/>
          <w:szCs w:val="22"/>
          <w:lang w:val="sr-Latn-ME"/>
        </w:rPr>
      </w:pPr>
    </w:p>
    <w:p w14:paraId="47DBF987"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5.3. </w:t>
      </w:r>
      <w:r w:rsidR="00480FB1" w:rsidRPr="0086063B">
        <w:rPr>
          <w:b/>
          <w:bCs/>
          <w:sz w:val="22"/>
          <w:szCs w:val="22"/>
          <w:lang w:val="sr-Latn-ME"/>
        </w:rPr>
        <w:tab/>
      </w:r>
      <w:r w:rsidRPr="0086063B">
        <w:rPr>
          <w:b/>
          <w:bCs/>
          <w:sz w:val="22"/>
          <w:szCs w:val="22"/>
          <w:lang w:val="sr-Latn-ME"/>
        </w:rPr>
        <w:t xml:space="preserve">Pretklinički podaci o bezbjednosti </w:t>
      </w:r>
    </w:p>
    <w:p w14:paraId="5D0098CB" w14:textId="77777777" w:rsidR="00836B35" w:rsidRPr="0086063B" w:rsidRDefault="00836B35" w:rsidP="00186EFF">
      <w:pPr>
        <w:tabs>
          <w:tab w:val="left" w:pos="540"/>
          <w:tab w:val="left" w:pos="569"/>
        </w:tabs>
        <w:jc w:val="both"/>
        <w:rPr>
          <w:bCs/>
          <w:sz w:val="22"/>
          <w:szCs w:val="22"/>
          <w:lang w:val="sr-Latn-ME"/>
        </w:rPr>
      </w:pPr>
    </w:p>
    <w:p w14:paraId="32619B2C" w14:textId="00231B87" w:rsidR="008F7D68" w:rsidRPr="0086063B" w:rsidRDefault="008F7D68" w:rsidP="00E92A04">
      <w:pPr>
        <w:tabs>
          <w:tab w:val="left" w:pos="284"/>
        </w:tabs>
        <w:ind w:right="65"/>
        <w:jc w:val="both"/>
        <w:rPr>
          <w:sz w:val="22"/>
          <w:szCs w:val="22"/>
          <w:lang w:val="sr-Latn-ME"/>
        </w:rPr>
      </w:pPr>
      <w:r w:rsidRPr="0086063B">
        <w:rPr>
          <w:sz w:val="22"/>
          <w:szCs w:val="22"/>
          <w:lang w:val="sr-Latn-ME"/>
        </w:rPr>
        <w:t xml:space="preserve">Istraživanja toksičnosti ponovljenih intravenskih doza do 7-8 mg/kg na pacovima i majmunima pokazala su reakcije na mjestu primjene injekcije kod pacova i kod majmuna, znakove oslobađanja histamina kod pacova i znakove neželjenih efekata na jetru kod majmuna. Ispitivanja razvojne toksičnosti kod pacova pokazala su da je kaspofungin prouzrokovao smanjenje tjelesne mase fetusa i povećanu učestalost nepotpunog okoštavanja kostiju karlice, rebara i lobanje pri dozama od 5 mg/kg što je bilo povezano sa neželjenim efektima kod majke – na primjer sa znacima oslobađanja histamina kod trudnih ženki pacova. Uočena je i češća pojava vratnih rebara. Kaspofugin je ispoljio negativni rezultat na </w:t>
      </w:r>
      <w:r w:rsidRPr="0086063B">
        <w:rPr>
          <w:i/>
          <w:sz w:val="22"/>
          <w:szCs w:val="22"/>
          <w:lang w:val="sr-Latn-ME"/>
        </w:rPr>
        <w:t>in vitro</w:t>
      </w:r>
      <w:r w:rsidRPr="0086063B">
        <w:rPr>
          <w:sz w:val="22"/>
          <w:szCs w:val="22"/>
          <w:lang w:val="sr-Latn-ME"/>
        </w:rPr>
        <w:t xml:space="preserve"> testu moguće genotoksičnosti, kao i na </w:t>
      </w:r>
      <w:r w:rsidRPr="0086063B">
        <w:rPr>
          <w:i/>
          <w:sz w:val="22"/>
          <w:szCs w:val="22"/>
          <w:lang w:val="sr-Latn-ME"/>
        </w:rPr>
        <w:t>in vivo</w:t>
      </w:r>
      <w:r w:rsidRPr="0086063B">
        <w:rPr>
          <w:sz w:val="22"/>
          <w:szCs w:val="22"/>
          <w:lang w:val="sr-Latn-ME"/>
        </w:rPr>
        <w:t xml:space="preserve"> hromozomskom testu koštane srži kod miševa. Dugoročna istraživanja karcinogenosti kod laboratorijskih životinja ni</w:t>
      </w:r>
      <w:r w:rsidR="002250B0" w:rsidRPr="0086063B">
        <w:rPr>
          <w:sz w:val="22"/>
          <w:szCs w:val="22"/>
          <w:lang w:val="sr-Latn-ME"/>
        </w:rPr>
        <w:t>je</w:t>
      </w:r>
      <w:r w:rsidRPr="0086063B">
        <w:rPr>
          <w:sz w:val="22"/>
          <w:szCs w:val="22"/>
          <w:lang w:val="sr-Latn-ME"/>
        </w:rPr>
        <w:t>su sprovedena. Primjena kaspofungina u dozama do 5 mg/kg/dan u istraživanjima sprovedenim na mužjacima i ženkama pacova, nije uticala na plodnost.</w:t>
      </w:r>
    </w:p>
    <w:p w14:paraId="7AF27B09" w14:textId="131AEFCC" w:rsidR="00396DFD" w:rsidRPr="0086063B" w:rsidRDefault="00396DFD" w:rsidP="00186EFF">
      <w:pPr>
        <w:tabs>
          <w:tab w:val="left" w:pos="540"/>
          <w:tab w:val="left" w:pos="569"/>
        </w:tabs>
        <w:jc w:val="both"/>
        <w:rPr>
          <w:b/>
          <w:bCs/>
          <w:sz w:val="22"/>
          <w:szCs w:val="22"/>
          <w:lang w:val="sr-Latn-ME"/>
        </w:rPr>
      </w:pPr>
    </w:p>
    <w:p w14:paraId="0B6E276D" w14:textId="77777777" w:rsidR="00227ECB" w:rsidRPr="0086063B" w:rsidRDefault="00227ECB" w:rsidP="00186EFF">
      <w:pPr>
        <w:tabs>
          <w:tab w:val="left" w:pos="540"/>
          <w:tab w:val="left" w:pos="569"/>
        </w:tabs>
        <w:jc w:val="both"/>
        <w:rPr>
          <w:b/>
          <w:bCs/>
          <w:sz w:val="22"/>
          <w:szCs w:val="22"/>
          <w:lang w:val="sr-Latn-ME"/>
        </w:rPr>
      </w:pPr>
    </w:p>
    <w:p w14:paraId="4366F990"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 </w:t>
      </w:r>
      <w:r w:rsidR="00480FB1" w:rsidRPr="0086063B">
        <w:rPr>
          <w:b/>
          <w:bCs/>
          <w:sz w:val="22"/>
          <w:szCs w:val="22"/>
          <w:lang w:val="sr-Latn-ME"/>
        </w:rPr>
        <w:tab/>
      </w:r>
      <w:r w:rsidRPr="0086063B">
        <w:rPr>
          <w:b/>
          <w:bCs/>
          <w:sz w:val="22"/>
          <w:szCs w:val="22"/>
          <w:lang w:val="sr-Latn-ME"/>
        </w:rPr>
        <w:t>FARMACEUTSKI PODACI</w:t>
      </w:r>
    </w:p>
    <w:p w14:paraId="6080D55D" w14:textId="77777777" w:rsidR="00836B35" w:rsidRPr="0086063B" w:rsidRDefault="00836B35" w:rsidP="00186EFF">
      <w:pPr>
        <w:tabs>
          <w:tab w:val="left" w:pos="540"/>
          <w:tab w:val="left" w:pos="569"/>
        </w:tabs>
        <w:jc w:val="both"/>
        <w:rPr>
          <w:bCs/>
          <w:sz w:val="22"/>
          <w:szCs w:val="22"/>
          <w:lang w:val="sr-Latn-ME"/>
        </w:rPr>
      </w:pPr>
    </w:p>
    <w:p w14:paraId="498638A3"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6.1. </w:t>
      </w:r>
      <w:r w:rsidR="00480FB1" w:rsidRPr="0086063B">
        <w:rPr>
          <w:b/>
          <w:bCs/>
          <w:sz w:val="22"/>
          <w:szCs w:val="22"/>
          <w:lang w:val="sr-Latn-ME"/>
        </w:rPr>
        <w:tab/>
      </w:r>
      <w:r w:rsidRPr="0086063B">
        <w:rPr>
          <w:b/>
          <w:bCs/>
          <w:sz w:val="22"/>
          <w:szCs w:val="22"/>
          <w:lang w:val="sr-Latn-ME"/>
        </w:rPr>
        <w:t>Lista pomoćnih supstanci</w:t>
      </w:r>
      <w:r w:rsidR="002E0135" w:rsidRPr="0086063B">
        <w:rPr>
          <w:b/>
          <w:bCs/>
          <w:sz w:val="22"/>
          <w:szCs w:val="22"/>
          <w:lang w:val="sr-Latn-ME"/>
        </w:rPr>
        <w:t xml:space="preserve"> (ekscipijenasa)</w:t>
      </w:r>
    </w:p>
    <w:p w14:paraId="6DCAE2C9" w14:textId="77777777" w:rsidR="002F0D1C" w:rsidRPr="0086063B" w:rsidRDefault="002F0D1C" w:rsidP="00E92A04">
      <w:pPr>
        <w:tabs>
          <w:tab w:val="left" w:pos="284"/>
        </w:tabs>
        <w:jc w:val="both"/>
        <w:rPr>
          <w:sz w:val="22"/>
          <w:szCs w:val="22"/>
          <w:lang w:val="sr-Latn-ME"/>
        </w:rPr>
      </w:pPr>
    </w:p>
    <w:p w14:paraId="30B55471" w14:textId="01A338E9" w:rsidR="008F7D68" w:rsidRPr="0086063B" w:rsidRDefault="008F7D68" w:rsidP="00E92A04">
      <w:pPr>
        <w:tabs>
          <w:tab w:val="left" w:pos="284"/>
        </w:tabs>
        <w:jc w:val="both"/>
        <w:rPr>
          <w:sz w:val="22"/>
          <w:szCs w:val="22"/>
          <w:lang w:val="sr-Latn-ME"/>
        </w:rPr>
      </w:pPr>
      <w:r w:rsidRPr="0086063B">
        <w:rPr>
          <w:sz w:val="22"/>
          <w:szCs w:val="22"/>
          <w:lang w:val="sr-Latn-ME"/>
        </w:rPr>
        <w:t>Saharoza;</w:t>
      </w:r>
    </w:p>
    <w:p w14:paraId="37754C4B" w14:textId="02FB2021" w:rsidR="008F7D68" w:rsidRPr="0086063B" w:rsidRDefault="008F7D68" w:rsidP="00E92A04">
      <w:pPr>
        <w:tabs>
          <w:tab w:val="left" w:pos="284"/>
        </w:tabs>
        <w:jc w:val="both"/>
        <w:rPr>
          <w:sz w:val="22"/>
          <w:szCs w:val="22"/>
          <w:lang w:val="sr-Latn-ME"/>
        </w:rPr>
      </w:pPr>
      <w:r w:rsidRPr="0086063B">
        <w:rPr>
          <w:sz w:val="22"/>
          <w:szCs w:val="22"/>
          <w:lang w:val="sr-Latn-ME"/>
        </w:rPr>
        <w:t>Manitol</w:t>
      </w:r>
      <w:r w:rsidR="00AE6883" w:rsidRPr="0086063B">
        <w:rPr>
          <w:sz w:val="22"/>
          <w:szCs w:val="22"/>
          <w:lang w:val="sr-Latn-ME"/>
        </w:rPr>
        <w:t xml:space="preserve"> (E421)</w:t>
      </w:r>
      <w:r w:rsidRPr="0086063B">
        <w:rPr>
          <w:sz w:val="22"/>
          <w:szCs w:val="22"/>
          <w:lang w:val="sr-Latn-ME"/>
        </w:rPr>
        <w:t>;</w:t>
      </w:r>
    </w:p>
    <w:p w14:paraId="29FC9989" w14:textId="77777777" w:rsidR="008F7D68" w:rsidRPr="0086063B" w:rsidRDefault="008F7D68">
      <w:pPr>
        <w:tabs>
          <w:tab w:val="left" w:pos="284"/>
        </w:tabs>
        <w:jc w:val="both"/>
        <w:rPr>
          <w:sz w:val="22"/>
          <w:szCs w:val="22"/>
          <w:lang w:val="sr-Latn-ME"/>
        </w:rPr>
      </w:pPr>
      <w:r w:rsidRPr="0086063B">
        <w:rPr>
          <w:sz w:val="22"/>
          <w:szCs w:val="22"/>
          <w:lang w:val="sr-Latn-ME"/>
        </w:rPr>
        <w:t>Sirćetna kiselina, glacijalna;</w:t>
      </w:r>
    </w:p>
    <w:p w14:paraId="5A9AF0C3" w14:textId="5DE3AB62" w:rsidR="008F7D68" w:rsidRPr="0086063B" w:rsidRDefault="008F7D68" w:rsidP="00186EFF">
      <w:pPr>
        <w:tabs>
          <w:tab w:val="left" w:pos="540"/>
          <w:tab w:val="left" w:pos="569"/>
        </w:tabs>
        <w:jc w:val="both"/>
        <w:rPr>
          <w:sz w:val="22"/>
          <w:szCs w:val="22"/>
          <w:lang w:val="sr-Latn-ME"/>
        </w:rPr>
      </w:pPr>
      <w:r w:rsidRPr="0086063B">
        <w:rPr>
          <w:sz w:val="22"/>
          <w:szCs w:val="22"/>
          <w:lang w:val="sr-Latn-ME"/>
        </w:rPr>
        <w:t>Natrijum</w:t>
      </w:r>
      <w:r w:rsidR="003950EF" w:rsidRPr="0086063B">
        <w:rPr>
          <w:sz w:val="22"/>
          <w:szCs w:val="22"/>
          <w:lang w:val="sr-Latn-ME"/>
        </w:rPr>
        <w:t xml:space="preserve"> </w:t>
      </w:r>
      <w:r w:rsidRPr="0086063B">
        <w:rPr>
          <w:sz w:val="22"/>
          <w:szCs w:val="22"/>
          <w:lang w:val="sr-Latn-ME"/>
        </w:rPr>
        <w:t>hidroksid (za podešavanje pH).</w:t>
      </w:r>
    </w:p>
    <w:p w14:paraId="3D37959D" w14:textId="77777777" w:rsidR="0072020E" w:rsidRPr="0086063B" w:rsidRDefault="0072020E" w:rsidP="00186EFF">
      <w:pPr>
        <w:tabs>
          <w:tab w:val="left" w:pos="540"/>
          <w:tab w:val="left" w:pos="569"/>
        </w:tabs>
        <w:jc w:val="both"/>
        <w:rPr>
          <w:bCs/>
          <w:sz w:val="22"/>
          <w:szCs w:val="22"/>
          <w:lang w:val="sr-Latn-ME"/>
        </w:rPr>
      </w:pPr>
    </w:p>
    <w:p w14:paraId="18737E0E"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6.2. </w:t>
      </w:r>
      <w:r w:rsidR="00480FB1" w:rsidRPr="0086063B">
        <w:rPr>
          <w:b/>
          <w:bCs/>
          <w:sz w:val="22"/>
          <w:szCs w:val="22"/>
          <w:lang w:val="sr-Latn-ME"/>
        </w:rPr>
        <w:tab/>
      </w:r>
      <w:r w:rsidRPr="0086063B">
        <w:rPr>
          <w:b/>
          <w:bCs/>
          <w:sz w:val="22"/>
          <w:szCs w:val="22"/>
          <w:lang w:val="sr-Latn-ME"/>
        </w:rPr>
        <w:t>Inkompatibilnost</w:t>
      </w:r>
      <w:r w:rsidR="002846DB" w:rsidRPr="0086063B">
        <w:rPr>
          <w:b/>
          <w:bCs/>
          <w:sz w:val="22"/>
          <w:szCs w:val="22"/>
          <w:lang w:val="sr-Latn-ME"/>
        </w:rPr>
        <w:t>i</w:t>
      </w:r>
    </w:p>
    <w:p w14:paraId="7B0F01F5" w14:textId="77777777" w:rsidR="002F0D1C" w:rsidRPr="0086063B" w:rsidRDefault="002F0D1C" w:rsidP="00186EFF">
      <w:pPr>
        <w:pStyle w:val="Header"/>
        <w:ind w:right="65"/>
        <w:jc w:val="both"/>
        <w:rPr>
          <w:sz w:val="22"/>
          <w:szCs w:val="22"/>
          <w:lang w:val="sr-Latn-ME"/>
        </w:rPr>
      </w:pPr>
    </w:p>
    <w:p w14:paraId="4AF111C4" w14:textId="1B6B364E" w:rsidR="008F7D68" w:rsidRPr="0086063B" w:rsidRDefault="008F7D68" w:rsidP="00186EFF">
      <w:pPr>
        <w:pStyle w:val="Header"/>
        <w:ind w:right="65"/>
        <w:jc w:val="both"/>
        <w:rPr>
          <w:sz w:val="22"/>
          <w:szCs w:val="22"/>
          <w:lang w:val="sr-Latn-ME"/>
        </w:rPr>
      </w:pPr>
      <w:r w:rsidRPr="0086063B">
        <w:rPr>
          <w:sz w:val="22"/>
          <w:szCs w:val="22"/>
          <w:lang w:val="sr-Latn-ME"/>
        </w:rPr>
        <w:t>Ne miješati sa sredstvima za razblaživanje koja sadrže glukozu jer lijek CANCIDAS nije stabilan u razblaživačima koji sadrže glukozu. Zbog  nedostatka ispitivanja kompatibilnosti, ovaj lijek se ne smije miješati sa drugim ljekovima.</w:t>
      </w:r>
    </w:p>
    <w:p w14:paraId="21B7A6A5" w14:textId="77777777" w:rsidR="0072020E" w:rsidRPr="0086063B" w:rsidRDefault="0072020E" w:rsidP="00186EFF">
      <w:pPr>
        <w:tabs>
          <w:tab w:val="left" w:pos="540"/>
          <w:tab w:val="left" w:pos="569"/>
        </w:tabs>
        <w:jc w:val="both"/>
        <w:rPr>
          <w:bCs/>
          <w:sz w:val="22"/>
          <w:szCs w:val="22"/>
          <w:lang w:val="sr-Latn-ME"/>
        </w:rPr>
      </w:pPr>
    </w:p>
    <w:p w14:paraId="1D80CD54"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6.3.</w:t>
      </w:r>
      <w:r w:rsidR="00C05DF8" w:rsidRPr="0086063B">
        <w:rPr>
          <w:b/>
          <w:bCs/>
          <w:sz w:val="22"/>
          <w:szCs w:val="22"/>
          <w:lang w:val="sr-Latn-ME"/>
        </w:rPr>
        <w:t xml:space="preserve"> </w:t>
      </w:r>
      <w:r w:rsidR="00480FB1" w:rsidRPr="0086063B">
        <w:rPr>
          <w:b/>
          <w:bCs/>
          <w:sz w:val="22"/>
          <w:szCs w:val="22"/>
          <w:lang w:val="sr-Latn-ME"/>
        </w:rPr>
        <w:tab/>
      </w:r>
      <w:r w:rsidRPr="0086063B">
        <w:rPr>
          <w:b/>
          <w:bCs/>
          <w:sz w:val="22"/>
          <w:szCs w:val="22"/>
          <w:lang w:val="sr-Latn-ME"/>
        </w:rPr>
        <w:t>Rok upotrebe</w:t>
      </w:r>
    </w:p>
    <w:p w14:paraId="4FB05CF8" w14:textId="77777777" w:rsidR="002F0D1C" w:rsidRPr="0086063B" w:rsidRDefault="002F0D1C" w:rsidP="00E92A04">
      <w:pPr>
        <w:tabs>
          <w:tab w:val="left" w:pos="284"/>
        </w:tabs>
        <w:ind w:right="65"/>
        <w:jc w:val="both"/>
        <w:rPr>
          <w:sz w:val="22"/>
          <w:szCs w:val="22"/>
          <w:lang w:val="sr-Latn-ME"/>
        </w:rPr>
      </w:pPr>
    </w:p>
    <w:p w14:paraId="5278D943" w14:textId="09CB19FB" w:rsidR="008F7D68" w:rsidRPr="0086063B" w:rsidRDefault="008F7D68" w:rsidP="00E92A04">
      <w:pPr>
        <w:tabs>
          <w:tab w:val="left" w:pos="284"/>
        </w:tabs>
        <w:ind w:right="65"/>
        <w:jc w:val="both"/>
        <w:rPr>
          <w:sz w:val="22"/>
          <w:szCs w:val="22"/>
          <w:lang w:val="sr-Latn-ME"/>
        </w:rPr>
      </w:pPr>
      <w:r w:rsidRPr="0086063B">
        <w:rPr>
          <w:sz w:val="22"/>
          <w:szCs w:val="22"/>
          <w:lang w:val="sr-Latn-ME"/>
        </w:rPr>
        <w:t>2 godine.</w:t>
      </w:r>
    </w:p>
    <w:p w14:paraId="0133BC7B" w14:textId="77777777" w:rsidR="008F7D68" w:rsidRPr="0086063B" w:rsidRDefault="008F7D68" w:rsidP="00E92A04">
      <w:pPr>
        <w:tabs>
          <w:tab w:val="left" w:pos="284"/>
        </w:tabs>
        <w:ind w:right="65"/>
        <w:jc w:val="both"/>
        <w:rPr>
          <w:sz w:val="22"/>
          <w:szCs w:val="22"/>
          <w:lang w:val="sr-Latn-ME"/>
        </w:rPr>
      </w:pPr>
    </w:p>
    <w:p w14:paraId="38D265B1" w14:textId="124E7286" w:rsidR="008F7D68" w:rsidRPr="0086063B" w:rsidRDefault="008F7D68">
      <w:pPr>
        <w:tabs>
          <w:tab w:val="left" w:pos="284"/>
        </w:tabs>
        <w:ind w:right="65"/>
        <w:jc w:val="both"/>
        <w:rPr>
          <w:sz w:val="22"/>
          <w:szCs w:val="22"/>
          <w:lang w:val="sr-Latn-ME"/>
        </w:rPr>
      </w:pPr>
      <w:r w:rsidRPr="0086063B">
        <w:rPr>
          <w:iCs/>
          <w:sz w:val="22"/>
          <w:szCs w:val="22"/>
          <w:lang w:val="sr-Latn-ME"/>
        </w:rPr>
        <w:t>Rekonstituisani koncentrat:</w:t>
      </w:r>
      <w:r w:rsidRPr="0086063B">
        <w:rPr>
          <w:sz w:val="22"/>
          <w:szCs w:val="22"/>
          <w:lang w:val="sr-Latn-ME"/>
        </w:rPr>
        <w:t xml:space="preserve"> mora odmah da se upotr</w:t>
      </w:r>
      <w:r w:rsidR="003950EF" w:rsidRPr="0086063B">
        <w:rPr>
          <w:sz w:val="22"/>
          <w:szCs w:val="22"/>
          <w:lang w:val="sr-Latn-ME"/>
        </w:rPr>
        <w:t>ij</w:t>
      </w:r>
      <w:r w:rsidRPr="0086063B">
        <w:rPr>
          <w:sz w:val="22"/>
          <w:szCs w:val="22"/>
          <w:lang w:val="sr-Latn-ME"/>
        </w:rPr>
        <w:t>ebi. Podaci o stabilnosti pokazuju da koncentrat za pravljenje rastvora za infuziju može da se čuva do 24 sata ako se bočica čuva na temperaturi od 25</w:t>
      </w:r>
      <w:r w:rsidRPr="0086063B">
        <w:rPr>
          <w:bCs/>
          <w:sz w:val="22"/>
          <w:szCs w:val="22"/>
          <w:lang w:val="sr-Latn-ME"/>
        </w:rPr>
        <w:t>°</w:t>
      </w:r>
      <w:r w:rsidRPr="0086063B">
        <w:rPr>
          <w:sz w:val="22"/>
          <w:szCs w:val="22"/>
          <w:lang w:val="sr-Latn-ME"/>
        </w:rPr>
        <w:t>C ili nižoj i ako je prašak rekonstituisan sa vodom za injekcije.</w:t>
      </w:r>
    </w:p>
    <w:p w14:paraId="7A941B2E" w14:textId="77777777" w:rsidR="008F7D68" w:rsidRPr="0086063B" w:rsidRDefault="008F7D68">
      <w:pPr>
        <w:tabs>
          <w:tab w:val="left" w:pos="284"/>
        </w:tabs>
        <w:ind w:right="65"/>
        <w:jc w:val="both"/>
        <w:rPr>
          <w:sz w:val="22"/>
          <w:szCs w:val="22"/>
          <w:lang w:val="sr-Latn-ME"/>
        </w:rPr>
      </w:pPr>
    </w:p>
    <w:p w14:paraId="1EE39DE3" w14:textId="44667611" w:rsidR="008F7D68" w:rsidRPr="0086063B" w:rsidRDefault="008F7D68">
      <w:pPr>
        <w:tabs>
          <w:tab w:val="left" w:pos="284"/>
        </w:tabs>
        <w:ind w:right="65"/>
        <w:jc w:val="both"/>
        <w:rPr>
          <w:sz w:val="22"/>
          <w:szCs w:val="22"/>
          <w:lang w:val="sr-Latn-ME"/>
        </w:rPr>
      </w:pPr>
      <w:r w:rsidRPr="0086063B">
        <w:rPr>
          <w:iCs/>
          <w:sz w:val="22"/>
          <w:szCs w:val="22"/>
          <w:lang w:val="sr-Latn-ME"/>
        </w:rPr>
        <w:t>Razblaženi rastvor za infuziju koji se daje pacijentu:</w:t>
      </w:r>
      <w:r w:rsidRPr="0086063B">
        <w:rPr>
          <w:sz w:val="22"/>
          <w:szCs w:val="22"/>
          <w:lang w:val="sr-Latn-ME"/>
        </w:rPr>
        <w:t xml:space="preserve"> mora odmah da se upotr</w:t>
      </w:r>
      <w:r w:rsidR="003950EF" w:rsidRPr="0086063B">
        <w:rPr>
          <w:sz w:val="22"/>
          <w:szCs w:val="22"/>
          <w:lang w:val="sr-Latn-ME"/>
        </w:rPr>
        <w:t>ij</w:t>
      </w:r>
      <w:r w:rsidRPr="0086063B">
        <w:rPr>
          <w:sz w:val="22"/>
          <w:szCs w:val="22"/>
          <w:lang w:val="sr-Latn-ME"/>
        </w:rPr>
        <w:t>ebi. Podaci o stabilnosti ukazuju na to da proizvod može da se iskoristi u roku od 24 sata kada se čuva na temperaturi od 25</w:t>
      </w:r>
      <w:r w:rsidRPr="0086063B">
        <w:rPr>
          <w:bCs/>
          <w:sz w:val="22"/>
          <w:szCs w:val="22"/>
          <w:lang w:val="sr-Latn-ME"/>
        </w:rPr>
        <w:t>°</w:t>
      </w:r>
      <w:r w:rsidRPr="0086063B">
        <w:rPr>
          <w:sz w:val="22"/>
          <w:szCs w:val="22"/>
          <w:lang w:val="sr-Latn-ME"/>
        </w:rPr>
        <w:t xml:space="preserve">C </w:t>
      </w:r>
      <w:r w:rsidRPr="0086063B">
        <w:rPr>
          <w:sz w:val="22"/>
          <w:szCs w:val="22"/>
          <w:lang w:val="sr-Latn-ME"/>
        </w:rPr>
        <w:lastRenderedPageBreak/>
        <w:t>ili nižoj, ili u roku od 48 sati ako se kesa za intravensku infuziju (bočica) čuva u frižideru (na temperaturi od +2 do +8</w:t>
      </w:r>
      <w:r w:rsidRPr="0086063B">
        <w:rPr>
          <w:bCs/>
          <w:sz w:val="22"/>
          <w:szCs w:val="22"/>
          <w:lang w:val="sr-Latn-ME"/>
        </w:rPr>
        <w:t>°</w:t>
      </w:r>
      <w:r w:rsidRPr="0086063B">
        <w:rPr>
          <w:sz w:val="22"/>
          <w:szCs w:val="22"/>
          <w:lang w:val="sr-Latn-ME"/>
        </w:rPr>
        <w:t>C) i razblaži sa rastvorom natrijum</w:t>
      </w:r>
      <w:r w:rsidR="003950EF" w:rsidRPr="0086063B">
        <w:rPr>
          <w:sz w:val="22"/>
          <w:szCs w:val="22"/>
          <w:lang w:val="sr-Latn-ME"/>
        </w:rPr>
        <w:t xml:space="preserve"> </w:t>
      </w:r>
      <w:r w:rsidRPr="0086063B">
        <w:rPr>
          <w:sz w:val="22"/>
          <w:szCs w:val="22"/>
          <w:lang w:val="sr-Latn-ME"/>
        </w:rPr>
        <w:t>hlorida za infuziju od 9 mg/m</w:t>
      </w:r>
      <w:r w:rsidR="002250B0" w:rsidRPr="0086063B">
        <w:rPr>
          <w:sz w:val="22"/>
          <w:szCs w:val="22"/>
          <w:lang w:val="sr-Latn-ME"/>
        </w:rPr>
        <w:t>l</w:t>
      </w:r>
      <w:r w:rsidRPr="0086063B">
        <w:rPr>
          <w:sz w:val="22"/>
          <w:szCs w:val="22"/>
          <w:lang w:val="sr-Latn-ME"/>
        </w:rPr>
        <w:t xml:space="preserve"> (0,9%), 4,5 mg/m</w:t>
      </w:r>
      <w:r w:rsidR="002250B0" w:rsidRPr="0086063B">
        <w:rPr>
          <w:sz w:val="22"/>
          <w:szCs w:val="22"/>
          <w:lang w:val="sr-Latn-ME"/>
        </w:rPr>
        <w:t>l</w:t>
      </w:r>
      <w:r w:rsidRPr="0086063B">
        <w:rPr>
          <w:sz w:val="22"/>
          <w:szCs w:val="22"/>
          <w:lang w:val="sr-Latn-ME"/>
        </w:rPr>
        <w:t xml:space="preserve"> (0,45%) ili 2,25 mg/m</w:t>
      </w:r>
      <w:r w:rsidR="002250B0" w:rsidRPr="0086063B">
        <w:rPr>
          <w:sz w:val="22"/>
          <w:szCs w:val="22"/>
          <w:lang w:val="sr-Latn-ME"/>
        </w:rPr>
        <w:t>l</w:t>
      </w:r>
      <w:r w:rsidRPr="0086063B">
        <w:rPr>
          <w:sz w:val="22"/>
          <w:szCs w:val="22"/>
          <w:lang w:val="sr-Latn-ME"/>
        </w:rPr>
        <w:t xml:space="preserve"> (0,225%) ili sa Ringerovim rastvorom sa laktatom.</w:t>
      </w:r>
    </w:p>
    <w:p w14:paraId="1D2CCFC7" w14:textId="77777777" w:rsidR="008F7D68" w:rsidRPr="0086063B" w:rsidRDefault="008F7D68">
      <w:pPr>
        <w:tabs>
          <w:tab w:val="left" w:pos="284"/>
        </w:tabs>
        <w:ind w:right="65"/>
        <w:jc w:val="both"/>
        <w:rPr>
          <w:sz w:val="22"/>
          <w:szCs w:val="22"/>
          <w:lang w:val="sr-Latn-ME"/>
        </w:rPr>
      </w:pPr>
    </w:p>
    <w:p w14:paraId="5B2BD59D" w14:textId="7CD79D62" w:rsidR="008F7D68" w:rsidRPr="0086063B" w:rsidRDefault="008F7D68">
      <w:pPr>
        <w:tabs>
          <w:tab w:val="left" w:pos="284"/>
        </w:tabs>
        <w:ind w:right="65"/>
        <w:jc w:val="both"/>
        <w:rPr>
          <w:sz w:val="22"/>
          <w:szCs w:val="22"/>
          <w:lang w:val="sr-Latn-ME"/>
        </w:rPr>
      </w:pPr>
      <w:r w:rsidRPr="0086063B">
        <w:rPr>
          <w:sz w:val="22"/>
          <w:szCs w:val="22"/>
          <w:lang w:val="sr-Latn-ME"/>
        </w:rPr>
        <w:t>Lijek CANCIDAS ne sadrži konzervanse. Sa mikrobiološke tačke gledišta proizvod mora odmah da se upotr</w:t>
      </w:r>
      <w:r w:rsidR="003950EF" w:rsidRPr="0086063B">
        <w:rPr>
          <w:sz w:val="22"/>
          <w:szCs w:val="22"/>
          <w:lang w:val="sr-Latn-ME"/>
        </w:rPr>
        <w:t>ij</w:t>
      </w:r>
      <w:r w:rsidRPr="0086063B">
        <w:rPr>
          <w:sz w:val="22"/>
          <w:szCs w:val="22"/>
          <w:lang w:val="sr-Latn-ME"/>
        </w:rPr>
        <w:t>ebi. Ukoliko se odmah ne upotrijebi, vrijeme i uslovi čuvanja prije upotrebe su odgovornost korisnika, a vrijeme čuvanja pod uobičajenim okolnostima ne smije da bude duže od 24 sata na temperaturi od +2 do +8</w:t>
      </w:r>
      <w:r w:rsidRPr="0086063B">
        <w:rPr>
          <w:bCs/>
          <w:sz w:val="22"/>
          <w:szCs w:val="22"/>
          <w:lang w:val="sr-Latn-ME"/>
        </w:rPr>
        <w:t>°</w:t>
      </w:r>
      <w:r w:rsidRPr="0086063B">
        <w:rPr>
          <w:sz w:val="22"/>
          <w:szCs w:val="22"/>
          <w:lang w:val="sr-Latn-ME"/>
        </w:rPr>
        <w:t>C, osim ukoliko rekonstitucija i razblaživanje ni</w:t>
      </w:r>
      <w:r w:rsidR="002250B0" w:rsidRPr="0086063B">
        <w:rPr>
          <w:sz w:val="22"/>
          <w:szCs w:val="22"/>
          <w:lang w:val="sr-Latn-ME"/>
        </w:rPr>
        <w:t>je</w:t>
      </w:r>
      <w:r w:rsidRPr="0086063B">
        <w:rPr>
          <w:sz w:val="22"/>
          <w:szCs w:val="22"/>
          <w:lang w:val="sr-Latn-ME"/>
        </w:rPr>
        <w:t>su urađeni pod kontrolisanim i validiranim aseptičkim uslovima.</w:t>
      </w:r>
    </w:p>
    <w:p w14:paraId="7151CAA2" w14:textId="77777777" w:rsidR="0072020E" w:rsidRPr="0086063B" w:rsidRDefault="0072020E" w:rsidP="00186EFF">
      <w:pPr>
        <w:tabs>
          <w:tab w:val="left" w:pos="540"/>
          <w:tab w:val="left" w:pos="569"/>
        </w:tabs>
        <w:jc w:val="both"/>
        <w:rPr>
          <w:bCs/>
          <w:sz w:val="22"/>
          <w:szCs w:val="22"/>
          <w:lang w:val="sr-Latn-ME"/>
        </w:rPr>
      </w:pPr>
    </w:p>
    <w:p w14:paraId="69D78EC0"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6.4. </w:t>
      </w:r>
      <w:r w:rsidR="00480FB1" w:rsidRPr="0086063B">
        <w:rPr>
          <w:b/>
          <w:bCs/>
          <w:sz w:val="22"/>
          <w:szCs w:val="22"/>
          <w:lang w:val="sr-Latn-ME"/>
        </w:rPr>
        <w:tab/>
      </w:r>
      <w:r w:rsidRPr="0086063B">
        <w:rPr>
          <w:b/>
          <w:bCs/>
          <w:sz w:val="22"/>
          <w:szCs w:val="22"/>
          <w:lang w:val="sr-Latn-ME"/>
        </w:rPr>
        <w:t>Posebne mjere upozorenja pri čuvanju</w:t>
      </w:r>
      <w:r w:rsidR="00F8570A" w:rsidRPr="0086063B">
        <w:rPr>
          <w:b/>
          <w:bCs/>
          <w:sz w:val="22"/>
          <w:szCs w:val="22"/>
          <w:lang w:val="sr-Latn-ME"/>
        </w:rPr>
        <w:t xml:space="preserve"> lijeka</w:t>
      </w:r>
    </w:p>
    <w:p w14:paraId="5091283F" w14:textId="77777777" w:rsidR="002F0D1C" w:rsidRPr="0086063B" w:rsidRDefault="002F0D1C" w:rsidP="00E92A04">
      <w:pPr>
        <w:tabs>
          <w:tab w:val="left" w:pos="284"/>
        </w:tabs>
        <w:ind w:right="65"/>
        <w:jc w:val="both"/>
        <w:rPr>
          <w:sz w:val="22"/>
          <w:szCs w:val="22"/>
          <w:lang w:val="sr-Latn-ME"/>
        </w:rPr>
      </w:pPr>
    </w:p>
    <w:p w14:paraId="5028621F" w14:textId="3BEB6512" w:rsidR="008F7D68" w:rsidRPr="0086063B" w:rsidRDefault="008F7D68" w:rsidP="00E92A04">
      <w:pPr>
        <w:tabs>
          <w:tab w:val="left" w:pos="284"/>
        </w:tabs>
        <w:ind w:right="65"/>
        <w:jc w:val="both"/>
        <w:rPr>
          <w:sz w:val="22"/>
          <w:szCs w:val="22"/>
          <w:lang w:val="sr-Latn-ME"/>
        </w:rPr>
      </w:pPr>
      <w:r w:rsidRPr="0086063B">
        <w:rPr>
          <w:sz w:val="22"/>
          <w:szCs w:val="22"/>
          <w:lang w:val="sr-Latn-ME"/>
        </w:rPr>
        <w:t>Neotvorena bočica: čuvati u frižideru na temperaturi od +2 do +8</w:t>
      </w:r>
      <w:r w:rsidRPr="0086063B">
        <w:rPr>
          <w:bCs/>
          <w:sz w:val="22"/>
          <w:szCs w:val="22"/>
          <w:lang w:val="sr-Latn-ME"/>
        </w:rPr>
        <w:t>°</w:t>
      </w:r>
      <w:r w:rsidRPr="0086063B">
        <w:rPr>
          <w:sz w:val="22"/>
          <w:szCs w:val="22"/>
          <w:lang w:val="sr-Latn-ME"/>
        </w:rPr>
        <w:t>C.</w:t>
      </w:r>
    </w:p>
    <w:p w14:paraId="38491D39" w14:textId="77777777" w:rsidR="008F7D68" w:rsidRPr="0086063B" w:rsidRDefault="008F7D68" w:rsidP="00E92A04">
      <w:pPr>
        <w:tabs>
          <w:tab w:val="left" w:pos="284"/>
        </w:tabs>
        <w:ind w:right="65"/>
        <w:jc w:val="both"/>
        <w:rPr>
          <w:sz w:val="22"/>
          <w:szCs w:val="22"/>
          <w:lang w:val="sr-Latn-ME"/>
        </w:rPr>
      </w:pPr>
    </w:p>
    <w:p w14:paraId="67F2E501" w14:textId="29CC54F3" w:rsidR="008F7D68" w:rsidRPr="0086063B" w:rsidRDefault="008F7D68">
      <w:pPr>
        <w:tabs>
          <w:tab w:val="left" w:pos="284"/>
        </w:tabs>
        <w:ind w:right="65"/>
        <w:jc w:val="both"/>
        <w:rPr>
          <w:sz w:val="22"/>
          <w:szCs w:val="22"/>
          <w:lang w:val="sr-Latn-ME"/>
        </w:rPr>
      </w:pPr>
      <w:r w:rsidRPr="0086063B">
        <w:rPr>
          <w:sz w:val="22"/>
          <w:szCs w:val="22"/>
          <w:lang w:val="sr-Latn-ME"/>
        </w:rPr>
        <w:t xml:space="preserve">Za uslove čuvanja rekonstituisanog i razblaženog lijeka vidjeti </w:t>
      </w:r>
      <w:r w:rsidR="002250B0" w:rsidRPr="0086063B">
        <w:rPr>
          <w:sz w:val="22"/>
          <w:szCs w:val="22"/>
          <w:lang w:val="sr-Latn-ME"/>
        </w:rPr>
        <w:t xml:space="preserve">dio </w:t>
      </w:r>
      <w:r w:rsidRPr="0086063B">
        <w:rPr>
          <w:sz w:val="22"/>
          <w:szCs w:val="22"/>
          <w:lang w:val="sr-Latn-ME"/>
        </w:rPr>
        <w:t>6.3.</w:t>
      </w:r>
    </w:p>
    <w:p w14:paraId="0D8C5D28" w14:textId="77777777" w:rsidR="00EC2532" w:rsidRPr="0086063B" w:rsidRDefault="00EC2532" w:rsidP="00186EFF">
      <w:pPr>
        <w:tabs>
          <w:tab w:val="left" w:pos="540"/>
          <w:tab w:val="left" w:pos="569"/>
        </w:tabs>
        <w:jc w:val="both"/>
        <w:rPr>
          <w:bCs/>
          <w:sz w:val="22"/>
          <w:szCs w:val="22"/>
          <w:lang w:val="sr-Latn-ME"/>
        </w:rPr>
      </w:pPr>
    </w:p>
    <w:p w14:paraId="5CDE6F3E" w14:textId="77777777"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6.5. </w:t>
      </w:r>
      <w:r w:rsidR="00480FB1" w:rsidRPr="0086063B">
        <w:rPr>
          <w:b/>
          <w:bCs/>
          <w:sz w:val="22"/>
          <w:szCs w:val="22"/>
          <w:lang w:val="sr-Latn-ME"/>
        </w:rPr>
        <w:tab/>
      </w:r>
      <w:r w:rsidR="002846DB" w:rsidRPr="0086063B">
        <w:rPr>
          <w:b/>
          <w:bCs/>
          <w:sz w:val="22"/>
          <w:szCs w:val="22"/>
          <w:lang w:val="sr-Latn-ME"/>
        </w:rPr>
        <w:t xml:space="preserve">Vrsta i sadržaj </w:t>
      </w:r>
      <w:r w:rsidR="00F8570A" w:rsidRPr="0086063B">
        <w:rPr>
          <w:b/>
          <w:bCs/>
          <w:sz w:val="22"/>
          <w:szCs w:val="22"/>
          <w:lang w:val="sr-Latn-ME"/>
        </w:rPr>
        <w:t>pakovanja</w:t>
      </w:r>
      <w:r w:rsidR="00C06864" w:rsidRPr="0086063B">
        <w:rPr>
          <w:b/>
          <w:bCs/>
          <w:sz w:val="22"/>
          <w:szCs w:val="22"/>
          <w:lang w:val="sr-Latn-ME"/>
        </w:rPr>
        <w:t xml:space="preserve"> </w:t>
      </w:r>
    </w:p>
    <w:p w14:paraId="5C5E81B3" w14:textId="38FC6AF8" w:rsidR="0072020E" w:rsidRPr="0086063B" w:rsidRDefault="0072020E" w:rsidP="00186EFF">
      <w:pPr>
        <w:tabs>
          <w:tab w:val="left" w:pos="540"/>
          <w:tab w:val="left" w:pos="569"/>
        </w:tabs>
        <w:jc w:val="both"/>
        <w:rPr>
          <w:bCs/>
          <w:sz w:val="22"/>
          <w:szCs w:val="22"/>
          <w:lang w:val="sr-Latn-ME"/>
        </w:rPr>
      </w:pPr>
    </w:p>
    <w:p w14:paraId="15CF040D" w14:textId="1EE3C1E6" w:rsidR="008F7D68" w:rsidRPr="0086063B" w:rsidRDefault="008F7D68" w:rsidP="00186EFF">
      <w:pPr>
        <w:tabs>
          <w:tab w:val="left" w:pos="284"/>
        </w:tabs>
        <w:jc w:val="both"/>
        <w:rPr>
          <w:sz w:val="22"/>
          <w:szCs w:val="22"/>
          <w:lang w:val="sr-Latn-ME"/>
        </w:rPr>
      </w:pPr>
      <w:r w:rsidRPr="0086063B">
        <w:rPr>
          <w:bCs/>
          <w:sz w:val="22"/>
          <w:szCs w:val="22"/>
          <w:u w:val="single"/>
          <w:lang w:val="sr-Latn-ME"/>
        </w:rPr>
        <w:t>CANCIDAS</w:t>
      </w:r>
      <w:r w:rsidRPr="0086063B">
        <w:rPr>
          <w:sz w:val="22"/>
          <w:szCs w:val="22"/>
          <w:u w:val="single"/>
          <w:lang w:val="sr-Latn-ME"/>
        </w:rPr>
        <w:t>, 50 mg, prašak za koncentrat za rastvor za infuziju</w:t>
      </w:r>
    </w:p>
    <w:p w14:paraId="41DB3686" w14:textId="2292634E" w:rsidR="008F7D68" w:rsidRPr="0086063B" w:rsidRDefault="008F7D68" w:rsidP="00186EFF">
      <w:pPr>
        <w:tabs>
          <w:tab w:val="left" w:pos="284"/>
        </w:tabs>
        <w:jc w:val="both"/>
        <w:rPr>
          <w:sz w:val="22"/>
          <w:szCs w:val="22"/>
          <w:lang w:val="sr-Latn-ME"/>
        </w:rPr>
      </w:pPr>
      <w:r w:rsidRPr="0086063B">
        <w:rPr>
          <w:sz w:val="22"/>
          <w:szCs w:val="22"/>
          <w:lang w:val="sr-Latn-ME"/>
        </w:rPr>
        <w:t>Unutrašnje pakovanje lijeka CANCIDAS je staklena bočica od 10 m</w:t>
      </w:r>
      <w:r w:rsidR="002250B0" w:rsidRPr="0086063B">
        <w:rPr>
          <w:sz w:val="22"/>
          <w:szCs w:val="22"/>
          <w:lang w:val="sr-Latn-ME"/>
        </w:rPr>
        <w:t>l</w:t>
      </w:r>
      <w:r w:rsidRPr="0086063B">
        <w:rPr>
          <w:sz w:val="22"/>
          <w:szCs w:val="22"/>
          <w:lang w:val="sr-Latn-ME"/>
        </w:rPr>
        <w:t xml:space="preserve"> (staklo tip I) sa sivim gumenim čepom (butil guma) i plastičnim zatvaračem sa aluminijumskim prstenom crvene boje.</w:t>
      </w:r>
    </w:p>
    <w:p w14:paraId="11C77751" w14:textId="0C3B24F7" w:rsidR="008F7D68" w:rsidRPr="0086063B" w:rsidRDefault="008F7D68" w:rsidP="00186EFF">
      <w:pPr>
        <w:tabs>
          <w:tab w:val="left" w:pos="540"/>
          <w:tab w:val="left" w:pos="569"/>
        </w:tabs>
        <w:jc w:val="both"/>
        <w:rPr>
          <w:sz w:val="22"/>
          <w:szCs w:val="22"/>
          <w:lang w:val="sr-Latn-ME"/>
        </w:rPr>
      </w:pPr>
      <w:r w:rsidRPr="0086063B">
        <w:rPr>
          <w:sz w:val="22"/>
          <w:szCs w:val="22"/>
          <w:lang w:val="sr-Latn-ME"/>
        </w:rPr>
        <w:t>Spolj</w:t>
      </w:r>
      <w:r w:rsidR="002250B0" w:rsidRPr="0086063B">
        <w:rPr>
          <w:sz w:val="22"/>
          <w:szCs w:val="22"/>
          <w:lang w:val="sr-Latn-ME"/>
        </w:rPr>
        <w:t>aš</w:t>
      </w:r>
      <w:r w:rsidRPr="0086063B">
        <w:rPr>
          <w:sz w:val="22"/>
          <w:szCs w:val="22"/>
          <w:lang w:val="sr-Latn-ME"/>
        </w:rPr>
        <w:t>nje pakovanje je složiva kartonska kutija u kojoj se nalazi jedna bočica i uputstvo za lijek.</w:t>
      </w:r>
    </w:p>
    <w:p w14:paraId="2C392097" w14:textId="77777777" w:rsidR="008F7D68" w:rsidRPr="0086063B" w:rsidRDefault="008F7D68" w:rsidP="00186EFF">
      <w:pPr>
        <w:tabs>
          <w:tab w:val="left" w:pos="540"/>
          <w:tab w:val="left" w:pos="569"/>
        </w:tabs>
        <w:jc w:val="both"/>
        <w:rPr>
          <w:bCs/>
          <w:sz w:val="22"/>
          <w:szCs w:val="22"/>
          <w:lang w:val="sr-Latn-ME"/>
        </w:rPr>
      </w:pPr>
    </w:p>
    <w:p w14:paraId="26A4033E" w14:textId="77777777" w:rsidR="008F7D68" w:rsidRPr="0086063B" w:rsidRDefault="008F7D68" w:rsidP="00186EFF">
      <w:pPr>
        <w:tabs>
          <w:tab w:val="left" w:pos="284"/>
        </w:tabs>
        <w:jc w:val="both"/>
        <w:rPr>
          <w:sz w:val="22"/>
          <w:szCs w:val="22"/>
          <w:lang w:val="sr-Latn-ME"/>
        </w:rPr>
      </w:pPr>
    </w:p>
    <w:p w14:paraId="7D1D38D0" w14:textId="64F87D80" w:rsidR="008F7D68" w:rsidRPr="0086063B" w:rsidRDefault="008F7D68" w:rsidP="00186EFF">
      <w:pPr>
        <w:tabs>
          <w:tab w:val="left" w:pos="284"/>
        </w:tabs>
        <w:jc w:val="both"/>
        <w:rPr>
          <w:sz w:val="22"/>
          <w:szCs w:val="22"/>
          <w:u w:val="single"/>
          <w:lang w:val="sr-Latn-ME" w:eastAsia="x-none"/>
        </w:rPr>
      </w:pPr>
      <w:r w:rsidRPr="0086063B">
        <w:rPr>
          <w:bCs/>
          <w:sz w:val="22"/>
          <w:szCs w:val="22"/>
          <w:u w:val="single"/>
          <w:lang w:val="sr-Latn-ME" w:eastAsia="x-none"/>
        </w:rPr>
        <w:t>CANCIDAS</w:t>
      </w:r>
      <w:r w:rsidRPr="0086063B">
        <w:rPr>
          <w:sz w:val="22"/>
          <w:szCs w:val="22"/>
          <w:u w:val="single"/>
          <w:lang w:val="sr-Latn-ME" w:eastAsia="x-none"/>
        </w:rPr>
        <w:t>, 70 mg, prašak za koncentrat za rastvor za infuziju</w:t>
      </w:r>
    </w:p>
    <w:p w14:paraId="651974DA" w14:textId="2BF3935C" w:rsidR="008F7D68" w:rsidRPr="0086063B" w:rsidRDefault="008F7D68" w:rsidP="00E92A04">
      <w:pPr>
        <w:tabs>
          <w:tab w:val="center" w:pos="4536"/>
          <w:tab w:val="right" w:pos="9072"/>
        </w:tabs>
        <w:jc w:val="both"/>
        <w:rPr>
          <w:sz w:val="22"/>
          <w:szCs w:val="22"/>
          <w:lang w:val="sr-Latn-ME" w:eastAsia="x-none"/>
        </w:rPr>
      </w:pPr>
      <w:r w:rsidRPr="0086063B">
        <w:rPr>
          <w:sz w:val="22"/>
          <w:szCs w:val="22"/>
          <w:lang w:val="sr-Latn-ME" w:eastAsia="x-none"/>
        </w:rPr>
        <w:t>Unutrašnje pakovanje l</w:t>
      </w:r>
      <w:r w:rsidR="002250B0" w:rsidRPr="0086063B">
        <w:rPr>
          <w:sz w:val="22"/>
          <w:szCs w:val="22"/>
          <w:lang w:val="sr-Latn-ME" w:eastAsia="x-none"/>
        </w:rPr>
        <w:t>ij</w:t>
      </w:r>
      <w:r w:rsidRPr="0086063B">
        <w:rPr>
          <w:sz w:val="22"/>
          <w:szCs w:val="22"/>
          <w:lang w:val="sr-Latn-ME" w:eastAsia="x-none"/>
        </w:rPr>
        <w:t>eka CANCIDAS je staklena bočica od 10 m</w:t>
      </w:r>
      <w:r w:rsidR="002250B0" w:rsidRPr="0086063B">
        <w:rPr>
          <w:sz w:val="22"/>
          <w:szCs w:val="22"/>
          <w:lang w:val="sr-Latn-ME" w:eastAsia="x-none"/>
        </w:rPr>
        <w:t>l</w:t>
      </w:r>
      <w:r w:rsidRPr="0086063B">
        <w:rPr>
          <w:sz w:val="22"/>
          <w:szCs w:val="22"/>
          <w:lang w:val="sr-Latn-ME" w:eastAsia="x-none"/>
        </w:rPr>
        <w:t xml:space="preserve"> (staklo tip I) sa sivim gumenim čepom (butil guma) i plastičnim zatvaračem sa aluminijumskim prstenom narandžaste boje.</w:t>
      </w:r>
    </w:p>
    <w:p w14:paraId="1CA4C19D" w14:textId="23D2106B" w:rsidR="008F7D68" w:rsidRPr="0086063B" w:rsidRDefault="008F7D68" w:rsidP="00186EFF">
      <w:pPr>
        <w:tabs>
          <w:tab w:val="left" w:pos="540"/>
          <w:tab w:val="left" w:pos="569"/>
        </w:tabs>
        <w:jc w:val="both"/>
        <w:rPr>
          <w:sz w:val="22"/>
          <w:szCs w:val="22"/>
          <w:lang w:val="sr-Latn-ME"/>
        </w:rPr>
      </w:pPr>
      <w:r w:rsidRPr="0086063B">
        <w:rPr>
          <w:sz w:val="22"/>
          <w:szCs w:val="22"/>
          <w:lang w:val="sr-Latn-ME"/>
        </w:rPr>
        <w:t>Spolj</w:t>
      </w:r>
      <w:r w:rsidR="002250B0" w:rsidRPr="0086063B">
        <w:rPr>
          <w:sz w:val="22"/>
          <w:szCs w:val="22"/>
          <w:lang w:val="sr-Latn-ME"/>
        </w:rPr>
        <w:t>aš</w:t>
      </w:r>
      <w:r w:rsidRPr="0086063B">
        <w:rPr>
          <w:sz w:val="22"/>
          <w:szCs w:val="22"/>
          <w:lang w:val="sr-Latn-ME"/>
        </w:rPr>
        <w:t>nje pakovanje je složiva kartonska kutija u kojoj se nalazi jedna bočica i uputstvo za lijek.</w:t>
      </w:r>
    </w:p>
    <w:p w14:paraId="46A07C58" w14:textId="77777777" w:rsidR="008F7D68" w:rsidRPr="0086063B" w:rsidRDefault="008F7D68" w:rsidP="00186EFF">
      <w:pPr>
        <w:tabs>
          <w:tab w:val="left" w:pos="540"/>
          <w:tab w:val="left" w:pos="569"/>
        </w:tabs>
        <w:jc w:val="both"/>
        <w:rPr>
          <w:bCs/>
          <w:sz w:val="22"/>
          <w:szCs w:val="22"/>
          <w:lang w:val="sr-Latn-ME"/>
        </w:rPr>
      </w:pPr>
    </w:p>
    <w:p w14:paraId="30A2AA9C" w14:textId="77777777" w:rsidR="002846DB"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6.6. </w:t>
      </w:r>
      <w:r w:rsidR="00480FB1" w:rsidRPr="0086063B">
        <w:rPr>
          <w:b/>
          <w:bCs/>
          <w:sz w:val="22"/>
          <w:szCs w:val="22"/>
          <w:lang w:val="sr-Latn-ME"/>
        </w:rPr>
        <w:tab/>
      </w:r>
      <w:r w:rsidRPr="0086063B">
        <w:rPr>
          <w:b/>
          <w:bCs/>
          <w:color w:val="000000"/>
          <w:sz w:val="22"/>
          <w:szCs w:val="22"/>
          <w:lang w:val="sr-Latn-ME"/>
        </w:rPr>
        <w:t>Posebne mjere opreza pri odlaganju materijala koji treba odbaciti nakon primjene lijeka</w:t>
      </w:r>
      <w:r w:rsidRPr="0086063B">
        <w:rPr>
          <w:b/>
          <w:bCs/>
          <w:sz w:val="22"/>
          <w:szCs w:val="22"/>
          <w:lang w:val="sr-Latn-ME"/>
        </w:rPr>
        <w:t xml:space="preserve"> </w:t>
      </w:r>
      <w:r w:rsidR="00310F03" w:rsidRPr="0086063B">
        <w:rPr>
          <w:b/>
          <w:bCs/>
          <w:sz w:val="22"/>
          <w:szCs w:val="22"/>
          <w:lang w:val="sr-Latn-ME"/>
        </w:rPr>
        <w:t>(i druga uputs</w:t>
      </w:r>
      <w:r w:rsidR="004109FA" w:rsidRPr="0086063B">
        <w:rPr>
          <w:b/>
          <w:bCs/>
          <w:sz w:val="22"/>
          <w:szCs w:val="22"/>
          <w:lang w:val="sr-Latn-ME"/>
        </w:rPr>
        <w:t>t</w:t>
      </w:r>
      <w:r w:rsidR="00310F03" w:rsidRPr="0086063B">
        <w:rPr>
          <w:b/>
          <w:bCs/>
          <w:sz w:val="22"/>
          <w:szCs w:val="22"/>
          <w:lang w:val="sr-Latn-ME"/>
        </w:rPr>
        <w:t xml:space="preserve">va za rukovanje lijekom) </w:t>
      </w:r>
    </w:p>
    <w:p w14:paraId="6B7802CD" w14:textId="686188DF" w:rsidR="00B66A70" w:rsidRPr="0086063B" w:rsidRDefault="00B66A70" w:rsidP="00186EFF">
      <w:pPr>
        <w:tabs>
          <w:tab w:val="left" w:pos="540"/>
          <w:tab w:val="left" w:pos="569"/>
        </w:tabs>
        <w:jc w:val="both"/>
        <w:rPr>
          <w:b/>
          <w:bCs/>
          <w:sz w:val="22"/>
          <w:szCs w:val="22"/>
          <w:lang w:val="sr-Latn-ME"/>
        </w:rPr>
      </w:pPr>
    </w:p>
    <w:p w14:paraId="4D0C13F0" w14:textId="77777777" w:rsidR="008F7D68" w:rsidRPr="0086063B" w:rsidRDefault="008F7D68" w:rsidP="00186EFF">
      <w:pPr>
        <w:tabs>
          <w:tab w:val="left" w:pos="284"/>
        </w:tabs>
        <w:jc w:val="both"/>
        <w:rPr>
          <w:sz w:val="22"/>
          <w:szCs w:val="22"/>
          <w:u w:val="single"/>
          <w:lang w:val="sr-Latn-ME"/>
        </w:rPr>
      </w:pPr>
      <w:r w:rsidRPr="0086063B">
        <w:rPr>
          <w:sz w:val="22"/>
          <w:szCs w:val="22"/>
          <w:u w:val="single"/>
          <w:lang w:val="sr-Latn-ME"/>
        </w:rPr>
        <w:t>Rekonstitucija lijeka Cancidas</w:t>
      </w:r>
    </w:p>
    <w:p w14:paraId="6365ADC3" w14:textId="77777777" w:rsidR="008F7D68" w:rsidRPr="0086063B" w:rsidRDefault="008F7D68" w:rsidP="00186EFF">
      <w:pPr>
        <w:tabs>
          <w:tab w:val="left" w:pos="284"/>
        </w:tabs>
        <w:jc w:val="both"/>
        <w:rPr>
          <w:sz w:val="22"/>
          <w:szCs w:val="22"/>
          <w:lang w:val="sr-Latn-ME"/>
        </w:rPr>
      </w:pPr>
      <w:r w:rsidRPr="0086063B">
        <w:rPr>
          <w:sz w:val="22"/>
          <w:szCs w:val="22"/>
          <w:lang w:val="sr-Latn-ME"/>
        </w:rPr>
        <w:t>NE KORISTITI RAZBLAŽIVAČE KOJI SADRŽE GLUKOZU zato što lijek CANCIDAS nije stabilan u razblaživačima koji sadrže glukozu. LIJEK CANCIDAS SE NE SMIJE MJEŠATI NITI DAVATI U ISTOVREMENOJ INFUZIJI SA DRUGIM LJEKOVIMA zato što ne postoje podaci o kompatibilnosti lijeka CANCIDAS sa drugim intravenskim supstancama, aditivima ili medicinskim proizvodima. Izvršiti vizuelni pregled rastvora za infuziju da bi se utvrdilo ima li prisustva stranih čestica (nerastvorenog materijala) ili promjene boje.</w:t>
      </w:r>
    </w:p>
    <w:p w14:paraId="4EC7F365" w14:textId="77777777" w:rsidR="008F7D68" w:rsidRPr="0086063B" w:rsidRDefault="008F7D68" w:rsidP="00186EFF">
      <w:pPr>
        <w:tabs>
          <w:tab w:val="left" w:pos="284"/>
        </w:tabs>
        <w:jc w:val="both"/>
        <w:rPr>
          <w:sz w:val="22"/>
          <w:szCs w:val="22"/>
          <w:lang w:val="sr-Latn-ME"/>
        </w:rPr>
      </w:pPr>
    </w:p>
    <w:p w14:paraId="67D1568F" w14:textId="5F8859F7" w:rsidR="008F7D68" w:rsidRPr="0086063B" w:rsidRDefault="008F7D68" w:rsidP="00186EFF">
      <w:pPr>
        <w:tabs>
          <w:tab w:val="left" w:pos="284"/>
        </w:tabs>
        <w:jc w:val="both"/>
        <w:rPr>
          <w:sz w:val="22"/>
          <w:szCs w:val="22"/>
          <w:lang w:val="sr-Latn-ME"/>
        </w:rPr>
      </w:pPr>
      <w:r w:rsidRPr="0086063B">
        <w:rPr>
          <w:sz w:val="22"/>
          <w:szCs w:val="22"/>
          <w:lang w:val="sr-Latn-ME"/>
        </w:rPr>
        <w:t>Neupotr</w:t>
      </w:r>
      <w:r w:rsidR="002250B0" w:rsidRPr="0086063B">
        <w:rPr>
          <w:sz w:val="22"/>
          <w:szCs w:val="22"/>
          <w:lang w:val="sr-Latn-ME"/>
        </w:rPr>
        <w:t>ij</w:t>
      </w:r>
      <w:r w:rsidRPr="0086063B">
        <w:rPr>
          <w:sz w:val="22"/>
          <w:szCs w:val="22"/>
          <w:lang w:val="sr-Latn-ME"/>
        </w:rPr>
        <w:t>ebljeni lijek se uništava u skladu sa važećim propisima.</w:t>
      </w:r>
    </w:p>
    <w:p w14:paraId="64F2A93A" w14:textId="77777777" w:rsidR="008F7D68" w:rsidRPr="0086063B" w:rsidRDefault="008F7D68" w:rsidP="00186EFF">
      <w:pPr>
        <w:tabs>
          <w:tab w:val="left" w:pos="284"/>
        </w:tabs>
        <w:jc w:val="both"/>
        <w:rPr>
          <w:b/>
          <w:sz w:val="22"/>
          <w:szCs w:val="22"/>
          <w:lang w:val="sr-Latn-ME"/>
        </w:rPr>
      </w:pPr>
    </w:p>
    <w:p w14:paraId="4C530AE2" w14:textId="3A68ED90" w:rsidR="008F7D68" w:rsidRPr="0086063B" w:rsidRDefault="008F7D68" w:rsidP="00186EFF">
      <w:pPr>
        <w:tabs>
          <w:tab w:val="left" w:pos="284"/>
        </w:tabs>
        <w:jc w:val="both"/>
        <w:rPr>
          <w:b/>
          <w:sz w:val="22"/>
          <w:szCs w:val="22"/>
          <w:lang w:val="sr-Latn-ME"/>
        </w:rPr>
      </w:pPr>
      <w:r w:rsidRPr="0086063B">
        <w:rPr>
          <w:b/>
          <w:bCs/>
          <w:sz w:val="22"/>
          <w:szCs w:val="22"/>
          <w:u w:val="single"/>
          <w:lang w:val="sr-Latn-ME"/>
        </w:rPr>
        <w:t>CANCIDAS</w:t>
      </w:r>
      <w:r w:rsidRPr="0086063B">
        <w:rPr>
          <w:b/>
          <w:sz w:val="22"/>
          <w:szCs w:val="22"/>
          <w:u w:val="single"/>
          <w:lang w:val="sr-Latn-ME"/>
        </w:rPr>
        <w:t>, 50 mg, prašak za koncentrat za rastvor za infuziju</w:t>
      </w:r>
    </w:p>
    <w:p w14:paraId="28D560C3" w14:textId="77777777" w:rsidR="008F7D68" w:rsidRPr="0086063B" w:rsidRDefault="008F7D68" w:rsidP="00186EFF">
      <w:pPr>
        <w:tabs>
          <w:tab w:val="left" w:pos="284"/>
        </w:tabs>
        <w:jc w:val="both"/>
        <w:rPr>
          <w:b/>
          <w:sz w:val="22"/>
          <w:szCs w:val="22"/>
          <w:lang w:val="sr-Latn-ME"/>
        </w:rPr>
      </w:pPr>
    </w:p>
    <w:p w14:paraId="1CEDD875" w14:textId="77777777" w:rsidR="008F7D68" w:rsidRPr="0086063B" w:rsidRDefault="008F7D68" w:rsidP="00186EFF">
      <w:pPr>
        <w:tabs>
          <w:tab w:val="left" w:pos="284"/>
        </w:tabs>
        <w:jc w:val="both"/>
        <w:rPr>
          <w:b/>
          <w:sz w:val="22"/>
          <w:szCs w:val="22"/>
          <w:lang w:val="sr-Latn-ME"/>
        </w:rPr>
      </w:pPr>
      <w:r w:rsidRPr="0086063B">
        <w:rPr>
          <w:b/>
          <w:sz w:val="22"/>
          <w:szCs w:val="22"/>
          <w:lang w:val="sr-Latn-ME"/>
        </w:rPr>
        <w:t>UPUTSTVO ZA UPOTREBU KOD ODRASLIH PACIJENATA</w:t>
      </w:r>
    </w:p>
    <w:p w14:paraId="6A5FC7C2" w14:textId="77777777" w:rsidR="008F7D68" w:rsidRPr="0086063B" w:rsidRDefault="008F7D68" w:rsidP="00186EFF">
      <w:pPr>
        <w:tabs>
          <w:tab w:val="left" w:pos="284"/>
        </w:tabs>
        <w:jc w:val="both"/>
        <w:rPr>
          <w:sz w:val="22"/>
          <w:szCs w:val="22"/>
          <w:lang w:val="sr-Latn-ME"/>
        </w:rPr>
      </w:pPr>
    </w:p>
    <w:p w14:paraId="6817DD79" w14:textId="39B5135A" w:rsidR="008F7D68" w:rsidRPr="0086063B" w:rsidRDefault="008F7D68" w:rsidP="00186EFF">
      <w:pPr>
        <w:tabs>
          <w:tab w:val="left" w:pos="284"/>
        </w:tabs>
        <w:jc w:val="both"/>
        <w:rPr>
          <w:sz w:val="22"/>
          <w:szCs w:val="22"/>
          <w:lang w:val="sr-Latn-ME"/>
        </w:rPr>
      </w:pPr>
      <w:r w:rsidRPr="0086063B">
        <w:rPr>
          <w:b/>
          <w:sz w:val="22"/>
          <w:szCs w:val="22"/>
          <w:lang w:val="sr-Latn-ME"/>
        </w:rPr>
        <w:t>Prvi korak – Rekonstitucija konvencionalnih bočica</w:t>
      </w:r>
    </w:p>
    <w:p w14:paraId="769858E0" w14:textId="3A85A65B" w:rsidR="008F7D68" w:rsidRPr="0086063B" w:rsidRDefault="008F7D68" w:rsidP="00186EFF">
      <w:pPr>
        <w:tabs>
          <w:tab w:val="left" w:pos="284"/>
        </w:tabs>
        <w:jc w:val="both"/>
        <w:rPr>
          <w:sz w:val="22"/>
          <w:szCs w:val="22"/>
          <w:lang w:val="sr-Latn-ME"/>
        </w:rPr>
      </w:pPr>
      <w:r w:rsidRPr="0086063B">
        <w:rPr>
          <w:sz w:val="22"/>
          <w:szCs w:val="22"/>
          <w:lang w:val="sr-Latn-ME"/>
        </w:rPr>
        <w:t>Da bi se izvršila rekonstitucija praška, bočica mora da bude na sobnoj temperaturi. Pod aseptičnim uslovima dodati 10,5 m</w:t>
      </w:r>
      <w:r w:rsidR="002250B0" w:rsidRPr="0086063B">
        <w:rPr>
          <w:sz w:val="22"/>
          <w:szCs w:val="22"/>
          <w:lang w:val="sr-Latn-ME"/>
        </w:rPr>
        <w:t>l</w:t>
      </w:r>
      <w:r w:rsidRPr="0086063B">
        <w:rPr>
          <w:sz w:val="22"/>
          <w:szCs w:val="22"/>
          <w:lang w:val="sr-Latn-ME"/>
        </w:rPr>
        <w:t xml:space="preserve"> vode za injekcije. Koncentracija tako rekonstituisane bočice biće 5,2 mg/m</w:t>
      </w:r>
      <w:r w:rsidR="00A14B2E" w:rsidRPr="0086063B">
        <w:rPr>
          <w:sz w:val="22"/>
          <w:szCs w:val="22"/>
          <w:lang w:val="sr-Latn-ME"/>
        </w:rPr>
        <w:t>l</w:t>
      </w:r>
      <w:r w:rsidRPr="0086063B">
        <w:rPr>
          <w:sz w:val="22"/>
          <w:szCs w:val="22"/>
          <w:lang w:val="sr-Latn-ME"/>
        </w:rPr>
        <w:t>.</w:t>
      </w:r>
    </w:p>
    <w:p w14:paraId="4D96751F" w14:textId="77777777" w:rsidR="008F7D68" w:rsidRPr="0086063B" w:rsidRDefault="008F7D68" w:rsidP="00186EFF">
      <w:pPr>
        <w:tabs>
          <w:tab w:val="left" w:pos="284"/>
        </w:tabs>
        <w:jc w:val="both"/>
        <w:rPr>
          <w:sz w:val="22"/>
          <w:szCs w:val="22"/>
          <w:lang w:val="sr-Latn-ME"/>
        </w:rPr>
      </w:pPr>
    </w:p>
    <w:p w14:paraId="201807E5" w14:textId="77777777" w:rsidR="008F7D68" w:rsidRPr="0086063B" w:rsidRDefault="008F7D68" w:rsidP="00186EFF">
      <w:pPr>
        <w:tabs>
          <w:tab w:val="left" w:pos="284"/>
        </w:tabs>
        <w:jc w:val="both"/>
        <w:rPr>
          <w:sz w:val="22"/>
          <w:szCs w:val="22"/>
          <w:lang w:val="sr-Latn-ME"/>
        </w:rPr>
      </w:pPr>
      <w:r w:rsidRPr="0086063B">
        <w:rPr>
          <w:sz w:val="22"/>
          <w:szCs w:val="22"/>
          <w:lang w:val="sr-Latn-ME"/>
        </w:rPr>
        <w:t>Kompaktni liofilizovani prašak, bijele do skoro bijele boje, potpuno će se rastvoriti. Sadržaj bočice lagano mućkati sve dok se ne dobije bistar rastvor. Izvršiti vizuelni pregled rekonstituisanog rastvora da bi se utvrdilo ima li prisustva stranih čestica (nerastvorenog materijala) ili promjene boje. Ovako rekonstituisani rastvor može da se čuva do 24 sata na temperaturi od 25</w:t>
      </w:r>
      <w:r w:rsidRPr="0086063B">
        <w:rPr>
          <w:bCs/>
          <w:sz w:val="22"/>
          <w:szCs w:val="22"/>
          <w:lang w:val="sr-Latn-ME"/>
        </w:rPr>
        <w:t>°</w:t>
      </w:r>
      <w:r w:rsidRPr="0086063B">
        <w:rPr>
          <w:sz w:val="22"/>
          <w:szCs w:val="22"/>
          <w:lang w:val="sr-Latn-ME"/>
        </w:rPr>
        <w:t>C ili nižoj.</w:t>
      </w:r>
    </w:p>
    <w:p w14:paraId="22C0D7EB" w14:textId="77777777" w:rsidR="008F7D68" w:rsidRPr="0086063B" w:rsidRDefault="008F7D68" w:rsidP="00186EFF">
      <w:pPr>
        <w:tabs>
          <w:tab w:val="left" w:pos="284"/>
        </w:tabs>
        <w:jc w:val="both"/>
        <w:rPr>
          <w:sz w:val="22"/>
          <w:szCs w:val="22"/>
          <w:lang w:val="sr-Latn-ME"/>
        </w:rPr>
      </w:pPr>
    </w:p>
    <w:p w14:paraId="1D9C978E" w14:textId="77777777" w:rsidR="00565012" w:rsidRDefault="00565012" w:rsidP="00186EFF">
      <w:pPr>
        <w:tabs>
          <w:tab w:val="left" w:pos="284"/>
        </w:tabs>
        <w:jc w:val="both"/>
        <w:rPr>
          <w:b/>
          <w:sz w:val="22"/>
          <w:szCs w:val="22"/>
          <w:lang w:val="sr-Latn-ME"/>
        </w:rPr>
      </w:pPr>
    </w:p>
    <w:p w14:paraId="2D8E584D" w14:textId="7D5E16C6" w:rsidR="008F7D68" w:rsidRPr="0086063B" w:rsidRDefault="008F7D68" w:rsidP="00186EFF">
      <w:pPr>
        <w:tabs>
          <w:tab w:val="left" w:pos="284"/>
        </w:tabs>
        <w:jc w:val="both"/>
        <w:rPr>
          <w:sz w:val="22"/>
          <w:szCs w:val="22"/>
          <w:lang w:val="sr-Latn-ME"/>
        </w:rPr>
      </w:pPr>
      <w:r w:rsidRPr="0086063B">
        <w:rPr>
          <w:b/>
          <w:sz w:val="22"/>
          <w:szCs w:val="22"/>
          <w:lang w:val="sr-Latn-ME"/>
        </w:rPr>
        <w:lastRenderedPageBreak/>
        <w:t>Drugi korak – Dodavanje rekonstituisanog lijeka CANCIDAS rastvoru za infuziju koji se daje pacijentu</w:t>
      </w:r>
    </w:p>
    <w:p w14:paraId="48DE5358" w14:textId="1EC4FC5B" w:rsidR="008F7D68" w:rsidRPr="0086063B" w:rsidRDefault="008F7D68" w:rsidP="00186EFF">
      <w:pPr>
        <w:tabs>
          <w:tab w:val="left" w:pos="284"/>
        </w:tabs>
        <w:jc w:val="both"/>
        <w:rPr>
          <w:sz w:val="22"/>
          <w:szCs w:val="22"/>
          <w:lang w:val="sr-Latn-ME"/>
        </w:rPr>
      </w:pPr>
      <w:r w:rsidRPr="0086063B">
        <w:rPr>
          <w:sz w:val="22"/>
          <w:szCs w:val="22"/>
          <w:lang w:val="sr-Latn-ME"/>
        </w:rPr>
        <w:t>Finalni rastvor za infuziju priprema se sa sljedećim razblaživačima: natrijum</w:t>
      </w:r>
      <w:r w:rsidR="00345A71" w:rsidRPr="0086063B">
        <w:rPr>
          <w:sz w:val="22"/>
          <w:szCs w:val="22"/>
          <w:lang w:val="sr-Latn-ME"/>
        </w:rPr>
        <w:t xml:space="preserve"> </w:t>
      </w:r>
      <w:r w:rsidRPr="0086063B">
        <w:rPr>
          <w:sz w:val="22"/>
          <w:szCs w:val="22"/>
          <w:lang w:val="sr-Latn-ME"/>
        </w:rPr>
        <w:t>hlorid rastvor za injekciju ili Ringerov rastvor sa laktatom. Rastvor za infuziju priprema se tako što se pod aseptičnim uslovima doda odgovarajuća količina rekonstituisanog koncentrata (kao što je to prikazano na donjoj tabeli) u kes</w:t>
      </w:r>
      <w:r w:rsidR="00A14B2E" w:rsidRPr="0086063B">
        <w:rPr>
          <w:sz w:val="22"/>
          <w:szCs w:val="22"/>
          <w:lang w:val="sr-Latn-ME"/>
        </w:rPr>
        <w:t>i</w:t>
      </w:r>
      <w:r w:rsidRPr="0086063B">
        <w:rPr>
          <w:sz w:val="22"/>
          <w:szCs w:val="22"/>
          <w:lang w:val="sr-Latn-ME"/>
        </w:rPr>
        <w:t xml:space="preserve"> ili boc</w:t>
      </w:r>
      <w:r w:rsidR="00A14B2E" w:rsidRPr="0086063B">
        <w:rPr>
          <w:sz w:val="22"/>
          <w:szCs w:val="22"/>
          <w:lang w:val="sr-Latn-ME"/>
        </w:rPr>
        <w:t>i</w:t>
      </w:r>
      <w:r w:rsidRPr="0086063B">
        <w:rPr>
          <w:sz w:val="22"/>
          <w:szCs w:val="22"/>
          <w:lang w:val="sr-Latn-ME"/>
        </w:rPr>
        <w:t xml:space="preserve"> za infuziju od 250 m</w:t>
      </w:r>
      <w:r w:rsidR="00A14B2E" w:rsidRPr="0086063B">
        <w:rPr>
          <w:sz w:val="22"/>
          <w:szCs w:val="22"/>
          <w:lang w:val="sr-Latn-ME"/>
        </w:rPr>
        <w:t>l</w:t>
      </w:r>
      <w:r w:rsidRPr="0086063B">
        <w:rPr>
          <w:sz w:val="22"/>
          <w:szCs w:val="22"/>
          <w:lang w:val="sr-Latn-ME"/>
        </w:rPr>
        <w:t>. Kada je to medicinski neophodno, mogu da se koriste i infuzije manjeg volumena od 100 m</w:t>
      </w:r>
      <w:r w:rsidR="00A14B2E" w:rsidRPr="0086063B">
        <w:rPr>
          <w:sz w:val="22"/>
          <w:szCs w:val="22"/>
          <w:lang w:val="sr-Latn-ME"/>
        </w:rPr>
        <w:t>l</w:t>
      </w:r>
      <w:r w:rsidRPr="0086063B">
        <w:rPr>
          <w:sz w:val="22"/>
          <w:szCs w:val="22"/>
          <w:lang w:val="sr-Latn-ME"/>
        </w:rPr>
        <w:t xml:space="preserve"> za dnevne doze od 50 mg ili 35 mg. Rastvor ne smije da se koristi ako je mutan ili ako ima talog. </w:t>
      </w:r>
    </w:p>
    <w:p w14:paraId="14303ADA" w14:textId="77777777" w:rsidR="008F7D68" w:rsidRPr="0086063B" w:rsidRDefault="008F7D68" w:rsidP="00186EFF">
      <w:pPr>
        <w:tabs>
          <w:tab w:val="left" w:pos="284"/>
        </w:tabs>
        <w:jc w:val="both"/>
        <w:rPr>
          <w:sz w:val="22"/>
          <w:szCs w:val="22"/>
          <w:lang w:val="sr-Latn-ME"/>
        </w:rPr>
      </w:pPr>
    </w:p>
    <w:p w14:paraId="194E758B" w14:textId="77777777" w:rsidR="008F7D68" w:rsidRPr="0086063B" w:rsidRDefault="008F7D68" w:rsidP="00186EFF">
      <w:pPr>
        <w:tabs>
          <w:tab w:val="left" w:pos="284"/>
        </w:tabs>
        <w:jc w:val="both"/>
        <w:rPr>
          <w:b/>
          <w:sz w:val="22"/>
          <w:szCs w:val="22"/>
          <w:lang w:val="sr-Latn-ME"/>
        </w:rPr>
      </w:pPr>
      <w:r w:rsidRPr="0086063B">
        <w:rPr>
          <w:b/>
          <w:sz w:val="22"/>
          <w:szCs w:val="22"/>
          <w:lang w:val="sr-Latn-ME"/>
        </w:rPr>
        <w:t>PRIPREMA RASTVORA ZA INFUZIJU ZA ODRASLE PACIJENTE</w:t>
      </w:r>
    </w:p>
    <w:p w14:paraId="72001FBF" w14:textId="77777777" w:rsidR="008F7D68" w:rsidRPr="0086063B" w:rsidRDefault="008F7D68" w:rsidP="00186EFF">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215"/>
        <w:gridCol w:w="2214"/>
        <w:gridCol w:w="2214"/>
      </w:tblGrid>
      <w:tr w:rsidR="008F7D68" w:rsidRPr="0086063B" w14:paraId="20611642" w14:textId="77777777" w:rsidTr="008F7D68">
        <w:tc>
          <w:tcPr>
            <w:tcW w:w="2213" w:type="dxa"/>
          </w:tcPr>
          <w:p w14:paraId="09CEE2D1" w14:textId="77777777" w:rsidR="008F7D68" w:rsidRPr="0086063B" w:rsidRDefault="008F7D68" w:rsidP="00186EFF">
            <w:pPr>
              <w:tabs>
                <w:tab w:val="left" w:pos="284"/>
              </w:tabs>
              <w:ind w:right="65"/>
              <w:jc w:val="both"/>
              <w:rPr>
                <w:b/>
                <w:sz w:val="22"/>
                <w:szCs w:val="22"/>
                <w:lang w:val="sr-Latn-ME"/>
              </w:rPr>
            </w:pPr>
            <w:r w:rsidRPr="0086063B">
              <w:rPr>
                <w:b/>
                <w:sz w:val="22"/>
                <w:szCs w:val="22"/>
                <w:lang w:val="sr-Latn-ME"/>
              </w:rPr>
              <w:t>DOZA*</w:t>
            </w:r>
          </w:p>
        </w:tc>
        <w:tc>
          <w:tcPr>
            <w:tcW w:w="2215" w:type="dxa"/>
          </w:tcPr>
          <w:p w14:paraId="60E02C4A" w14:textId="77777777" w:rsidR="008F7D68" w:rsidRPr="0086063B" w:rsidRDefault="008F7D68" w:rsidP="00186EFF">
            <w:pPr>
              <w:tabs>
                <w:tab w:val="left" w:pos="284"/>
              </w:tabs>
              <w:ind w:right="65"/>
              <w:jc w:val="both"/>
              <w:rPr>
                <w:b/>
                <w:sz w:val="22"/>
                <w:szCs w:val="22"/>
                <w:lang w:val="sr-Latn-ME"/>
              </w:rPr>
            </w:pPr>
            <w:r w:rsidRPr="0086063B">
              <w:rPr>
                <w:b/>
                <w:sz w:val="22"/>
                <w:szCs w:val="22"/>
                <w:lang w:val="sr-Latn-ME"/>
              </w:rPr>
              <w:t>Volumen rekonstituisanog lijeka CANCIDAS za prenos u kesu ili bocu za infuziju</w:t>
            </w:r>
          </w:p>
        </w:tc>
        <w:tc>
          <w:tcPr>
            <w:tcW w:w="2214" w:type="dxa"/>
          </w:tcPr>
          <w:p w14:paraId="130FEDD9" w14:textId="0611F3FF" w:rsidR="008F7D68" w:rsidRPr="0086063B" w:rsidRDefault="008F7D68" w:rsidP="00186EFF">
            <w:pPr>
              <w:tabs>
                <w:tab w:val="left" w:pos="284"/>
              </w:tabs>
              <w:ind w:right="65"/>
              <w:jc w:val="both"/>
              <w:rPr>
                <w:sz w:val="22"/>
                <w:szCs w:val="22"/>
                <w:lang w:val="sr-Latn-ME"/>
              </w:rPr>
            </w:pPr>
            <w:r w:rsidRPr="0086063B">
              <w:rPr>
                <w:b/>
                <w:sz w:val="22"/>
                <w:szCs w:val="22"/>
                <w:lang w:val="sr-Latn-ME"/>
              </w:rPr>
              <w:t>Standardna priprema</w:t>
            </w:r>
            <w:r w:rsidRPr="0086063B">
              <w:rPr>
                <w:sz w:val="22"/>
                <w:szCs w:val="22"/>
                <w:lang w:val="sr-Latn-ME"/>
              </w:rPr>
              <w:t xml:space="preserve"> (rekonstituisani lijek CANCIDAS dodat u 250 m</w:t>
            </w:r>
            <w:r w:rsidR="00A14B2E" w:rsidRPr="0086063B">
              <w:rPr>
                <w:sz w:val="22"/>
                <w:szCs w:val="22"/>
                <w:lang w:val="sr-Latn-ME"/>
              </w:rPr>
              <w:t>l</w:t>
            </w:r>
            <w:r w:rsidRPr="0086063B">
              <w:rPr>
                <w:sz w:val="22"/>
                <w:szCs w:val="22"/>
                <w:lang w:val="sr-Latn-ME"/>
              </w:rPr>
              <w:t>), finalna koncentracija</w:t>
            </w:r>
          </w:p>
        </w:tc>
        <w:tc>
          <w:tcPr>
            <w:tcW w:w="2214" w:type="dxa"/>
          </w:tcPr>
          <w:p w14:paraId="652464F0" w14:textId="77777777" w:rsidR="008F7D68" w:rsidRPr="0086063B" w:rsidRDefault="008F7D68" w:rsidP="00186EFF">
            <w:pPr>
              <w:tabs>
                <w:tab w:val="left" w:pos="284"/>
              </w:tabs>
              <w:ind w:right="65"/>
              <w:jc w:val="both"/>
              <w:rPr>
                <w:b/>
                <w:sz w:val="22"/>
                <w:szCs w:val="22"/>
                <w:lang w:val="sr-Latn-ME"/>
              </w:rPr>
            </w:pPr>
            <w:r w:rsidRPr="0086063B">
              <w:rPr>
                <w:b/>
                <w:sz w:val="22"/>
                <w:szCs w:val="22"/>
                <w:lang w:val="sr-Latn-ME"/>
              </w:rPr>
              <w:t>Smanjeni volumen infuzije</w:t>
            </w:r>
          </w:p>
          <w:p w14:paraId="4041337D" w14:textId="79CA354E" w:rsidR="008F7D68" w:rsidRPr="0086063B" w:rsidRDefault="008F7D68" w:rsidP="00186EFF">
            <w:pPr>
              <w:tabs>
                <w:tab w:val="left" w:pos="284"/>
              </w:tabs>
              <w:ind w:right="65"/>
              <w:jc w:val="both"/>
              <w:rPr>
                <w:sz w:val="22"/>
                <w:szCs w:val="22"/>
                <w:lang w:val="sr-Latn-ME"/>
              </w:rPr>
            </w:pPr>
            <w:r w:rsidRPr="0086063B">
              <w:rPr>
                <w:sz w:val="22"/>
                <w:szCs w:val="22"/>
                <w:lang w:val="sr-Latn-ME"/>
              </w:rPr>
              <w:t>(rekonstituisani lijek CANCIDAS dodat u 100 m</w:t>
            </w:r>
            <w:r w:rsidR="00A14B2E" w:rsidRPr="0086063B">
              <w:rPr>
                <w:sz w:val="22"/>
                <w:szCs w:val="22"/>
                <w:lang w:val="sr-Latn-ME"/>
              </w:rPr>
              <w:t>l</w:t>
            </w:r>
            <w:r w:rsidRPr="0086063B">
              <w:rPr>
                <w:sz w:val="22"/>
                <w:szCs w:val="22"/>
                <w:lang w:val="sr-Latn-ME"/>
              </w:rPr>
              <w:t>), finalna koncentracija</w:t>
            </w:r>
          </w:p>
        </w:tc>
      </w:tr>
      <w:tr w:rsidR="008F7D68" w:rsidRPr="0086063B" w14:paraId="7B8D33BC" w14:textId="77777777" w:rsidTr="008F7D68">
        <w:tc>
          <w:tcPr>
            <w:tcW w:w="2213" w:type="dxa"/>
          </w:tcPr>
          <w:p w14:paraId="479F9F45"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50 mg</w:t>
            </w:r>
          </w:p>
        </w:tc>
        <w:tc>
          <w:tcPr>
            <w:tcW w:w="2215" w:type="dxa"/>
          </w:tcPr>
          <w:p w14:paraId="51ADE3DF" w14:textId="5D6BEFF7" w:rsidR="008F7D68" w:rsidRPr="0086063B" w:rsidRDefault="008F7D68" w:rsidP="00186EFF">
            <w:pPr>
              <w:tabs>
                <w:tab w:val="left" w:pos="284"/>
              </w:tabs>
              <w:ind w:right="65"/>
              <w:jc w:val="both"/>
              <w:rPr>
                <w:sz w:val="22"/>
                <w:szCs w:val="22"/>
                <w:lang w:val="sr-Latn-ME"/>
              </w:rPr>
            </w:pPr>
            <w:r w:rsidRPr="0086063B">
              <w:rPr>
                <w:sz w:val="22"/>
                <w:szCs w:val="22"/>
                <w:lang w:val="sr-Latn-ME"/>
              </w:rPr>
              <w:t>10 m</w:t>
            </w:r>
            <w:r w:rsidR="00A14B2E" w:rsidRPr="0086063B">
              <w:rPr>
                <w:sz w:val="22"/>
                <w:szCs w:val="22"/>
                <w:lang w:val="sr-Latn-ME"/>
              </w:rPr>
              <w:t>l</w:t>
            </w:r>
          </w:p>
        </w:tc>
        <w:tc>
          <w:tcPr>
            <w:tcW w:w="2214" w:type="dxa"/>
          </w:tcPr>
          <w:p w14:paraId="170BB8A2" w14:textId="10E1AFAC" w:rsidR="008F7D68" w:rsidRPr="0086063B" w:rsidRDefault="008F7D68" w:rsidP="00186EFF">
            <w:pPr>
              <w:tabs>
                <w:tab w:val="left" w:pos="284"/>
              </w:tabs>
              <w:ind w:right="65"/>
              <w:jc w:val="both"/>
              <w:rPr>
                <w:sz w:val="22"/>
                <w:szCs w:val="22"/>
                <w:lang w:val="sr-Latn-ME"/>
              </w:rPr>
            </w:pPr>
            <w:r w:rsidRPr="0086063B">
              <w:rPr>
                <w:sz w:val="22"/>
                <w:szCs w:val="22"/>
                <w:lang w:val="sr-Latn-ME"/>
              </w:rPr>
              <w:t>0,20 mg/m</w:t>
            </w:r>
            <w:r w:rsidR="00A14B2E" w:rsidRPr="0086063B">
              <w:rPr>
                <w:sz w:val="22"/>
                <w:szCs w:val="22"/>
                <w:lang w:val="sr-Latn-ME"/>
              </w:rPr>
              <w:t>l</w:t>
            </w:r>
          </w:p>
        </w:tc>
        <w:tc>
          <w:tcPr>
            <w:tcW w:w="2214" w:type="dxa"/>
          </w:tcPr>
          <w:p w14:paraId="37B6D16E"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w:t>
            </w:r>
          </w:p>
        </w:tc>
      </w:tr>
      <w:tr w:rsidR="008F7D68" w:rsidRPr="0086063B" w14:paraId="010E5520" w14:textId="77777777" w:rsidTr="008F7D68">
        <w:tc>
          <w:tcPr>
            <w:tcW w:w="2213" w:type="dxa"/>
          </w:tcPr>
          <w:p w14:paraId="7306BE23"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50 mg za smanjeni volumen infuzije</w:t>
            </w:r>
          </w:p>
        </w:tc>
        <w:tc>
          <w:tcPr>
            <w:tcW w:w="2215" w:type="dxa"/>
          </w:tcPr>
          <w:p w14:paraId="64B934E1" w14:textId="77777777" w:rsidR="008F7D68" w:rsidRPr="0086063B" w:rsidRDefault="008F7D68" w:rsidP="00186EFF">
            <w:pPr>
              <w:tabs>
                <w:tab w:val="left" w:pos="284"/>
              </w:tabs>
              <w:ind w:right="65"/>
              <w:jc w:val="both"/>
              <w:rPr>
                <w:sz w:val="22"/>
                <w:szCs w:val="22"/>
                <w:lang w:val="sr-Latn-ME"/>
              </w:rPr>
            </w:pPr>
          </w:p>
          <w:p w14:paraId="302E98CB" w14:textId="3D1D2443" w:rsidR="008F7D68" w:rsidRPr="0086063B" w:rsidRDefault="008F7D68" w:rsidP="00186EFF">
            <w:pPr>
              <w:tabs>
                <w:tab w:val="left" w:pos="284"/>
              </w:tabs>
              <w:ind w:right="65"/>
              <w:jc w:val="both"/>
              <w:rPr>
                <w:sz w:val="22"/>
                <w:szCs w:val="22"/>
                <w:lang w:val="sr-Latn-ME"/>
              </w:rPr>
            </w:pPr>
            <w:r w:rsidRPr="0086063B">
              <w:rPr>
                <w:sz w:val="22"/>
                <w:szCs w:val="22"/>
                <w:lang w:val="sr-Latn-ME"/>
              </w:rPr>
              <w:t>10 m</w:t>
            </w:r>
            <w:r w:rsidR="00A14B2E" w:rsidRPr="0086063B">
              <w:rPr>
                <w:sz w:val="22"/>
                <w:szCs w:val="22"/>
                <w:lang w:val="sr-Latn-ME"/>
              </w:rPr>
              <w:t>l</w:t>
            </w:r>
          </w:p>
        </w:tc>
        <w:tc>
          <w:tcPr>
            <w:tcW w:w="2214" w:type="dxa"/>
          </w:tcPr>
          <w:p w14:paraId="06A883A8" w14:textId="77777777" w:rsidR="008F7D68" w:rsidRPr="0086063B" w:rsidRDefault="008F7D68" w:rsidP="00186EFF">
            <w:pPr>
              <w:tabs>
                <w:tab w:val="left" w:pos="284"/>
              </w:tabs>
              <w:ind w:right="65"/>
              <w:jc w:val="both"/>
              <w:rPr>
                <w:sz w:val="22"/>
                <w:szCs w:val="22"/>
                <w:lang w:val="sr-Latn-ME"/>
              </w:rPr>
            </w:pPr>
          </w:p>
          <w:p w14:paraId="09CF8AB1"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w:t>
            </w:r>
          </w:p>
        </w:tc>
        <w:tc>
          <w:tcPr>
            <w:tcW w:w="2214" w:type="dxa"/>
          </w:tcPr>
          <w:p w14:paraId="7A0866CA" w14:textId="77777777" w:rsidR="008F7D68" w:rsidRPr="0086063B" w:rsidRDefault="008F7D68" w:rsidP="00186EFF">
            <w:pPr>
              <w:tabs>
                <w:tab w:val="left" w:pos="284"/>
              </w:tabs>
              <w:ind w:right="65"/>
              <w:jc w:val="both"/>
              <w:rPr>
                <w:sz w:val="22"/>
                <w:szCs w:val="22"/>
                <w:lang w:val="sr-Latn-ME"/>
              </w:rPr>
            </w:pPr>
          </w:p>
          <w:p w14:paraId="2F5C3FF5" w14:textId="220502D2" w:rsidR="008F7D68" w:rsidRPr="0086063B" w:rsidRDefault="008F7D68" w:rsidP="00186EFF">
            <w:pPr>
              <w:tabs>
                <w:tab w:val="left" w:pos="284"/>
              </w:tabs>
              <w:ind w:right="65"/>
              <w:jc w:val="both"/>
              <w:rPr>
                <w:sz w:val="22"/>
                <w:szCs w:val="22"/>
                <w:lang w:val="sr-Latn-ME"/>
              </w:rPr>
            </w:pPr>
            <w:r w:rsidRPr="0086063B">
              <w:rPr>
                <w:sz w:val="22"/>
                <w:szCs w:val="22"/>
                <w:lang w:val="sr-Latn-ME"/>
              </w:rPr>
              <w:t>0,47 mg/m</w:t>
            </w:r>
            <w:r w:rsidR="00A14B2E" w:rsidRPr="0086063B">
              <w:rPr>
                <w:sz w:val="22"/>
                <w:szCs w:val="22"/>
                <w:lang w:val="sr-Latn-ME"/>
              </w:rPr>
              <w:t>l</w:t>
            </w:r>
          </w:p>
        </w:tc>
      </w:tr>
      <w:tr w:rsidR="008F7D68" w:rsidRPr="0086063B" w14:paraId="696E5124" w14:textId="77777777" w:rsidTr="008F7D68">
        <w:tc>
          <w:tcPr>
            <w:tcW w:w="2213" w:type="dxa"/>
          </w:tcPr>
          <w:p w14:paraId="1DE46C2B"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35 mg za pacijente sa umjerenom insuficijencijom jetre (iz jedne bočice od 50 mg)</w:t>
            </w:r>
          </w:p>
        </w:tc>
        <w:tc>
          <w:tcPr>
            <w:tcW w:w="2215" w:type="dxa"/>
          </w:tcPr>
          <w:p w14:paraId="5F16624C" w14:textId="77777777" w:rsidR="008F7D68" w:rsidRPr="0086063B" w:rsidRDefault="008F7D68" w:rsidP="00186EFF">
            <w:pPr>
              <w:tabs>
                <w:tab w:val="left" w:pos="284"/>
              </w:tabs>
              <w:ind w:right="65"/>
              <w:jc w:val="both"/>
              <w:rPr>
                <w:sz w:val="22"/>
                <w:szCs w:val="22"/>
                <w:lang w:val="sr-Latn-ME"/>
              </w:rPr>
            </w:pPr>
          </w:p>
          <w:p w14:paraId="78C5D72F" w14:textId="77777777" w:rsidR="008F7D68" w:rsidRPr="0086063B" w:rsidRDefault="008F7D68" w:rsidP="00186EFF">
            <w:pPr>
              <w:tabs>
                <w:tab w:val="left" w:pos="284"/>
              </w:tabs>
              <w:ind w:right="65"/>
              <w:jc w:val="both"/>
              <w:rPr>
                <w:sz w:val="22"/>
                <w:szCs w:val="22"/>
                <w:lang w:val="sr-Latn-ME"/>
              </w:rPr>
            </w:pPr>
          </w:p>
          <w:p w14:paraId="58DD18DD" w14:textId="3549FC05" w:rsidR="008F7D68" w:rsidRPr="0086063B" w:rsidRDefault="008F7D68" w:rsidP="00186EFF">
            <w:pPr>
              <w:tabs>
                <w:tab w:val="left" w:pos="284"/>
              </w:tabs>
              <w:ind w:right="65"/>
              <w:jc w:val="both"/>
              <w:rPr>
                <w:sz w:val="22"/>
                <w:szCs w:val="22"/>
                <w:lang w:val="sr-Latn-ME"/>
              </w:rPr>
            </w:pPr>
            <w:r w:rsidRPr="0086063B">
              <w:rPr>
                <w:sz w:val="22"/>
                <w:szCs w:val="22"/>
                <w:lang w:val="sr-Latn-ME"/>
              </w:rPr>
              <w:t>7 m</w:t>
            </w:r>
            <w:r w:rsidR="00A14B2E" w:rsidRPr="0086063B">
              <w:rPr>
                <w:sz w:val="22"/>
                <w:szCs w:val="22"/>
                <w:lang w:val="sr-Latn-ME"/>
              </w:rPr>
              <w:t>l</w:t>
            </w:r>
          </w:p>
        </w:tc>
        <w:tc>
          <w:tcPr>
            <w:tcW w:w="2214" w:type="dxa"/>
          </w:tcPr>
          <w:p w14:paraId="350FBA9D" w14:textId="77777777" w:rsidR="008F7D68" w:rsidRPr="0086063B" w:rsidRDefault="008F7D68" w:rsidP="00186EFF">
            <w:pPr>
              <w:tabs>
                <w:tab w:val="left" w:pos="284"/>
              </w:tabs>
              <w:ind w:right="65"/>
              <w:jc w:val="both"/>
              <w:rPr>
                <w:sz w:val="22"/>
                <w:szCs w:val="22"/>
                <w:lang w:val="sr-Latn-ME"/>
              </w:rPr>
            </w:pPr>
          </w:p>
          <w:p w14:paraId="3776FB31" w14:textId="77777777" w:rsidR="008F7D68" w:rsidRPr="0086063B" w:rsidRDefault="008F7D68" w:rsidP="00186EFF">
            <w:pPr>
              <w:tabs>
                <w:tab w:val="left" w:pos="284"/>
              </w:tabs>
              <w:ind w:right="65"/>
              <w:jc w:val="both"/>
              <w:rPr>
                <w:sz w:val="22"/>
                <w:szCs w:val="22"/>
                <w:lang w:val="sr-Latn-ME"/>
              </w:rPr>
            </w:pPr>
          </w:p>
          <w:p w14:paraId="6A8F5EB0" w14:textId="72561B76" w:rsidR="008F7D68" w:rsidRPr="0086063B" w:rsidRDefault="008F7D68" w:rsidP="00186EFF">
            <w:pPr>
              <w:tabs>
                <w:tab w:val="left" w:pos="284"/>
              </w:tabs>
              <w:ind w:right="65"/>
              <w:jc w:val="both"/>
              <w:rPr>
                <w:sz w:val="22"/>
                <w:szCs w:val="22"/>
                <w:lang w:val="sr-Latn-ME"/>
              </w:rPr>
            </w:pPr>
            <w:r w:rsidRPr="0086063B">
              <w:rPr>
                <w:sz w:val="22"/>
                <w:szCs w:val="22"/>
                <w:lang w:val="sr-Latn-ME"/>
              </w:rPr>
              <w:t>0,14 mg/m</w:t>
            </w:r>
            <w:r w:rsidR="00A14B2E" w:rsidRPr="0086063B">
              <w:rPr>
                <w:sz w:val="22"/>
                <w:szCs w:val="22"/>
                <w:lang w:val="sr-Latn-ME"/>
              </w:rPr>
              <w:t>l</w:t>
            </w:r>
          </w:p>
        </w:tc>
        <w:tc>
          <w:tcPr>
            <w:tcW w:w="2214" w:type="dxa"/>
          </w:tcPr>
          <w:p w14:paraId="1930889D" w14:textId="77777777" w:rsidR="008F7D68" w:rsidRPr="0086063B" w:rsidRDefault="008F7D68" w:rsidP="00186EFF">
            <w:pPr>
              <w:tabs>
                <w:tab w:val="left" w:pos="284"/>
              </w:tabs>
              <w:ind w:right="65"/>
              <w:jc w:val="both"/>
              <w:rPr>
                <w:sz w:val="22"/>
                <w:szCs w:val="22"/>
                <w:lang w:val="sr-Latn-ME"/>
              </w:rPr>
            </w:pPr>
          </w:p>
          <w:p w14:paraId="75F5C07B" w14:textId="77777777" w:rsidR="008F7D68" w:rsidRPr="0086063B" w:rsidRDefault="008F7D68" w:rsidP="00186EFF">
            <w:pPr>
              <w:tabs>
                <w:tab w:val="left" w:pos="284"/>
              </w:tabs>
              <w:ind w:right="65"/>
              <w:jc w:val="both"/>
              <w:rPr>
                <w:sz w:val="22"/>
                <w:szCs w:val="22"/>
                <w:lang w:val="sr-Latn-ME"/>
              </w:rPr>
            </w:pPr>
          </w:p>
          <w:p w14:paraId="6FE61987"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w:t>
            </w:r>
          </w:p>
        </w:tc>
      </w:tr>
      <w:tr w:rsidR="008F7D68" w:rsidRPr="0086063B" w14:paraId="3DC86C8C" w14:textId="77777777" w:rsidTr="008F7D68">
        <w:tc>
          <w:tcPr>
            <w:tcW w:w="2213" w:type="dxa"/>
          </w:tcPr>
          <w:p w14:paraId="482BD115"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35 mg za pacijente sa umjerenom insuficijencijom jetre (iz jedne bočice od 50 mg) za smanjeni volumen infuzije</w:t>
            </w:r>
          </w:p>
        </w:tc>
        <w:tc>
          <w:tcPr>
            <w:tcW w:w="2215" w:type="dxa"/>
          </w:tcPr>
          <w:p w14:paraId="5400E7E5" w14:textId="77777777" w:rsidR="008F7D68" w:rsidRPr="0086063B" w:rsidRDefault="008F7D68" w:rsidP="00186EFF">
            <w:pPr>
              <w:tabs>
                <w:tab w:val="left" w:pos="284"/>
              </w:tabs>
              <w:ind w:right="65"/>
              <w:jc w:val="both"/>
              <w:rPr>
                <w:sz w:val="22"/>
                <w:szCs w:val="22"/>
                <w:lang w:val="sr-Latn-ME"/>
              </w:rPr>
            </w:pPr>
          </w:p>
          <w:p w14:paraId="41CD3128" w14:textId="77777777" w:rsidR="008F7D68" w:rsidRPr="0086063B" w:rsidRDefault="008F7D68" w:rsidP="00186EFF">
            <w:pPr>
              <w:tabs>
                <w:tab w:val="left" w:pos="284"/>
              </w:tabs>
              <w:ind w:right="65"/>
              <w:jc w:val="both"/>
              <w:rPr>
                <w:sz w:val="22"/>
                <w:szCs w:val="22"/>
                <w:lang w:val="sr-Latn-ME"/>
              </w:rPr>
            </w:pPr>
          </w:p>
          <w:p w14:paraId="77E393C2" w14:textId="6C68814A" w:rsidR="008F7D68" w:rsidRPr="0086063B" w:rsidRDefault="008F7D68" w:rsidP="00186EFF">
            <w:pPr>
              <w:tabs>
                <w:tab w:val="left" w:pos="284"/>
              </w:tabs>
              <w:ind w:right="65"/>
              <w:jc w:val="both"/>
              <w:rPr>
                <w:sz w:val="22"/>
                <w:szCs w:val="22"/>
                <w:lang w:val="sr-Latn-ME"/>
              </w:rPr>
            </w:pPr>
            <w:r w:rsidRPr="0086063B">
              <w:rPr>
                <w:sz w:val="22"/>
                <w:szCs w:val="22"/>
                <w:lang w:val="sr-Latn-ME"/>
              </w:rPr>
              <w:t>7 m</w:t>
            </w:r>
            <w:r w:rsidR="00A14B2E" w:rsidRPr="0086063B">
              <w:rPr>
                <w:sz w:val="22"/>
                <w:szCs w:val="22"/>
                <w:lang w:val="sr-Latn-ME"/>
              </w:rPr>
              <w:t>l</w:t>
            </w:r>
          </w:p>
        </w:tc>
        <w:tc>
          <w:tcPr>
            <w:tcW w:w="2214" w:type="dxa"/>
          </w:tcPr>
          <w:p w14:paraId="70A87D93" w14:textId="77777777" w:rsidR="008F7D68" w:rsidRPr="0086063B" w:rsidRDefault="008F7D68" w:rsidP="00186EFF">
            <w:pPr>
              <w:tabs>
                <w:tab w:val="left" w:pos="284"/>
              </w:tabs>
              <w:ind w:right="65"/>
              <w:jc w:val="both"/>
              <w:rPr>
                <w:sz w:val="22"/>
                <w:szCs w:val="22"/>
                <w:lang w:val="sr-Latn-ME"/>
              </w:rPr>
            </w:pPr>
          </w:p>
          <w:p w14:paraId="0AE6533D" w14:textId="77777777" w:rsidR="008F7D68" w:rsidRPr="0086063B" w:rsidRDefault="008F7D68" w:rsidP="00186EFF">
            <w:pPr>
              <w:tabs>
                <w:tab w:val="left" w:pos="284"/>
              </w:tabs>
              <w:ind w:right="65"/>
              <w:jc w:val="both"/>
              <w:rPr>
                <w:sz w:val="22"/>
                <w:szCs w:val="22"/>
                <w:lang w:val="sr-Latn-ME"/>
              </w:rPr>
            </w:pPr>
          </w:p>
          <w:p w14:paraId="4113EEC0" w14:textId="77777777" w:rsidR="008F7D68" w:rsidRPr="0086063B" w:rsidRDefault="008F7D68" w:rsidP="00186EFF">
            <w:pPr>
              <w:tabs>
                <w:tab w:val="left" w:pos="284"/>
              </w:tabs>
              <w:ind w:right="65"/>
              <w:jc w:val="both"/>
              <w:rPr>
                <w:sz w:val="22"/>
                <w:szCs w:val="22"/>
                <w:lang w:val="sr-Latn-ME"/>
              </w:rPr>
            </w:pPr>
            <w:r w:rsidRPr="0086063B">
              <w:rPr>
                <w:sz w:val="22"/>
                <w:szCs w:val="22"/>
                <w:lang w:val="sr-Latn-ME"/>
              </w:rPr>
              <w:t>-</w:t>
            </w:r>
          </w:p>
        </w:tc>
        <w:tc>
          <w:tcPr>
            <w:tcW w:w="2214" w:type="dxa"/>
          </w:tcPr>
          <w:p w14:paraId="34BB204E" w14:textId="77777777" w:rsidR="008F7D68" w:rsidRPr="0086063B" w:rsidRDefault="008F7D68" w:rsidP="00186EFF">
            <w:pPr>
              <w:tabs>
                <w:tab w:val="left" w:pos="284"/>
              </w:tabs>
              <w:ind w:right="65"/>
              <w:jc w:val="both"/>
              <w:rPr>
                <w:sz w:val="22"/>
                <w:szCs w:val="22"/>
                <w:lang w:val="sr-Latn-ME"/>
              </w:rPr>
            </w:pPr>
          </w:p>
          <w:p w14:paraId="09D3210A" w14:textId="77777777" w:rsidR="008F7D68" w:rsidRPr="0086063B" w:rsidRDefault="008F7D68" w:rsidP="00186EFF">
            <w:pPr>
              <w:tabs>
                <w:tab w:val="left" w:pos="284"/>
              </w:tabs>
              <w:ind w:right="65"/>
              <w:jc w:val="both"/>
              <w:rPr>
                <w:sz w:val="22"/>
                <w:szCs w:val="22"/>
                <w:lang w:val="sr-Latn-ME"/>
              </w:rPr>
            </w:pPr>
          </w:p>
          <w:p w14:paraId="03A721CD" w14:textId="0034E4CE" w:rsidR="008F7D68" w:rsidRPr="0086063B" w:rsidRDefault="008F7D68" w:rsidP="00186EFF">
            <w:pPr>
              <w:tabs>
                <w:tab w:val="left" w:pos="284"/>
              </w:tabs>
              <w:ind w:right="65"/>
              <w:jc w:val="both"/>
              <w:rPr>
                <w:sz w:val="22"/>
                <w:szCs w:val="22"/>
                <w:lang w:val="sr-Latn-ME"/>
              </w:rPr>
            </w:pPr>
            <w:r w:rsidRPr="0086063B">
              <w:rPr>
                <w:sz w:val="22"/>
                <w:szCs w:val="22"/>
                <w:lang w:val="sr-Latn-ME"/>
              </w:rPr>
              <w:t>0,34 mg/m</w:t>
            </w:r>
            <w:r w:rsidR="00A14B2E" w:rsidRPr="0086063B">
              <w:rPr>
                <w:sz w:val="22"/>
                <w:szCs w:val="22"/>
                <w:lang w:val="sr-Latn-ME"/>
              </w:rPr>
              <w:t>l</w:t>
            </w:r>
          </w:p>
        </w:tc>
      </w:tr>
    </w:tbl>
    <w:p w14:paraId="4CF8FDBE" w14:textId="083A5C20" w:rsidR="008F7D68" w:rsidRPr="0086063B" w:rsidRDefault="008F7D68" w:rsidP="00186EFF">
      <w:pPr>
        <w:tabs>
          <w:tab w:val="left" w:pos="284"/>
        </w:tabs>
        <w:jc w:val="both"/>
        <w:rPr>
          <w:sz w:val="22"/>
          <w:szCs w:val="22"/>
          <w:lang w:val="sr-Latn-ME"/>
        </w:rPr>
      </w:pPr>
      <w:r w:rsidRPr="0086063B">
        <w:rPr>
          <w:sz w:val="22"/>
          <w:szCs w:val="22"/>
          <w:lang w:val="sr-Latn-ME"/>
        </w:rPr>
        <w:t>*10,5 m</w:t>
      </w:r>
      <w:r w:rsidR="00A14B2E" w:rsidRPr="0086063B">
        <w:rPr>
          <w:sz w:val="22"/>
          <w:szCs w:val="22"/>
          <w:lang w:val="sr-Latn-ME"/>
        </w:rPr>
        <w:t>l</w:t>
      </w:r>
      <w:r w:rsidRPr="0086063B">
        <w:rPr>
          <w:sz w:val="22"/>
          <w:szCs w:val="22"/>
          <w:lang w:val="sr-Latn-ME"/>
        </w:rPr>
        <w:t xml:space="preserve"> se mora koristiti za rekonstituciju svih bočica.</w:t>
      </w:r>
    </w:p>
    <w:p w14:paraId="072B356C" w14:textId="77777777" w:rsidR="008F7D68" w:rsidRPr="0086063B" w:rsidRDefault="008F7D68" w:rsidP="00186EFF">
      <w:pPr>
        <w:tabs>
          <w:tab w:val="left" w:pos="284"/>
        </w:tabs>
        <w:jc w:val="both"/>
        <w:rPr>
          <w:b/>
          <w:sz w:val="22"/>
          <w:szCs w:val="22"/>
          <w:lang w:val="sr-Latn-ME"/>
        </w:rPr>
      </w:pPr>
    </w:p>
    <w:p w14:paraId="513423CC" w14:textId="41ECEE53" w:rsidR="008F7D68" w:rsidRPr="0086063B" w:rsidRDefault="008F7D68" w:rsidP="00186EFF">
      <w:pPr>
        <w:tabs>
          <w:tab w:val="left" w:pos="284"/>
        </w:tabs>
        <w:jc w:val="both"/>
        <w:rPr>
          <w:sz w:val="22"/>
          <w:szCs w:val="22"/>
          <w:lang w:val="sr-Latn-ME"/>
        </w:rPr>
      </w:pPr>
      <w:r w:rsidRPr="0086063B">
        <w:rPr>
          <w:b/>
          <w:sz w:val="22"/>
          <w:szCs w:val="22"/>
          <w:lang w:val="sr-Latn-ME"/>
        </w:rPr>
        <w:t>UPUTSTVO ZA UPOTREBU KOD PEDIJATRIJSKIH PACIJENATA</w:t>
      </w:r>
    </w:p>
    <w:p w14:paraId="584E1D7A" w14:textId="77777777" w:rsidR="008F7D68" w:rsidRPr="0086063B" w:rsidRDefault="008F7D68" w:rsidP="00186EFF">
      <w:pPr>
        <w:tabs>
          <w:tab w:val="left" w:pos="284"/>
        </w:tabs>
        <w:jc w:val="both"/>
        <w:rPr>
          <w:sz w:val="22"/>
          <w:szCs w:val="22"/>
          <w:lang w:val="sr-Latn-ME"/>
        </w:rPr>
      </w:pPr>
    </w:p>
    <w:p w14:paraId="47CDBF64" w14:textId="0C646756" w:rsidR="008F7D68" w:rsidRPr="0086063B" w:rsidRDefault="008F7D68" w:rsidP="00186EFF">
      <w:pPr>
        <w:tabs>
          <w:tab w:val="left" w:pos="284"/>
        </w:tabs>
        <w:ind w:right="65"/>
        <w:jc w:val="both"/>
        <w:rPr>
          <w:i/>
          <w:sz w:val="22"/>
          <w:szCs w:val="22"/>
          <w:u w:val="single"/>
          <w:lang w:val="sr-Latn-ME"/>
        </w:rPr>
      </w:pPr>
      <w:r w:rsidRPr="0086063B">
        <w:rPr>
          <w:i/>
          <w:sz w:val="22"/>
          <w:szCs w:val="22"/>
          <w:u w:val="single"/>
          <w:lang w:val="sr-Latn-ME"/>
        </w:rPr>
        <w:t>Izračunavanje površine t</w:t>
      </w:r>
      <w:r w:rsidR="00A14B2E" w:rsidRPr="0086063B">
        <w:rPr>
          <w:i/>
          <w:sz w:val="22"/>
          <w:szCs w:val="22"/>
          <w:u w:val="single"/>
          <w:lang w:val="sr-Latn-ME"/>
        </w:rPr>
        <w:t>ij</w:t>
      </w:r>
      <w:r w:rsidRPr="0086063B">
        <w:rPr>
          <w:i/>
          <w:sz w:val="22"/>
          <w:szCs w:val="22"/>
          <w:u w:val="single"/>
          <w:lang w:val="sr-Latn-ME"/>
        </w:rPr>
        <w:t>ela (BSA) za određivanje doza za djecu</w:t>
      </w:r>
    </w:p>
    <w:p w14:paraId="3B3432A6" w14:textId="361EAB05" w:rsidR="008F7D68" w:rsidRPr="0086063B" w:rsidRDefault="008F7D68" w:rsidP="00186EFF">
      <w:pPr>
        <w:tabs>
          <w:tab w:val="left" w:pos="284"/>
        </w:tabs>
        <w:ind w:right="65"/>
        <w:jc w:val="both"/>
        <w:rPr>
          <w:bCs/>
          <w:sz w:val="22"/>
          <w:szCs w:val="22"/>
          <w:lang w:val="sr-Latn-ME"/>
        </w:rPr>
      </w:pPr>
      <w:r w:rsidRPr="0086063B">
        <w:rPr>
          <w:bCs/>
          <w:sz w:val="22"/>
          <w:szCs w:val="22"/>
          <w:lang w:val="sr-Latn-ME"/>
        </w:rPr>
        <w:t>Prije pripreme infuzije izračunati površinu t</w:t>
      </w:r>
      <w:r w:rsidR="00A14B2E" w:rsidRPr="0086063B">
        <w:rPr>
          <w:bCs/>
          <w:sz w:val="22"/>
          <w:szCs w:val="22"/>
          <w:lang w:val="sr-Latn-ME"/>
        </w:rPr>
        <w:t>ij</w:t>
      </w:r>
      <w:r w:rsidRPr="0086063B">
        <w:rPr>
          <w:bCs/>
          <w:sz w:val="22"/>
          <w:szCs w:val="22"/>
          <w:lang w:val="sr-Latn-ME"/>
        </w:rPr>
        <w:t>ela (BSA) pacijenta pomoću sljedeće formule (</w:t>
      </w:r>
      <w:r w:rsidRPr="0086063B">
        <w:rPr>
          <w:bCs/>
          <w:i/>
          <w:sz w:val="22"/>
          <w:szCs w:val="22"/>
          <w:lang w:val="sr-Latn-ME"/>
        </w:rPr>
        <w:t>Mosteller-ova</w:t>
      </w:r>
      <w:r w:rsidRPr="0086063B">
        <w:rPr>
          <w:bCs/>
          <w:sz w:val="22"/>
          <w:szCs w:val="22"/>
          <w:lang w:val="sr-Latn-ME"/>
        </w:rPr>
        <w:t xml:space="preserve"> formula):</w:t>
      </w:r>
    </w:p>
    <w:p w14:paraId="5C87E38B" w14:textId="77777777" w:rsidR="008F7D68" w:rsidRPr="0086063B" w:rsidRDefault="008F7D68" w:rsidP="00186EFF">
      <w:pPr>
        <w:tabs>
          <w:tab w:val="left" w:pos="284"/>
        </w:tabs>
        <w:ind w:right="65"/>
        <w:jc w:val="both"/>
        <w:rPr>
          <w:bCs/>
          <w:sz w:val="22"/>
          <w:szCs w:val="22"/>
          <w:lang w:val="sr-Latn-ME"/>
        </w:rPr>
      </w:pPr>
      <w:r w:rsidRPr="0086063B">
        <w:rPr>
          <w:bCs/>
          <w:noProof/>
          <w:sz w:val="22"/>
          <w:szCs w:val="22"/>
        </w:rPr>
        <mc:AlternateContent>
          <mc:Choice Requires="wps">
            <w:drawing>
              <wp:anchor distT="0" distB="0" distL="114300" distR="114300" simplePos="0" relativeHeight="251660288" behindDoc="0" locked="0" layoutInCell="1" allowOverlap="1" wp14:anchorId="766E5CA6" wp14:editId="02E54E76">
                <wp:simplePos x="0" y="0"/>
                <wp:positionH relativeFrom="column">
                  <wp:posOffset>800100</wp:posOffset>
                </wp:positionH>
                <wp:positionV relativeFrom="paragraph">
                  <wp:posOffset>144145</wp:posOffset>
                </wp:positionV>
                <wp:extent cx="1828800" cy="0"/>
                <wp:effectExtent l="10795" t="10160" r="825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FCE5D"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35pt" to="2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"/>
            </w:pict>
          </mc:Fallback>
        </mc:AlternateContent>
      </w:r>
    </w:p>
    <w:p w14:paraId="64313225" w14:textId="77777777" w:rsidR="008F7D68" w:rsidRPr="0086063B" w:rsidRDefault="008F7D68" w:rsidP="00186EFF">
      <w:pPr>
        <w:tabs>
          <w:tab w:val="left" w:pos="284"/>
        </w:tabs>
        <w:ind w:right="65"/>
        <w:jc w:val="both"/>
        <w:rPr>
          <w:bCs/>
          <w:sz w:val="22"/>
          <w:szCs w:val="22"/>
          <w:lang w:val="sr-Latn-ME"/>
        </w:rPr>
      </w:pPr>
      <w:r w:rsidRPr="0086063B">
        <w:rPr>
          <w:bCs/>
          <w:noProof/>
          <w:sz w:val="22"/>
          <w:szCs w:val="22"/>
        </w:rPr>
        <mc:AlternateContent>
          <mc:Choice Requires="wps">
            <w:drawing>
              <wp:anchor distT="0" distB="0" distL="114300" distR="114300" simplePos="0" relativeHeight="251659264" behindDoc="0" locked="0" layoutInCell="1" allowOverlap="1" wp14:anchorId="31FFA59D" wp14:editId="378139FA">
                <wp:simplePos x="0" y="0"/>
                <wp:positionH relativeFrom="column">
                  <wp:posOffset>114300</wp:posOffset>
                </wp:positionH>
                <wp:positionV relativeFrom="paragraph">
                  <wp:posOffset>247650</wp:posOffset>
                </wp:positionV>
                <wp:extent cx="0" cy="0"/>
                <wp:effectExtent l="10795" t="7620" r="825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48DA4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"/>
            </w:pict>
          </mc:Fallback>
        </mc:AlternateContent>
      </w:r>
      <w:r w:rsidRPr="0086063B">
        <w:rPr>
          <w:bCs/>
          <w:sz w:val="22"/>
          <w:szCs w:val="22"/>
          <w:lang w:val="sr-Latn-ME"/>
        </w:rPr>
        <w:t>BSA (m</w:t>
      </w:r>
      <w:r w:rsidRPr="0086063B">
        <w:rPr>
          <w:bCs/>
          <w:sz w:val="22"/>
          <w:szCs w:val="22"/>
          <w:vertAlign w:val="superscript"/>
          <w:lang w:val="sr-Latn-ME"/>
        </w:rPr>
        <w:t>2</w:t>
      </w:r>
      <w:r w:rsidRPr="0086063B">
        <w:rPr>
          <w:bCs/>
          <w:sz w:val="22"/>
          <w:szCs w:val="22"/>
          <w:lang w:val="sr-Latn-ME"/>
        </w:rPr>
        <w:t xml:space="preserve">) = </w:t>
      </w:r>
      <w:r w:rsidRPr="0086063B">
        <w:rPr>
          <w:bCs/>
          <w:sz w:val="22"/>
          <w:szCs w:val="22"/>
          <w:lang w:val="sr-Latn-ME"/>
        </w:rPr>
        <w:sym w:font="Symbol" w:char="F0D6"/>
      </w:r>
      <w:r w:rsidRPr="0086063B">
        <w:rPr>
          <w:bCs/>
          <w:sz w:val="22"/>
          <w:szCs w:val="22"/>
          <w:lang w:val="sr-Latn-ME"/>
        </w:rPr>
        <w:t>Visina (cm) × Masa (kg)/3600</w:t>
      </w:r>
    </w:p>
    <w:p w14:paraId="4E5DAFCC" w14:textId="7777777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 xml:space="preserve">                 </w:t>
      </w:r>
    </w:p>
    <w:p w14:paraId="3229B8F4" w14:textId="74CCAABE" w:rsidR="008F7D68" w:rsidRPr="0086063B" w:rsidRDefault="008F7D68" w:rsidP="00186EFF">
      <w:pPr>
        <w:tabs>
          <w:tab w:val="left" w:pos="284"/>
        </w:tabs>
        <w:ind w:right="65"/>
        <w:jc w:val="both"/>
        <w:rPr>
          <w:b/>
          <w:bCs/>
          <w:sz w:val="22"/>
          <w:szCs w:val="22"/>
          <w:lang w:val="sr-Latn-ME"/>
        </w:rPr>
      </w:pPr>
      <w:r w:rsidRPr="0086063B">
        <w:rPr>
          <w:bCs/>
          <w:sz w:val="22"/>
          <w:szCs w:val="22"/>
          <w:lang w:val="sr-Latn-ME"/>
        </w:rPr>
        <w:t xml:space="preserve">                   </w:t>
      </w:r>
    </w:p>
    <w:p w14:paraId="05A94016" w14:textId="77777777" w:rsidR="008F7D68" w:rsidRPr="0086063B" w:rsidRDefault="008F7D68" w:rsidP="00186EFF">
      <w:pPr>
        <w:tabs>
          <w:tab w:val="left" w:pos="284"/>
        </w:tabs>
        <w:ind w:right="65"/>
        <w:jc w:val="both"/>
        <w:rPr>
          <w:b/>
          <w:bCs/>
          <w:i/>
          <w:sz w:val="22"/>
          <w:szCs w:val="22"/>
          <w:u w:val="single"/>
          <w:lang w:val="sr-Latn-ME"/>
        </w:rPr>
      </w:pPr>
      <w:r w:rsidRPr="0086063B">
        <w:rPr>
          <w:b/>
          <w:bCs/>
          <w:i/>
          <w:sz w:val="22"/>
          <w:szCs w:val="22"/>
          <w:u w:val="single"/>
          <w:lang w:val="sr-Latn-ME"/>
        </w:rPr>
        <w:t>Priprema infuzije od 70 mg/m</w:t>
      </w:r>
      <w:r w:rsidRPr="0086063B">
        <w:rPr>
          <w:b/>
          <w:bCs/>
          <w:i/>
          <w:sz w:val="22"/>
          <w:szCs w:val="22"/>
          <w:u w:val="single"/>
          <w:vertAlign w:val="superscript"/>
          <w:lang w:val="sr-Latn-ME"/>
        </w:rPr>
        <w:t>2</w:t>
      </w:r>
      <w:r w:rsidRPr="0086063B">
        <w:rPr>
          <w:b/>
          <w:bCs/>
          <w:i/>
          <w:sz w:val="22"/>
          <w:szCs w:val="22"/>
          <w:u w:val="single"/>
          <w:lang w:val="sr-Latn-ME"/>
        </w:rPr>
        <w:t xml:space="preserve"> za pedijatrijske pacijente uzrasta </w:t>
      </w:r>
      <w:r w:rsidRPr="0086063B">
        <w:rPr>
          <w:b/>
          <w:bCs/>
          <w:i/>
          <w:sz w:val="22"/>
          <w:szCs w:val="22"/>
          <w:u w:val="single"/>
          <w:lang w:val="sr-Latn-ME"/>
        </w:rPr>
        <w:sym w:font="Symbol" w:char="F03E"/>
      </w:r>
      <w:r w:rsidRPr="0086063B">
        <w:rPr>
          <w:b/>
          <w:bCs/>
          <w:i/>
          <w:sz w:val="22"/>
          <w:szCs w:val="22"/>
          <w:u w:val="single"/>
          <w:lang w:val="sr-Latn-ME"/>
        </w:rPr>
        <w:t xml:space="preserve"> 3 mjeseca (korišćenjem bočice od 50 mg):</w:t>
      </w:r>
    </w:p>
    <w:p w14:paraId="490C3E7E" w14:textId="77777777" w:rsidR="008F7D68" w:rsidRPr="0086063B" w:rsidRDefault="008F7D68" w:rsidP="00E92A04">
      <w:pPr>
        <w:numPr>
          <w:ilvl w:val="0"/>
          <w:numId w:val="13"/>
        </w:numPr>
        <w:tabs>
          <w:tab w:val="left" w:pos="284"/>
        </w:tabs>
        <w:ind w:right="65"/>
        <w:jc w:val="both"/>
        <w:rPr>
          <w:bCs/>
          <w:sz w:val="22"/>
          <w:szCs w:val="22"/>
          <w:lang w:val="sr-Latn-ME"/>
        </w:rPr>
      </w:pPr>
      <w:r w:rsidRPr="0086063B">
        <w:rPr>
          <w:bCs/>
          <w:sz w:val="22"/>
          <w:szCs w:val="22"/>
          <w:lang w:val="sr-Latn-ME"/>
        </w:rPr>
        <w:t>Utvrditi tačnu udarnu dozu koja će se koristiti kod datog pedijatrijskog pacijenta pomoću površine tijela pacijenta (izračunate korišćenjem gornje formule) i sljedeće jednačine:</w:t>
      </w:r>
    </w:p>
    <w:p w14:paraId="75C651F2" w14:textId="7777777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ab/>
      </w:r>
      <w:r w:rsidRPr="0086063B">
        <w:rPr>
          <w:bCs/>
          <w:sz w:val="22"/>
          <w:szCs w:val="22"/>
          <w:lang w:val="sr-Latn-ME"/>
        </w:rPr>
        <w:tab/>
        <w:t>BSA (m</w:t>
      </w:r>
      <w:r w:rsidRPr="0086063B">
        <w:rPr>
          <w:bCs/>
          <w:sz w:val="22"/>
          <w:szCs w:val="22"/>
          <w:vertAlign w:val="superscript"/>
          <w:lang w:val="sr-Latn-ME"/>
        </w:rPr>
        <w:t>2</w:t>
      </w:r>
      <w:r w:rsidRPr="0086063B">
        <w:rPr>
          <w:bCs/>
          <w:sz w:val="22"/>
          <w:szCs w:val="22"/>
          <w:lang w:val="sr-Latn-ME"/>
        </w:rPr>
        <w:t>) × 70 mg/m</w:t>
      </w:r>
      <w:r w:rsidRPr="0086063B">
        <w:rPr>
          <w:bCs/>
          <w:sz w:val="22"/>
          <w:szCs w:val="22"/>
          <w:vertAlign w:val="superscript"/>
          <w:lang w:val="sr-Latn-ME"/>
        </w:rPr>
        <w:t>2</w:t>
      </w:r>
      <w:r w:rsidRPr="0086063B">
        <w:rPr>
          <w:bCs/>
          <w:sz w:val="22"/>
          <w:szCs w:val="22"/>
          <w:lang w:val="sr-Latn-ME"/>
        </w:rPr>
        <w:t xml:space="preserve"> = udarna doza</w:t>
      </w:r>
    </w:p>
    <w:p w14:paraId="54429983" w14:textId="6ABF25A5" w:rsidR="008F7D68" w:rsidRPr="0086063B" w:rsidRDefault="008F7D68" w:rsidP="00186EFF">
      <w:pPr>
        <w:tabs>
          <w:tab w:val="left" w:pos="284"/>
        </w:tabs>
        <w:ind w:left="720" w:right="65"/>
        <w:jc w:val="both"/>
        <w:rPr>
          <w:bCs/>
          <w:sz w:val="22"/>
          <w:szCs w:val="22"/>
          <w:lang w:val="sr-Latn-ME"/>
        </w:rPr>
      </w:pPr>
      <w:r w:rsidRPr="0086063B">
        <w:rPr>
          <w:bCs/>
          <w:sz w:val="22"/>
          <w:szCs w:val="22"/>
          <w:lang w:val="sr-Latn-ME"/>
        </w:rPr>
        <w:t>Maksimalna udarna doza prvog dana terapije ne smije da bude veća od 70 mg bez obzira kolika je izračunata doza za datog pacijenta.</w:t>
      </w:r>
    </w:p>
    <w:p w14:paraId="1A082650" w14:textId="77777777" w:rsidR="008F7D68" w:rsidRPr="0086063B" w:rsidRDefault="008F7D68" w:rsidP="00E92A04">
      <w:pPr>
        <w:numPr>
          <w:ilvl w:val="0"/>
          <w:numId w:val="13"/>
        </w:numPr>
        <w:tabs>
          <w:tab w:val="left" w:pos="284"/>
        </w:tabs>
        <w:ind w:right="65"/>
        <w:jc w:val="both"/>
        <w:rPr>
          <w:bCs/>
          <w:sz w:val="22"/>
          <w:szCs w:val="22"/>
          <w:lang w:val="sr-Latn-ME"/>
        </w:rPr>
      </w:pPr>
      <w:r w:rsidRPr="0086063B">
        <w:rPr>
          <w:bCs/>
          <w:sz w:val="22"/>
          <w:szCs w:val="22"/>
          <w:lang w:val="sr-Latn-ME"/>
        </w:rPr>
        <w:t xml:space="preserve">Ujednačiti temperaturu bočice lijeka </w:t>
      </w:r>
      <w:r w:rsidRPr="0086063B">
        <w:rPr>
          <w:sz w:val="22"/>
          <w:szCs w:val="22"/>
          <w:lang w:val="sr-Latn-ME"/>
        </w:rPr>
        <w:t>CANCIDAS</w:t>
      </w:r>
      <w:r w:rsidRPr="0086063B">
        <w:rPr>
          <w:bCs/>
          <w:sz w:val="22"/>
          <w:szCs w:val="22"/>
          <w:lang w:val="sr-Latn-ME"/>
        </w:rPr>
        <w:t xml:space="preserve"> koja je bila u frižideru sa sobnom temperaturom.</w:t>
      </w:r>
    </w:p>
    <w:p w14:paraId="45B277DF" w14:textId="17C59EC6" w:rsidR="008F7D68" w:rsidRPr="0086063B" w:rsidRDefault="008F7D68" w:rsidP="00E92A04">
      <w:pPr>
        <w:numPr>
          <w:ilvl w:val="0"/>
          <w:numId w:val="13"/>
        </w:numPr>
        <w:tabs>
          <w:tab w:val="left" w:pos="284"/>
        </w:tabs>
        <w:ind w:right="65"/>
        <w:jc w:val="both"/>
        <w:rPr>
          <w:bCs/>
          <w:sz w:val="22"/>
          <w:szCs w:val="22"/>
          <w:lang w:val="sr-Latn-ME"/>
        </w:rPr>
      </w:pPr>
      <w:r w:rsidRPr="0086063B">
        <w:rPr>
          <w:bCs/>
          <w:sz w:val="22"/>
          <w:szCs w:val="22"/>
          <w:lang w:val="sr-Latn-ME"/>
        </w:rPr>
        <w:t>Pod aseptičnim uslovima dodati 10,5 m</w:t>
      </w:r>
      <w:r w:rsidR="007A6E60" w:rsidRPr="0086063B">
        <w:rPr>
          <w:bCs/>
          <w:sz w:val="22"/>
          <w:szCs w:val="22"/>
          <w:lang w:val="sr-Latn-ME"/>
        </w:rPr>
        <w:t>l</w:t>
      </w:r>
      <w:r w:rsidRPr="0086063B">
        <w:rPr>
          <w:bCs/>
          <w:sz w:val="22"/>
          <w:szCs w:val="22"/>
          <w:lang w:val="sr-Latn-ME"/>
        </w:rPr>
        <w:t xml:space="preserve"> vode za injekcije.</w:t>
      </w:r>
      <w:r w:rsidRPr="0086063B">
        <w:rPr>
          <w:bCs/>
          <w:sz w:val="22"/>
          <w:szCs w:val="22"/>
          <w:vertAlign w:val="superscript"/>
          <w:lang w:val="sr-Latn-ME"/>
        </w:rPr>
        <w:t>a</w:t>
      </w:r>
      <w:r w:rsidRPr="0086063B">
        <w:rPr>
          <w:bCs/>
          <w:sz w:val="22"/>
          <w:szCs w:val="22"/>
          <w:lang w:val="sr-Latn-ME"/>
        </w:rPr>
        <w:t xml:space="preserve"> Ovako rekonstituisani rastvor može da se čuva do 24 sata na temperaturi od ≤ 25°C.</w:t>
      </w:r>
      <w:r w:rsidRPr="0086063B">
        <w:rPr>
          <w:bCs/>
          <w:sz w:val="22"/>
          <w:szCs w:val="22"/>
          <w:vertAlign w:val="superscript"/>
          <w:lang w:val="sr-Latn-ME"/>
        </w:rPr>
        <w:t>b</w:t>
      </w:r>
      <w:r w:rsidRPr="0086063B">
        <w:rPr>
          <w:bCs/>
          <w:sz w:val="22"/>
          <w:szCs w:val="22"/>
          <w:lang w:val="sr-Latn-ME"/>
        </w:rPr>
        <w:t xml:space="preserve"> Na ovaj način dobija se finalna koncentracija kaspofungina u bočici od 5,2 mg/m</w:t>
      </w:r>
      <w:r w:rsidR="007A6E60" w:rsidRPr="0086063B">
        <w:rPr>
          <w:bCs/>
          <w:sz w:val="22"/>
          <w:szCs w:val="22"/>
          <w:lang w:val="sr-Latn-ME"/>
        </w:rPr>
        <w:t>l</w:t>
      </w:r>
      <w:r w:rsidRPr="0086063B">
        <w:rPr>
          <w:bCs/>
          <w:sz w:val="22"/>
          <w:szCs w:val="22"/>
          <w:lang w:val="sr-Latn-ME"/>
        </w:rPr>
        <w:t>.</w:t>
      </w:r>
    </w:p>
    <w:p w14:paraId="6AAD7150" w14:textId="69FF1B0C" w:rsidR="008F7D68" w:rsidRPr="0086063B" w:rsidRDefault="008F7D68">
      <w:pPr>
        <w:numPr>
          <w:ilvl w:val="0"/>
          <w:numId w:val="13"/>
        </w:numPr>
        <w:tabs>
          <w:tab w:val="left" w:pos="284"/>
        </w:tabs>
        <w:ind w:right="65"/>
        <w:jc w:val="both"/>
        <w:rPr>
          <w:bCs/>
          <w:sz w:val="22"/>
          <w:szCs w:val="22"/>
          <w:lang w:val="sr-Latn-ME"/>
        </w:rPr>
      </w:pPr>
      <w:r w:rsidRPr="0086063B">
        <w:rPr>
          <w:bCs/>
          <w:sz w:val="22"/>
          <w:szCs w:val="22"/>
          <w:lang w:val="sr-Latn-ME"/>
        </w:rPr>
        <w:t>Iz bočice odvaditi količinu lijeka koja je jednaka izračunatoj udarnoj dozi (Prvi korak). Pod aseptičnim uslovima prenijeti ovu količinu (m</w:t>
      </w:r>
      <w:r w:rsidR="007A6E60"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u kesu </w:t>
      </w:r>
      <w:r w:rsidRPr="0086063B">
        <w:rPr>
          <w:bCs/>
          <w:sz w:val="22"/>
          <w:szCs w:val="22"/>
          <w:lang w:val="sr-Latn-ME"/>
        </w:rPr>
        <w:lastRenderedPageBreak/>
        <w:t>(ili bocu) za infuziju koja sadrži 250 m</w:t>
      </w:r>
      <w:r w:rsidR="007A6E60" w:rsidRPr="0086063B">
        <w:rPr>
          <w:bCs/>
          <w:sz w:val="22"/>
          <w:szCs w:val="22"/>
          <w:lang w:val="sr-Latn-ME"/>
        </w:rPr>
        <w:t>l</w:t>
      </w:r>
      <w:r w:rsidRPr="0086063B">
        <w:rPr>
          <w:bCs/>
          <w:sz w:val="22"/>
          <w:szCs w:val="22"/>
          <w:lang w:val="sr-Latn-ME"/>
        </w:rPr>
        <w:t xml:space="preserve"> 0,9%-nog, 0,45%-nog ili 0,225%-nog natrijum</w:t>
      </w:r>
      <w:r w:rsidR="00345A71" w:rsidRPr="0086063B">
        <w:rPr>
          <w:bCs/>
          <w:sz w:val="22"/>
          <w:szCs w:val="22"/>
          <w:lang w:val="sr-Latn-ME"/>
        </w:rPr>
        <w:t xml:space="preserve"> </w:t>
      </w:r>
      <w:r w:rsidRPr="0086063B">
        <w:rPr>
          <w:bCs/>
          <w:sz w:val="22"/>
          <w:szCs w:val="22"/>
          <w:lang w:val="sr-Latn-ME"/>
        </w:rPr>
        <w:t>hlorida za injekcije ili Ringerov rastvor sa laktatom. Takođe, ako se tako odabere, količina (m</w:t>
      </w:r>
      <w:r w:rsidR="007A6E60"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vertAlign w:val="superscript"/>
          <w:lang w:val="sr-Latn-ME"/>
        </w:rPr>
        <w:t xml:space="preserve"> </w:t>
      </w:r>
      <w:r w:rsidRPr="0086063B">
        <w:rPr>
          <w:bCs/>
          <w:sz w:val="22"/>
          <w:szCs w:val="22"/>
          <w:lang w:val="sr-Latn-ME"/>
        </w:rPr>
        <w:t>može da se doda u smanjeni volumen 0,9%-nog, 0,45%-nog ili 0,225%-nog natrijum</w:t>
      </w:r>
      <w:r w:rsidR="00345A71" w:rsidRPr="0086063B">
        <w:rPr>
          <w:bCs/>
          <w:sz w:val="22"/>
          <w:szCs w:val="22"/>
          <w:lang w:val="sr-Latn-ME"/>
        </w:rPr>
        <w:t xml:space="preserve"> </w:t>
      </w:r>
      <w:r w:rsidRPr="0086063B">
        <w:rPr>
          <w:bCs/>
          <w:sz w:val="22"/>
          <w:szCs w:val="22"/>
          <w:lang w:val="sr-Latn-ME"/>
        </w:rPr>
        <w:t>hlorida za injekcije ili Ringerovog rastvora sa laktatima pri čemu finalna koncentracija ne smije da bude veća od 0,5 mg/m</w:t>
      </w:r>
      <w:r w:rsidR="007A6E60" w:rsidRPr="0086063B">
        <w:rPr>
          <w:bCs/>
          <w:sz w:val="22"/>
          <w:szCs w:val="22"/>
          <w:lang w:val="sr-Latn-ME"/>
        </w:rPr>
        <w:t>l</w:t>
      </w:r>
      <w:r w:rsidRPr="0086063B">
        <w:rPr>
          <w:bCs/>
          <w:sz w:val="22"/>
          <w:szCs w:val="22"/>
          <w:lang w:val="sr-Latn-ME"/>
        </w:rPr>
        <w:t>. Ovaj rastvor za infuziju mora da se iskoristi u vremenu od 24 sata ukoliko se čuva na temperaturi ≤ 25°C ili u vremenu od 48 sati ukoliko se čuva u frižideru na temperaturi od +2 do +8°C.</w:t>
      </w:r>
    </w:p>
    <w:p w14:paraId="1AE0F8F5" w14:textId="77777777" w:rsidR="008F7D68" w:rsidRPr="0086063B" w:rsidRDefault="008F7D68" w:rsidP="00186EFF">
      <w:pPr>
        <w:tabs>
          <w:tab w:val="left" w:pos="284"/>
        </w:tabs>
        <w:ind w:right="65"/>
        <w:jc w:val="both"/>
        <w:rPr>
          <w:bCs/>
          <w:sz w:val="22"/>
          <w:szCs w:val="22"/>
          <w:lang w:val="sr-Latn-ME"/>
        </w:rPr>
      </w:pPr>
    </w:p>
    <w:p w14:paraId="43BBA240" w14:textId="77777777" w:rsidR="008F7D68" w:rsidRPr="0086063B" w:rsidRDefault="008F7D68" w:rsidP="00186EFF">
      <w:pPr>
        <w:tabs>
          <w:tab w:val="left" w:pos="284"/>
        </w:tabs>
        <w:ind w:right="65"/>
        <w:jc w:val="both"/>
        <w:rPr>
          <w:b/>
          <w:bCs/>
          <w:i/>
          <w:sz w:val="22"/>
          <w:szCs w:val="22"/>
          <w:u w:val="single"/>
          <w:lang w:val="sr-Latn-ME"/>
        </w:rPr>
      </w:pPr>
      <w:r w:rsidRPr="0086063B">
        <w:rPr>
          <w:b/>
          <w:bCs/>
          <w:i/>
          <w:sz w:val="22"/>
          <w:szCs w:val="22"/>
          <w:u w:val="single"/>
          <w:lang w:val="sr-Latn-ME"/>
        </w:rPr>
        <w:t>Priprema infuzije od 50 mg/m</w:t>
      </w:r>
      <w:r w:rsidRPr="0086063B">
        <w:rPr>
          <w:b/>
          <w:bCs/>
          <w:i/>
          <w:sz w:val="22"/>
          <w:szCs w:val="22"/>
          <w:u w:val="single"/>
          <w:vertAlign w:val="superscript"/>
          <w:lang w:val="sr-Latn-ME"/>
        </w:rPr>
        <w:t>2</w:t>
      </w:r>
      <w:r w:rsidRPr="0086063B">
        <w:rPr>
          <w:b/>
          <w:bCs/>
          <w:i/>
          <w:sz w:val="22"/>
          <w:szCs w:val="22"/>
          <w:u w:val="single"/>
          <w:lang w:val="sr-Latn-ME"/>
        </w:rPr>
        <w:t xml:space="preserve"> za pedijatrijske pacijente uzrasta </w:t>
      </w:r>
      <w:r w:rsidRPr="0086063B">
        <w:rPr>
          <w:b/>
          <w:bCs/>
          <w:i/>
          <w:sz w:val="22"/>
          <w:szCs w:val="22"/>
          <w:u w:val="single"/>
          <w:lang w:val="sr-Latn-ME"/>
        </w:rPr>
        <w:sym w:font="Symbol" w:char="F03E"/>
      </w:r>
      <w:r w:rsidRPr="0086063B">
        <w:rPr>
          <w:b/>
          <w:bCs/>
          <w:i/>
          <w:sz w:val="22"/>
          <w:szCs w:val="22"/>
          <w:u w:val="single"/>
          <w:lang w:val="sr-Latn-ME"/>
        </w:rPr>
        <w:t xml:space="preserve"> 3 mjeseca (korišćenjem bočice od 50 mg):</w:t>
      </w:r>
    </w:p>
    <w:p w14:paraId="104C4386" w14:textId="77777777" w:rsidR="008F7D68" w:rsidRPr="0086063B" w:rsidRDefault="008F7D68" w:rsidP="00E92A04">
      <w:pPr>
        <w:numPr>
          <w:ilvl w:val="0"/>
          <w:numId w:val="14"/>
        </w:numPr>
        <w:tabs>
          <w:tab w:val="left" w:pos="284"/>
        </w:tabs>
        <w:ind w:right="65"/>
        <w:jc w:val="both"/>
        <w:rPr>
          <w:bCs/>
          <w:sz w:val="22"/>
          <w:szCs w:val="22"/>
          <w:lang w:val="sr-Latn-ME"/>
        </w:rPr>
      </w:pPr>
      <w:r w:rsidRPr="0086063B">
        <w:rPr>
          <w:bCs/>
          <w:sz w:val="22"/>
          <w:szCs w:val="22"/>
          <w:lang w:val="sr-Latn-ME"/>
        </w:rPr>
        <w:t>Utvrditi tačnu dnevnu dozu održavanja koja će se koristiti kod datog pedijatrijskog pacijenta pomoću površine tijela pacijenta (izračunate korišćenjem gornje formule) i slijedeće jednačine:</w:t>
      </w:r>
    </w:p>
    <w:p w14:paraId="58C73017" w14:textId="77777777" w:rsidR="008F7D68" w:rsidRPr="0086063B" w:rsidRDefault="008F7D68" w:rsidP="00186EFF">
      <w:pPr>
        <w:tabs>
          <w:tab w:val="left" w:pos="284"/>
        </w:tabs>
        <w:ind w:left="360" w:right="65"/>
        <w:jc w:val="both"/>
        <w:rPr>
          <w:bCs/>
          <w:sz w:val="22"/>
          <w:szCs w:val="22"/>
          <w:lang w:val="sr-Latn-ME"/>
        </w:rPr>
      </w:pPr>
      <w:r w:rsidRPr="0086063B">
        <w:rPr>
          <w:bCs/>
          <w:sz w:val="22"/>
          <w:szCs w:val="22"/>
          <w:lang w:val="sr-Latn-ME"/>
        </w:rPr>
        <w:tab/>
        <w:t>BSA (m</w:t>
      </w:r>
      <w:r w:rsidRPr="0086063B">
        <w:rPr>
          <w:bCs/>
          <w:sz w:val="22"/>
          <w:szCs w:val="22"/>
          <w:vertAlign w:val="superscript"/>
          <w:lang w:val="sr-Latn-ME"/>
        </w:rPr>
        <w:t>2</w:t>
      </w:r>
      <w:r w:rsidRPr="0086063B">
        <w:rPr>
          <w:bCs/>
          <w:sz w:val="22"/>
          <w:szCs w:val="22"/>
          <w:lang w:val="sr-Latn-ME"/>
        </w:rPr>
        <w:t>) × 50 mg/m</w:t>
      </w:r>
      <w:r w:rsidRPr="0086063B">
        <w:rPr>
          <w:bCs/>
          <w:sz w:val="22"/>
          <w:szCs w:val="22"/>
          <w:vertAlign w:val="superscript"/>
          <w:lang w:val="sr-Latn-ME"/>
        </w:rPr>
        <w:t>2</w:t>
      </w:r>
      <w:r w:rsidRPr="0086063B">
        <w:rPr>
          <w:bCs/>
          <w:sz w:val="22"/>
          <w:szCs w:val="22"/>
          <w:lang w:val="sr-Latn-ME"/>
        </w:rPr>
        <w:t xml:space="preserve"> = dnevna doza održavanja</w:t>
      </w:r>
    </w:p>
    <w:p w14:paraId="6C8CB5F9" w14:textId="77777777" w:rsidR="008F7D68" w:rsidRPr="0086063B" w:rsidRDefault="008F7D68" w:rsidP="00186EFF">
      <w:pPr>
        <w:tabs>
          <w:tab w:val="left" w:pos="284"/>
        </w:tabs>
        <w:ind w:left="720" w:right="65"/>
        <w:jc w:val="both"/>
        <w:rPr>
          <w:bCs/>
          <w:sz w:val="22"/>
          <w:szCs w:val="22"/>
          <w:lang w:val="sr-Latn-ME"/>
        </w:rPr>
      </w:pPr>
      <w:r w:rsidRPr="0086063B">
        <w:rPr>
          <w:bCs/>
          <w:sz w:val="22"/>
          <w:szCs w:val="22"/>
          <w:lang w:val="sr-Latn-ME"/>
        </w:rPr>
        <w:t>Dnevna doza održavanja ne smije da bude veća od 70 mg bez obzira kolika je izračunata doza za datog pacijenta.</w:t>
      </w:r>
    </w:p>
    <w:p w14:paraId="6D2E0691" w14:textId="77777777" w:rsidR="008F7D68" w:rsidRPr="0086063B" w:rsidRDefault="008F7D68" w:rsidP="00E92A04">
      <w:pPr>
        <w:numPr>
          <w:ilvl w:val="0"/>
          <w:numId w:val="14"/>
        </w:numPr>
        <w:tabs>
          <w:tab w:val="left" w:pos="284"/>
        </w:tabs>
        <w:ind w:right="65"/>
        <w:jc w:val="both"/>
        <w:rPr>
          <w:bCs/>
          <w:sz w:val="22"/>
          <w:szCs w:val="22"/>
          <w:lang w:val="sr-Latn-ME"/>
        </w:rPr>
      </w:pPr>
      <w:r w:rsidRPr="0086063B">
        <w:rPr>
          <w:bCs/>
          <w:sz w:val="22"/>
          <w:szCs w:val="22"/>
          <w:lang w:val="sr-Latn-ME"/>
        </w:rPr>
        <w:t xml:space="preserve">Ujednačiti temperaturu bočice lijeka </w:t>
      </w:r>
      <w:r w:rsidRPr="0086063B">
        <w:rPr>
          <w:sz w:val="22"/>
          <w:szCs w:val="22"/>
          <w:lang w:val="sr-Latn-ME"/>
        </w:rPr>
        <w:t>CANCIDAS</w:t>
      </w:r>
      <w:r w:rsidRPr="0086063B">
        <w:rPr>
          <w:bCs/>
          <w:sz w:val="22"/>
          <w:szCs w:val="22"/>
          <w:lang w:val="sr-Latn-ME"/>
        </w:rPr>
        <w:t xml:space="preserve"> koja je bila u frižideru sa sobnom temperaturom.</w:t>
      </w:r>
    </w:p>
    <w:p w14:paraId="19BEE549" w14:textId="54D24E55" w:rsidR="008F7D68" w:rsidRPr="0086063B" w:rsidRDefault="008F7D68" w:rsidP="00E92A04">
      <w:pPr>
        <w:numPr>
          <w:ilvl w:val="0"/>
          <w:numId w:val="14"/>
        </w:numPr>
        <w:tabs>
          <w:tab w:val="left" w:pos="284"/>
        </w:tabs>
        <w:ind w:right="65"/>
        <w:jc w:val="both"/>
        <w:rPr>
          <w:bCs/>
          <w:sz w:val="22"/>
          <w:szCs w:val="22"/>
          <w:lang w:val="sr-Latn-ME"/>
        </w:rPr>
      </w:pPr>
      <w:r w:rsidRPr="0086063B">
        <w:rPr>
          <w:bCs/>
          <w:sz w:val="22"/>
          <w:szCs w:val="22"/>
          <w:lang w:val="sr-Latn-ME"/>
        </w:rPr>
        <w:t>Pod aseptičnim uslovima dodati 10,5 m</w:t>
      </w:r>
      <w:r w:rsidR="007A6E60" w:rsidRPr="0086063B">
        <w:rPr>
          <w:bCs/>
          <w:sz w:val="22"/>
          <w:szCs w:val="22"/>
          <w:lang w:val="sr-Latn-ME"/>
        </w:rPr>
        <w:t>l</w:t>
      </w:r>
      <w:r w:rsidRPr="0086063B">
        <w:rPr>
          <w:bCs/>
          <w:sz w:val="22"/>
          <w:szCs w:val="22"/>
          <w:lang w:val="sr-Latn-ME"/>
        </w:rPr>
        <w:t xml:space="preserve"> vode za injekcije.</w:t>
      </w:r>
      <w:r w:rsidRPr="0086063B">
        <w:rPr>
          <w:bCs/>
          <w:sz w:val="22"/>
          <w:szCs w:val="22"/>
          <w:vertAlign w:val="superscript"/>
          <w:lang w:val="sr-Latn-ME"/>
        </w:rPr>
        <w:t>a</w:t>
      </w:r>
      <w:r w:rsidRPr="0086063B">
        <w:rPr>
          <w:bCs/>
          <w:sz w:val="22"/>
          <w:szCs w:val="22"/>
          <w:lang w:val="sr-Latn-ME"/>
        </w:rPr>
        <w:t xml:space="preserve"> Ovako rekonstituisani rastvor može da se čuva do 24 sata na temperaturi od ≤ 25°C.</w:t>
      </w:r>
      <w:r w:rsidRPr="0086063B">
        <w:rPr>
          <w:bCs/>
          <w:sz w:val="22"/>
          <w:szCs w:val="22"/>
          <w:vertAlign w:val="superscript"/>
          <w:lang w:val="sr-Latn-ME"/>
        </w:rPr>
        <w:t>b</w:t>
      </w:r>
      <w:r w:rsidRPr="0086063B">
        <w:rPr>
          <w:bCs/>
          <w:sz w:val="22"/>
          <w:szCs w:val="22"/>
          <w:lang w:val="sr-Latn-ME"/>
        </w:rPr>
        <w:t xml:space="preserve"> Na ovaj način dobija se finalna koncentracija kaspofungina u bočici od 5,2 mg/m</w:t>
      </w:r>
      <w:r w:rsidR="00930B8E" w:rsidRPr="0086063B">
        <w:rPr>
          <w:bCs/>
          <w:sz w:val="22"/>
          <w:szCs w:val="22"/>
          <w:lang w:val="sr-Latn-ME"/>
        </w:rPr>
        <w:t>l</w:t>
      </w:r>
      <w:r w:rsidRPr="0086063B">
        <w:rPr>
          <w:bCs/>
          <w:sz w:val="22"/>
          <w:szCs w:val="22"/>
          <w:lang w:val="sr-Latn-ME"/>
        </w:rPr>
        <w:t>.</w:t>
      </w:r>
    </w:p>
    <w:p w14:paraId="4B6ED7B1" w14:textId="5F4B811A" w:rsidR="008F7D68" w:rsidRPr="0086063B" w:rsidRDefault="008F7D68">
      <w:pPr>
        <w:numPr>
          <w:ilvl w:val="0"/>
          <w:numId w:val="14"/>
        </w:numPr>
        <w:tabs>
          <w:tab w:val="left" w:pos="284"/>
        </w:tabs>
        <w:ind w:right="65"/>
        <w:jc w:val="both"/>
        <w:rPr>
          <w:bCs/>
          <w:sz w:val="22"/>
          <w:szCs w:val="22"/>
          <w:lang w:val="sr-Latn-ME"/>
        </w:rPr>
      </w:pPr>
      <w:r w:rsidRPr="0086063B">
        <w:rPr>
          <w:bCs/>
          <w:sz w:val="22"/>
          <w:szCs w:val="22"/>
          <w:lang w:val="sr-Latn-ME"/>
        </w:rPr>
        <w:t>Iz bočice odvaditi količinu lijeka koja je jednaka izračunatoj dnevnoj dozi održavanja (Prvi korak). Pod aseptičnim uslovima pren</w:t>
      </w:r>
      <w:r w:rsidR="00930B8E" w:rsidRPr="0086063B">
        <w:rPr>
          <w:bCs/>
          <w:sz w:val="22"/>
          <w:szCs w:val="22"/>
          <w:lang w:val="sr-Latn-ME"/>
        </w:rPr>
        <w:t>ij</w:t>
      </w:r>
      <w:r w:rsidRPr="0086063B">
        <w:rPr>
          <w:bCs/>
          <w:sz w:val="22"/>
          <w:szCs w:val="22"/>
          <w:lang w:val="sr-Latn-ME"/>
        </w:rPr>
        <w:t>eti ovu količinu (m</w:t>
      </w:r>
      <w:r w:rsidR="00930B8E"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u kesu (ili bocu) za infuziju koja sadrži 250 m</w:t>
      </w:r>
      <w:r w:rsidR="00930B8E" w:rsidRPr="0086063B">
        <w:rPr>
          <w:bCs/>
          <w:sz w:val="22"/>
          <w:szCs w:val="22"/>
          <w:lang w:val="sr-Latn-ME"/>
        </w:rPr>
        <w:t>l</w:t>
      </w:r>
      <w:r w:rsidRPr="0086063B">
        <w:rPr>
          <w:bCs/>
          <w:sz w:val="22"/>
          <w:szCs w:val="22"/>
          <w:lang w:val="sr-Latn-ME"/>
        </w:rPr>
        <w:t xml:space="preserve"> 0,9%-nog, 0,45%-nog ili 0,225%-nog natrijum</w:t>
      </w:r>
      <w:r w:rsidR="00345A71" w:rsidRPr="0086063B">
        <w:rPr>
          <w:bCs/>
          <w:sz w:val="22"/>
          <w:szCs w:val="22"/>
          <w:lang w:val="sr-Latn-ME"/>
        </w:rPr>
        <w:t xml:space="preserve"> </w:t>
      </w:r>
      <w:r w:rsidRPr="0086063B">
        <w:rPr>
          <w:bCs/>
          <w:sz w:val="22"/>
          <w:szCs w:val="22"/>
          <w:lang w:val="sr-Latn-ME"/>
        </w:rPr>
        <w:t>hlorida za injekcije ili Ringerovog rastvora sa laktatom. Takođe, ako se tako odabere, količina (m</w:t>
      </w:r>
      <w:r w:rsidR="00930B8E"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može da se doda u smanjeni volumen 0,9%-nog, 0,45%-nog ili 0,225%-nog natrijum</w:t>
      </w:r>
      <w:r w:rsidR="00345A71" w:rsidRPr="0086063B">
        <w:rPr>
          <w:bCs/>
          <w:sz w:val="22"/>
          <w:szCs w:val="22"/>
          <w:lang w:val="sr-Latn-ME"/>
        </w:rPr>
        <w:t xml:space="preserve"> </w:t>
      </w:r>
      <w:r w:rsidRPr="0086063B">
        <w:rPr>
          <w:bCs/>
          <w:sz w:val="22"/>
          <w:szCs w:val="22"/>
          <w:lang w:val="sr-Latn-ME"/>
        </w:rPr>
        <w:t>hlorida za injekcije ili Ringerovog rastvora sa laktatom pri čemu finalna koncentracija ne smije da bude veća od 0,5 mg/m</w:t>
      </w:r>
      <w:r w:rsidR="00930B8E" w:rsidRPr="0086063B">
        <w:rPr>
          <w:bCs/>
          <w:sz w:val="22"/>
          <w:szCs w:val="22"/>
          <w:lang w:val="sr-Latn-ME"/>
        </w:rPr>
        <w:t>l</w:t>
      </w:r>
      <w:r w:rsidRPr="0086063B">
        <w:rPr>
          <w:bCs/>
          <w:sz w:val="22"/>
          <w:szCs w:val="22"/>
          <w:lang w:val="sr-Latn-ME"/>
        </w:rPr>
        <w:t>. Ovaj rastvor za infuziju mora da se iskoristi u vremenu od 24 sata ukoliko se čuva na temperaturi ≤ 25°C ili u vremenu od 48 sati ukoliko se čuva u frižideru na temperaturi od +2 do +8°C.</w:t>
      </w:r>
    </w:p>
    <w:p w14:paraId="765587A6" w14:textId="0499BE14" w:rsidR="008F7D68" w:rsidRPr="0086063B" w:rsidRDefault="00930B8E" w:rsidP="00186EFF">
      <w:pPr>
        <w:tabs>
          <w:tab w:val="left" w:pos="284"/>
        </w:tabs>
        <w:ind w:right="65"/>
        <w:jc w:val="both"/>
        <w:rPr>
          <w:bCs/>
          <w:sz w:val="22"/>
          <w:szCs w:val="22"/>
          <w:lang w:val="sr-Latn-ME"/>
        </w:rPr>
      </w:pPr>
      <w:r w:rsidRPr="0086063B">
        <w:rPr>
          <w:b/>
          <w:bCs/>
          <w:i/>
          <w:noProof/>
          <w:sz w:val="22"/>
          <w:szCs w:val="22"/>
        </w:rPr>
        <mc:AlternateContent>
          <mc:Choice Requires="wps">
            <w:drawing>
              <wp:anchor distT="0" distB="0" distL="114300" distR="114300" simplePos="0" relativeHeight="251661312" behindDoc="0" locked="0" layoutInCell="1" allowOverlap="1" wp14:anchorId="7399F04D" wp14:editId="6BBA2F32">
                <wp:simplePos x="0" y="0"/>
                <wp:positionH relativeFrom="column">
                  <wp:posOffset>-96520</wp:posOffset>
                </wp:positionH>
                <wp:positionV relativeFrom="paragraph">
                  <wp:posOffset>173355</wp:posOffset>
                </wp:positionV>
                <wp:extent cx="5937250" cy="1933575"/>
                <wp:effectExtent l="0" t="0" r="2540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1933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C4A93" id="Rectangle 6" o:spid="_x0000_s1026" style="position:absolute;margin-left:-7.6pt;margin-top:13.65pt;width:467.5pt;height:1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" filled="f"/>
            </w:pict>
          </mc:Fallback>
        </mc:AlternateContent>
      </w:r>
    </w:p>
    <w:p w14:paraId="4A41F027" w14:textId="43DCB1B1" w:rsidR="008F7D68" w:rsidRPr="0086063B" w:rsidRDefault="008F7D68" w:rsidP="00E92A04">
      <w:pPr>
        <w:tabs>
          <w:tab w:val="left" w:pos="284"/>
        </w:tabs>
        <w:ind w:right="65"/>
        <w:jc w:val="both"/>
        <w:rPr>
          <w:b/>
          <w:bCs/>
          <w:i/>
          <w:sz w:val="22"/>
          <w:szCs w:val="22"/>
          <w:lang w:val="sr-Latn-ME" w:eastAsia="x-none"/>
        </w:rPr>
      </w:pPr>
      <w:r w:rsidRPr="0086063B">
        <w:rPr>
          <w:b/>
          <w:bCs/>
          <w:i/>
          <w:sz w:val="22"/>
          <w:szCs w:val="22"/>
          <w:lang w:val="sr-Latn-ME" w:eastAsia="x-none"/>
        </w:rPr>
        <w:t>Napomene tokom pripreme:</w:t>
      </w:r>
    </w:p>
    <w:p w14:paraId="5EA6E3F4" w14:textId="77777777" w:rsidR="008F7D68" w:rsidRPr="0086063B" w:rsidRDefault="008F7D68" w:rsidP="00E92A04">
      <w:pPr>
        <w:tabs>
          <w:tab w:val="left" w:pos="284"/>
        </w:tabs>
        <w:ind w:right="65"/>
        <w:jc w:val="both"/>
        <w:rPr>
          <w:b/>
          <w:bCs/>
          <w:i/>
          <w:sz w:val="22"/>
          <w:szCs w:val="22"/>
          <w:lang w:val="sr-Latn-ME" w:eastAsia="x-none"/>
        </w:rPr>
      </w:pPr>
    </w:p>
    <w:p w14:paraId="4383F509" w14:textId="77777777" w:rsidR="008F7D68" w:rsidRPr="0086063B" w:rsidRDefault="008F7D68" w:rsidP="00E92A04">
      <w:pPr>
        <w:numPr>
          <w:ilvl w:val="0"/>
          <w:numId w:val="15"/>
        </w:numPr>
        <w:tabs>
          <w:tab w:val="left" w:pos="284"/>
        </w:tabs>
        <w:ind w:right="65"/>
        <w:jc w:val="both"/>
        <w:rPr>
          <w:sz w:val="22"/>
          <w:szCs w:val="22"/>
          <w:lang w:val="sr-Latn-ME" w:eastAsia="x-none"/>
        </w:rPr>
      </w:pPr>
      <w:r w:rsidRPr="0086063B">
        <w:rPr>
          <w:sz w:val="22"/>
          <w:szCs w:val="22"/>
          <w:lang w:val="sr-Latn-ME" w:eastAsia="x-none"/>
        </w:rPr>
        <w:t>Kompaktni liofilizovani prašak, bijele do skoro bijele boje, potpuno će se rastvoriti. Sadržaj bočice lagano mućkati sve dok se ne dobije bistar rastvor.</w:t>
      </w:r>
    </w:p>
    <w:p w14:paraId="385C3B9A" w14:textId="77777777" w:rsidR="008F7D68" w:rsidRPr="0086063B" w:rsidRDefault="008F7D68">
      <w:pPr>
        <w:tabs>
          <w:tab w:val="left" w:pos="284"/>
        </w:tabs>
        <w:ind w:right="65"/>
        <w:jc w:val="both"/>
        <w:rPr>
          <w:sz w:val="22"/>
          <w:szCs w:val="22"/>
          <w:lang w:val="sr-Latn-ME" w:eastAsia="x-none"/>
        </w:rPr>
      </w:pPr>
    </w:p>
    <w:p w14:paraId="45675AE9" w14:textId="77777777" w:rsidR="008F7D68" w:rsidRPr="0086063B" w:rsidRDefault="008F7D68">
      <w:pPr>
        <w:tabs>
          <w:tab w:val="left" w:pos="284"/>
        </w:tabs>
        <w:ind w:left="720" w:right="65" w:hanging="360"/>
        <w:jc w:val="both"/>
        <w:rPr>
          <w:sz w:val="22"/>
          <w:szCs w:val="22"/>
          <w:lang w:val="sr-Latn-ME" w:eastAsia="x-none"/>
        </w:rPr>
      </w:pPr>
      <w:r w:rsidRPr="0086063B">
        <w:rPr>
          <w:sz w:val="22"/>
          <w:szCs w:val="22"/>
          <w:lang w:val="sr-Latn-ME" w:eastAsia="x-none"/>
        </w:rPr>
        <w:t>b</w:t>
      </w:r>
      <w:r w:rsidRPr="0086063B">
        <w:rPr>
          <w:sz w:val="22"/>
          <w:szCs w:val="22"/>
          <w:lang w:val="sr-Latn-ME" w:eastAsia="x-none"/>
        </w:rPr>
        <w:tab/>
        <w:t>Izvršiti vizuelni pregled rekonstituisanog rastvora da bi se utvrdilo ima li prisustva stranih čestica (nerastvorenog materijala) ili promjene boje tokom rekonstitucije i prije infuzije. Rastvor ne smije da se koristi ako je mutan ili ako ima talog.</w:t>
      </w:r>
    </w:p>
    <w:p w14:paraId="29177FED" w14:textId="77777777" w:rsidR="008F7D68" w:rsidRPr="0086063B" w:rsidRDefault="008F7D68">
      <w:pPr>
        <w:tabs>
          <w:tab w:val="left" w:pos="284"/>
        </w:tabs>
        <w:ind w:right="65"/>
        <w:jc w:val="both"/>
        <w:rPr>
          <w:sz w:val="22"/>
          <w:szCs w:val="22"/>
          <w:lang w:val="sr-Latn-ME" w:eastAsia="x-none"/>
        </w:rPr>
      </w:pPr>
    </w:p>
    <w:p w14:paraId="0593746D" w14:textId="44F652F3" w:rsidR="008F7D68" w:rsidRPr="0086063B" w:rsidRDefault="008F7D68" w:rsidP="00186EFF">
      <w:pPr>
        <w:tabs>
          <w:tab w:val="left" w:pos="720"/>
        </w:tabs>
        <w:ind w:left="720" w:hanging="360"/>
        <w:jc w:val="both"/>
        <w:rPr>
          <w:bCs/>
          <w:sz w:val="22"/>
          <w:szCs w:val="22"/>
          <w:lang w:val="sr-Latn-ME"/>
        </w:rPr>
      </w:pPr>
      <w:r w:rsidRPr="0086063B">
        <w:rPr>
          <w:sz w:val="22"/>
          <w:szCs w:val="22"/>
          <w:lang w:val="sr-Latn-ME" w:eastAsia="x-none"/>
        </w:rPr>
        <w:t>c</w:t>
      </w:r>
      <w:r w:rsidRPr="0086063B">
        <w:rPr>
          <w:sz w:val="22"/>
          <w:szCs w:val="22"/>
          <w:lang w:val="sr-Latn-ME" w:eastAsia="x-none"/>
        </w:rPr>
        <w:tab/>
        <w:t>Lijek CANCIDAS je formulisan tako da omogućava dobijanje pune doze navedene na nal</w:t>
      </w:r>
      <w:r w:rsidR="00930B8E" w:rsidRPr="0086063B">
        <w:rPr>
          <w:sz w:val="22"/>
          <w:szCs w:val="22"/>
          <w:lang w:val="sr-Latn-ME" w:eastAsia="x-none"/>
        </w:rPr>
        <w:t>j</w:t>
      </w:r>
      <w:r w:rsidRPr="0086063B">
        <w:rPr>
          <w:sz w:val="22"/>
          <w:szCs w:val="22"/>
          <w:lang w:val="sr-Latn-ME" w:eastAsia="x-none"/>
        </w:rPr>
        <w:t>epnici bočice (50 mg) kada se količina od 10 m</w:t>
      </w:r>
      <w:r w:rsidR="00930B8E" w:rsidRPr="0086063B">
        <w:rPr>
          <w:sz w:val="22"/>
          <w:szCs w:val="22"/>
          <w:lang w:val="sr-Latn-ME" w:eastAsia="x-none"/>
        </w:rPr>
        <w:t>l</w:t>
      </w:r>
      <w:r w:rsidRPr="0086063B">
        <w:rPr>
          <w:sz w:val="22"/>
          <w:szCs w:val="22"/>
          <w:lang w:val="sr-Latn-ME" w:eastAsia="x-none"/>
        </w:rPr>
        <w:t xml:space="preserve"> </w:t>
      </w:r>
      <w:r w:rsidR="00930B8E" w:rsidRPr="0086063B">
        <w:rPr>
          <w:sz w:val="22"/>
          <w:szCs w:val="22"/>
          <w:lang w:val="sr-Latn-ME" w:eastAsia="x-none"/>
        </w:rPr>
        <w:t>izvadi</w:t>
      </w:r>
      <w:r w:rsidRPr="0086063B">
        <w:rPr>
          <w:sz w:val="22"/>
          <w:szCs w:val="22"/>
          <w:lang w:val="sr-Latn-ME" w:eastAsia="x-none"/>
        </w:rPr>
        <w:t xml:space="preserve"> iz bočice</w:t>
      </w:r>
    </w:p>
    <w:p w14:paraId="04E63E76" w14:textId="77777777" w:rsidR="008F7D68" w:rsidRPr="0086063B" w:rsidRDefault="008F7D68" w:rsidP="00186EFF">
      <w:pPr>
        <w:tabs>
          <w:tab w:val="left" w:pos="540"/>
          <w:tab w:val="left" w:pos="569"/>
        </w:tabs>
        <w:jc w:val="both"/>
        <w:rPr>
          <w:b/>
          <w:bCs/>
          <w:sz w:val="22"/>
          <w:szCs w:val="22"/>
          <w:lang w:val="sr-Latn-ME"/>
        </w:rPr>
      </w:pPr>
    </w:p>
    <w:p w14:paraId="0FF6E593" w14:textId="77777777" w:rsidR="008F7D68" w:rsidRPr="0086063B" w:rsidRDefault="008F7D68" w:rsidP="00186EFF">
      <w:pPr>
        <w:tabs>
          <w:tab w:val="left" w:pos="540"/>
          <w:tab w:val="left" w:pos="569"/>
        </w:tabs>
        <w:jc w:val="both"/>
        <w:rPr>
          <w:b/>
          <w:bCs/>
          <w:sz w:val="22"/>
          <w:szCs w:val="22"/>
          <w:lang w:val="sr-Latn-ME"/>
        </w:rPr>
      </w:pPr>
    </w:p>
    <w:p w14:paraId="0DD1EE6E" w14:textId="38D90307" w:rsidR="008F7D68" w:rsidRPr="0086063B" w:rsidRDefault="008F7D68" w:rsidP="00E92A04">
      <w:pPr>
        <w:tabs>
          <w:tab w:val="left" w:pos="284"/>
        </w:tabs>
        <w:ind w:right="65"/>
        <w:jc w:val="both"/>
        <w:rPr>
          <w:b/>
          <w:sz w:val="22"/>
          <w:szCs w:val="22"/>
          <w:lang w:val="sr-Latn-ME" w:eastAsia="x-none"/>
        </w:rPr>
      </w:pPr>
      <w:r w:rsidRPr="0086063B">
        <w:rPr>
          <w:b/>
          <w:bCs/>
          <w:sz w:val="22"/>
          <w:szCs w:val="22"/>
          <w:u w:val="single"/>
          <w:lang w:val="sr-Latn-ME" w:eastAsia="x-none"/>
        </w:rPr>
        <w:t>CANCIDAS</w:t>
      </w:r>
      <w:r w:rsidRPr="0086063B">
        <w:rPr>
          <w:b/>
          <w:sz w:val="22"/>
          <w:szCs w:val="22"/>
          <w:u w:val="single"/>
          <w:lang w:val="sr-Latn-ME" w:eastAsia="x-none"/>
        </w:rPr>
        <w:t>, 70 mg, prašak za koncentrat za rastvor za infuziju</w:t>
      </w:r>
    </w:p>
    <w:p w14:paraId="49B4A403" w14:textId="77777777" w:rsidR="008F7D68" w:rsidRPr="0086063B" w:rsidRDefault="008F7D68" w:rsidP="00E92A04">
      <w:pPr>
        <w:tabs>
          <w:tab w:val="left" w:pos="284"/>
        </w:tabs>
        <w:ind w:right="65"/>
        <w:jc w:val="both"/>
        <w:rPr>
          <w:sz w:val="22"/>
          <w:szCs w:val="22"/>
          <w:lang w:val="sr-Latn-ME" w:eastAsia="x-none"/>
        </w:rPr>
      </w:pPr>
    </w:p>
    <w:p w14:paraId="3204EDD1" w14:textId="77777777" w:rsidR="008F7D68" w:rsidRPr="0086063B" w:rsidRDefault="008F7D68" w:rsidP="00186EFF">
      <w:pPr>
        <w:tabs>
          <w:tab w:val="left" w:pos="284"/>
        </w:tabs>
        <w:jc w:val="both"/>
        <w:rPr>
          <w:b/>
          <w:sz w:val="22"/>
          <w:szCs w:val="22"/>
          <w:lang w:val="sr-Latn-ME"/>
        </w:rPr>
      </w:pPr>
      <w:r w:rsidRPr="0086063B">
        <w:rPr>
          <w:b/>
          <w:sz w:val="22"/>
          <w:szCs w:val="22"/>
          <w:lang w:val="sr-Latn-ME"/>
        </w:rPr>
        <w:t>UPUTSTVO ZA UPOTREBU KOD ODRASLIH PACIJENATA</w:t>
      </w:r>
    </w:p>
    <w:p w14:paraId="449A02EF" w14:textId="77777777" w:rsidR="008F7D68" w:rsidRPr="0086063B" w:rsidRDefault="008F7D68" w:rsidP="00186EFF">
      <w:pPr>
        <w:tabs>
          <w:tab w:val="left" w:pos="284"/>
        </w:tabs>
        <w:jc w:val="both"/>
        <w:rPr>
          <w:sz w:val="22"/>
          <w:szCs w:val="22"/>
          <w:lang w:val="sr-Latn-ME"/>
        </w:rPr>
      </w:pPr>
    </w:p>
    <w:p w14:paraId="45A07D79" w14:textId="08BD7608" w:rsidR="008F7D68" w:rsidRPr="0086063B" w:rsidRDefault="008F7D68" w:rsidP="00186EFF">
      <w:pPr>
        <w:tabs>
          <w:tab w:val="left" w:pos="284"/>
        </w:tabs>
        <w:jc w:val="both"/>
        <w:rPr>
          <w:sz w:val="22"/>
          <w:szCs w:val="22"/>
          <w:lang w:val="sr-Latn-ME"/>
        </w:rPr>
      </w:pPr>
      <w:r w:rsidRPr="0086063B">
        <w:rPr>
          <w:b/>
          <w:sz w:val="22"/>
          <w:szCs w:val="22"/>
          <w:lang w:val="sr-Latn-ME"/>
        </w:rPr>
        <w:t>Prvi korak – Rekonstitucija konvencionalnih bočica</w:t>
      </w:r>
    </w:p>
    <w:p w14:paraId="38FA658C" w14:textId="1559909D" w:rsidR="008F7D68" w:rsidRPr="0086063B" w:rsidRDefault="008F7D68" w:rsidP="00186EFF">
      <w:pPr>
        <w:tabs>
          <w:tab w:val="left" w:pos="284"/>
        </w:tabs>
        <w:jc w:val="both"/>
        <w:rPr>
          <w:sz w:val="22"/>
          <w:szCs w:val="22"/>
          <w:lang w:val="sr-Latn-ME"/>
        </w:rPr>
      </w:pPr>
      <w:r w:rsidRPr="0086063B">
        <w:rPr>
          <w:sz w:val="22"/>
          <w:szCs w:val="22"/>
          <w:lang w:val="sr-Latn-ME"/>
        </w:rPr>
        <w:t>Da bi se izvršila rekonstitucija praška bočica mora da bude na sobnoj temperaturi. Pod aseptičnim uslovima dodati 10,5 m</w:t>
      </w:r>
      <w:r w:rsidR="00930B8E" w:rsidRPr="0086063B">
        <w:rPr>
          <w:sz w:val="22"/>
          <w:szCs w:val="22"/>
          <w:lang w:val="sr-Latn-ME"/>
        </w:rPr>
        <w:t>l</w:t>
      </w:r>
      <w:r w:rsidRPr="0086063B">
        <w:rPr>
          <w:sz w:val="22"/>
          <w:szCs w:val="22"/>
          <w:lang w:val="sr-Latn-ME"/>
        </w:rPr>
        <w:t xml:space="preserve"> vode za injekcije. Koncentracija tako rekonstituisane bočice biće 7,2 mg/m</w:t>
      </w:r>
      <w:r w:rsidR="00930B8E" w:rsidRPr="0086063B">
        <w:rPr>
          <w:sz w:val="22"/>
          <w:szCs w:val="22"/>
          <w:lang w:val="sr-Latn-ME"/>
        </w:rPr>
        <w:t>l</w:t>
      </w:r>
      <w:r w:rsidRPr="0086063B">
        <w:rPr>
          <w:sz w:val="22"/>
          <w:szCs w:val="22"/>
          <w:lang w:val="sr-Latn-ME"/>
        </w:rPr>
        <w:t>.</w:t>
      </w:r>
    </w:p>
    <w:p w14:paraId="7916767C" w14:textId="77777777" w:rsidR="008F7D68" w:rsidRPr="0086063B" w:rsidRDefault="008F7D68" w:rsidP="00186EFF">
      <w:pPr>
        <w:tabs>
          <w:tab w:val="left" w:pos="284"/>
        </w:tabs>
        <w:jc w:val="both"/>
        <w:rPr>
          <w:sz w:val="22"/>
          <w:szCs w:val="22"/>
          <w:lang w:val="sr-Latn-ME"/>
        </w:rPr>
      </w:pPr>
    </w:p>
    <w:p w14:paraId="6DCC6FF3" w14:textId="77777777" w:rsidR="008F7D68" w:rsidRPr="0086063B" w:rsidRDefault="008F7D68" w:rsidP="00186EFF">
      <w:pPr>
        <w:tabs>
          <w:tab w:val="left" w:pos="284"/>
        </w:tabs>
        <w:jc w:val="both"/>
        <w:rPr>
          <w:sz w:val="22"/>
          <w:szCs w:val="22"/>
          <w:lang w:val="sr-Latn-ME"/>
        </w:rPr>
      </w:pPr>
      <w:r w:rsidRPr="0086063B">
        <w:rPr>
          <w:sz w:val="22"/>
          <w:szCs w:val="22"/>
          <w:lang w:val="sr-Latn-ME"/>
        </w:rPr>
        <w:t>Kompaktni liofilizovani prašak, bijele do skoro bijele boje, potpuno će se rastvoriti. Sadržaj bočice lagano mućkati sve dok se ne dobije bistar rastvor. Izvršiti vizuelni pregled rekonstituisanog rastvora da bi se utvrdilo ima li prisustva stranih čestica (nerastvorenog materijala) ili promjene boje. Ovako rekonstituisani rastvor može da se čuva do 24 sata na temperaturi od 25</w:t>
      </w:r>
      <w:r w:rsidRPr="0086063B">
        <w:rPr>
          <w:bCs/>
          <w:sz w:val="22"/>
          <w:szCs w:val="22"/>
          <w:lang w:val="sr-Latn-ME"/>
        </w:rPr>
        <w:t>°</w:t>
      </w:r>
      <w:r w:rsidRPr="0086063B">
        <w:rPr>
          <w:sz w:val="22"/>
          <w:szCs w:val="22"/>
          <w:lang w:val="sr-Latn-ME"/>
        </w:rPr>
        <w:t>C ili nižoj.</w:t>
      </w:r>
    </w:p>
    <w:p w14:paraId="56EFB5B0" w14:textId="77777777" w:rsidR="008F7D68" w:rsidRPr="0086063B" w:rsidRDefault="008F7D68" w:rsidP="00186EFF">
      <w:pPr>
        <w:tabs>
          <w:tab w:val="left" w:pos="284"/>
        </w:tabs>
        <w:jc w:val="both"/>
        <w:rPr>
          <w:sz w:val="22"/>
          <w:szCs w:val="22"/>
          <w:lang w:val="sr-Latn-ME"/>
        </w:rPr>
      </w:pPr>
    </w:p>
    <w:p w14:paraId="4519F6E1" w14:textId="77777777" w:rsidR="008F7D68" w:rsidRPr="0086063B" w:rsidRDefault="008F7D68" w:rsidP="00186EFF">
      <w:pPr>
        <w:tabs>
          <w:tab w:val="left" w:pos="284"/>
        </w:tabs>
        <w:jc w:val="both"/>
        <w:rPr>
          <w:sz w:val="22"/>
          <w:szCs w:val="22"/>
          <w:lang w:val="sr-Latn-ME"/>
        </w:rPr>
      </w:pPr>
    </w:p>
    <w:p w14:paraId="5C8ADBCE" w14:textId="6765B817" w:rsidR="008F7D68" w:rsidRPr="0086063B" w:rsidRDefault="008F7D68" w:rsidP="00186EFF">
      <w:pPr>
        <w:tabs>
          <w:tab w:val="left" w:pos="284"/>
        </w:tabs>
        <w:jc w:val="both"/>
        <w:rPr>
          <w:sz w:val="22"/>
          <w:szCs w:val="22"/>
          <w:lang w:val="sr-Latn-ME"/>
        </w:rPr>
      </w:pPr>
      <w:r w:rsidRPr="0086063B">
        <w:rPr>
          <w:b/>
          <w:sz w:val="22"/>
          <w:szCs w:val="22"/>
          <w:lang w:val="sr-Latn-ME"/>
        </w:rPr>
        <w:t>Drugi korak – Dodavanje rekonstituisanog lijeka CANCIDAS rastvoru za infuziju koji se daje pacijentu</w:t>
      </w:r>
    </w:p>
    <w:p w14:paraId="561F4EF1" w14:textId="2E37CA84" w:rsidR="008F7D68" w:rsidRPr="0086063B" w:rsidRDefault="008F7D68" w:rsidP="00186EFF">
      <w:pPr>
        <w:tabs>
          <w:tab w:val="left" w:pos="284"/>
        </w:tabs>
        <w:jc w:val="both"/>
        <w:rPr>
          <w:sz w:val="22"/>
          <w:szCs w:val="22"/>
          <w:lang w:val="sr-Latn-ME"/>
        </w:rPr>
      </w:pPr>
      <w:r w:rsidRPr="0086063B">
        <w:rPr>
          <w:sz w:val="22"/>
          <w:szCs w:val="22"/>
          <w:lang w:val="sr-Latn-ME"/>
        </w:rPr>
        <w:t>Finalni rastvor za infuziju priprema se sa sl</w:t>
      </w:r>
      <w:r w:rsidR="00930B8E" w:rsidRPr="0086063B">
        <w:rPr>
          <w:sz w:val="22"/>
          <w:szCs w:val="22"/>
          <w:lang w:val="sr-Latn-ME"/>
        </w:rPr>
        <w:t>j</w:t>
      </w:r>
      <w:r w:rsidRPr="0086063B">
        <w:rPr>
          <w:sz w:val="22"/>
          <w:szCs w:val="22"/>
          <w:lang w:val="sr-Latn-ME"/>
        </w:rPr>
        <w:t>edećim razblaživačima: natrijum</w:t>
      </w:r>
      <w:r w:rsidR="00D065D6" w:rsidRPr="0086063B">
        <w:rPr>
          <w:sz w:val="22"/>
          <w:szCs w:val="22"/>
          <w:lang w:val="sr-Latn-ME"/>
        </w:rPr>
        <w:t xml:space="preserve"> </w:t>
      </w:r>
      <w:r w:rsidRPr="0086063B">
        <w:rPr>
          <w:sz w:val="22"/>
          <w:szCs w:val="22"/>
          <w:lang w:val="sr-Latn-ME"/>
        </w:rPr>
        <w:t>hlorid rastvor za injekciju ili Ringerov rastvor sa laktatom. Rastvor za infuziju priprema se tako što se pod aseptičnim uslovima doda odgovarajuća količina rekonstituisanog koncentrata (kao što je to prikazano na donjoj tabeli) u kesu ili bocu za infuziju od 250 m</w:t>
      </w:r>
      <w:r w:rsidR="00930B8E" w:rsidRPr="0086063B">
        <w:rPr>
          <w:sz w:val="22"/>
          <w:szCs w:val="22"/>
          <w:lang w:val="sr-Latn-ME"/>
        </w:rPr>
        <w:t>l</w:t>
      </w:r>
      <w:r w:rsidRPr="0086063B">
        <w:rPr>
          <w:sz w:val="22"/>
          <w:szCs w:val="22"/>
          <w:lang w:val="sr-Latn-ME"/>
        </w:rPr>
        <w:t>. Kada je to medicinski neophodno, mogu da se koriste i infuzije manjeg volumena od 100 m</w:t>
      </w:r>
      <w:r w:rsidR="00930B8E" w:rsidRPr="0086063B">
        <w:rPr>
          <w:sz w:val="22"/>
          <w:szCs w:val="22"/>
          <w:lang w:val="sr-Latn-ME"/>
        </w:rPr>
        <w:t>l</w:t>
      </w:r>
      <w:r w:rsidRPr="0086063B">
        <w:rPr>
          <w:sz w:val="22"/>
          <w:szCs w:val="22"/>
          <w:lang w:val="sr-Latn-ME"/>
        </w:rPr>
        <w:t xml:space="preserve"> za dnevne doze od 50 mg ili 35 mg. Rastvor ne smije da se koristi ako je mutan ili ako ima talog. </w:t>
      </w:r>
    </w:p>
    <w:p w14:paraId="0A245CFA" w14:textId="77777777" w:rsidR="008F7D68" w:rsidRPr="0086063B" w:rsidRDefault="008F7D68" w:rsidP="00186EFF">
      <w:pPr>
        <w:tabs>
          <w:tab w:val="left" w:pos="284"/>
        </w:tabs>
        <w:jc w:val="both"/>
        <w:rPr>
          <w:sz w:val="22"/>
          <w:szCs w:val="22"/>
          <w:lang w:val="sr-Latn-ME"/>
        </w:rPr>
      </w:pPr>
    </w:p>
    <w:p w14:paraId="43FC43D2" w14:textId="77777777" w:rsidR="00227ECB" w:rsidRPr="0086063B" w:rsidRDefault="00227ECB" w:rsidP="00186EFF">
      <w:pPr>
        <w:tabs>
          <w:tab w:val="left" w:pos="284"/>
        </w:tabs>
        <w:jc w:val="both"/>
        <w:rPr>
          <w:b/>
          <w:sz w:val="22"/>
          <w:szCs w:val="22"/>
          <w:lang w:val="sr-Latn-ME"/>
        </w:rPr>
      </w:pPr>
    </w:p>
    <w:p w14:paraId="300FAC1A" w14:textId="5E3F7870" w:rsidR="008F7D68" w:rsidRPr="0086063B" w:rsidRDefault="008F7D68" w:rsidP="00186EFF">
      <w:pPr>
        <w:tabs>
          <w:tab w:val="left" w:pos="284"/>
        </w:tabs>
        <w:jc w:val="both"/>
        <w:rPr>
          <w:b/>
          <w:sz w:val="22"/>
          <w:szCs w:val="22"/>
          <w:lang w:val="sr-Latn-ME"/>
        </w:rPr>
      </w:pPr>
      <w:r w:rsidRPr="0086063B">
        <w:rPr>
          <w:b/>
          <w:sz w:val="22"/>
          <w:szCs w:val="22"/>
          <w:lang w:val="sr-Latn-ME"/>
        </w:rPr>
        <w:t>PRIPREMA RASTVORA ZA INFUZIJU ZA ODRASLE PACIJENTE</w:t>
      </w:r>
    </w:p>
    <w:p w14:paraId="644A2DA5" w14:textId="77777777" w:rsidR="008F7D68" w:rsidRPr="0086063B" w:rsidRDefault="008F7D68" w:rsidP="00186EFF">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215"/>
        <w:gridCol w:w="2214"/>
        <w:gridCol w:w="2214"/>
      </w:tblGrid>
      <w:tr w:rsidR="008F7D68" w:rsidRPr="0086063B" w14:paraId="3F6A8643" w14:textId="77777777" w:rsidTr="008F7D68">
        <w:tc>
          <w:tcPr>
            <w:tcW w:w="2213" w:type="dxa"/>
            <w:tcBorders>
              <w:top w:val="single" w:sz="4" w:space="0" w:color="auto"/>
              <w:left w:val="single" w:sz="4" w:space="0" w:color="auto"/>
              <w:bottom w:val="single" w:sz="4" w:space="0" w:color="auto"/>
              <w:right w:val="single" w:sz="4" w:space="0" w:color="auto"/>
            </w:tcBorders>
            <w:hideMark/>
          </w:tcPr>
          <w:p w14:paraId="0CC608BB" w14:textId="77777777" w:rsidR="008F7D68" w:rsidRPr="0086063B" w:rsidRDefault="008F7D68" w:rsidP="00186EFF">
            <w:pPr>
              <w:tabs>
                <w:tab w:val="left" w:pos="284"/>
                <w:tab w:val="center" w:pos="4536"/>
                <w:tab w:val="right" w:pos="9072"/>
              </w:tabs>
              <w:ind w:right="65"/>
              <w:jc w:val="both"/>
              <w:rPr>
                <w:b/>
                <w:sz w:val="22"/>
                <w:szCs w:val="22"/>
                <w:lang w:val="sr-Latn-ME"/>
              </w:rPr>
            </w:pPr>
            <w:r w:rsidRPr="0086063B">
              <w:rPr>
                <w:b/>
                <w:sz w:val="22"/>
                <w:szCs w:val="22"/>
                <w:lang w:val="sr-Latn-ME"/>
              </w:rPr>
              <w:t>DOZA*</w:t>
            </w:r>
          </w:p>
        </w:tc>
        <w:tc>
          <w:tcPr>
            <w:tcW w:w="2215" w:type="dxa"/>
            <w:tcBorders>
              <w:top w:val="single" w:sz="4" w:space="0" w:color="auto"/>
              <w:left w:val="single" w:sz="4" w:space="0" w:color="auto"/>
              <w:bottom w:val="single" w:sz="4" w:space="0" w:color="auto"/>
              <w:right w:val="single" w:sz="4" w:space="0" w:color="auto"/>
            </w:tcBorders>
            <w:hideMark/>
          </w:tcPr>
          <w:p w14:paraId="2449B617" w14:textId="77777777" w:rsidR="008F7D68" w:rsidRPr="0086063B" w:rsidRDefault="008F7D68" w:rsidP="00186EFF">
            <w:pPr>
              <w:tabs>
                <w:tab w:val="left" w:pos="284"/>
                <w:tab w:val="center" w:pos="4536"/>
                <w:tab w:val="right" w:pos="9072"/>
              </w:tabs>
              <w:ind w:right="65"/>
              <w:jc w:val="both"/>
              <w:rPr>
                <w:b/>
                <w:sz w:val="22"/>
                <w:szCs w:val="22"/>
                <w:lang w:val="sr-Latn-ME"/>
              </w:rPr>
            </w:pPr>
            <w:r w:rsidRPr="0086063B">
              <w:rPr>
                <w:b/>
                <w:sz w:val="22"/>
                <w:szCs w:val="22"/>
                <w:lang w:val="sr-Latn-ME"/>
              </w:rPr>
              <w:t>Volumen rekonstituisanog lijeka CANCIDAS za prenos u kesu ili bocu za infuziju</w:t>
            </w:r>
          </w:p>
        </w:tc>
        <w:tc>
          <w:tcPr>
            <w:tcW w:w="2214" w:type="dxa"/>
            <w:tcBorders>
              <w:top w:val="single" w:sz="4" w:space="0" w:color="auto"/>
              <w:left w:val="single" w:sz="4" w:space="0" w:color="auto"/>
              <w:bottom w:val="single" w:sz="4" w:space="0" w:color="auto"/>
              <w:right w:val="single" w:sz="4" w:space="0" w:color="auto"/>
            </w:tcBorders>
            <w:hideMark/>
          </w:tcPr>
          <w:p w14:paraId="3ADB6720" w14:textId="2D610285" w:rsidR="008F7D68" w:rsidRPr="0086063B" w:rsidRDefault="008F7D68" w:rsidP="00186EFF">
            <w:pPr>
              <w:tabs>
                <w:tab w:val="left" w:pos="284"/>
                <w:tab w:val="center" w:pos="4536"/>
                <w:tab w:val="right" w:pos="9072"/>
              </w:tabs>
              <w:ind w:right="65"/>
              <w:jc w:val="both"/>
              <w:rPr>
                <w:sz w:val="22"/>
                <w:szCs w:val="22"/>
                <w:lang w:val="sr-Latn-ME"/>
              </w:rPr>
            </w:pPr>
            <w:r w:rsidRPr="0086063B">
              <w:rPr>
                <w:b/>
                <w:sz w:val="22"/>
                <w:szCs w:val="22"/>
                <w:lang w:val="sr-Latn-ME"/>
              </w:rPr>
              <w:t>Standardna priprema</w:t>
            </w:r>
            <w:r w:rsidRPr="0086063B">
              <w:rPr>
                <w:sz w:val="22"/>
                <w:szCs w:val="22"/>
                <w:lang w:val="sr-Latn-ME"/>
              </w:rPr>
              <w:t xml:space="preserve"> (rekonstituisani lijek CANCIDAS dodat u 250 m</w:t>
            </w:r>
            <w:r w:rsidR="00930B8E" w:rsidRPr="0086063B">
              <w:rPr>
                <w:sz w:val="22"/>
                <w:szCs w:val="22"/>
                <w:lang w:val="sr-Latn-ME"/>
              </w:rPr>
              <w:t>l</w:t>
            </w:r>
            <w:r w:rsidRPr="0086063B">
              <w:rPr>
                <w:sz w:val="22"/>
                <w:szCs w:val="22"/>
                <w:lang w:val="sr-Latn-ME"/>
              </w:rPr>
              <w:t>), finalna koncentracija</w:t>
            </w:r>
          </w:p>
        </w:tc>
        <w:tc>
          <w:tcPr>
            <w:tcW w:w="2214" w:type="dxa"/>
            <w:tcBorders>
              <w:top w:val="single" w:sz="4" w:space="0" w:color="auto"/>
              <w:left w:val="single" w:sz="4" w:space="0" w:color="auto"/>
              <w:bottom w:val="single" w:sz="4" w:space="0" w:color="auto"/>
              <w:right w:val="single" w:sz="4" w:space="0" w:color="auto"/>
            </w:tcBorders>
            <w:hideMark/>
          </w:tcPr>
          <w:p w14:paraId="0E0FF724" w14:textId="77777777" w:rsidR="008F7D68" w:rsidRPr="0086063B" w:rsidRDefault="008F7D68" w:rsidP="00186EFF">
            <w:pPr>
              <w:tabs>
                <w:tab w:val="left" w:pos="284"/>
                <w:tab w:val="center" w:pos="4536"/>
                <w:tab w:val="right" w:pos="9072"/>
              </w:tabs>
              <w:ind w:right="65"/>
              <w:jc w:val="both"/>
              <w:rPr>
                <w:b/>
                <w:sz w:val="22"/>
                <w:szCs w:val="22"/>
                <w:lang w:val="sr-Latn-ME"/>
              </w:rPr>
            </w:pPr>
            <w:r w:rsidRPr="0086063B">
              <w:rPr>
                <w:b/>
                <w:sz w:val="22"/>
                <w:szCs w:val="22"/>
                <w:lang w:val="sr-Latn-ME"/>
              </w:rPr>
              <w:t>Smanjeni volumen infuzije</w:t>
            </w:r>
          </w:p>
          <w:p w14:paraId="1588E29E" w14:textId="7DAA769D"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(rekonstituisani lijek CANCIDAS dodat u 100 m</w:t>
            </w:r>
            <w:r w:rsidR="00930B8E" w:rsidRPr="0086063B">
              <w:rPr>
                <w:sz w:val="22"/>
                <w:szCs w:val="22"/>
                <w:lang w:val="sr-Latn-ME"/>
              </w:rPr>
              <w:t>l</w:t>
            </w:r>
            <w:r w:rsidRPr="0086063B">
              <w:rPr>
                <w:sz w:val="22"/>
                <w:szCs w:val="22"/>
                <w:lang w:val="sr-Latn-ME"/>
              </w:rPr>
              <w:t>), finalna koncentracija</w:t>
            </w:r>
          </w:p>
        </w:tc>
      </w:tr>
      <w:tr w:rsidR="008F7D68" w:rsidRPr="0086063B" w14:paraId="146A5A0D" w14:textId="77777777" w:rsidTr="008F7D68">
        <w:tc>
          <w:tcPr>
            <w:tcW w:w="2213" w:type="dxa"/>
            <w:tcBorders>
              <w:top w:val="single" w:sz="4" w:space="0" w:color="auto"/>
              <w:left w:val="single" w:sz="4" w:space="0" w:color="auto"/>
              <w:bottom w:val="single" w:sz="4" w:space="0" w:color="auto"/>
              <w:right w:val="single" w:sz="4" w:space="0" w:color="auto"/>
            </w:tcBorders>
            <w:hideMark/>
          </w:tcPr>
          <w:p w14:paraId="74ADA163" w14:textId="77777777"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70 mg</w:t>
            </w:r>
          </w:p>
        </w:tc>
        <w:tc>
          <w:tcPr>
            <w:tcW w:w="2215" w:type="dxa"/>
            <w:tcBorders>
              <w:top w:val="single" w:sz="4" w:space="0" w:color="auto"/>
              <w:left w:val="single" w:sz="4" w:space="0" w:color="auto"/>
              <w:bottom w:val="single" w:sz="4" w:space="0" w:color="auto"/>
              <w:right w:val="single" w:sz="4" w:space="0" w:color="auto"/>
            </w:tcBorders>
            <w:hideMark/>
          </w:tcPr>
          <w:p w14:paraId="44154621" w14:textId="0F955E1F"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10 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hideMark/>
          </w:tcPr>
          <w:p w14:paraId="7F3040DE" w14:textId="7048931E"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0,28 mg/m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hideMark/>
          </w:tcPr>
          <w:p w14:paraId="79357F87" w14:textId="77777777"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Ne preporučuje se</w:t>
            </w:r>
          </w:p>
        </w:tc>
      </w:tr>
      <w:tr w:rsidR="008F7D68" w:rsidRPr="0086063B" w14:paraId="548D3CD0" w14:textId="77777777" w:rsidTr="008F7D68">
        <w:tc>
          <w:tcPr>
            <w:tcW w:w="2213" w:type="dxa"/>
            <w:tcBorders>
              <w:top w:val="single" w:sz="4" w:space="0" w:color="auto"/>
              <w:left w:val="single" w:sz="4" w:space="0" w:color="auto"/>
              <w:bottom w:val="single" w:sz="4" w:space="0" w:color="auto"/>
              <w:right w:val="single" w:sz="4" w:space="0" w:color="auto"/>
            </w:tcBorders>
            <w:hideMark/>
          </w:tcPr>
          <w:p w14:paraId="4F0D6FE0" w14:textId="77777777" w:rsidR="008F7D68" w:rsidRPr="0086063B" w:rsidRDefault="008F7D68" w:rsidP="00186EFF">
            <w:pPr>
              <w:tabs>
                <w:tab w:val="center" w:pos="4536"/>
                <w:tab w:val="right" w:pos="9072"/>
              </w:tabs>
              <w:ind w:right="65"/>
              <w:jc w:val="both"/>
              <w:rPr>
                <w:sz w:val="22"/>
                <w:szCs w:val="22"/>
                <w:lang w:val="sr-Latn-ME"/>
              </w:rPr>
            </w:pPr>
            <w:r w:rsidRPr="0086063B">
              <w:rPr>
                <w:sz w:val="22"/>
                <w:szCs w:val="22"/>
                <w:lang w:val="sr-Latn-ME"/>
              </w:rPr>
              <w:t>70 mg</w:t>
            </w:r>
          </w:p>
          <w:p w14:paraId="5189C555" w14:textId="54E3ADC5"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(iz dv</w:t>
            </w:r>
            <w:r w:rsidR="00930B8E" w:rsidRPr="0086063B">
              <w:rPr>
                <w:sz w:val="22"/>
                <w:szCs w:val="22"/>
                <w:lang w:val="sr-Latn-ME"/>
              </w:rPr>
              <w:t>ij</w:t>
            </w:r>
            <w:r w:rsidRPr="0086063B">
              <w:rPr>
                <w:sz w:val="22"/>
                <w:szCs w:val="22"/>
                <w:lang w:val="sr-Latn-ME"/>
              </w:rPr>
              <w:t>e bočice od 50 mg)**</w:t>
            </w:r>
          </w:p>
        </w:tc>
        <w:tc>
          <w:tcPr>
            <w:tcW w:w="2215" w:type="dxa"/>
            <w:tcBorders>
              <w:top w:val="single" w:sz="4" w:space="0" w:color="auto"/>
              <w:left w:val="single" w:sz="4" w:space="0" w:color="auto"/>
              <w:bottom w:val="single" w:sz="4" w:space="0" w:color="auto"/>
              <w:right w:val="single" w:sz="4" w:space="0" w:color="auto"/>
            </w:tcBorders>
          </w:tcPr>
          <w:p w14:paraId="2D64295E" w14:textId="77777777" w:rsidR="008F7D68" w:rsidRPr="0086063B" w:rsidRDefault="008F7D68" w:rsidP="00186EFF">
            <w:pPr>
              <w:tabs>
                <w:tab w:val="left" w:pos="284"/>
                <w:tab w:val="center" w:pos="4536"/>
                <w:tab w:val="right" w:pos="9072"/>
              </w:tabs>
              <w:ind w:right="65"/>
              <w:jc w:val="both"/>
              <w:rPr>
                <w:sz w:val="22"/>
                <w:szCs w:val="22"/>
                <w:lang w:val="sr-Latn-ME"/>
              </w:rPr>
            </w:pPr>
          </w:p>
          <w:p w14:paraId="7693CCAB" w14:textId="2B40C728"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14 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tcPr>
          <w:p w14:paraId="1F1FADF1" w14:textId="77777777" w:rsidR="008F7D68" w:rsidRPr="0086063B" w:rsidRDefault="008F7D68" w:rsidP="00186EFF">
            <w:pPr>
              <w:tabs>
                <w:tab w:val="left" w:pos="284"/>
                <w:tab w:val="center" w:pos="4536"/>
                <w:tab w:val="right" w:pos="9072"/>
              </w:tabs>
              <w:ind w:right="65"/>
              <w:jc w:val="both"/>
              <w:rPr>
                <w:sz w:val="22"/>
                <w:szCs w:val="22"/>
                <w:lang w:val="sr-Latn-ME"/>
              </w:rPr>
            </w:pPr>
          </w:p>
          <w:p w14:paraId="1D60A6BB" w14:textId="6F251AAD"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0,28 mg/m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tcPr>
          <w:p w14:paraId="1FE925E8" w14:textId="77777777" w:rsidR="008F7D68" w:rsidRPr="0086063B" w:rsidRDefault="008F7D68" w:rsidP="00186EFF">
            <w:pPr>
              <w:tabs>
                <w:tab w:val="left" w:pos="284"/>
                <w:tab w:val="center" w:pos="4536"/>
                <w:tab w:val="right" w:pos="9072"/>
              </w:tabs>
              <w:ind w:right="65"/>
              <w:jc w:val="both"/>
              <w:rPr>
                <w:sz w:val="22"/>
                <w:szCs w:val="22"/>
                <w:lang w:val="sr-Latn-ME"/>
              </w:rPr>
            </w:pPr>
          </w:p>
          <w:p w14:paraId="4E60042E" w14:textId="77777777"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Ne preporučuje se</w:t>
            </w:r>
          </w:p>
        </w:tc>
      </w:tr>
      <w:tr w:rsidR="008F7D68" w:rsidRPr="0086063B" w14:paraId="31273A1F" w14:textId="77777777" w:rsidTr="008F7D68">
        <w:tc>
          <w:tcPr>
            <w:tcW w:w="2213" w:type="dxa"/>
            <w:tcBorders>
              <w:top w:val="single" w:sz="4" w:space="0" w:color="auto"/>
              <w:left w:val="single" w:sz="4" w:space="0" w:color="auto"/>
              <w:bottom w:val="single" w:sz="4" w:space="0" w:color="auto"/>
              <w:right w:val="single" w:sz="4" w:space="0" w:color="auto"/>
            </w:tcBorders>
            <w:hideMark/>
          </w:tcPr>
          <w:p w14:paraId="4962EB2D" w14:textId="77777777"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35 mg za pacijente sa umjerenom insuficijencijom jetre (iz jedne bočice od 70 mg)</w:t>
            </w:r>
          </w:p>
        </w:tc>
        <w:tc>
          <w:tcPr>
            <w:tcW w:w="2215" w:type="dxa"/>
            <w:tcBorders>
              <w:top w:val="single" w:sz="4" w:space="0" w:color="auto"/>
              <w:left w:val="single" w:sz="4" w:space="0" w:color="auto"/>
              <w:bottom w:val="single" w:sz="4" w:space="0" w:color="auto"/>
              <w:right w:val="single" w:sz="4" w:space="0" w:color="auto"/>
            </w:tcBorders>
          </w:tcPr>
          <w:p w14:paraId="72E50199" w14:textId="77777777" w:rsidR="008F7D68" w:rsidRPr="0086063B" w:rsidRDefault="008F7D68" w:rsidP="00186EFF">
            <w:pPr>
              <w:tabs>
                <w:tab w:val="left" w:pos="284"/>
                <w:tab w:val="center" w:pos="4536"/>
                <w:tab w:val="right" w:pos="9072"/>
              </w:tabs>
              <w:ind w:right="65"/>
              <w:jc w:val="both"/>
              <w:rPr>
                <w:sz w:val="22"/>
                <w:szCs w:val="22"/>
                <w:lang w:val="sr-Latn-ME"/>
              </w:rPr>
            </w:pPr>
          </w:p>
          <w:p w14:paraId="567B4C22" w14:textId="77777777" w:rsidR="008F7D68" w:rsidRPr="0086063B" w:rsidRDefault="008F7D68" w:rsidP="00186EFF">
            <w:pPr>
              <w:tabs>
                <w:tab w:val="left" w:pos="284"/>
                <w:tab w:val="center" w:pos="4536"/>
                <w:tab w:val="right" w:pos="9072"/>
              </w:tabs>
              <w:ind w:right="65"/>
              <w:jc w:val="both"/>
              <w:rPr>
                <w:sz w:val="22"/>
                <w:szCs w:val="22"/>
                <w:lang w:val="sr-Latn-ME"/>
              </w:rPr>
            </w:pPr>
          </w:p>
          <w:p w14:paraId="53249070" w14:textId="7D7D542F"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5 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tcPr>
          <w:p w14:paraId="3CC5FB98" w14:textId="77777777" w:rsidR="008F7D68" w:rsidRPr="0086063B" w:rsidRDefault="008F7D68" w:rsidP="00186EFF">
            <w:pPr>
              <w:tabs>
                <w:tab w:val="left" w:pos="284"/>
                <w:tab w:val="center" w:pos="4536"/>
                <w:tab w:val="right" w:pos="9072"/>
              </w:tabs>
              <w:ind w:right="65"/>
              <w:jc w:val="both"/>
              <w:rPr>
                <w:sz w:val="22"/>
                <w:szCs w:val="22"/>
                <w:lang w:val="sr-Latn-ME"/>
              </w:rPr>
            </w:pPr>
          </w:p>
          <w:p w14:paraId="1251C712" w14:textId="77777777" w:rsidR="008F7D68" w:rsidRPr="0086063B" w:rsidRDefault="008F7D68" w:rsidP="00186EFF">
            <w:pPr>
              <w:tabs>
                <w:tab w:val="left" w:pos="284"/>
                <w:tab w:val="center" w:pos="4536"/>
                <w:tab w:val="right" w:pos="9072"/>
              </w:tabs>
              <w:ind w:right="65"/>
              <w:jc w:val="both"/>
              <w:rPr>
                <w:sz w:val="22"/>
                <w:szCs w:val="22"/>
                <w:lang w:val="sr-Latn-ME"/>
              </w:rPr>
            </w:pPr>
          </w:p>
          <w:p w14:paraId="664EB0A3" w14:textId="4C137A4C"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0,14 mg/m</w:t>
            </w:r>
            <w:r w:rsidR="00930B8E" w:rsidRPr="0086063B">
              <w:rPr>
                <w:sz w:val="22"/>
                <w:szCs w:val="22"/>
                <w:lang w:val="sr-Latn-ME"/>
              </w:rPr>
              <w:t>l</w:t>
            </w:r>
          </w:p>
        </w:tc>
        <w:tc>
          <w:tcPr>
            <w:tcW w:w="2214" w:type="dxa"/>
            <w:tcBorders>
              <w:top w:val="single" w:sz="4" w:space="0" w:color="auto"/>
              <w:left w:val="single" w:sz="4" w:space="0" w:color="auto"/>
              <w:bottom w:val="single" w:sz="4" w:space="0" w:color="auto"/>
              <w:right w:val="single" w:sz="4" w:space="0" w:color="auto"/>
            </w:tcBorders>
          </w:tcPr>
          <w:p w14:paraId="73DB58C5" w14:textId="77777777" w:rsidR="008F7D68" w:rsidRPr="0086063B" w:rsidRDefault="008F7D68" w:rsidP="00186EFF">
            <w:pPr>
              <w:tabs>
                <w:tab w:val="left" w:pos="284"/>
                <w:tab w:val="center" w:pos="4536"/>
                <w:tab w:val="right" w:pos="9072"/>
              </w:tabs>
              <w:ind w:right="65"/>
              <w:jc w:val="both"/>
              <w:rPr>
                <w:sz w:val="22"/>
                <w:szCs w:val="22"/>
                <w:lang w:val="sr-Latn-ME"/>
              </w:rPr>
            </w:pPr>
          </w:p>
          <w:p w14:paraId="40E96B90" w14:textId="77777777" w:rsidR="008F7D68" w:rsidRPr="0086063B" w:rsidRDefault="008F7D68" w:rsidP="00186EFF">
            <w:pPr>
              <w:tabs>
                <w:tab w:val="left" w:pos="284"/>
                <w:tab w:val="center" w:pos="4536"/>
                <w:tab w:val="right" w:pos="9072"/>
              </w:tabs>
              <w:ind w:right="65"/>
              <w:jc w:val="both"/>
              <w:rPr>
                <w:sz w:val="22"/>
                <w:szCs w:val="22"/>
                <w:lang w:val="sr-Latn-ME"/>
              </w:rPr>
            </w:pPr>
          </w:p>
          <w:p w14:paraId="55D03FAA" w14:textId="22478CC1" w:rsidR="008F7D68" w:rsidRPr="0086063B" w:rsidRDefault="008F7D68" w:rsidP="00186EFF">
            <w:pPr>
              <w:tabs>
                <w:tab w:val="left" w:pos="284"/>
                <w:tab w:val="center" w:pos="4536"/>
                <w:tab w:val="right" w:pos="9072"/>
              </w:tabs>
              <w:ind w:right="65"/>
              <w:jc w:val="both"/>
              <w:rPr>
                <w:sz w:val="22"/>
                <w:szCs w:val="22"/>
                <w:lang w:val="sr-Latn-ME"/>
              </w:rPr>
            </w:pPr>
            <w:r w:rsidRPr="0086063B">
              <w:rPr>
                <w:sz w:val="22"/>
                <w:szCs w:val="22"/>
                <w:lang w:val="sr-Latn-ME"/>
              </w:rPr>
              <w:t>0,34 mg/m</w:t>
            </w:r>
            <w:r w:rsidR="00930B8E" w:rsidRPr="0086063B">
              <w:rPr>
                <w:sz w:val="22"/>
                <w:szCs w:val="22"/>
                <w:lang w:val="sr-Latn-ME"/>
              </w:rPr>
              <w:t>l</w:t>
            </w:r>
          </w:p>
        </w:tc>
      </w:tr>
    </w:tbl>
    <w:p w14:paraId="48ED772D" w14:textId="2DEF851B" w:rsidR="008F7D68" w:rsidRPr="0086063B" w:rsidRDefault="008F7D68" w:rsidP="00186EFF">
      <w:pPr>
        <w:tabs>
          <w:tab w:val="left" w:pos="284"/>
        </w:tabs>
        <w:jc w:val="both"/>
        <w:rPr>
          <w:sz w:val="22"/>
          <w:szCs w:val="22"/>
          <w:lang w:val="sr-Latn-ME"/>
        </w:rPr>
      </w:pPr>
      <w:r w:rsidRPr="0086063B">
        <w:rPr>
          <w:sz w:val="22"/>
          <w:szCs w:val="22"/>
          <w:lang w:val="sr-Latn-ME"/>
        </w:rPr>
        <w:t>*10,5 m</w:t>
      </w:r>
      <w:r w:rsidR="00930B8E" w:rsidRPr="0086063B">
        <w:rPr>
          <w:sz w:val="22"/>
          <w:szCs w:val="22"/>
          <w:lang w:val="sr-Latn-ME"/>
        </w:rPr>
        <w:t>l</w:t>
      </w:r>
      <w:r w:rsidRPr="0086063B">
        <w:rPr>
          <w:sz w:val="22"/>
          <w:szCs w:val="22"/>
          <w:lang w:val="sr-Latn-ME"/>
        </w:rPr>
        <w:t xml:space="preserve"> se mora koristiti za rekonstituciju svih bočica.</w:t>
      </w:r>
    </w:p>
    <w:p w14:paraId="5901D0DD" w14:textId="77777777" w:rsidR="008F7D68" w:rsidRPr="0086063B" w:rsidRDefault="008F7D68" w:rsidP="00186EFF">
      <w:pPr>
        <w:tabs>
          <w:tab w:val="left" w:pos="284"/>
        </w:tabs>
        <w:jc w:val="both"/>
        <w:rPr>
          <w:sz w:val="22"/>
          <w:szCs w:val="22"/>
          <w:lang w:val="sr-Latn-ME"/>
        </w:rPr>
      </w:pPr>
      <w:r w:rsidRPr="0086063B">
        <w:rPr>
          <w:sz w:val="22"/>
          <w:szCs w:val="22"/>
          <w:lang w:val="sr-Latn-ME"/>
        </w:rPr>
        <w:t>**Ukoliko se na raspolaganju ne nalazi bočica od 70 mg, doza od 70 mg može da se pripremi iz dvije bočice od 50 mg.</w:t>
      </w:r>
    </w:p>
    <w:p w14:paraId="35B68E1F" w14:textId="77777777" w:rsidR="008F7D68" w:rsidRPr="0086063B" w:rsidRDefault="008F7D68" w:rsidP="00186EFF">
      <w:pPr>
        <w:tabs>
          <w:tab w:val="left" w:pos="284"/>
        </w:tabs>
        <w:jc w:val="both"/>
        <w:rPr>
          <w:sz w:val="22"/>
          <w:szCs w:val="22"/>
          <w:lang w:val="sr-Latn-ME"/>
        </w:rPr>
      </w:pPr>
    </w:p>
    <w:p w14:paraId="3776FAF4" w14:textId="77777777" w:rsidR="008F7D68" w:rsidRPr="0086063B" w:rsidRDefault="008F7D68" w:rsidP="00186EFF">
      <w:pPr>
        <w:tabs>
          <w:tab w:val="left" w:pos="284"/>
        </w:tabs>
        <w:jc w:val="both"/>
        <w:rPr>
          <w:sz w:val="22"/>
          <w:szCs w:val="22"/>
          <w:lang w:val="sr-Latn-ME"/>
        </w:rPr>
      </w:pPr>
      <w:r w:rsidRPr="0086063B">
        <w:rPr>
          <w:b/>
          <w:sz w:val="22"/>
          <w:szCs w:val="22"/>
          <w:lang w:val="sr-Latn-ME"/>
        </w:rPr>
        <w:t>UPUTSTVO ZA UPOTREBU KOD PEDIJATRIJSKIH PACIJENATA</w:t>
      </w:r>
    </w:p>
    <w:p w14:paraId="374FF473" w14:textId="77777777" w:rsidR="008F7D68" w:rsidRPr="0086063B" w:rsidRDefault="008F7D68" w:rsidP="00186EFF">
      <w:pPr>
        <w:tabs>
          <w:tab w:val="left" w:pos="284"/>
        </w:tabs>
        <w:jc w:val="both"/>
        <w:rPr>
          <w:sz w:val="22"/>
          <w:szCs w:val="22"/>
          <w:lang w:val="sr-Latn-ME"/>
        </w:rPr>
      </w:pPr>
    </w:p>
    <w:p w14:paraId="11619E58" w14:textId="2034F1DA" w:rsidR="008F7D68" w:rsidRPr="0086063B" w:rsidRDefault="008F7D68" w:rsidP="00186EFF">
      <w:pPr>
        <w:tabs>
          <w:tab w:val="left" w:pos="284"/>
        </w:tabs>
        <w:ind w:right="65"/>
        <w:jc w:val="both"/>
        <w:rPr>
          <w:i/>
          <w:sz w:val="22"/>
          <w:szCs w:val="22"/>
          <w:u w:val="single"/>
          <w:lang w:val="sr-Latn-ME"/>
        </w:rPr>
      </w:pPr>
      <w:r w:rsidRPr="0086063B">
        <w:rPr>
          <w:i/>
          <w:sz w:val="22"/>
          <w:szCs w:val="22"/>
          <w:u w:val="single"/>
          <w:lang w:val="sr-Latn-ME"/>
        </w:rPr>
        <w:t>Izračunavanje površine tijela (BSA) za određivanje doza za d</w:t>
      </w:r>
      <w:r w:rsidR="007D49A0" w:rsidRPr="0086063B">
        <w:rPr>
          <w:i/>
          <w:sz w:val="22"/>
          <w:szCs w:val="22"/>
          <w:u w:val="single"/>
          <w:lang w:val="sr-Latn-ME"/>
        </w:rPr>
        <w:t>j</w:t>
      </w:r>
      <w:r w:rsidRPr="0086063B">
        <w:rPr>
          <w:i/>
          <w:sz w:val="22"/>
          <w:szCs w:val="22"/>
          <w:u w:val="single"/>
          <w:lang w:val="sr-Latn-ME"/>
        </w:rPr>
        <w:t>ecu</w:t>
      </w:r>
    </w:p>
    <w:p w14:paraId="69046325" w14:textId="783DE482" w:rsidR="008F7D68" w:rsidRPr="0086063B" w:rsidRDefault="008F7D68" w:rsidP="00186EFF">
      <w:pPr>
        <w:tabs>
          <w:tab w:val="left" w:pos="284"/>
        </w:tabs>
        <w:ind w:right="65"/>
        <w:jc w:val="both"/>
        <w:rPr>
          <w:bCs/>
          <w:sz w:val="22"/>
          <w:szCs w:val="22"/>
          <w:lang w:val="sr-Latn-ME"/>
        </w:rPr>
      </w:pPr>
      <w:r w:rsidRPr="0086063B">
        <w:rPr>
          <w:bCs/>
          <w:sz w:val="22"/>
          <w:szCs w:val="22"/>
          <w:lang w:val="sr-Latn-ME"/>
        </w:rPr>
        <w:t>Pr</w:t>
      </w:r>
      <w:r w:rsidR="00930B8E" w:rsidRPr="0086063B">
        <w:rPr>
          <w:bCs/>
          <w:sz w:val="22"/>
          <w:szCs w:val="22"/>
          <w:lang w:val="sr-Latn-ME"/>
        </w:rPr>
        <w:t>ij</w:t>
      </w:r>
      <w:r w:rsidRPr="0086063B">
        <w:rPr>
          <w:bCs/>
          <w:sz w:val="22"/>
          <w:szCs w:val="22"/>
          <w:lang w:val="sr-Latn-ME"/>
        </w:rPr>
        <w:t>e pripreme infuzije izračunati površinu t</w:t>
      </w:r>
      <w:r w:rsidR="00930B8E" w:rsidRPr="0086063B">
        <w:rPr>
          <w:bCs/>
          <w:sz w:val="22"/>
          <w:szCs w:val="22"/>
          <w:lang w:val="sr-Latn-ME"/>
        </w:rPr>
        <w:t>ij</w:t>
      </w:r>
      <w:r w:rsidRPr="0086063B">
        <w:rPr>
          <w:bCs/>
          <w:sz w:val="22"/>
          <w:szCs w:val="22"/>
          <w:lang w:val="sr-Latn-ME"/>
        </w:rPr>
        <w:t>ela (BSA) pacijenta pomoću sljedeće formule (Mosteller-ova formula):</w:t>
      </w:r>
    </w:p>
    <w:p w14:paraId="685C5FBA" w14:textId="77777777" w:rsidR="008F7D68" w:rsidRPr="0086063B" w:rsidRDefault="008F7D68" w:rsidP="00186EFF">
      <w:pPr>
        <w:tabs>
          <w:tab w:val="left" w:pos="284"/>
        </w:tabs>
        <w:ind w:right="65"/>
        <w:jc w:val="both"/>
        <w:rPr>
          <w:bCs/>
          <w:sz w:val="22"/>
          <w:szCs w:val="22"/>
          <w:lang w:val="sr-Latn-ME"/>
        </w:rPr>
      </w:pPr>
      <w:r w:rsidRPr="0086063B">
        <w:rPr>
          <w:bCs/>
          <w:noProof/>
          <w:sz w:val="22"/>
          <w:szCs w:val="22"/>
        </w:rPr>
        <mc:AlternateContent>
          <mc:Choice Requires="wps">
            <w:drawing>
              <wp:anchor distT="0" distB="0" distL="114300" distR="114300" simplePos="0" relativeHeight="251663360" behindDoc="0" locked="0" layoutInCell="1" allowOverlap="1" wp14:anchorId="11A3E0CE" wp14:editId="56F3F60F">
                <wp:simplePos x="0" y="0"/>
                <wp:positionH relativeFrom="column">
                  <wp:posOffset>800100</wp:posOffset>
                </wp:positionH>
                <wp:positionV relativeFrom="paragraph">
                  <wp:posOffset>144145</wp:posOffset>
                </wp:positionV>
                <wp:extent cx="1828800" cy="0"/>
                <wp:effectExtent l="10795" t="13335" r="825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F733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35pt" to="2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"/>
            </w:pict>
          </mc:Fallback>
        </mc:AlternateContent>
      </w:r>
    </w:p>
    <w:p w14:paraId="3AD141E1" w14:textId="77777777" w:rsidR="008F7D68" w:rsidRPr="0086063B" w:rsidRDefault="008F7D68" w:rsidP="00186EFF">
      <w:pPr>
        <w:tabs>
          <w:tab w:val="left" w:pos="284"/>
        </w:tabs>
        <w:ind w:right="65"/>
        <w:jc w:val="both"/>
        <w:rPr>
          <w:bCs/>
          <w:sz w:val="22"/>
          <w:szCs w:val="22"/>
          <w:lang w:val="sr-Latn-ME"/>
        </w:rPr>
      </w:pPr>
      <w:r w:rsidRPr="0086063B">
        <w:rPr>
          <w:bCs/>
          <w:noProof/>
          <w:sz w:val="22"/>
          <w:szCs w:val="22"/>
        </w:rPr>
        <mc:AlternateContent>
          <mc:Choice Requires="wps">
            <w:drawing>
              <wp:anchor distT="0" distB="0" distL="114300" distR="114300" simplePos="0" relativeHeight="251662336" behindDoc="0" locked="0" layoutInCell="1" allowOverlap="1" wp14:anchorId="68337244" wp14:editId="18B38C39">
                <wp:simplePos x="0" y="0"/>
                <wp:positionH relativeFrom="column">
                  <wp:posOffset>114300</wp:posOffset>
                </wp:positionH>
                <wp:positionV relativeFrom="paragraph">
                  <wp:posOffset>247650</wp:posOffset>
                </wp:positionV>
                <wp:extent cx="0" cy="0"/>
                <wp:effectExtent l="10795" t="10795" r="825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C59B2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"/>
            </w:pict>
          </mc:Fallback>
        </mc:AlternateContent>
      </w:r>
      <w:r w:rsidRPr="0086063B">
        <w:rPr>
          <w:bCs/>
          <w:sz w:val="22"/>
          <w:szCs w:val="22"/>
          <w:lang w:val="sr-Latn-ME"/>
        </w:rPr>
        <w:t>BSA (m</w:t>
      </w:r>
      <w:r w:rsidRPr="0086063B">
        <w:rPr>
          <w:bCs/>
          <w:sz w:val="22"/>
          <w:szCs w:val="22"/>
          <w:vertAlign w:val="superscript"/>
          <w:lang w:val="sr-Latn-ME"/>
        </w:rPr>
        <w:t>2</w:t>
      </w:r>
      <w:r w:rsidRPr="0086063B">
        <w:rPr>
          <w:bCs/>
          <w:sz w:val="22"/>
          <w:szCs w:val="22"/>
          <w:lang w:val="sr-Latn-ME"/>
        </w:rPr>
        <w:t xml:space="preserve">) = </w:t>
      </w:r>
      <w:r w:rsidRPr="0086063B">
        <w:rPr>
          <w:bCs/>
          <w:sz w:val="22"/>
          <w:szCs w:val="22"/>
          <w:lang w:val="sr-Latn-ME"/>
        </w:rPr>
        <w:sym w:font="Symbol" w:char="F0D6"/>
      </w:r>
      <w:r w:rsidRPr="0086063B">
        <w:rPr>
          <w:bCs/>
          <w:sz w:val="22"/>
          <w:szCs w:val="22"/>
          <w:lang w:val="sr-Latn-ME"/>
        </w:rPr>
        <w:t>Visina (cm) × Masa (kg)/3600</w:t>
      </w:r>
    </w:p>
    <w:p w14:paraId="08D93061" w14:textId="7777777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 xml:space="preserve">                  </w:t>
      </w:r>
    </w:p>
    <w:p w14:paraId="0F21B256" w14:textId="7777777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 xml:space="preserve">                      </w:t>
      </w:r>
    </w:p>
    <w:p w14:paraId="1AC35075" w14:textId="77777777" w:rsidR="008F7D68" w:rsidRPr="0086063B" w:rsidRDefault="008F7D68" w:rsidP="00186EFF">
      <w:pPr>
        <w:tabs>
          <w:tab w:val="left" w:pos="284"/>
        </w:tabs>
        <w:ind w:right="65"/>
        <w:jc w:val="both"/>
        <w:rPr>
          <w:b/>
          <w:bCs/>
          <w:sz w:val="22"/>
          <w:szCs w:val="22"/>
          <w:lang w:val="sr-Latn-ME"/>
        </w:rPr>
      </w:pPr>
    </w:p>
    <w:p w14:paraId="51F2495B" w14:textId="77777777" w:rsidR="008F7D68" w:rsidRPr="0086063B" w:rsidRDefault="008F7D68" w:rsidP="00186EFF">
      <w:pPr>
        <w:tabs>
          <w:tab w:val="left" w:pos="284"/>
        </w:tabs>
        <w:ind w:right="65"/>
        <w:jc w:val="both"/>
        <w:rPr>
          <w:b/>
          <w:bCs/>
          <w:i/>
          <w:sz w:val="22"/>
          <w:szCs w:val="22"/>
          <w:u w:val="single"/>
          <w:lang w:val="sr-Latn-ME"/>
        </w:rPr>
      </w:pPr>
      <w:r w:rsidRPr="0086063B">
        <w:rPr>
          <w:b/>
          <w:bCs/>
          <w:i/>
          <w:sz w:val="22"/>
          <w:szCs w:val="22"/>
          <w:u w:val="single"/>
          <w:lang w:val="sr-Latn-ME"/>
        </w:rPr>
        <w:t>Priprema infuzije od 70 mg/m</w:t>
      </w:r>
      <w:r w:rsidRPr="0086063B">
        <w:rPr>
          <w:b/>
          <w:bCs/>
          <w:i/>
          <w:sz w:val="22"/>
          <w:szCs w:val="22"/>
          <w:u w:val="single"/>
          <w:vertAlign w:val="superscript"/>
          <w:lang w:val="sr-Latn-ME"/>
        </w:rPr>
        <w:t>2</w:t>
      </w:r>
      <w:r w:rsidRPr="0086063B">
        <w:rPr>
          <w:b/>
          <w:bCs/>
          <w:i/>
          <w:sz w:val="22"/>
          <w:szCs w:val="22"/>
          <w:u w:val="single"/>
          <w:lang w:val="sr-Latn-ME"/>
        </w:rPr>
        <w:t xml:space="preserve"> za pedijatrijske pacijente uzrasta </w:t>
      </w:r>
      <w:r w:rsidRPr="0086063B">
        <w:rPr>
          <w:b/>
          <w:bCs/>
          <w:i/>
          <w:sz w:val="22"/>
          <w:szCs w:val="22"/>
          <w:u w:val="single"/>
          <w:lang w:val="sr-Latn-ME"/>
        </w:rPr>
        <w:sym w:font="Symbol" w:char="F03E"/>
      </w:r>
      <w:r w:rsidRPr="0086063B">
        <w:rPr>
          <w:b/>
          <w:bCs/>
          <w:i/>
          <w:sz w:val="22"/>
          <w:szCs w:val="22"/>
          <w:u w:val="single"/>
          <w:lang w:val="sr-Latn-ME"/>
        </w:rPr>
        <w:t xml:space="preserve"> 3 mjeseca (korišćenjem bočice od 70 mg):</w:t>
      </w:r>
    </w:p>
    <w:p w14:paraId="56F51261" w14:textId="1941A2B5" w:rsidR="008F7D68" w:rsidRPr="0086063B" w:rsidRDefault="008F7D68" w:rsidP="00E92A04">
      <w:pPr>
        <w:numPr>
          <w:ilvl w:val="0"/>
          <w:numId w:val="16"/>
        </w:numPr>
        <w:tabs>
          <w:tab w:val="left" w:pos="284"/>
        </w:tabs>
        <w:ind w:right="65"/>
        <w:jc w:val="both"/>
        <w:rPr>
          <w:bCs/>
          <w:sz w:val="22"/>
          <w:szCs w:val="22"/>
          <w:lang w:val="sr-Latn-ME"/>
        </w:rPr>
      </w:pPr>
      <w:r w:rsidRPr="0086063B">
        <w:rPr>
          <w:bCs/>
          <w:sz w:val="22"/>
          <w:szCs w:val="22"/>
          <w:lang w:val="sr-Latn-ME"/>
        </w:rPr>
        <w:t>Utvrditi tačnu udarnu dozu koja će se koristiti kod datog pedijatrijskog pacijenta pomoću površine tijela pacijenta (izračunate korišćenjem gornje formule) i sl</w:t>
      </w:r>
      <w:r w:rsidR="00930B8E" w:rsidRPr="0086063B">
        <w:rPr>
          <w:bCs/>
          <w:sz w:val="22"/>
          <w:szCs w:val="22"/>
          <w:lang w:val="sr-Latn-ME"/>
        </w:rPr>
        <w:t>j</w:t>
      </w:r>
      <w:r w:rsidRPr="0086063B">
        <w:rPr>
          <w:bCs/>
          <w:sz w:val="22"/>
          <w:szCs w:val="22"/>
          <w:lang w:val="sr-Latn-ME"/>
        </w:rPr>
        <w:t>edeće jednačine:</w:t>
      </w:r>
    </w:p>
    <w:p w14:paraId="12CF09C7" w14:textId="77777777" w:rsidR="008F7D68" w:rsidRPr="0086063B" w:rsidRDefault="008F7D68" w:rsidP="00186EFF">
      <w:pPr>
        <w:tabs>
          <w:tab w:val="left" w:pos="284"/>
        </w:tabs>
        <w:ind w:right="65"/>
        <w:jc w:val="both"/>
        <w:rPr>
          <w:bCs/>
          <w:sz w:val="22"/>
          <w:szCs w:val="22"/>
          <w:lang w:val="sr-Latn-ME"/>
        </w:rPr>
      </w:pPr>
      <w:r w:rsidRPr="0086063B">
        <w:rPr>
          <w:bCs/>
          <w:sz w:val="22"/>
          <w:szCs w:val="22"/>
          <w:lang w:val="sr-Latn-ME"/>
        </w:rPr>
        <w:tab/>
      </w:r>
      <w:r w:rsidRPr="0086063B">
        <w:rPr>
          <w:bCs/>
          <w:sz w:val="22"/>
          <w:szCs w:val="22"/>
          <w:lang w:val="sr-Latn-ME"/>
        </w:rPr>
        <w:tab/>
        <w:t>BSA (m</w:t>
      </w:r>
      <w:r w:rsidRPr="0086063B">
        <w:rPr>
          <w:bCs/>
          <w:sz w:val="22"/>
          <w:szCs w:val="22"/>
          <w:vertAlign w:val="superscript"/>
          <w:lang w:val="sr-Latn-ME"/>
        </w:rPr>
        <w:t>2</w:t>
      </w:r>
      <w:r w:rsidRPr="0086063B">
        <w:rPr>
          <w:bCs/>
          <w:sz w:val="22"/>
          <w:szCs w:val="22"/>
          <w:lang w:val="sr-Latn-ME"/>
        </w:rPr>
        <w:t>) × 70 mg/m</w:t>
      </w:r>
      <w:r w:rsidRPr="0086063B">
        <w:rPr>
          <w:bCs/>
          <w:sz w:val="22"/>
          <w:szCs w:val="22"/>
          <w:vertAlign w:val="superscript"/>
          <w:lang w:val="sr-Latn-ME"/>
        </w:rPr>
        <w:t>2</w:t>
      </w:r>
      <w:r w:rsidRPr="0086063B">
        <w:rPr>
          <w:bCs/>
          <w:sz w:val="22"/>
          <w:szCs w:val="22"/>
          <w:lang w:val="sr-Latn-ME"/>
        </w:rPr>
        <w:t xml:space="preserve"> = udarna doza</w:t>
      </w:r>
    </w:p>
    <w:p w14:paraId="2BB6D868" w14:textId="77777777" w:rsidR="008F7D68" w:rsidRPr="0086063B" w:rsidRDefault="008F7D68" w:rsidP="00186EFF">
      <w:pPr>
        <w:tabs>
          <w:tab w:val="left" w:pos="284"/>
        </w:tabs>
        <w:ind w:left="720" w:right="65"/>
        <w:jc w:val="both"/>
        <w:rPr>
          <w:bCs/>
          <w:sz w:val="22"/>
          <w:szCs w:val="22"/>
          <w:lang w:val="sr-Latn-ME"/>
        </w:rPr>
      </w:pPr>
      <w:r w:rsidRPr="0086063B">
        <w:rPr>
          <w:bCs/>
          <w:sz w:val="22"/>
          <w:szCs w:val="22"/>
          <w:lang w:val="sr-Latn-ME"/>
        </w:rPr>
        <w:t>Maksimalna udarna doza prvog dana terapije ne smije da bude veća od 70 mg bez obzira kolika je izračunata doza za datog pacijenta.</w:t>
      </w:r>
    </w:p>
    <w:p w14:paraId="2098E1B4" w14:textId="77777777" w:rsidR="008F7D68" w:rsidRPr="0086063B" w:rsidRDefault="008F7D68" w:rsidP="00E92A04">
      <w:pPr>
        <w:numPr>
          <w:ilvl w:val="0"/>
          <w:numId w:val="16"/>
        </w:numPr>
        <w:tabs>
          <w:tab w:val="left" w:pos="284"/>
        </w:tabs>
        <w:ind w:right="65"/>
        <w:jc w:val="both"/>
        <w:rPr>
          <w:bCs/>
          <w:sz w:val="22"/>
          <w:szCs w:val="22"/>
          <w:lang w:val="sr-Latn-ME"/>
        </w:rPr>
      </w:pPr>
      <w:r w:rsidRPr="0086063B">
        <w:rPr>
          <w:bCs/>
          <w:sz w:val="22"/>
          <w:szCs w:val="22"/>
          <w:lang w:val="sr-Latn-ME"/>
        </w:rPr>
        <w:t xml:space="preserve">Ujednačiti temperaturu bočice lijeka </w:t>
      </w:r>
      <w:r w:rsidRPr="0086063B">
        <w:rPr>
          <w:sz w:val="22"/>
          <w:szCs w:val="22"/>
          <w:lang w:val="sr-Latn-ME"/>
        </w:rPr>
        <w:t>CANCIDAS</w:t>
      </w:r>
      <w:r w:rsidRPr="0086063B">
        <w:rPr>
          <w:bCs/>
          <w:sz w:val="22"/>
          <w:szCs w:val="22"/>
          <w:lang w:val="sr-Latn-ME"/>
        </w:rPr>
        <w:t xml:space="preserve"> koja je bila u frižideru sa sobnom temperaturom.</w:t>
      </w:r>
    </w:p>
    <w:p w14:paraId="24177AA7" w14:textId="12B2998D" w:rsidR="008F7D68" w:rsidRPr="0086063B" w:rsidRDefault="008F7D68" w:rsidP="00E92A04">
      <w:pPr>
        <w:numPr>
          <w:ilvl w:val="0"/>
          <w:numId w:val="16"/>
        </w:numPr>
        <w:tabs>
          <w:tab w:val="left" w:pos="284"/>
        </w:tabs>
        <w:ind w:right="65"/>
        <w:jc w:val="both"/>
        <w:rPr>
          <w:bCs/>
          <w:sz w:val="22"/>
          <w:szCs w:val="22"/>
          <w:lang w:val="sr-Latn-ME"/>
        </w:rPr>
      </w:pPr>
      <w:r w:rsidRPr="0086063B">
        <w:rPr>
          <w:bCs/>
          <w:sz w:val="22"/>
          <w:szCs w:val="22"/>
          <w:lang w:val="sr-Latn-ME"/>
        </w:rPr>
        <w:t>Pod aseptičnim uslovima dodati 10,5 m</w:t>
      </w:r>
      <w:r w:rsidR="00E266BC" w:rsidRPr="0086063B">
        <w:rPr>
          <w:bCs/>
          <w:sz w:val="22"/>
          <w:szCs w:val="22"/>
          <w:lang w:val="sr-Latn-ME"/>
        </w:rPr>
        <w:t>l</w:t>
      </w:r>
      <w:r w:rsidRPr="0086063B">
        <w:rPr>
          <w:bCs/>
          <w:sz w:val="22"/>
          <w:szCs w:val="22"/>
          <w:lang w:val="sr-Latn-ME"/>
        </w:rPr>
        <w:t xml:space="preserve"> vode za injekcije.</w:t>
      </w:r>
      <w:r w:rsidRPr="0086063B">
        <w:rPr>
          <w:bCs/>
          <w:sz w:val="22"/>
          <w:szCs w:val="22"/>
          <w:vertAlign w:val="superscript"/>
          <w:lang w:val="sr-Latn-ME"/>
        </w:rPr>
        <w:t>a</w:t>
      </w:r>
      <w:r w:rsidRPr="0086063B">
        <w:rPr>
          <w:bCs/>
          <w:sz w:val="22"/>
          <w:szCs w:val="22"/>
          <w:lang w:val="sr-Latn-ME"/>
        </w:rPr>
        <w:t xml:space="preserve"> Ovako rekonstituisani rastvor može da se čuva do 24 sata na temperaturi od ≤ 25°C.</w:t>
      </w:r>
      <w:r w:rsidRPr="0086063B">
        <w:rPr>
          <w:bCs/>
          <w:sz w:val="22"/>
          <w:szCs w:val="22"/>
          <w:vertAlign w:val="superscript"/>
          <w:lang w:val="sr-Latn-ME"/>
        </w:rPr>
        <w:t>b</w:t>
      </w:r>
      <w:r w:rsidRPr="0086063B">
        <w:rPr>
          <w:bCs/>
          <w:sz w:val="22"/>
          <w:szCs w:val="22"/>
          <w:lang w:val="sr-Latn-ME"/>
        </w:rPr>
        <w:t xml:space="preserve"> Na ovaj način dobija se finalna koncentracija kaspofungina u bočici od 7,2 mg/m</w:t>
      </w:r>
      <w:r w:rsidR="00E266BC" w:rsidRPr="0086063B">
        <w:rPr>
          <w:bCs/>
          <w:sz w:val="22"/>
          <w:szCs w:val="22"/>
          <w:lang w:val="sr-Latn-ME"/>
        </w:rPr>
        <w:t>l</w:t>
      </w:r>
      <w:r w:rsidRPr="0086063B">
        <w:rPr>
          <w:bCs/>
          <w:sz w:val="22"/>
          <w:szCs w:val="22"/>
          <w:lang w:val="sr-Latn-ME"/>
        </w:rPr>
        <w:t>.</w:t>
      </w:r>
    </w:p>
    <w:p w14:paraId="33C91E5A" w14:textId="3736C5C9" w:rsidR="008F7D68" w:rsidRPr="0086063B" w:rsidRDefault="008F7D68">
      <w:pPr>
        <w:numPr>
          <w:ilvl w:val="0"/>
          <w:numId w:val="16"/>
        </w:numPr>
        <w:tabs>
          <w:tab w:val="left" w:pos="284"/>
        </w:tabs>
        <w:ind w:right="65"/>
        <w:jc w:val="both"/>
        <w:rPr>
          <w:bCs/>
          <w:sz w:val="22"/>
          <w:szCs w:val="22"/>
          <w:lang w:val="sr-Latn-ME"/>
        </w:rPr>
      </w:pPr>
      <w:r w:rsidRPr="0086063B">
        <w:rPr>
          <w:bCs/>
          <w:sz w:val="22"/>
          <w:szCs w:val="22"/>
          <w:lang w:val="sr-Latn-ME"/>
        </w:rPr>
        <w:t>Iz bočice i</w:t>
      </w:r>
      <w:r w:rsidR="00E266BC" w:rsidRPr="0086063B">
        <w:rPr>
          <w:bCs/>
          <w:sz w:val="22"/>
          <w:szCs w:val="22"/>
          <w:lang w:val="sr-Latn-ME"/>
        </w:rPr>
        <w:t>zvaditi</w:t>
      </w:r>
      <w:r w:rsidRPr="0086063B">
        <w:rPr>
          <w:bCs/>
          <w:sz w:val="22"/>
          <w:szCs w:val="22"/>
          <w:lang w:val="sr-Latn-ME"/>
        </w:rPr>
        <w:t xml:space="preserve"> količinu lijeka koja je jednaka izračunatoj udarnoj dozi (Prvi korak). Pod aseptičnim uslovima prenijeti ovu količinu (m</w:t>
      </w:r>
      <w:r w:rsidR="00E266BC"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u kesu </w:t>
      </w:r>
      <w:r w:rsidRPr="0086063B">
        <w:rPr>
          <w:bCs/>
          <w:sz w:val="22"/>
          <w:szCs w:val="22"/>
          <w:lang w:val="sr-Latn-ME"/>
        </w:rPr>
        <w:lastRenderedPageBreak/>
        <w:t>(ili bocu) za infuziju koja sadrži 250 m</w:t>
      </w:r>
      <w:r w:rsidR="00E266BC" w:rsidRPr="0086063B">
        <w:rPr>
          <w:bCs/>
          <w:sz w:val="22"/>
          <w:szCs w:val="22"/>
          <w:lang w:val="sr-Latn-ME"/>
        </w:rPr>
        <w:t>l</w:t>
      </w:r>
      <w:r w:rsidRPr="0086063B">
        <w:rPr>
          <w:bCs/>
          <w:sz w:val="22"/>
          <w:szCs w:val="22"/>
          <w:lang w:val="sr-Latn-ME"/>
        </w:rPr>
        <w:t xml:space="preserve"> 0,9%-nog, 0,45%-nog ili 0,225%-nog natrijum</w:t>
      </w:r>
      <w:r w:rsidR="007D49A0" w:rsidRPr="0086063B">
        <w:rPr>
          <w:bCs/>
          <w:sz w:val="22"/>
          <w:szCs w:val="22"/>
          <w:lang w:val="sr-Latn-ME"/>
        </w:rPr>
        <w:t xml:space="preserve"> </w:t>
      </w:r>
      <w:r w:rsidRPr="0086063B">
        <w:rPr>
          <w:bCs/>
          <w:sz w:val="22"/>
          <w:szCs w:val="22"/>
          <w:lang w:val="sr-Latn-ME"/>
        </w:rPr>
        <w:t>hlorida za injekcije ili Ringerov rastvor sa laktatom. Takođe, ako se tako odabere, količina (m</w:t>
      </w:r>
      <w:r w:rsidR="00E266BC"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vertAlign w:val="superscript"/>
          <w:lang w:val="sr-Latn-ME"/>
        </w:rPr>
        <w:t xml:space="preserve"> </w:t>
      </w:r>
      <w:r w:rsidRPr="0086063B">
        <w:rPr>
          <w:bCs/>
          <w:sz w:val="22"/>
          <w:szCs w:val="22"/>
          <w:lang w:val="sr-Latn-ME"/>
        </w:rPr>
        <w:t>može da se doda u smanjeni volumen 0,9%-nog, 0,45%-nog ili 0,225%-nog natrijum</w:t>
      </w:r>
      <w:r w:rsidR="007D49A0" w:rsidRPr="0086063B">
        <w:rPr>
          <w:bCs/>
          <w:sz w:val="22"/>
          <w:szCs w:val="22"/>
          <w:lang w:val="sr-Latn-ME"/>
        </w:rPr>
        <w:t xml:space="preserve"> </w:t>
      </w:r>
      <w:r w:rsidRPr="0086063B">
        <w:rPr>
          <w:bCs/>
          <w:sz w:val="22"/>
          <w:szCs w:val="22"/>
          <w:lang w:val="sr-Latn-ME"/>
        </w:rPr>
        <w:t>hlorida za injekcije ili Ringerovog rastvora sa laktatima pri čemu finalna koncentracija ne sm</w:t>
      </w:r>
      <w:r w:rsidR="00E266BC" w:rsidRPr="0086063B">
        <w:rPr>
          <w:bCs/>
          <w:sz w:val="22"/>
          <w:szCs w:val="22"/>
          <w:lang w:val="sr-Latn-ME"/>
        </w:rPr>
        <w:t>ij</w:t>
      </w:r>
      <w:r w:rsidRPr="0086063B">
        <w:rPr>
          <w:bCs/>
          <w:sz w:val="22"/>
          <w:szCs w:val="22"/>
          <w:lang w:val="sr-Latn-ME"/>
        </w:rPr>
        <w:t>e da bude veća od 0,5 mg/m</w:t>
      </w:r>
      <w:r w:rsidR="00E266BC" w:rsidRPr="0086063B">
        <w:rPr>
          <w:bCs/>
          <w:sz w:val="22"/>
          <w:szCs w:val="22"/>
          <w:lang w:val="sr-Latn-ME"/>
        </w:rPr>
        <w:t>l</w:t>
      </w:r>
      <w:r w:rsidRPr="0086063B">
        <w:rPr>
          <w:bCs/>
          <w:sz w:val="22"/>
          <w:szCs w:val="22"/>
          <w:lang w:val="sr-Latn-ME"/>
        </w:rPr>
        <w:t>. Ovaj rastvor za infuziju mora da se iskoristi u vremenu od 24 sata ukoliko se čuva na temperaturi ≤ 25°C ili u vremenu od 48 sati ukoliko se čuva u frižideru na temperaturi od +2 do +8°C.</w:t>
      </w:r>
    </w:p>
    <w:p w14:paraId="459E39B0" w14:textId="77777777" w:rsidR="008F7D68" w:rsidRPr="0086063B" w:rsidRDefault="008F7D68" w:rsidP="00186EFF">
      <w:pPr>
        <w:tabs>
          <w:tab w:val="left" w:pos="284"/>
        </w:tabs>
        <w:ind w:right="65"/>
        <w:jc w:val="both"/>
        <w:rPr>
          <w:bCs/>
          <w:sz w:val="22"/>
          <w:szCs w:val="22"/>
          <w:lang w:val="sr-Latn-ME"/>
        </w:rPr>
      </w:pPr>
    </w:p>
    <w:p w14:paraId="6217EA5B" w14:textId="77777777" w:rsidR="008F7D68" w:rsidRPr="0086063B" w:rsidRDefault="008F7D68" w:rsidP="00186EFF">
      <w:pPr>
        <w:tabs>
          <w:tab w:val="left" w:pos="284"/>
        </w:tabs>
        <w:ind w:right="65"/>
        <w:jc w:val="both"/>
        <w:rPr>
          <w:b/>
          <w:bCs/>
          <w:i/>
          <w:sz w:val="22"/>
          <w:szCs w:val="22"/>
          <w:u w:val="single"/>
          <w:lang w:val="sr-Latn-ME"/>
        </w:rPr>
      </w:pPr>
      <w:r w:rsidRPr="0086063B">
        <w:rPr>
          <w:b/>
          <w:bCs/>
          <w:i/>
          <w:sz w:val="22"/>
          <w:szCs w:val="22"/>
          <w:u w:val="single"/>
          <w:lang w:val="sr-Latn-ME"/>
        </w:rPr>
        <w:t>Priprema infuzije od 50 mg/m</w:t>
      </w:r>
      <w:r w:rsidRPr="0086063B">
        <w:rPr>
          <w:b/>
          <w:bCs/>
          <w:i/>
          <w:sz w:val="22"/>
          <w:szCs w:val="22"/>
          <w:u w:val="single"/>
          <w:vertAlign w:val="superscript"/>
          <w:lang w:val="sr-Latn-ME"/>
        </w:rPr>
        <w:t>2</w:t>
      </w:r>
      <w:r w:rsidRPr="0086063B">
        <w:rPr>
          <w:b/>
          <w:bCs/>
          <w:i/>
          <w:sz w:val="22"/>
          <w:szCs w:val="22"/>
          <w:u w:val="single"/>
          <w:lang w:val="sr-Latn-ME"/>
        </w:rPr>
        <w:t xml:space="preserve"> za pedijatrijske pacijente uzrasta </w:t>
      </w:r>
      <w:r w:rsidRPr="0086063B">
        <w:rPr>
          <w:b/>
          <w:bCs/>
          <w:i/>
          <w:sz w:val="22"/>
          <w:szCs w:val="22"/>
          <w:u w:val="single"/>
          <w:lang w:val="sr-Latn-ME"/>
        </w:rPr>
        <w:sym w:font="Symbol" w:char="F03E"/>
      </w:r>
      <w:r w:rsidRPr="0086063B">
        <w:rPr>
          <w:b/>
          <w:bCs/>
          <w:i/>
          <w:sz w:val="22"/>
          <w:szCs w:val="22"/>
          <w:u w:val="single"/>
          <w:lang w:val="sr-Latn-ME"/>
        </w:rPr>
        <w:t xml:space="preserve"> 3 mjeseca (korišćenjem bočice od 70 mg):</w:t>
      </w:r>
    </w:p>
    <w:p w14:paraId="4A868198" w14:textId="77777777" w:rsidR="008F7D68" w:rsidRPr="0086063B" w:rsidRDefault="008F7D68" w:rsidP="00E92A04">
      <w:pPr>
        <w:numPr>
          <w:ilvl w:val="0"/>
          <w:numId w:val="17"/>
        </w:numPr>
        <w:tabs>
          <w:tab w:val="left" w:pos="284"/>
        </w:tabs>
        <w:ind w:left="720" w:right="65"/>
        <w:jc w:val="both"/>
        <w:rPr>
          <w:bCs/>
          <w:sz w:val="22"/>
          <w:szCs w:val="22"/>
          <w:lang w:val="sr-Latn-ME"/>
        </w:rPr>
      </w:pPr>
      <w:r w:rsidRPr="0086063B">
        <w:rPr>
          <w:bCs/>
          <w:sz w:val="22"/>
          <w:szCs w:val="22"/>
          <w:lang w:val="sr-Latn-ME"/>
        </w:rPr>
        <w:t>Utvrditi tačnu dnevnu dozu održavanja koja će se koristiti kod datog pedijatrijskog pacijenta pomoću površine tijela pacijenta (izračunate korišćenjem gornje formule) i sljedeće jednačine:</w:t>
      </w:r>
    </w:p>
    <w:p w14:paraId="25268A93" w14:textId="77777777" w:rsidR="008F7D68" w:rsidRPr="0086063B" w:rsidRDefault="008F7D68" w:rsidP="00186EFF">
      <w:pPr>
        <w:tabs>
          <w:tab w:val="left" w:pos="284"/>
        </w:tabs>
        <w:ind w:left="360" w:right="65"/>
        <w:jc w:val="both"/>
        <w:rPr>
          <w:bCs/>
          <w:sz w:val="22"/>
          <w:szCs w:val="22"/>
          <w:lang w:val="sr-Latn-ME"/>
        </w:rPr>
      </w:pPr>
      <w:r w:rsidRPr="0086063B">
        <w:rPr>
          <w:bCs/>
          <w:sz w:val="22"/>
          <w:szCs w:val="22"/>
          <w:lang w:val="sr-Latn-ME"/>
        </w:rPr>
        <w:tab/>
        <w:t>BSA (m</w:t>
      </w:r>
      <w:r w:rsidRPr="0086063B">
        <w:rPr>
          <w:bCs/>
          <w:sz w:val="22"/>
          <w:szCs w:val="22"/>
          <w:vertAlign w:val="superscript"/>
          <w:lang w:val="sr-Latn-ME"/>
        </w:rPr>
        <w:t>2</w:t>
      </w:r>
      <w:r w:rsidRPr="0086063B">
        <w:rPr>
          <w:bCs/>
          <w:sz w:val="22"/>
          <w:szCs w:val="22"/>
          <w:lang w:val="sr-Latn-ME"/>
        </w:rPr>
        <w:t>) × 50 mg/m</w:t>
      </w:r>
      <w:r w:rsidRPr="0086063B">
        <w:rPr>
          <w:bCs/>
          <w:sz w:val="22"/>
          <w:szCs w:val="22"/>
          <w:vertAlign w:val="superscript"/>
          <w:lang w:val="sr-Latn-ME"/>
        </w:rPr>
        <w:t>2</w:t>
      </w:r>
      <w:r w:rsidRPr="0086063B">
        <w:rPr>
          <w:bCs/>
          <w:sz w:val="22"/>
          <w:szCs w:val="22"/>
          <w:lang w:val="sr-Latn-ME"/>
        </w:rPr>
        <w:t xml:space="preserve"> = dnevna doza održavanja</w:t>
      </w:r>
    </w:p>
    <w:p w14:paraId="529EE186" w14:textId="77777777" w:rsidR="008F7D68" w:rsidRPr="0086063B" w:rsidRDefault="008F7D68" w:rsidP="00186EFF">
      <w:pPr>
        <w:tabs>
          <w:tab w:val="left" w:pos="284"/>
        </w:tabs>
        <w:ind w:left="720" w:right="65"/>
        <w:jc w:val="both"/>
        <w:rPr>
          <w:bCs/>
          <w:sz w:val="22"/>
          <w:szCs w:val="22"/>
          <w:lang w:val="sr-Latn-ME"/>
        </w:rPr>
      </w:pPr>
      <w:r w:rsidRPr="0086063B">
        <w:rPr>
          <w:bCs/>
          <w:sz w:val="22"/>
          <w:szCs w:val="22"/>
          <w:lang w:val="sr-Latn-ME"/>
        </w:rPr>
        <w:t>Dnevna doza održavanja ne smije da bude veća od 70 mg bez obzira kolika je izračunata doza za datog pacijenta.</w:t>
      </w:r>
    </w:p>
    <w:p w14:paraId="343EAD65" w14:textId="77777777" w:rsidR="008F7D68" w:rsidRPr="0086063B" w:rsidRDefault="008F7D68" w:rsidP="00E92A04">
      <w:pPr>
        <w:numPr>
          <w:ilvl w:val="0"/>
          <w:numId w:val="17"/>
        </w:numPr>
        <w:tabs>
          <w:tab w:val="left" w:pos="284"/>
          <w:tab w:val="left" w:pos="720"/>
        </w:tabs>
        <w:ind w:left="720" w:right="65"/>
        <w:jc w:val="both"/>
        <w:rPr>
          <w:bCs/>
          <w:sz w:val="22"/>
          <w:szCs w:val="22"/>
          <w:lang w:val="sr-Latn-ME"/>
        </w:rPr>
      </w:pPr>
      <w:r w:rsidRPr="0086063B">
        <w:rPr>
          <w:bCs/>
          <w:sz w:val="22"/>
          <w:szCs w:val="22"/>
          <w:lang w:val="sr-Latn-ME"/>
        </w:rPr>
        <w:t xml:space="preserve">Ujednačiti temperaturu bočice lijeka </w:t>
      </w:r>
      <w:r w:rsidRPr="0086063B">
        <w:rPr>
          <w:sz w:val="22"/>
          <w:szCs w:val="22"/>
          <w:lang w:val="sr-Latn-ME"/>
        </w:rPr>
        <w:t>CANCIDAS</w:t>
      </w:r>
      <w:r w:rsidRPr="0086063B">
        <w:rPr>
          <w:bCs/>
          <w:sz w:val="22"/>
          <w:szCs w:val="22"/>
          <w:lang w:val="sr-Latn-ME"/>
        </w:rPr>
        <w:t xml:space="preserve"> koja je bila u frižideru sa sobnom temperaturom.</w:t>
      </w:r>
    </w:p>
    <w:p w14:paraId="638EBBC1" w14:textId="1C738C78" w:rsidR="008F7D68" w:rsidRPr="0086063B" w:rsidRDefault="008F7D68" w:rsidP="00E92A04">
      <w:pPr>
        <w:numPr>
          <w:ilvl w:val="0"/>
          <w:numId w:val="17"/>
        </w:numPr>
        <w:tabs>
          <w:tab w:val="left" w:pos="284"/>
          <w:tab w:val="left" w:pos="720"/>
        </w:tabs>
        <w:ind w:left="720" w:right="65"/>
        <w:jc w:val="both"/>
        <w:rPr>
          <w:bCs/>
          <w:sz w:val="22"/>
          <w:szCs w:val="22"/>
          <w:lang w:val="sr-Latn-ME"/>
        </w:rPr>
      </w:pPr>
      <w:r w:rsidRPr="0086063B">
        <w:rPr>
          <w:bCs/>
          <w:sz w:val="22"/>
          <w:szCs w:val="22"/>
          <w:lang w:val="sr-Latn-ME"/>
        </w:rPr>
        <w:t xml:space="preserve">Pod aseptičnim uslovima dodati 10,5 </w:t>
      </w:r>
      <w:r w:rsidR="00E266BC" w:rsidRPr="0086063B">
        <w:rPr>
          <w:bCs/>
          <w:sz w:val="22"/>
          <w:szCs w:val="22"/>
          <w:lang w:val="sr-Latn-ME"/>
        </w:rPr>
        <w:t>ml</w:t>
      </w:r>
      <w:r w:rsidRPr="0086063B">
        <w:rPr>
          <w:bCs/>
          <w:sz w:val="22"/>
          <w:szCs w:val="22"/>
          <w:lang w:val="sr-Latn-ME"/>
        </w:rPr>
        <w:t xml:space="preserve"> vode za injekcije.</w:t>
      </w:r>
      <w:r w:rsidRPr="0086063B">
        <w:rPr>
          <w:bCs/>
          <w:sz w:val="22"/>
          <w:szCs w:val="22"/>
          <w:vertAlign w:val="superscript"/>
          <w:lang w:val="sr-Latn-ME"/>
        </w:rPr>
        <w:t>a</w:t>
      </w:r>
      <w:r w:rsidRPr="0086063B">
        <w:rPr>
          <w:bCs/>
          <w:sz w:val="22"/>
          <w:szCs w:val="22"/>
          <w:lang w:val="sr-Latn-ME"/>
        </w:rPr>
        <w:t xml:space="preserve"> Ovako rekonstituisani rastvor može da se čuva do 24 sata na temperaturi od ≤ 25°C.</w:t>
      </w:r>
      <w:r w:rsidRPr="0086063B">
        <w:rPr>
          <w:bCs/>
          <w:sz w:val="22"/>
          <w:szCs w:val="22"/>
          <w:vertAlign w:val="superscript"/>
          <w:lang w:val="sr-Latn-ME"/>
        </w:rPr>
        <w:t>b</w:t>
      </w:r>
      <w:r w:rsidRPr="0086063B">
        <w:rPr>
          <w:bCs/>
          <w:sz w:val="22"/>
          <w:szCs w:val="22"/>
          <w:lang w:val="sr-Latn-ME"/>
        </w:rPr>
        <w:t xml:space="preserve"> Na ovaj način dobija se finalna koncentracija kaspofungina u bočici od 7,2 mg/m</w:t>
      </w:r>
      <w:r w:rsidR="00E266BC" w:rsidRPr="0086063B">
        <w:rPr>
          <w:bCs/>
          <w:sz w:val="22"/>
          <w:szCs w:val="22"/>
          <w:lang w:val="sr-Latn-ME"/>
        </w:rPr>
        <w:t>l</w:t>
      </w:r>
      <w:r w:rsidRPr="0086063B">
        <w:rPr>
          <w:bCs/>
          <w:sz w:val="22"/>
          <w:szCs w:val="22"/>
          <w:lang w:val="sr-Latn-ME"/>
        </w:rPr>
        <w:t>.</w:t>
      </w:r>
    </w:p>
    <w:p w14:paraId="75C5C090" w14:textId="7D90C649" w:rsidR="008F7D68" w:rsidRPr="0086063B" w:rsidRDefault="008F7D68">
      <w:pPr>
        <w:numPr>
          <w:ilvl w:val="0"/>
          <w:numId w:val="17"/>
        </w:numPr>
        <w:tabs>
          <w:tab w:val="left" w:pos="284"/>
          <w:tab w:val="left" w:pos="720"/>
        </w:tabs>
        <w:ind w:left="720" w:right="65"/>
        <w:jc w:val="both"/>
        <w:rPr>
          <w:bCs/>
          <w:sz w:val="22"/>
          <w:szCs w:val="22"/>
          <w:lang w:val="sr-Latn-ME"/>
        </w:rPr>
      </w:pPr>
      <w:r w:rsidRPr="0086063B">
        <w:rPr>
          <w:bCs/>
          <w:sz w:val="22"/>
          <w:szCs w:val="22"/>
          <w:lang w:val="sr-Latn-ME"/>
        </w:rPr>
        <w:t>Iz bočice odvaditi količinu lijeka koja je jednaka izračunatoj dnevnoj dozi održavanja (Prvi korak). Pod aseptičnim uslovima pren</w:t>
      </w:r>
      <w:r w:rsidR="00E266BC" w:rsidRPr="0086063B">
        <w:rPr>
          <w:bCs/>
          <w:sz w:val="22"/>
          <w:szCs w:val="22"/>
          <w:lang w:val="sr-Latn-ME"/>
        </w:rPr>
        <w:t>ij</w:t>
      </w:r>
      <w:r w:rsidRPr="0086063B">
        <w:rPr>
          <w:bCs/>
          <w:sz w:val="22"/>
          <w:szCs w:val="22"/>
          <w:lang w:val="sr-Latn-ME"/>
        </w:rPr>
        <w:t>eti ovu količinu (m</w:t>
      </w:r>
      <w:r w:rsidR="00E266BC"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u kesu (ili bocu) za infuziju koja sadrži 250 m</w:t>
      </w:r>
      <w:r w:rsidR="00E266BC" w:rsidRPr="0086063B">
        <w:rPr>
          <w:bCs/>
          <w:sz w:val="22"/>
          <w:szCs w:val="22"/>
          <w:lang w:val="sr-Latn-ME"/>
        </w:rPr>
        <w:t>l</w:t>
      </w:r>
      <w:r w:rsidRPr="0086063B">
        <w:rPr>
          <w:bCs/>
          <w:sz w:val="22"/>
          <w:szCs w:val="22"/>
          <w:lang w:val="sr-Latn-ME"/>
        </w:rPr>
        <w:t xml:space="preserve"> 0,9%-nog, 0,45%-nog ili 0,225%-nog natrijum-hlorida za injekcije ili Ringerovog rastvora sa laktatom. Takođe, ako se tako odabere, količina (m</w:t>
      </w:r>
      <w:r w:rsidR="00E266BC" w:rsidRPr="0086063B">
        <w:rPr>
          <w:bCs/>
          <w:sz w:val="22"/>
          <w:szCs w:val="22"/>
          <w:lang w:val="sr-Latn-ME"/>
        </w:rPr>
        <w:t>l</w:t>
      </w:r>
      <w:r w:rsidRPr="0086063B">
        <w:rPr>
          <w:bCs/>
          <w:sz w:val="22"/>
          <w:szCs w:val="22"/>
          <w:lang w:val="sr-Latn-ME"/>
        </w:rPr>
        <w:t>)</w:t>
      </w:r>
      <w:r w:rsidRPr="0086063B">
        <w:rPr>
          <w:bCs/>
          <w:sz w:val="22"/>
          <w:szCs w:val="22"/>
          <w:vertAlign w:val="superscript"/>
          <w:lang w:val="sr-Latn-ME"/>
        </w:rPr>
        <w:t>c</w:t>
      </w:r>
      <w:r w:rsidRPr="0086063B">
        <w:rPr>
          <w:bCs/>
          <w:sz w:val="22"/>
          <w:szCs w:val="22"/>
          <w:lang w:val="sr-Latn-ME"/>
        </w:rPr>
        <w:t xml:space="preserve"> rekonstituisanog lijeka </w:t>
      </w:r>
      <w:r w:rsidRPr="0086063B">
        <w:rPr>
          <w:sz w:val="22"/>
          <w:szCs w:val="22"/>
          <w:lang w:val="sr-Latn-ME"/>
        </w:rPr>
        <w:t>CANCIDAS</w:t>
      </w:r>
      <w:r w:rsidRPr="0086063B">
        <w:rPr>
          <w:bCs/>
          <w:sz w:val="22"/>
          <w:szCs w:val="22"/>
          <w:lang w:val="sr-Latn-ME"/>
        </w:rPr>
        <w:t xml:space="preserve"> može da se doda u smanjeni volumen 0,9%-nog, 0,45%-nog ili 0,225%-nog natrijum-hlorida za injekcije ili Ringerovog rastvora sa laktatom pri čemu finalna koncentracija ne smije da bude veća od 0,5 mg/m</w:t>
      </w:r>
      <w:r w:rsidR="00E266BC" w:rsidRPr="0086063B">
        <w:rPr>
          <w:bCs/>
          <w:sz w:val="22"/>
          <w:szCs w:val="22"/>
          <w:lang w:val="sr-Latn-ME"/>
        </w:rPr>
        <w:t>l</w:t>
      </w:r>
      <w:r w:rsidRPr="0086063B">
        <w:rPr>
          <w:bCs/>
          <w:sz w:val="22"/>
          <w:szCs w:val="22"/>
          <w:lang w:val="sr-Latn-ME"/>
        </w:rPr>
        <w:t>. Ovaj rastvor za infuziju mora da se iskoristi u vremenu od 24 sata ukoliko se čuva na temperaturi ≤ 25°C ili u vremenu od 48 sati ukoliko se čuva u frižideru na temperaturi od +2 do +8°C.</w:t>
      </w:r>
    </w:p>
    <w:p w14:paraId="3E795244" w14:textId="77777777" w:rsidR="008F7D68" w:rsidRPr="0086063B" w:rsidRDefault="008F7D68" w:rsidP="00186EFF">
      <w:pPr>
        <w:tabs>
          <w:tab w:val="left" w:pos="284"/>
        </w:tabs>
        <w:ind w:right="65"/>
        <w:jc w:val="both"/>
        <w:rPr>
          <w:bCs/>
          <w:sz w:val="22"/>
          <w:szCs w:val="22"/>
          <w:lang w:val="sr-Latn-ME"/>
        </w:rPr>
      </w:pPr>
    </w:p>
    <w:p w14:paraId="4F55E194" w14:textId="77777777" w:rsidR="008F7D68" w:rsidRPr="0086063B" w:rsidRDefault="008F7D68" w:rsidP="00E92A04">
      <w:pPr>
        <w:tabs>
          <w:tab w:val="left" w:pos="284"/>
        </w:tabs>
        <w:ind w:right="65"/>
        <w:jc w:val="both"/>
        <w:rPr>
          <w:b/>
          <w:bCs/>
          <w:i/>
          <w:sz w:val="22"/>
          <w:szCs w:val="22"/>
          <w:lang w:val="sr-Latn-ME" w:eastAsia="x-none"/>
        </w:rPr>
      </w:pPr>
      <w:r w:rsidRPr="0086063B">
        <w:rPr>
          <w:b/>
          <w:bCs/>
          <w:i/>
          <w:noProof/>
          <w:sz w:val="22"/>
          <w:szCs w:val="22"/>
        </w:rPr>
        <mc:AlternateContent>
          <mc:Choice Requires="wps">
            <w:drawing>
              <wp:anchor distT="0" distB="0" distL="114300" distR="114300" simplePos="0" relativeHeight="251664384" behindDoc="0" locked="0" layoutInCell="1" allowOverlap="1" wp14:anchorId="3B17214D" wp14:editId="01656277">
                <wp:simplePos x="0" y="0"/>
                <wp:positionH relativeFrom="column">
                  <wp:posOffset>-98425</wp:posOffset>
                </wp:positionH>
                <wp:positionV relativeFrom="paragraph">
                  <wp:posOffset>12700</wp:posOffset>
                </wp:positionV>
                <wp:extent cx="5937250" cy="2108835"/>
                <wp:effectExtent l="7620" t="6985" r="825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2108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700AD5" id="Rectangle 3" o:spid="_x0000_s1026" style="position:absolute;margin-left:-7.75pt;margin-top:1pt;width:467.5pt;height:16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" filled="f"/>
            </w:pict>
          </mc:Fallback>
        </mc:AlternateContent>
      </w:r>
      <w:r w:rsidRPr="0086063B">
        <w:rPr>
          <w:b/>
          <w:bCs/>
          <w:i/>
          <w:sz w:val="22"/>
          <w:szCs w:val="22"/>
          <w:lang w:val="sr-Latn-ME" w:eastAsia="x-none"/>
        </w:rPr>
        <w:t>Napomene tokom pripreme:</w:t>
      </w:r>
    </w:p>
    <w:p w14:paraId="2CBBD3AB" w14:textId="77777777" w:rsidR="008F7D68" w:rsidRPr="0086063B" w:rsidRDefault="008F7D68" w:rsidP="00E92A04">
      <w:pPr>
        <w:tabs>
          <w:tab w:val="left" w:pos="284"/>
        </w:tabs>
        <w:ind w:right="65"/>
        <w:jc w:val="both"/>
        <w:rPr>
          <w:b/>
          <w:bCs/>
          <w:i/>
          <w:sz w:val="22"/>
          <w:szCs w:val="22"/>
          <w:lang w:val="sr-Latn-ME" w:eastAsia="x-none"/>
        </w:rPr>
      </w:pPr>
    </w:p>
    <w:p w14:paraId="3CB405FD" w14:textId="77777777" w:rsidR="008F7D68" w:rsidRPr="0086063B" w:rsidRDefault="008F7D68">
      <w:pPr>
        <w:numPr>
          <w:ilvl w:val="0"/>
          <w:numId w:val="15"/>
        </w:numPr>
        <w:tabs>
          <w:tab w:val="left" w:pos="284"/>
        </w:tabs>
        <w:ind w:right="65"/>
        <w:jc w:val="both"/>
        <w:rPr>
          <w:sz w:val="22"/>
          <w:szCs w:val="22"/>
          <w:lang w:val="sr-Latn-ME" w:eastAsia="x-none"/>
        </w:rPr>
      </w:pPr>
      <w:r w:rsidRPr="0086063B">
        <w:rPr>
          <w:sz w:val="22"/>
          <w:szCs w:val="22"/>
          <w:lang w:val="sr-Latn-ME" w:eastAsia="x-none"/>
        </w:rPr>
        <w:t>Kompaktni liofilizovani prašak, bijele do skoro bijele boje, potpuno će se rastvoriti. Sadržaj bočice lagano mućkati sve dok se ne dobije bistar rastvor.</w:t>
      </w:r>
    </w:p>
    <w:p w14:paraId="61567D98" w14:textId="77777777" w:rsidR="008F7D68" w:rsidRPr="0086063B" w:rsidRDefault="008F7D68">
      <w:pPr>
        <w:tabs>
          <w:tab w:val="left" w:pos="284"/>
        </w:tabs>
        <w:ind w:right="65"/>
        <w:jc w:val="both"/>
        <w:rPr>
          <w:sz w:val="22"/>
          <w:szCs w:val="22"/>
          <w:lang w:val="sr-Latn-ME" w:eastAsia="x-none"/>
        </w:rPr>
      </w:pPr>
    </w:p>
    <w:p w14:paraId="4E1D2362" w14:textId="77777777" w:rsidR="008F7D68" w:rsidRPr="0086063B" w:rsidRDefault="008F7D68">
      <w:pPr>
        <w:tabs>
          <w:tab w:val="left" w:pos="284"/>
        </w:tabs>
        <w:ind w:left="720" w:right="65" w:hanging="360"/>
        <w:jc w:val="both"/>
        <w:rPr>
          <w:sz w:val="22"/>
          <w:szCs w:val="22"/>
          <w:lang w:val="sr-Latn-ME" w:eastAsia="x-none"/>
        </w:rPr>
      </w:pPr>
      <w:r w:rsidRPr="0086063B">
        <w:rPr>
          <w:sz w:val="22"/>
          <w:szCs w:val="22"/>
          <w:lang w:val="sr-Latn-ME" w:eastAsia="x-none"/>
        </w:rPr>
        <w:t>b</w:t>
      </w:r>
      <w:r w:rsidRPr="0086063B">
        <w:rPr>
          <w:sz w:val="22"/>
          <w:szCs w:val="22"/>
          <w:lang w:val="sr-Latn-ME" w:eastAsia="x-none"/>
        </w:rPr>
        <w:tab/>
        <w:t>Izvršiti vizuelni pregled rekonstituisanog rastvora da bi se utvrdilo ima li prisustva stranih čestica (nerastvorenog materijala) ili promjene boje tokom rekonstitucije i prije infuzije. Rastvor ne smije da se koristi ako je mutan ili ako ima talog.</w:t>
      </w:r>
    </w:p>
    <w:p w14:paraId="4EE34769" w14:textId="77777777" w:rsidR="008F7D68" w:rsidRPr="0086063B" w:rsidRDefault="008F7D68">
      <w:pPr>
        <w:tabs>
          <w:tab w:val="left" w:pos="284"/>
        </w:tabs>
        <w:ind w:right="65"/>
        <w:jc w:val="both"/>
        <w:rPr>
          <w:sz w:val="22"/>
          <w:szCs w:val="22"/>
          <w:lang w:val="sr-Latn-ME" w:eastAsia="x-none"/>
        </w:rPr>
      </w:pPr>
    </w:p>
    <w:p w14:paraId="003754B3" w14:textId="3613DB0E" w:rsidR="008F7D68" w:rsidRPr="0086063B" w:rsidRDefault="008F7D68">
      <w:pPr>
        <w:tabs>
          <w:tab w:val="left" w:pos="284"/>
        </w:tabs>
        <w:ind w:left="720" w:right="65" w:hanging="360"/>
        <w:jc w:val="both"/>
        <w:rPr>
          <w:sz w:val="22"/>
          <w:szCs w:val="22"/>
          <w:lang w:val="sr-Latn-ME" w:eastAsia="x-none"/>
        </w:rPr>
      </w:pPr>
      <w:r w:rsidRPr="0086063B">
        <w:rPr>
          <w:sz w:val="22"/>
          <w:szCs w:val="22"/>
          <w:lang w:val="sr-Latn-ME" w:eastAsia="x-none"/>
        </w:rPr>
        <w:t>c</w:t>
      </w:r>
      <w:r w:rsidRPr="0086063B">
        <w:rPr>
          <w:sz w:val="22"/>
          <w:szCs w:val="22"/>
          <w:lang w:val="sr-Latn-ME" w:eastAsia="x-none"/>
        </w:rPr>
        <w:tab/>
        <w:t>Lijek CANCIDAS je formulisan tako da omogućava dobijanje pune doze navedene na naljepnici bočice (70 mg) kada se količina od 10 m</w:t>
      </w:r>
      <w:r w:rsidR="00E266BC" w:rsidRPr="0086063B">
        <w:rPr>
          <w:sz w:val="22"/>
          <w:szCs w:val="22"/>
          <w:lang w:val="sr-Latn-ME" w:eastAsia="x-none"/>
        </w:rPr>
        <w:t>l</w:t>
      </w:r>
      <w:r w:rsidRPr="0086063B">
        <w:rPr>
          <w:sz w:val="22"/>
          <w:szCs w:val="22"/>
          <w:lang w:val="sr-Latn-ME" w:eastAsia="x-none"/>
        </w:rPr>
        <w:t xml:space="preserve"> odvadi iz bočice</w:t>
      </w:r>
    </w:p>
    <w:p w14:paraId="65B90A6D" w14:textId="77777777" w:rsidR="008F7D68" w:rsidRPr="0086063B" w:rsidRDefault="008F7D68" w:rsidP="00186EFF">
      <w:pPr>
        <w:tabs>
          <w:tab w:val="left" w:pos="540"/>
          <w:tab w:val="left" w:pos="569"/>
        </w:tabs>
        <w:jc w:val="both"/>
        <w:rPr>
          <w:b/>
          <w:bCs/>
          <w:sz w:val="22"/>
          <w:szCs w:val="22"/>
          <w:lang w:val="sr-Latn-ME"/>
        </w:rPr>
      </w:pPr>
    </w:p>
    <w:p w14:paraId="06D1E8AB" w14:textId="77777777" w:rsidR="008F7D68" w:rsidRPr="0086063B" w:rsidRDefault="008F7D68" w:rsidP="00186EFF">
      <w:pPr>
        <w:tabs>
          <w:tab w:val="left" w:pos="540"/>
          <w:tab w:val="left" w:pos="569"/>
        </w:tabs>
        <w:jc w:val="both"/>
        <w:rPr>
          <w:b/>
          <w:bCs/>
          <w:sz w:val="22"/>
          <w:szCs w:val="22"/>
          <w:lang w:val="sr-Latn-ME"/>
        </w:rPr>
      </w:pPr>
    </w:p>
    <w:p w14:paraId="76107465" w14:textId="683F0602" w:rsidR="0072020E" w:rsidRPr="0086063B" w:rsidRDefault="0072020E" w:rsidP="00186EFF">
      <w:pPr>
        <w:tabs>
          <w:tab w:val="left" w:pos="540"/>
          <w:tab w:val="left" w:pos="569"/>
        </w:tabs>
        <w:jc w:val="both"/>
        <w:rPr>
          <w:bCs/>
          <w:sz w:val="22"/>
          <w:szCs w:val="22"/>
          <w:lang w:val="sr-Latn-ME"/>
        </w:rPr>
      </w:pPr>
    </w:p>
    <w:p w14:paraId="1ED87990" w14:textId="77777777" w:rsidR="00565012" w:rsidRDefault="00565012" w:rsidP="00186EFF">
      <w:pPr>
        <w:tabs>
          <w:tab w:val="left" w:pos="540"/>
          <w:tab w:val="left" w:pos="569"/>
        </w:tabs>
        <w:jc w:val="both"/>
        <w:rPr>
          <w:b/>
          <w:bCs/>
          <w:sz w:val="22"/>
          <w:szCs w:val="22"/>
          <w:lang w:val="sr-Latn-ME"/>
        </w:rPr>
      </w:pPr>
    </w:p>
    <w:p w14:paraId="46AE160C" w14:textId="77777777" w:rsidR="00943DA3" w:rsidRDefault="00943DA3" w:rsidP="00186EFF">
      <w:pPr>
        <w:tabs>
          <w:tab w:val="left" w:pos="540"/>
          <w:tab w:val="left" w:pos="569"/>
        </w:tabs>
        <w:jc w:val="both"/>
        <w:rPr>
          <w:b/>
          <w:bCs/>
          <w:sz w:val="22"/>
          <w:szCs w:val="22"/>
          <w:lang w:val="sr-Latn-ME"/>
        </w:rPr>
      </w:pPr>
    </w:p>
    <w:p w14:paraId="704E45B1" w14:textId="5670F684" w:rsidR="00F8570A" w:rsidRPr="0086063B" w:rsidRDefault="0072020E" w:rsidP="00186EFF">
      <w:pPr>
        <w:tabs>
          <w:tab w:val="left" w:pos="540"/>
          <w:tab w:val="left" w:pos="569"/>
        </w:tabs>
        <w:jc w:val="both"/>
        <w:rPr>
          <w:b/>
          <w:bCs/>
          <w:sz w:val="22"/>
          <w:szCs w:val="22"/>
          <w:lang w:val="sr-Latn-ME"/>
        </w:rPr>
      </w:pPr>
      <w:bookmarkStart w:id="0" w:name="_GoBack"/>
      <w:bookmarkEnd w:id="0"/>
      <w:r w:rsidRPr="0086063B">
        <w:rPr>
          <w:b/>
          <w:bCs/>
          <w:sz w:val="22"/>
          <w:szCs w:val="22"/>
          <w:lang w:val="sr-Latn-ME"/>
        </w:rPr>
        <w:t xml:space="preserve">7. </w:t>
      </w:r>
      <w:r w:rsidR="00480FB1" w:rsidRPr="0086063B">
        <w:rPr>
          <w:b/>
          <w:bCs/>
          <w:sz w:val="22"/>
          <w:szCs w:val="22"/>
          <w:lang w:val="sr-Latn-ME"/>
        </w:rPr>
        <w:tab/>
      </w:r>
      <w:r w:rsidRPr="0086063B">
        <w:rPr>
          <w:b/>
          <w:bCs/>
          <w:sz w:val="22"/>
          <w:szCs w:val="22"/>
          <w:lang w:val="sr-Latn-ME"/>
        </w:rPr>
        <w:t>NOSILAC DOZVOLE</w:t>
      </w:r>
      <w:r w:rsidR="00483928" w:rsidRPr="0086063B">
        <w:rPr>
          <w:b/>
          <w:bCs/>
          <w:sz w:val="22"/>
          <w:szCs w:val="22"/>
          <w:lang w:val="sr-Latn-ME"/>
        </w:rPr>
        <w:t xml:space="preserve"> </w:t>
      </w:r>
    </w:p>
    <w:p w14:paraId="05D49303" w14:textId="77777777" w:rsidR="00C61BE0" w:rsidRPr="0086063B" w:rsidRDefault="00C61BE0" w:rsidP="00186EFF">
      <w:pPr>
        <w:tabs>
          <w:tab w:val="left" w:pos="540"/>
          <w:tab w:val="left" w:pos="569"/>
        </w:tabs>
        <w:jc w:val="both"/>
        <w:rPr>
          <w:bCs/>
          <w:sz w:val="22"/>
          <w:szCs w:val="22"/>
          <w:lang w:val="sr-Latn-ME"/>
        </w:rPr>
      </w:pPr>
    </w:p>
    <w:p w14:paraId="3D7A4A7C" w14:textId="27DF14A8" w:rsidR="008F7D68" w:rsidRPr="0086063B" w:rsidRDefault="007D49A0" w:rsidP="00186EFF">
      <w:pPr>
        <w:tabs>
          <w:tab w:val="left" w:pos="540"/>
          <w:tab w:val="left" w:pos="569"/>
        </w:tabs>
        <w:jc w:val="both"/>
        <w:rPr>
          <w:bCs/>
          <w:sz w:val="22"/>
          <w:szCs w:val="22"/>
          <w:lang w:val="sr-Latn-ME"/>
        </w:rPr>
      </w:pPr>
      <w:r w:rsidRPr="0086063B">
        <w:rPr>
          <w:bCs/>
          <w:sz w:val="22"/>
          <w:szCs w:val="22"/>
          <w:lang w:val="sr-Latn-ME"/>
        </w:rPr>
        <w:t>Glosarij d.o.o.</w:t>
      </w:r>
    </w:p>
    <w:p w14:paraId="17883FBB" w14:textId="4E326AD6" w:rsidR="008F7D68" w:rsidRPr="0086063B" w:rsidRDefault="008F7D68" w:rsidP="00186EFF">
      <w:pPr>
        <w:tabs>
          <w:tab w:val="left" w:pos="540"/>
          <w:tab w:val="left" w:pos="569"/>
        </w:tabs>
        <w:jc w:val="both"/>
        <w:rPr>
          <w:bCs/>
          <w:sz w:val="22"/>
          <w:szCs w:val="22"/>
          <w:lang w:val="sr-Latn-ME"/>
        </w:rPr>
      </w:pPr>
      <w:r w:rsidRPr="0086063B">
        <w:rPr>
          <w:bCs/>
          <w:sz w:val="22"/>
          <w:szCs w:val="22"/>
          <w:lang w:val="sr-Latn-ME"/>
        </w:rPr>
        <w:t xml:space="preserve">Vojislavljevića 76, </w:t>
      </w:r>
      <w:r w:rsidR="007D49A0" w:rsidRPr="0086063B">
        <w:rPr>
          <w:bCs/>
          <w:sz w:val="22"/>
          <w:szCs w:val="22"/>
          <w:lang w:val="sr-Latn-ME"/>
        </w:rPr>
        <w:t xml:space="preserve">81 000 </w:t>
      </w:r>
      <w:r w:rsidRPr="0086063B">
        <w:rPr>
          <w:bCs/>
          <w:sz w:val="22"/>
          <w:szCs w:val="22"/>
          <w:lang w:val="sr-Latn-ME"/>
        </w:rPr>
        <w:t>Podgorica, Crna Gora</w:t>
      </w:r>
    </w:p>
    <w:p w14:paraId="4718895F" w14:textId="4C4C95DB" w:rsidR="00C37FD7" w:rsidRPr="0086063B" w:rsidRDefault="00C37FD7" w:rsidP="00186EFF">
      <w:pPr>
        <w:tabs>
          <w:tab w:val="left" w:pos="540"/>
          <w:tab w:val="left" w:pos="569"/>
        </w:tabs>
        <w:jc w:val="both"/>
        <w:rPr>
          <w:bCs/>
          <w:sz w:val="22"/>
          <w:szCs w:val="22"/>
          <w:lang w:val="sr-Latn-ME"/>
        </w:rPr>
      </w:pPr>
    </w:p>
    <w:p w14:paraId="311DDC49" w14:textId="77777777" w:rsidR="00227ECB" w:rsidRPr="0086063B" w:rsidRDefault="00227ECB" w:rsidP="00186EFF">
      <w:pPr>
        <w:tabs>
          <w:tab w:val="left" w:pos="540"/>
          <w:tab w:val="left" w:pos="569"/>
        </w:tabs>
        <w:jc w:val="both"/>
        <w:rPr>
          <w:bCs/>
          <w:sz w:val="22"/>
          <w:szCs w:val="22"/>
          <w:lang w:val="sr-Latn-ME"/>
        </w:rPr>
      </w:pPr>
    </w:p>
    <w:p w14:paraId="5F5034F8" w14:textId="77777777" w:rsidR="00943DA3" w:rsidRDefault="00943DA3" w:rsidP="00186EFF">
      <w:pPr>
        <w:tabs>
          <w:tab w:val="left" w:pos="540"/>
          <w:tab w:val="left" w:pos="569"/>
        </w:tabs>
        <w:jc w:val="both"/>
        <w:rPr>
          <w:b/>
          <w:bCs/>
          <w:sz w:val="22"/>
          <w:szCs w:val="22"/>
          <w:lang w:val="sr-Latn-ME"/>
        </w:rPr>
      </w:pPr>
    </w:p>
    <w:p w14:paraId="028B65CB" w14:textId="77777777" w:rsidR="00943DA3" w:rsidRDefault="00943DA3" w:rsidP="00186EFF">
      <w:pPr>
        <w:tabs>
          <w:tab w:val="left" w:pos="540"/>
          <w:tab w:val="left" w:pos="569"/>
        </w:tabs>
        <w:jc w:val="both"/>
        <w:rPr>
          <w:b/>
          <w:bCs/>
          <w:sz w:val="22"/>
          <w:szCs w:val="22"/>
          <w:lang w:val="sr-Latn-ME"/>
        </w:rPr>
      </w:pPr>
    </w:p>
    <w:p w14:paraId="33C02138" w14:textId="77777777" w:rsidR="00943DA3" w:rsidRDefault="00943DA3" w:rsidP="00186EFF">
      <w:pPr>
        <w:tabs>
          <w:tab w:val="left" w:pos="540"/>
          <w:tab w:val="left" w:pos="569"/>
        </w:tabs>
        <w:jc w:val="both"/>
        <w:rPr>
          <w:b/>
          <w:bCs/>
          <w:sz w:val="22"/>
          <w:szCs w:val="22"/>
          <w:lang w:val="sr-Latn-ME"/>
        </w:rPr>
      </w:pPr>
    </w:p>
    <w:p w14:paraId="09968A97" w14:textId="77777777" w:rsidR="00943DA3" w:rsidRDefault="00943DA3" w:rsidP="00186EFF">
      <w:pPr>
        <w:tabs>
          <w:tab w:val="left" w:pos="540"/>
          <w:tab w:val="left" w:pos="569"/>
        </w:tabs>
        <w:jc w:val="both"/>
        <w:rPr>
          <w:b/>
          <w:bCs/>
          <w:sz w:val="22"/>
          <w:szCs w:val="22"/>
          <w:lang w:val="sr-Latn-ME"/>
        </w:rPr>
      </w:pPr>
    </w:p>
    <w:p w14:paraId="7E63B613" w14:textId="77777777" w:rsidR="00943DA3" w:rsidRDefault="00943DA3" w:rsidP="00186EFF">
      <w:pPr>
        <w:tabs>
          <w:tab w:val="left" w:pos="540"/>
          <w:tab w:val="left" w:pos="569"/>
        </w:tabs>
        <w:jc w:val="both"/>
        <w:rPr>
          <w:b/>
          <w:bCs/>
          <w:sz w:val="22"/>
          <w:szCs w:val="22"/>
          <w:lang w:val="sr-Latn-ME"/>
        </w:rPr>
      </w:pPr>
    </w:p>
    <w:p w14:paraId="135ACC98" w14:textId="0F5D03B3"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8. </w:t>
      </w:r>
      <w:r w:rsidR="00480FB1" w:rsidRPr="0086063B">
        <w:rPr>
          <w:b/>
          <w:bCs/>
          <w:sz w:val="22"/>
          <w:szCs w:val="22"/>
          <w:lang w:val="sr-Latn-ME"/>
        </w:rPr>
        <w:tab/>
      </w:r>
      <w:r w:rsidRPr="0086063B">
        <w:rPr>
          <w:b/>
          <w:bCs/>
          <w:sz w:val="22"/>
          <w:szCs w:val="22"/>
          <w:lang w:val="sr-Latn-ME"/>
        </w:rPr>
        <w:t>BROJ DOZVOLE</w:t>
      </w:r>
      <w:r w:rsidR="008A6D43" w:rsidRPr="0086063B">
        <w:rPr>
          <w:b/>
          <w:bCs/>
          <w:sz w:val="22"/>
          <w:szCs w:val="22"/>
          <w:lang w:val="sr-Latn-ME"/>
        </w:rPr>
        <w:t xml:space="preserve"> ZA STAVLJANJE LIJEKA U PROMET</w:t>
      </w:r>
    </w:p>
    <w:p w14:paraId="1D6796D9" w14:textId="77777777" w:rsidR="0072020E" w:rsidRPr="0086063B" w:rsidRDefault="0072020E" w:rsidP="00186EFF">
      <w:pPr>
        <w:tabs>
          <w:tab w:val="left" w:pos="540"/>
          <w:tab w:val="left" w:pos="569"/>
        </w:tabs>
        <w:jc w:val="both"/>
        <w:rPr>
          <w:bCs/>
          <w:sz w:val="22"/>
          <w:szCs w:val="22"/>
          <w:lang w:val="sr-Latn-ME"/>
        </w:rPr>
      </w:pPr>
    </w:p>
    <w:p w14:paraId="3EDD5ADA" w14:textId="3E6AC065" w:rsidR="008F7D68" w:rsidRPr="0086063B" w:rsidRDefault="008F7D68" w:rsidP="00186EFF">
      <w:pPr>
        <w:tabs>
          <w:tab w:val="left" w:pos="284"/>
        </w:tabs>
        <w:jc w:val="both"/>
        <w:rPr>
          <w:sz w:val="22"/>
          <w:szCs w:val="22"/>
          <w:lang w:val="sr-Latn-ME"/>
        </w:rPr>
      </w:pPr>
      <w:r w:rsidRPr="0086063B">
        <w:rPr>
          <w:bCs/>
          <w:sz w:val="22"/>
          <w:szCs w:val="22"/>
          <w:lang w:val="sr-Latn-ME"/>
        </w:rPr>
        <w:t>CANCIDAS</w:t>
      </w:r>
      <w:r w:rsidRPr="0086063B">
        <w:rPr>
          <w:sz w:val="22"/>
          <w:szCs w:val="22"/>
          <w:lang w:val="sr-Latn-ME"/>
        </w:rPr>
        <w:t>, prašak za koncentrat za rastvor za infuziju</w:t>
      </w:r>
      <w:r w:rsidR="00DA05C9">
        <w:rPr>
          <w:sz w:val="22"/>
          <w:szCs w:val="22"/>
          <w:lang w:val="sr-Latn-ME"/>
        </w:rPr>
        <w:t xml:space="preserve">, </w:t>
      </w:r>
      <w:r w:rsidR="00DA05C9" w:rsidRPr="0086063B">
        <w:rPr>
          <w:sz w:val="22"/>
          <w:szCs w:val="22"/>
          <w:lang w:val="sr-Latn-ME"/>
        </w:rPr>
        <w:t>50 mg,</w:t>
      </w:r>
      <w:r w:rsidR="00DA05C9">
        <w:rPr>
          <w:sz w:val="22"/>
          <w:szCs w:val="22"/>
          <w:lang w:val="sr-Latn-ME"/>
        </w:rPr>
        <w:t xml:space="preserve"> </w:t>
      </w:r>
      <w:r w:rsidR="00DA05C9" w:rsidRPr="00DA05C9">
        <w:rPr>
          <w:sz w:val="22"/>
          <w:szCs w:val="22"/>
          <w:lang w:val="sr-Latn-ME"/>
        </w:rPr>
        <w:t>bočica, staklena, 1x50mg</w:t>
      </w:r>
      <w:r w:rsidR="00227ECB" w:rsidRPr="0086063B">
        <w:rPr>
          <w:sz w:val="22"/>
          <w:szCs w:val="22"/>
          <w:lang w:val="sr-Latn-ME"/>
        </w:rPr>
        <w:t>: 2030/23/1008 - 6637</w:t>
      </w:r>
    </w:p>
    <w:p w14:paraId="2C8A91D2" w14:textId="2063B2CB" w:rsidR="008F7D68" w:rsidRPr="0086063B" w:rsidRDefault="008F7D68" w:rsidP="00186EFF">
      <w:pPr>
        <w:tabs>
          <w:tab w:val="left" w:pos="284"/>
        </w:tabs>
        <w:jc w:val="both"/>
        <w:rPr>
          <w:sz w:val="22"/>
          <w:szCs w:val="22"/>
          <w:lang w:val="sr-Latn-ME"/>
        </w:rPr>
      </w:pPr>
      <w:r w:rsidRPr="0086063B">
        <w:rPr>
          <w:bCs/>
          <w:sz w:val="22"/>
          <w:szCs w:val="22"/>
          <w:lang w:val="sr-Latn-ME"/>
        </w:rPr>
        <w:t>CANCIDAS</w:t>
      </w:r>
      <w:r w:rsidRPr="0086063B">
        <w:rPr>
          <w:sz w:val="22"/>
          <w:szCs w:val="22"/>
          <w:lang w:val="sr-Latn-ME"/>
        </w:rPr>
        <w:t>, prašak za koncentrat za rastvor za infuziju</w:t>
      </w:r>
      <w:r w:rsidR="00DA05C9">
        <w:rPr>
          <w:sz w:val="22"/>
          <w:szCs w:val="22"/>
          <w:lang w:val="sr-Latn-ME"/>
        </w:rPr>
        <w:t xml:space="preserve">, </w:t>
      </w:r>
      <w:r w:rsidR="00DA05C9" w:rsidRPr="0086063B">
        <w:rPr>
          <w:sz w:val="22"/>
          <w:szCs w:val="22"/>
          <w:lang w:val="sr-Latn-ME"/>
        </w:rPr>
        <w:t>70 mg,</w:t>
      </w:r>
      <w:r w:rsidR="00DA05C9">
        <w:rPr>
          <w:sz w:val="22"/>
          <w:szCs w:val="22"/>
          <w:lang w:val="sr-Latn-ME"/>
        </w:rPr>
        <w:t xml:space="preserve"> </w:t>
      </w:r>
      <w:r w:rsidR="00DA05C9" w:rsidRPr="00DA05C9">
        <w:rPr>
          <w:sz w:val="22"/>
          <w:szCs w:val="22"/>
          <w:lang w:val="sr-Latn-ME"/>
        </w:rPr>
        <w:t>bočica, staklena, 1x</w:t>
      </w:r>
      <w:r w:rsidR="00DA05C9">
        <w:rPr>
          <w:sz w:val="22"/>
          <w:szCs w:val="22"/>
          <w:lang w:val="sr-Latn-ME"/>
        </w:rPr>
        <w:t>7</w:t>
      </w:r>
      <w:r w:rsidR="00DA05C9" w:rsidRPr="00DA05C9">
        <w:rPr>
          <w:sz w:val="22"/>
          <w:szCs w:val="22"/>
          <w:lang w:val="sr-Latn-ME"/>
        </w:rPr>
        <w:t>0mg</w:t>
      </w:r>
      <w:r w:rsidR="00227ECB" w:rsidRPr="0086063B">
        <w:rPr>
          <w:sz w:val="22"/>
          <w:szCs w:val="22"/>
          <w:lang w:val="sr-Latn-ME"/>
        </w:rPr>
        <w:t>: 2030/23/1010 - 6636</w:t>
      </w:r>
    </w:p>
    <w:p w14:paraId="2A12BC14" w14:textId="77777777" w:rsidR="00F45F77" w:rsidRPr="0086063B" w:rsidRDefault="00F45F77" w:rsidP="00186EFF">
      <w:pPr>
        <w:tabs>
          <w:tab w:val="left" w:pos="540"/>
          <w:tab w:val="left" w:pos="569"/>
        </w:tabs>
        <w:jc w:val="both"/>
        <w:rPr>
          <w:bCs/>
          <w:sz w:val="22"/>
          <w:szCs w:val="22"/>
          <w:lang w:val="sr-Latn-ME"/>
        </w:rPr>
      </w:pPr>
    </w:p>
    <w:p w14:paraId="047C1DF7" w14:textId="77777777" w:rsidR="00134968" w:rsidRPr="0086063B" w:rsidRDefault="00134968" w:rsidP="00186EFF">
      <w:pPr>
        <w:tabs>
          <w:tab w:val="left" w:pos="540"/>
          <w:tab w:val="left" w:pos="569"/>
        </w:tabs>
        <w:jc w:val="both"/>
        <w:rPr>
          <w:b/>
          <w:bCs/>
          <w:sz w:val="22"/>
          <w:szCs w:val="22"/>
          <w:lang w:val="sr-Latn-ME"/>
        </w:rPr>
      </w:pPr>
    </w:p>
    <w:p w14:paraId="2BC61C6A" w14:textId="5329C51F" w:rsidR="0072020E" w:rsidRPr="0086063B" w:rsidRDefault="0072020E" w:rsidP="00186EFF">
      <w:pPr>
        <w:tabs>
          <w:tab w:val="left" w:pos="540"/>
          <w:tab w:val="left" w:pos="569"/>
        </w:tabs>
        <w:jc w:val="both"/>
        <w:rPr>
          <w:b/>
          <w:bCs/>
          <w:sz w:val="22"/>
          <w:szCs w:val="22"/>
          <w:lang w:val="sr-Latn-ME"/>
        </w:rPr>
      </w:pPr>
      <w:r w:rsidRPr="0086063B">
        <w:rPr>
          <w:b/>
          <w:bCs/>
          <w:sz w:val="22"/>
          <w:szCs w:val="22"/>
          <w:lang w:val="sr-Latn-ME"/>
        </w:rPr>
        <w:t xml:space="preserve">9. </w:t>
      </w:r>
      <w:r w:rsidR="00480FB1" w:rsidRPr="0086063B">
        <w:rPr>
          <w:b/>
          <w:bCs/>
          <w:sz w:val="22"/>
          <w:szCs w:val="22"/>
          <w:lang w:val="sr-Latn-ME"/>
        </w:rPr>
        <w:tab/>
      </w:r>
      <w:r w:rsidRPr="0086063B">
        <w:rPr>
          <w:b/>
          <w:bCs/>
          <w:sz w:val="22"/>
          <w:szCs w:val="22"/>
          <w:lang w:val="sr-Latn-ME"/>
        </w:rPr>
        <w:t xml:space="preserve">DATUM </w:t>
      </w:r>
      <w:r w:rsidR="00C05DF8" w:rsidRPr="0086063B">
        <w:rPr>
          <w:b/>
          <w:bCs/>
          <w:sz w:val="22"/>
          <w:szCs w:val="22"/>
          <w:lang w:val="sr-Latn-ME"/>
        </w:rPr>
        <w:t xml:space="preserve">PRVE </w:t>
      </w:r>
      <w:r w:rsidR="008A6D43" w:rsidRPr="0086063B">
        <w:rPr>
          <w:b/>
          <w:bCs/>
          <w:sz w:val="22"/>
          <w:szCs w:val="22"/>
          <w:lang w:val="sr-Latn-ME"/>
        </w:rPr>
        <w:t>DOZVOLE</w:t>
      </w:r>
      <w:r w:rsidR="00C05DF8" w:rsidRPr="0086063B">
        <w:rPr>
          <w:b/>
          <w:bCs/>
          <w:sz w:val="22"/>
          <w:szCs w:val="22"/>
          <w:lang w:val="sr-Latn-ME"/>
        </w:rPr>
        <w:t>/OBNOVE DOZVOLE</w:t>
      </w:r>
      <w:r w:rsidR="008A6D43" w:rsidRPr="0086063B">
        <w:rPr>
          <w:b/>
          <w:bCs/>
          <w:sz w:val="22"/>
          <w:szCs w:val="22"/>
          <w:lang w:val="sr-Latn-ME"/>
        </w:rPr>
        <w:t xml:space="preserve"> ZA STAVLJANJE LIJEKA U PROMET</w:t>
      </w:r>
    </w:p>
    <w:p w14:paraId="6A3CDD7B" w14:textId="77777777" w:rsidR="0072020E" w:rsidRPr="0086063B" w:rsidRDefault="0072020E" w:rsidP="00186EFF">
      <w:pPr>
        <w:tabs>
          <w:tab w:val="left" w:pos="540"/>
          <w:tab w:val="left" w:pos="569"/>
        </w:tabs>
        <w:jc w:val="both"/>
        <w:rPr>
          <w:bCs/>
          <w:sz w:val="22"/>
          <w:szCs w:val="22"/>
          <w:lang w:val="sr-Latn-ME"/>
        </w:rPr>
      </w:pPr>
    </w:p>
    <w:p w14:paraId="20D826A5" w14:textId="7DC41CD3" w:rsidR="008F7D68" w:rsidRPr="0086063B" w:rsidRDefault="008F7D68" w:rsidP="00186EFF">
      <w:pPr>
        <w:tabs>
          <w:tab w:val="left" w:pos="540"/>
          <w:tab w:val="left" w:pos="569"/>
        </w:tabs>
        <w:jc w:val="both"/>
        <w:rPr>
          <w:bCs/>
          <w:sz w:val="22"/>
          <w:szCs w:val="22"/>
          <w:lang w:val="sr-Latn-ME"/>
        </w:rPr>
      </w:pPr>
      <w:r w:rsidRPr="0086063B">
        <w:rPr>
          <w:bCs/>
          <w:sz w:val="22"/>
          <w:szCs w:val="22"/>
          <w:lang w:val="sr-Latn-ME"/>
        </w:rPr>
        <w:t>Datum prve dozvole: 25.07.2011.</w:t>
      </w:r>
      <w:r w:rsidR="00227ECB" w:rsidRPr="0086063B">
        <w:rPr>
          <w:bCs/>
          <w:sz w:val="22"/>
          <w:szCs w:val="22"/>
          <w:lang w:val="sr-Latn-ME"/>
        </w:rPr>
        <w:t xml:space="preserve"> godine</w:t>
      </w:r>
    </w:p>
    <w:p w14:paraId="1F4F41CA" w14:textId="33223DDA" w:rsidR="008F7D68" w:rsidRPr="0086063B" w:rsidRDefault="00227ECB" w:rsidP="00186EFF">
      <w:pPr>
        <w:tabs>
          <w:tab w:val="left" w:pos="284"/>
        </w:tabs>
        <w:jc w:val="both"/>
        <w:rPr>
          <w:bCs/>
          <w:sz w:val="22"/>
          <w:szCs w:val="22"/>
          <w:lang w:val="sr-Latn-ME"/>
        </w:rPr>
      </w:pPr>
      <w:r w:rsidRPr="0086063B">
        <w:rPr>
          <w:sz w:val="22"/>
          <w:szCs w:val="22"/>
          <w:lang w:val="sr-Latn-ME"/>
        </w:rPr>
        <w:t xml:space="preserve">Datum poslednje obnove dozvole: </w:t>
      </w:r>
      <w:r w:rsidRPr="0086063B">
        <w:rPr>
          <w:sz w:val="22"/>
          <w:szCs w:val="22"/>
          <w:lang w:val="sr-Latn-ME" w:eastAsia="sr-Latn-ME"/>
        </w:rPr>
        <w:t>10.03.2023. godine</w:t>
      </w:r>
    </w:p>
    <w:p w14:paraId="0DDF5535" w14:textId="77777777" w:rsidR="00227ECB" w:rsidRPr="0086063B" w:rsidRDefault="00227ECB" w:rsidP="00186EFF">
      <w:pPr>
        <w:tabs>
          <w:tab w:val="left" w:pos="284"/>
        </w:tabs>
        <w:jc w:val="both"/>
        <w:rPr>
          <w:bCs/>
          <w:sz w:val="22"/>
          <w:szCs w:val="22"/>
          <w:lang w:val="sr-Latn-ME"/>
        </w:rPr>
      </w:pPr>
    </w:p>
    <w:p w14:paraId="5DA4C91B" w14:textId="77777777" w:rsidR="00134968" w:rsidRPr="0086063B" w:rsidRDefault="00134968" w:rsidP="00186EFF">
      <w:pPr>
        <w:tabs>
          <w:tab w:val="left" w:pos="540"/>
          <w:tab w:val="left" w:pos="569"/>
        </w:tabs>
        <w:ind w:left="540" w:hanging="540"/>
        <w:jc w:val="both"/>
        <w:rPr>
          <w:b/>
          <w:bCs/>
          <w:sz w:val="22"/>
          <w:szCs w:val="22"/>
          <w:lang w:val="sr-Latn-ME"/>
        </w:rPr>
      </w:pPr>
    </w:p>
    <w:p w14:paraId="58B5B59B" w14:textId="54C32665" w:rsidR="003F6A59" w:rsidRPr="0086063B" w:rsidRDefault="0072020E" w:rsidP="00186EFF">
      <w:pPr>
        <w:tabs>
          <w:tab w:val="left" w:pos="540"/>
          <w:tab w:val="left" w:pos="569"/>
        </w:tabs>
        <w:ind w:left="540" w:hanging="540"/>
        <w:jc w:val="both"/>
        <w:rPr>
          <w:bCs/>
          <w:sz w:val="22"/>
          <w:szCs w:val="22"/>
          <w:lang w:val="sr-Latn-ME"/>
        </w:rPr>
      </w:pPr>
      <w:r w:rsidRPr="0086063B">
        <w:rPr>
          <w:b/>
          <w:bCs/>
          <w:sz w:val="22"/>
          <w:szCs w:val="22"/>
          <w:lang w:val="sr-Latn-ME"/>
        </w:rPr>
        <w:t xml:space="preserve">10. </w:t>
      </w:r>
      <w:r w:rsidR="00480FB1" w:rsidRPr="0086063B">
        <w:rPr>
          <w:b/>
          <w:bCs/>
          <w:sz w:val="22"/>
          <w:szCs w:val="22"/>
          <w:lang w:val="sr-Latn-ME"/>
        </w:rPr>
        <w:tab/>
      </w:r>
      <w:r w:rsidR="002846DB" w:rsidRPr="0086063B">
        <w:rPr>
          <w:b/>
          <w:bCs/>
          <w:sz w:val="22"/>
          <w:szCs w:val="22"/>
          <w:lang w:val="sr-Latn-ME"/>
        </w:rPr>
        <w:t>D</w:t>
      </w:r>
      <w:r w:rsidR="00EC2532" w:rsidRPr="0086063B">
        <w:rPr>
          <w:b/>
          <w:bCs/>
          <w:sz w:val="22"/>
          <w:szCs w:val="22"/>
          <w:lang w:val="sr-Latn-ME"/>
        </w:rPr>
        <w:t xml:space="preserve">ATUM REVIZIJE TEKSTA </w:t>
      </w:r>
    </w:p>
    <w:p w14:paraId="4E04DFF0" w14:textId="77777777" w:rsidR="003F6A59" w:rsidRPr="0086063B" w:rsidRDefault="003F6A59" w:rsidP="00186EFF">
      <w:pPr>
        <w:tabs>
          <w:tab w:val="left" w:pos="540"/>
          <w:tab w:val="left" w:pos="569"/>
        </w:tabs>
        <w:jc w:val="both"/>
        <w:rPr>
          <w:bCs/>
          <w:sz w:val="22"/>
          <w:szCs w:val="22"/>
          <w:lang w:val="sr-Latn-ME"/>
        </w:rPr>
      </w:pPr>
    </w:p>
    <w:p w14:paraId="4BECBD21" w14:textId="74EC7DBC" w:rsidR="00565012" w:rsidRPr="00565012" w:rsidRDefault="00227ECB" w:rsidP="00565012">
      <w:pPr>
        <w:tabs>
          <w:tab w:val="left" w:pos="540"/>
          <w:tab w:val="left" w:pos="569"/>
        </w:tabs>
        <w:jc w:val="both"/>
        <w:rPr>
          <w:bCs/>
          <w:sz w:val="22"/>
          <w:szCs w:val="22"/>
          <w:lang w:val="sr-Latn-ME"/>
        </w:rPr>
      </w:pPr>
      <w:r w:rsidRPr="0086063B">
        <w:rPr>
          <w:bCs/>
          <w:sz w:val="22"/>
          <w:szCs w:val="22"/>
          <w:lang w:val="sr-Latn-ME"/>
        </w:rPr>
        <w:t>Mart, 2023. godine</w:t>
      </w:r>
    </w:p>
    <w:sectPr w:rsidR="00565012" w:rsidRPr="00565012"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26F2" w14:textId="77777777" w:rsidR="00C154CE" w:rsidRDefault="00C154CE">
      <w:r>
        <w:separator/>
      </w:r>
    </w:p>
  </w:endnote>
  <w:endnote w:type="continuationSeparator" w:id="0">
    <w:p w14:paraId="2E6CB94B" w14:textId="77777777" w:rsidR="00C154CE" w:rsidRDefault="00C1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2CD8" w14:textId="17709F1F" w:rsidR="00565012" w:rsidRPr="00565012" w:rsidRDefault="00565012" w:rsidP="00565012">
    <w:pPr>
      <w:tabs>
        <w:tab w:val="center" w:pos="4550"/>
        <w:tab w:val="left" w:pos="5818"/>
      </w:tabs>
      <w:ind w:right="260"/>
      <w:jc w:val="center"/>
      <w:rPr>
        <w:color w:val="222A35" w:themeColor="text2" w:themeShade="80"/>
        <w:sz w:val="22"/>
        <w:szCs w:val="22"/>
      </w:rPr>
    </w:pPr>
    <w:r w:rsidRPr="00565012">
      <w:rPr>
        <w:color w:val="8496B0" w:themeColor="text2" w:themeTint="99"/>
        <w:sz w:val="22"/>
        <w:szCs w:val="22"/>
      </w:rPr>
      <w:t xml:space="preserve"> </w:t>
    </w:r>
    <w:r w:rsidRPr="00565012">
      <w:rPr>
        <w:color w:val="323E4F" w:themeColor="text2" w:themeShade="BF"/>
        <w:sz w:val="22"/>
        <w:szCs w:val="22"/>
      </w:rPr>
      <w:fldChar w:fldCharType="begin"/>
    </w:r>
    <w:r w:rsidRPr="00565012">
      <w:rPr>
        <w:color w:val="323E4F" w:themeColor="text2" w:themeShade="BF"/>
        <w:sz w:val="22"/>
        <w:szCs w:val="22"/>
      </w:rPr>
      <w:instrText xml:space="preserve"> PAGE   \* MERGEFORMAT </w:instrText>
    </w:r>
    <w:r w:rsidRPr="00565012">
      <w:rPr>
        <w:color w:val="323E4F" w:themeColor="text2" w:themeShade="BF"/>
        <w:sz w:val="22"/>
        <w:szCs w:val="22"/>
      </w:rPr>
      <w:fldChar w:fldCharType="separate"/>
    </w:r>
    <w:r w:rsidR="00943DA3">
      <w:rPr>
        <w:noProof/>
        <w:color w:val="323E4F" w:themeColor="text2" w:themeShade="BF"/>
        <w:sz w:val="22"/>
        <w:szCs w:val="22"/>
      </w:rPr>
      <w:t>22</w:t>
    </w:r>
    <w:r w:rsidRPr="00565012">
      <w:rPr>
        <w:color w:val="323E4F" w:themeColor="text2" w:themeShade="BF"/>
        <w:sz w:val="22"/>
        <w:szCs w:val="22"/>
      </w:rPr>
      <w:fldChar w:fldCharType="end"/>
    </w:r>
    <w:r w:rsidRPr="00565012">
      <w:rPr>
        <w:color w:val="323E4F" w:themeColor="text2" w:themeShade="BF"/>
        <w:sz w:val="22"/>
        <w:szCs w:val="22"/>
      </w:rPr>
      <w:t xml:space="preserve"> / 2</w:t>
    </w:r>
    <w:r>
      <w:rPr>
        <w:color w:val="323E4F" w:themeColor="text2" w:themeShade="BF"/>
        <w:sz w:val="22"/>
        <w:szCs w:val="22"/>
      </w:rPr>
      <w:t>2</w:t>
    </w:r>
  </w:p>
  <w:p w14:paraId="02FD3B3C" w14:textId="77777777" w:rsidR="00565012" w:rsidRDefault="0056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70E8" w14:textId="77777777" w:rsidR="00C154CE" w:rsidRDefault="00C154CE">
      <w:r>
        <w:separator/>
      </w:r>
    </w:p>
  </w:footnote>
  <w:footnote w:type="continuationSeparator" w:id="0">
    <w:p w14:paraId="794F1AB2" w14:textId="77777777" w:rsidR="00C154CE" w:rsidRDefault="00C154CE">
      <w:r>
        <w:continuationSeparator/>
      </w:r>
    </w:p>
  </w:footnote>
  <w:footnote w:id="1">
    <w:p w14:paraId="14F19657" w14:textId="07A938D8" w:rsidR="0086063B" w:rsidRPr="00186EFF" w:rsidRDefault="0086063B">
      <w:pPr>
        <w:pStyle w:val="FootnoteText"/>
        <w:rPr>
          <w:lang w:val="sr-Latn-RS"/>
        </w:rPr>
      </w:pPr>
      <w:r>
        <w:rPr>
          <w:rStyle w:val="FootnoteReference"/>
        </w:rPr>
        <w:footnoteRef/>
      </w:r>
      <w:r>
        <w:t xml:space="preserve"> </w:t>
      </w:r>
      <w:r w:rsidRPr="00186EFF">
        <w:rPr>
          <w:sz w:val="22"/>
          <w:szCs w:val="22"/>
          <w:lang w:val="sr-Latn-CS"/>
        </w:rPr>
        <w:t xml:space="preserve">Mosteller AD: Pojednostavljena formula za izračunavanje površine tela, </w:t>
      </w:r>
      <w:r w:rsidRPr="00186EFF">
        <w:rPr>
          <w:i/>
          <w:sz w:val="22"/>
          <w:szCs w:val="22"/>
          <w:lang w:val="sr-Latn-CS"/>
        </w:rPr>
        <w:t xml:space="preserve">N Engl J Med </w:t>
      </w:r>
      <w:r w:rsidRPr="00186EFF">
        <w:rPr>
          <w:sz w:val="22"/>
          <w:szCs w:val="22"/>
          <w:lang w:val="sr-Latn-CS"/>
        </w:rPr>
        <w:t>1987, Oct 22; 317 (17); 1098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808495E"/>
    <w:multiLevelType w:val="hybridMultilevel"/>
    <w:tmpl w:val="4A76F1BC"/>
    <w:lvl w:ilvl="0" w:tplc="62667D12">
      <w:start w:val="4"/>
      <w:numFmt w:val="bullet"/>
      <w:lvlText w:val="a"/>
      <w:lvlJc w:val="left"/>
      <w:pPr>
        <w:tabs>
          <w:tab w:val="num" w:pos="720"/>
        </w:tabs>
        <w:ind w:left="720" w:hanging="360"/>
      </w:pPr>
      <w:rPr>
        <w:rFonts w:ascii="Times New Roman" w:eastAsia="Times New Roman" w:hAnsi="Times New Roman" w:cs="Times New Roman" w:hint="default"/>
        <w:sz w:val="22"/>
      </w:rPr>
    </w:lvl>
    <w:lvl w:ilvl="1" w:tplc="A008FC28">
      <w:start w:val="4"/>
      <w:numFmt w:val="bullet"/>
      <w:lvlText w:val="a"/>
      <w:lvlJc w:val="left"/>
      <w:pPr>
        <w:tabs>
          <w:tab w:val="num" w:pos="720"/>
        </w:tabs>
        <w:ind w:left="720" w:hanging="360"/>
      </w:pPr>
      <w:rPr>
        <w:rFonts w:ascii="Arial" w:eastAsia="Times New Roman" w:hAnsi="Arial"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282"/>
    <w:multiLevelType w:val="hybridMultilevel"/>
    <w:tmpl w:val="7330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06638"/>
    <w:multiLevelType w:val="hybridMultilevel"/>
    <w:tmpl w:val="5EB8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874F5F"/>
    <w:multiLevelType w:val="hybridMultilevel"/>
    <w:tmpl w:val="41A82CEE"/>
    <w:lvl w:ilvl="0" w:tplc="48927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3586D"/>
    <w:multiLevelType w:val="hybridMultilevel"/>
    <w:tmpl w:val="BF1C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4B66D6C"/>
    <w:multiLevelType w:val="hybridMultilevel"/>
    <w:tmpl w:val="70804CC8"/>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14"/>
  </w:num>
  <w:num w:numId="5">
    <w:abstractNumId w:val="9"/>
  </w:num>
  <w:num w:numId="6">
    <w:abstractNumId w:val="4"/>
  </w:num>
  <w:num w:numId="7">
    <w:abstractNumId w:val="13"/>
  </w:num>
  <w:num w:numId="8">
    <w:abstractNumId w:val="8"/>
  </w:num>
  <w:num w:numId="9">
    <w:abstractNumId w:val="11"/>
  </w:num>
  <w:num w:numId="10">
    <w:abstractNumId w:val="16"/>
  </w:num>
  <w:num w:numId="11">
    <w:abstractNumId w:val="10"/>
  </w:num>
  <w:num w:numId="12">
    <w:abstractNumId w:val="12"/>
  </w:num>
  <w:num w:numId="13">
    <w:abstractNumId w:val="1"/>
  </w:num>
  <w:num w:numId="14">
    <w:abstractNumId w:val="6"/>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F82"/>
    <w:rsid w:val="000176CA"/>
    <w:rsid w:val="00031E41"/>
    <w:rsid w:val="00036FA0"/>
    <w:rsid w:val="0003793F"/>
    <w:rsid w:val="00047560"/>
    <w:rsid w:val="00057E35"/>
    <w:rsid w:val="00076726"/>
    <w:rsid w:val="00080303"/>
    <w:rsid w:val="00081606"/>
    <w:rsid w:val="000A3F58"/>
    <w:rsid w:val="000B4A9E"/>
    <w:rsid w:val="000B6C57"/>
    <w:rsid w:val="000D2343"/>
    <w:rsid w:val="000D3449"/>
    <w:rsid w:val="000D425A"/>
    <w:rsid w:val="000D60CC"/>
    <w:rsid w:val="000D779B"/>
    <w:rsid w:val="000E2084"/>
    <w:rsid w:val="000E327E"/>
    <w:rsid w:val="000E6F55"/>
    <w:rsid w:val="000F252E"/>
    <w:rsid w:val="000F77FA"/>
    <w:rsid w:val="00107BF7"/>
    <w:rsid w:val="0011021B"/>
    <w:rsid w:val="00126F53"/>
    <w:rsid w:val="0013143D"/>
    <w:rsid w:val="00134968"/>
    <w:rsid w:val="0014766D"/>
    <w:rsid w:val="001536CC"/>
    <w:rsid w:val="0016254B"/>
    <w:rsid w:val="00171F13"/>
    <w:rsid w:val="0017305F"/>
    <w:rsid w:val="00174F9A"/>
    <w:rsid w:val="00186EFF"/>
    <w:rsid w:val="0019476D"/>
    <w:rsid w:val="001A3FBA"/>
    <w:rsid w:val="001A5518"/>
    <w:rsid w:val="001B1C6A"/>
    <w:rsid w:val="001C1263"/>
    <w:rsid w:val="001C1417"/>
    <w:rsid w:val="001D5129"/>
    <w:rsid w:val="001E390B"/>
    <w:rsid w:val="001F42FB"/>
    <w:rsid w:val="001F719A"/>
    <w:rsid w:val="002031B3"/>
    <w:rsid w:val="00213751"/>
    <w:rsid w:val="00215931"/>
    <w:rsid w:val="00216AF8"/>
    <w:rsid w:val="002226AA"/>
    <w:rsid w:val="002250B0"/>
    <w:rsid w:val="00227BDB"/>
    <w:rsid w:val="00227ECB"/>
    <w:rsid w:val="00234CB1"/>
    <w:rsid w:val="002352F8"/>
    <w:rsid w:val="0025085E"/>
    <w:rsid w:val="002510A5"/>
    <w:rsid w:val="00254A0A"/>
    <w:rsid w:val="002602F9"/>
    <w:rsid w:val="00266046"/>
    <w:rsid w:val="002846DB"/>
    <w:rsid w:val="00284CCD"/>
    <w:rsid w:val="002A585D"/>
    <w:rsid w:val="002C2C86"/>
    <w:rsid w:val="002C5194"/>
    <w:rsid w:val="002C6637"/>
    <w:rsid w:val="002E0135"/>
    <w:rsid w:val="002E37A5"/>
    <w:rsid w:val="002F0D1C"/>
    <w:rsid w:val="003028F3"/>
    <w:rsid w:val="00306D34"/>
    <w:rsid w:val="00310F03"/>
    <w:rsid w:val="003247D2"/>
    <w:rsid w:val="00336B80"/>
    <w:rsid w:val="00337DDF"/>
    <w:rsid w:val="003445C1"/>
    <w:rsid w:val="00345A71"/>
    <w:rsid w:val="00355B61"/>
    <w:rsid w:val="00360BD0"/>
    <w:rsid w:val="00362686"/>
    <w:rsid w:val="00371510"/>
    <w:rsid w:val="003767EC"/>
    <w:rsid w:val="0038081D"/>
    <w:rsid w:val="003950EF"/>
    <w:rsid w:val="00395136"/>
    <w:rsid w:val="00396345"/>
    <w:rsid w:val="00396DFD"/>
    <w:rsid w:val="003A5EC5"/>
    <w:rsid w:val="003A7059"/>
    <w:rsid w:val="003B7A36"/>
    <w:rsid w:val="003C17AB"/>
    <w:rsid w:val="003C7823"/>
    <w:rsid w:val="003E1DCC"/>
    <w:rsid w:val="003F6A59"/>
    <w:rsid w:val="004065C8"/>
    <w:rsid w:val="004109FA"/>
    <w:rsid w:val="00411B4B"/>
    <w:rsid w:val="00414C1F"/>
    <w:rsid w:val="00415BEE"/>
    <w:rsid w:val="00427F85"/>
    <w:rsid w:val="00436F42"/>
    <w:rsid w:val="004378B4"/>
    <w:rsid w:val="00451314"/>
    <w:rsid w:val="00452E9D"/>
    <w:rsid w:val="004534C7"/>
    <w:rsid w:val="004574D7"/>
    <w:rsid w:val="004671AA"/>
    <w:rsid w:val="00480FB1"/>
    <w:rsid w:val="00483928"/>
    <w:rsid w:val="004B2F27"/>
    <w:rsid w:val="004C7306"/>
    <w:rsid w:val="004D0241"/>
    <w:rsid w:val="004D6103"/>
    <w:rsid w:val="004E3BCE"/>
    <w:rsid w:val="004E3E03"/>
    <w:rsid w:val="004F0E97"/>
    <w:rsid w:val="00501DD1"/>
    <w:rsid w:val="00513068"/>
    <w:rsid w:val="00515C21"/>
    <w:rsid w:val="00530BD7"/>
    <w:rsid w:val="00545CD2"/>
    <w:rsid w:val="005476F3"/>
    <w:rsid w:val="00557B9F"/>
    <w:rsid w:val="00563193"/>
    <w:rsid w:val="00565012"/>
    <w:rsid w:val="00572527"/>
    <w:rsid w:val="00573E40"/>
    <w:rsid w:val="00576348"/>
    <w:rsid w:val="005867DE"/>
    <w:rsid w:val="005A0B2E"/>
    <w:rsid w:val="005A23D2"/>
    <w:rsid w:val="005A36CB"/>
    <w:rsid w:val="005B49B8"/>
    <w:rsid w:val="005C0741"/>
    <w:rsid w:val="005C5EF4"/>
    <w:rsid w:val="005E2E0B"/>
    <w:rsid w:val="005E7A7D"/>
    <w:rsid w:val="00602457"/>
    <w:rsid w:val="00607084"/>
    <w:rsid w:val="00622294"/>
    <w:rsid w:val="00646BD1"/>
    <w:rsid w:val="006561C2"/>
    <w:rsid w:val="00671CB3"/>
    <w:rsid w:val="00674BAF"/>
    <w:rsid w:val="00682200"/>
    <w:rsid w:val="00685EB6"/>
    <w:rsid w:val="00692BF6"/>
    <w:rsid w:val="006A1497"/>
    <w:rsid w:val="006B0BD1"/>
    <w:rsid w:val="006B0CB6"/>
    <w:rsid w:val="006D20A5"/>
    <w:rsid w:val="006D37BF"/>
    <w:rsid w:val="00702E22"/>
    <w:rsid w:val="0072020E"/>
    <w:rsid w:val="00722B62"/>
    <w:rsid w:val="00772451"/>
    <w:rsid w:val="00786071"/>
    <w:rsid w:val="00797EA4"/>
    <w:rsid w:val="007A3ECB"/>
    <w:rsid w:val="007A4162"/>
    <w:rsid w:val="007A6E60"/>
    <w:rsid w:val="007B361D"/>
    <w:rsid w:val="007C23C8"/>
    <w:rsid w:val="007D49A0"/>
    <w:rsid w:val="007F7397"/>
    <w:rsid w:val="008048BD"/>
    <w:rsid w:val="0082089C"/>
    <w:rsid w:val="00824AB9"/>
    <w:rsid w:val="00824F66"/>
    <w:rsid w:val="00836B35"/>
    <w:rsid w:val="00843BDE"/>
    <w:rsid w:val="00851982"/>
    <w:rsid w:val="00851B9F"/>
    <w:rsid w:val="0086063B"/>
    <w:rsid w:val="00871F66"/>
    <w:rsid w:val="0089705C"/>
    <w:rsid w:val="008A6D43"/>
    <w:rsid w:val="008B19BF"/>
    <w:rsid w:val="008B491E"/>
    <w:rsid w:val="008B6AAA"/>
    <w:rsid w:val="008B6C63"/>
    <w:rsid w:val="008C1A28"/>
    <w:rsid w:val="008C2E98"/>
    <w:rsid w:val="008E49BD"/>
    <w:rsid w:val="008E53E9"/>
    <w:rsid w:val="008E5771"/>
    <w:rsid w:val="008F4ACF"/>
    <w:rsid w:val="008F7D68"/>
    <w:rsid w:val="00930B8E"/>
    <w:rsid w:val="00931098"/>
    <w:rsid w:val="00940B9B"/>
    <w:rsid w:val="00943880"/>
    <w:rsid w:val="00943DA3"/>
    <w:rsid w:val="0095676E"/>
    <w:rsid w:val="00956983"/>
    <w:rsid w:val="00963CF0"/>
    <w:rsid w:val="00964BB1"/>
    <w:rsid w:val="009775D9"/>
    <w:rsid w:val="00997175"/>
    <w:rsid w:val="0099759F"/>
    <w:rsid w:val="009A1847"/>
    <w:rsid w:val="009B062A"/>
    <w:rsid w:val="009B678F"/>
    <w:rsid w:val="009D3051"/>
    <w:rsid w:val="009E7C6F"/>
    <w:rsid w:val="009F1793"/>
    <w:rsid w:val="009F287A"/>
    <w:rsid w:val="009F2D23"/>
    <w:rsid w:val="00A01D69"/>
    <w:rsid w:val="00A02335"/>
    <w:rsid w:val="00A04C3F"/>
    <w:rsid w:val="00A14B2E"/>
    <w:rsid w:val="00A349AE"/>
    <w:rsid w:val="00A46C9A"/>
    <w:rsid w:val="00A53D46"/>
    <w:rsid w:val="00A619F3"/>
    <w:rsid w:val="00A62128"/>
    <w:rsid w:val="00A62A73"/>
    <w:rsid w:val="00A65B6C"/>
    <w:rsid w:val="00A7654A"/>
    <w:rsid w:val="00A87FF6"/>
    <w:rsid w:val="00A9173F"/>
    <w:rsid w:val="00AA0A3B"/>
    <w:rsid w:val="00AA2763"/>
    <w:rsid w:val="00AA33B6"/>
    <w:rsid w:val="00AB50CA"/>
    <w:rsid w:val="00AB6D64"/>
    <w:rsid w:val="00AC134D"/>
    <w:rsid w:val="00AC53CE"/>
    <w:rsid w:val="00AD1C67"/>
    <w:rsid w:val="00AD2193"/>
    <w:rsid w:val="00AE6883"/>
    <w:rsid w:val="00AE6C2D"/>
    <w:rsid w:val="00AF2AC7"/>
    <w:rsid w:val="00AF411C"/>
    <w:rsid w:val="00AF74CE"/>
    <w:rsid w:val="00B208DB"/>
    <w:rsid w:val="00B215DB"/>
    <w:rsid w:val="00B23F69"/>
    <w:rsid w:val="00B30C62"/>
    <w:rsid w:val="00B4252F"/>
    <w:rsid w:val="00B60619"/>
    <w:rsid w:val="00B606B9"/>
    <w:rsid w:val="00B66A70"/>
    <w:rsid w:val="00B67366"/>
    <w:rsid w:val="00B80EE1"/>
    <w:rsid w:val="00B84135"/>
    <w:rsid w:val="00B92127"/>
    <w:rsid w:val="00BA4655"/>
    <w:rsid w:val="00BD4047"/>
    <w:rsid w:val="00C0141A"/>
    <w:rsid w:val="00C04D34"/>
    <w:rsid w:val="00C05DF8"/>
    <w:rsid w:val="00C06864"/>
    <w:rsid w:val="00C10F54"/>
    <w:rsid w:val="00C154CE"/>
    <w:rsid w:val="00C15AEA"/>
    <w:rsid w:val="00C23D8D"/>
    <w:rsid w:val="00C37AA3"/>
    <w:rsid w:val="00C37FD7"/>
    <w:rsid w:val="00C43419"/>
    <w:rsid w:val="00C436B9"/>
    <w:rsid w:val="00C44CF3"/>
    <w:rsid w:val="00C57959"/>
    <w:rsid w:val="00C61BE0"/>
    <w:rsid w:val="00C70B0E"/>
    <w:rsid w:val="00C773CA"/>
    <w:rsid w:val="00C8118D"/>
    <w:rsid w:val="00C82DE2"/>
    <w:rsid w:val="00C83785"/>
    <w:rsid w:val="00C94C0D"/>
    <w:rsid w:val="00CA1FEB"/>
    <w:rsid w:val="00CB3B10"/>
    <w:rsid w:val="00CC501F"/>
    <w:rsid w:val="00CD4F85"/>
    <w:rsid w:val="00CD6F02"/>
    <w:rsid w:val="00CE246D"/>
    <w:rsid w:val="00CF07A0"/>
    <w:rsid w:val="00CF3E03"/>
    <w:rsid w:val="00D0082A"/>
    <w:rsid w:val="00D065D6"/>
    <w:rsid w:val="00D20326"/>
    <w:rsid w:val="00D20ABF"/>
    <w:rsid w:val="00D21455"/>
    <w:rsid w:val="00D25445"/>
    <w:rsid w:val="00D47634"/>
    <w:rsid w:val="00D52A47"/>
    <w:rsid w:val="00D541B7"/>
    <w:rsid w:val="00D709B3"/>
    <w:rsid w:val="00D86313"/>
    <w:rsid w:val="00DA05C9"/>
    <w:rsid w:val="00DA16D4"/>
    <w:rsid w:val="00DA2ED6"/>
    <w:rsid w:val="00DB44BC"/>
    <w:rsid w:val="00DB647D"/>
    <w:rsid w:val="00DB76B8"/>
    <w:rsid w:val="00DC2EA1"/>
    <w:rsid w:val="00DC5BB8"/>
    <w:rsid w:val="00DD32FF"/>
    <w:rsid w:val="00DD3859"/>
    <w:rsid w:val="00DD6AAF"/>
    <w:rsid w:val="00DE3F5C"/>
    <w:rsid w:val="00DE78C8"/>
    <w:rsid w:val="00DF1D20"/>
    <w:rsid w:val="00E1730A"/>
    <w:rsid w:val="00E21324"/>
    <w:rsid w:val="00E2457A"/>
    <w:rsid w:val="00E246B9"/>
    <w:rsid w:val="00E266BC"/>
    <w:rsid w:val="00E31FEA"/>
    <w:rsid w:val="00E32509"/>
    <w:rsid w:val="00E45169"/>
    <w:rsid w:val="00E47787"/>
    <w:rsid w:val="00E47F11"/>
    <w:rsid w:val="00E51C30"/>
    <w:rsid w:val="00E64180"/>
    <w:rsid w:val="00E73C4B"/>
    <w:rsid w:val="00E74AEE"/>
    <w:rsid w:val="00E868E5"/>
    <w:rsid w:val="00E906B7"/>
    <w:rsid w:val="00E9237A"/>
    <w:rsid w:val="00E92A04"/>
    <w:rsid w:val="00E939FA"/>
    <w:rsid w:val="00EA5765"/>
    <w:rsid w:val="00EB04AF"/>
    <w:rsid w:val="00EB09CA"/>
    <w:rsid w:val="00EC2532"/>
    <w:rsid w:val="00ED7812"/>
    <w:rsid w:val="00EF3B86"/>
    <w:rsid w:val="00F30093"/>
    <w:rsid w:val="00F317E9"/>
    <w:rsid w:val="00F34554"/>
    <w:rsid w:val="00F43B2A"/>
    <w:rsid w:val="00F45F77"/>
    <w:rsid w:val="00F51135"/>
    <w:rsid w:val="00F5167F"/>
    <w:rsid w:val="00F52258"/>
    <w:rsid w:val="00F82A85"/>
    <w:rsid w:val="00F8570A"/>
    <w:rsid w:val="00F91C7B"/>
    <w:rsid w:val="00FA1D78"/>
    <w:rsid w:val="00FE282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434A3"/>
  <w15:docId w15:val="{0248F4A9-E419-4D8F-AC39-42C28FD0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Header Char Char,Header Char1 Char Char,Header Char Char Char Char, Char Char Char Char Char, Char Char1 Char Char,Header Char1, Char Char Char, Char Char1, Char, Char Char1 Char,Char Char Char Char,Char Char1 Char,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 Char Char Char1,Header Char Char Char,Header Char1 Char Char Char,Header Char Char Char Char Char, Char Char Char Char Char Char, Char Char1 Char Char Char,Header Char1 Char, Char Char Char Char, Char Char1 Char1, Char Char2,Char Char Char"/>
    <w:link w:val="Header"/>
    <w:rsid w:val="008F7D68"/>
    <w:rPr>
      <w:sz w:val="24"/>
      <w:szCs w:val="24"/>
      <w:lang w:val="en-US" w:eastAsia="en-US"/>
    </w:rPr>
  </w:style>
  <w:style w:type="character" w:styleId="Hyperlink">
    <w:name w:val="Hyperlink"/>
    <w:basedOn w:val="DefaultParagraphFont"/>
    <w:unhideWhenUsed/>
    <w:rsid w:val="00C15AEA"/>
    <w:rPr>
      <w:color w:val="0563C1" w:themeColor="hyperlink"/>
      <w:u w:val="single"/>
    </w:rPr>
  </w:style>
  <w:style w:type="paragraph" w:styleId="FootnoteText">
    <w:name w:val="footnote text"/>
    <w:basedOn w:val="Normal"/>
    <w:link w:val="FootnoteTextChar"/>
    <w:rsid w:val="00DC5BB8"/>
    <w:rPr>
      <w:sz w:val="20"/>
      <w:szCs w:val="20"/>
    </w:rPr>
  </w:style>
  <w:style w:type="character" w:customStyle="1" w:styleId="FootnoteTextChar">
    <w:name w:val="Footnote Text Char"/>
    <w:basedOn w:val="DefaultParagraphFont"/>
    <w:link w:val="FootnoteText"/>
    <w:rsid w:val="00DC5BB8"/>
    <w:rPr>
      <w:lang w:val="en-US" w:eastAsia="en-US"/>
    </w:rPr>
  </w:style>
  <w:style w:type="character" w:styleId="FootnoteReference">
    <w:name w:val="footnote reference"/>
    <w:basedOn w:val="DefaultParagraphFont"/>
    <w:rsid w:val="00DC5B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79919">
      <w:bodyDiv w:val="1"/>
      <w:marLeft w:val="0"/>
      <w:marRight w:val="0"/>
      <w:marTop w:val="0"/>
      <w:marBottom w:val="0"/>
      <w:divBdr>
        <w:top w:val="none" w:sz="0" w:space="0" w:color="auto"/>
        <w:left w:val="none" w:sz="0" w:space="0" w:color="auto"/>
        <w:bottom w:val="none" w:sz="0" w:space="0" w:color="auto"/>
        <w:right w:val="none" w:sz="0" w:space="0" w:color="auto"/>
      </w:divBdr>
    </w:div>
    <w:div w:id="1027951453">
      <w:bodyDiv w:val="1"/>
      <w:marLeft w:val="0"/>
      <w:marRight w:val="0"/>
      <w:marTop w:val="0"/>
      <w:marBottom w:val="0"/>
      <w:divBdr>
        <w:top w:val="none" w:sz="0" w:space="0" w:color="auto"/>
        <w:left w:val="none" w:sz="0" w:space="0" w:color="auto"/>
        <w:bottom w:val="none" w:sz="0" w:space="0" w:color="auto"/>
        <w:right w:val="none" w:sz="0" w:space="0" w:color="auto"/>
      </w:divBdr>
    </w:div>
    <w:div w:id="16201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E250575C95D44AAEDA4486BB3244F" ma:contentTypeVersion="9" ma:contentTypeDescription="Create a new document." ma:contentTypeScope="" ma:versionID="6f744c09c6cf0cf5882e21c564edfb65">
  <xsd:schema xmlns:xsd="http://www.w3.org/2001/XMLSchema" xmlns:xs="http://www.w3.org/2001/XMLSchema" xmlns:p="http://schemas.microsoft.com/office/2006/metadata/properties" xmlns:ns2="1133025c-4dd7-4f96-9f3d-2c84c8219fa6" targetNamespace="http://schemas.microsoft.com/office/2006/metadata/properties" ma:root="true" ma:fieldsID="2f284599b60fa4904843d3c37ca2b08d" ns2:_="">
    <xsd:import namespace="1133025c-4dd7-4f96-9f3d-2c84c821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025c-4dd7-4f96-9f3d-2c84c821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BC9F-492B-4467-8427-0F22CD28DDD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632C92-DA11-4AE6-8B73-EF3907653C5E}">
  <ds:schemaRefs>
    <ds:schemaRef ds:uri="http://schemas.microsoft.com/sharepoint/v3/contenttype/forms"/>
  </ds:schemaRefs>
</ds:datastoreItem>
</file>

<file path=customXml/itemProps3.xml><?xml version="1.0" encoding="utf-8"?>
<ds:datastoreItem xmlns:ds="http://schemas.openxmlformats.org/officeDocument/2006/customXml" ds:itemID="{88904249-2603-4589-A20E-00880FB68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3025c-4dd7-4f96-9f3d-2c84c821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CC33E-28A6-402F-BA13-F89F210FA8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05D844-F135-4216-9F0D-D2A29D24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9884</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66097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Olja Borozan</cp:lastModifiedBy>
  <cp:revision>7</cp:revision>
  <dcterms:created xsi:type="dcterms:W3CDTF">2023-03-10T08:42:00Z</dcterms:created>
  <dcterms:modified xsi:type="dcterms:W3CDTF">2023-03-10T09:18:00Z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0c96edf6-e442-441c-a785-b362b456d9c0</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0x010100FB8E250575C95D44AAEDA4486BB3244F</vt:lpwstr>
  </property>
</Properties>
</file>