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685FA4" w14:textId="77777777" w:rsidR="001A5518" w:rsidRPr="001A7371" w:rsidRDefault="001A5518" w:rsidP="001A5518">
      <w:pPr>
        <w:rPr>
          <w:b/>
          <w:bCs/>
          <w:i/>
          <w:iCs/>
          <w:sz w:val="22"/>
          <w:szCs w:val="22"/>
          <w:u w:val="single"/>
          <w:lang w:val="sr-Latn-ME"/>
        </w:rPr>
      </w:pPr>
    </w:p>
    <w:p w14:paraId="6C29E420" w14:textId="77777777" w:rsidR="00F91C7B" w:rsidRPr="001A7371" w:rsidRDefault="00F91C7B" w:rsidP="001A5518">
      <w:pPr>
        <w:rPr>
          <w:b/>
          <w:bCs/>
          <w:i/>
          <w:iCs/>
          <w:sz w:val="22"/>
          <w:szCs w:val="22"/>
          <w:u w:val="single"/>
          <w:lang w:val="sr-Latn-ME"/>
        </w:rPr>
      </w:pPr>
    </w:p>
    <w:p w14:paraId="1E219FC1" w14:textId="77777777" w:rsidR="002510A5" w:rsidRPr="001A7371" w:rsidRDefault="002510A5" w:rsidP="002510A5">
      <w:pPr>
        <w:jc w:val="center"/>
        <w:rPr>
          <w:b/>
          <w:bCs/>
          <w:iCs/>
          <w:sz w:val="22"/>
          <w:szCs w:val="22"/>
          <w:u w:val="single"/>
          <w:lang w:val="sr-Latn-ME"/>
        </w:rPr>
      </w:pPr>
      <w:r w:rsidRPr="001A7371">
        <w:rPr>
          <w:b/>
          <w:bCs/>
          <w:iCs/>
          <w:sz w:val="22"/>
          <w:szCs w:val="22"/>
          <w:u w:val="single"/>
          <w:lang w:val="sr-Latn-ME"/>
        </w:rPr>
        <w:t>SAŽETAK KARAKTERISTIKA LIJEKA</w:t>
      </w:r>
    </w:p>
    <w:p w14:paraId="0AFA79F8" w14:textId="77777777" w:rsidR="002510A5" w:rsidRPr="001A7371" w:rsidRDefault="002510A5" w:rsidP="002510A5">
      <w:pPr>
        <w:rPr>
          <w:b/>
          <w:bCs/>
          <w:i/>
          <w:iCs/>
          <w:sz w:val="22"/>
          <w:szCs w:val="22"/>
          <w:u w:val="single"/>
          <w:lang w:val="sr-Latn-ME"/>
        </w:rPr>
      </w:pPr>
    </w:p>
    <w:p w14:paraId="4625E42D" w14:textId="77777777" w:rsidR="003C17AB" w:rsidRPr="001A7371" w:rsidRDefault="003C17AB" w:rsidP="00CA1FEB">
      <w:pPr>
        <w:rPr>
          <w:sz w:val="22"/>
          <w:szCs w:val="22"/>
          <w:lang w:val="sr-Latn-ME"/>
        </w:rPr>
      </w:pPr>
    </w:p>
    <w:p w14:paraId="36AF7E52" w14:textId="77777777" w:rsidR="00411B4B" w:rsidRPr="001A7371" w:rsidRDefault="00411B4B" w:rsidP="00F5167F">
      <w:pPr>
        <w:tabs>
          <w:tab w:val="left" w:pos="540"/>
          <w:tab w:val="left" w:pos="569"/>
        </w:tabs>
        <w:rPr>
          <w:b/>
          <w:bCs/>
          <w:sz w:val="22"/>
          <w:szCs w:val="22"/>
          <w:lang w:val="sr-Latn-ME"/>
        </w:rPr>
      </w:pPr>
      <w:r w:rsidRPr="001A7371">
        <w:rPr>
          <w:b/>
          <w:bCs/>
          <w:sz w:val="22"/>
          <w:szCs w:val="22"/>
          <w:lang w:val="sr-Latn-ME"/>
        </w:rPr>
        <w:t>1.</w:t>
      </w:r>
      <w:r w:rsidR="00F5167F" w:rsidRPr="001A7371">
        <w:rPr>
          <w:b/>
          <w:bCs/>
          <w:sz w:val="22"/>
          <w:szCs w:val="22"/>
          <w:lang w:val="sr-Latn-ME"/>
        </w:rPr>
        <w:tab/>
      </w:r>
      <w:r w:rsidR="002846DB" w:rsidRPr="001A7371">
        <w:rPr>
          <w:b/>
          <w:bCs/>
          <w:sz w:val="22"/>
          <w:szCs w:val="22"/>
          <w:lang w:val="sr-Latn-ME"/>
        </w:rPr>
        <w:t xml:space="preserve">NAZIV </w:t>
      </w:r>
      <w:r w:rsidRPr="001A7371">
        <w:rPr>
          <w:b/>
          <w:bCs/>
          <w:sz w:val="22"/>
          <w:szCs w:val="22"/>
          <w:lang w:val="sr-Latn-ME"/>
        </w:rPr>
        <w:t>LIJEKA</w:t>
      </w:r>
    </w:p>
    <w:p w14:paraId="058DDFD1" w14:textId="77777777" w:rsidR="00EC2532" w:rsidRPr="001A7371" w:rsidRDefault="00EC2532">
      <w:pPr>
        <w:rPr>
          <w:sz w:val="22"/>
          <w:szCs w:val="22"/>
          <w:lang w:val="sr-Latn-ME"/>
        </w:rPr>
      </w:pPr>
    </w:p>
    <w:p w14:paraId="2ED0081A" w14:textId="77777777" w:rsidR="00CE5486" w:rsidRPr="001A7371" w:rsidRDefault="00CE5486">
      <w:pPr>
        <w:rPr>
          <w:iCs/>
          <w:sz w:val="22"/>
          <w:szCs w:val="22"/>
          <w:lang w:val="sr-Latn-ME"/>
        </w:rPr>
      </w:pPr>
      <w:r w:rsidRPr="001A7371">
        <w:rPr>
          <w:iCs/>
          <w:sz w:val="22"/>
          <w:szCs w:val="22"/>
          <w:lang w:val="sr-Latn-ME"/>
        </w:rPr>
        <w:t xml:space="preserve">Sindaxel, 30 mg/5 ml, koncentrat za rastvor za infuziju </w:t>
      </w:r>
    </w:p>
    <w:p w14:paraId="7DD3A99B" w14:textId="65575252" w:rsidR="000D425A" w:rsidRPr="001A7371" w:rsidRDefault="00CE5486">
      <w:pPr>
        <w:rPr>
          <w:iCs/>
          <w:sz w:val="22"/>
          <w:szCs w:val="22"/>
          <w:lang w:val="sr-Latn-ME"/>
        </w:rPr>
      </w:pPr>
      <w:r w:rsidRPr="001A7371">
        <w:rPr>
          <w:iCs/>
          <w:sz w:val="22"/>
          <w:szCs w:val="22"/>
          <w:lang w:val="sr-Latn-ME"/>
        </w:rPr>
        <w:t>Sindaxel, 100 mg/ 16,67 ml, koncentrat za rastvor za infuziju</w:t>
      </w:r>
    </w:p>
    <w:p w14:paraId="3C1E892F" w14:textId="77777777" w:rsidR="00CE5486" w:rsidRPr="001A7371" w:rsidRDefault="00CE5486" w:rsidP="006D20A5">
      <w:pPr>
        <w:rPr>
          <w:sz w:val="22"/>
          <w:szCs w:val="22"/>
          <w:lang w:val="sr-Latn-ME"/>
        </w:rPr>
      </w:pPr>
    </w:p>
    <w:p w14:paraId="7A819CDF" w14:textId="77777777" w:rsidR="006D20A5" w:rsidRPr="001A7371" w:rsidRDefault="006D20A5" w:rsidP="006D20A5">
      <w:pPr>
        <w:rPr>
          <w:sz w:val="22"/>
          <w:szCs w:val="22"/>
          <w:lang w:val="sr-Latn-ME"/>
        </w:rPr>
      </w:pPr>
      <w:r w:rsidRPr="001A7371">
        <w:rPr>
          <w:sz w:val="22"/>
          <w:szCs w:val="22"/>
          <w:lang w:val="sr-Latn-ME"/>
        </w:rPr>
        <w:t>INN:</w:t>
      </w:r>
      <w:r w:rsidR="00CE5486" w:rsidRPr="001A7371">
        <w:rPr>
          <w:sz w:val="22"/>
          <w:szCs w:val="22"/>
          <w:lang w:val="sr-Latn-ME"/>
        </w:rPr>
        <w:t xml:space="preserve"> paklitaksel</w:t>
      </w:r>
    </w:p>
    <w:p w14:paraId="596C1E2E" w14:textId="77777777" w:rsidR="006D20A5" w:rsidRPr="001A7371" w:rsidRDefault="006D20A5">
      <w:pPr>
        <w:rPr>
          <w:bCs/>
          <w:sz w:val="22"/>
          <w:szCs w:val="22"/>
          <w:lang w:val="sr-Latn-ME"/>
        </w:rPr>
      </w:pPr>
    </w:p>
    <w:p w14:paraId="23CEBEA1" w14:textId="77777777" w:rsidR="00530BD7" w:rsidRPr="001A7371" w:rsidRDefault="00530BD7">
      <w:pPr>
        <w:rPr>
          <w:bCs/>
          <w:sz w:val="22"/>
          <w:szCs w:val="22"/>
          <w:lang w:val="sr-Latn-ME"/>
        </w:rPr>
      </w:pPr>
    </w:p>
    <w:p w14:paraId="4D73D9E3" w14:textId="77777777" w:rsidR="00411B4B" w:rsidRPr="001A7371" w:rsidRDefault="00411B4B" w:rsidP="00F5167F">
      <w:pPr>
        <w:tabs>
          <w:tab w:val="left" w:pos="540"/>
          <w:tab w:val="left" w:pos="569"/>
        </w:tabs>
        <w:rPr>
          <w:b/>
          <w:bCs/>
          <w:sz w:val="22"/>
          <w:szCs w:val="22"/>
          <w:lang w:val="sr-Latn-ME"/>
        </w:rPr>
      </w:pPr>
      <w:r w:rsidRPr="001A7371">
        <w:rPr>
          <w:b/>
          <w:bCs/>
          <w:sz w:val="22"/>
          <w:szCs w:val="22"/>
          <w:lang w:val="sr-Latn-ME"/>
        </w:rPr>
        <w:t xml:space="preserve">2. </w:t>
      </w:r>
      <w:r w:rsidR="00F5167F" w:rsidRPr="001A7371">
        <w:rPr>
          <w:b/>
          <w:bCs/>
          <w:sz w:val="22"/>
          <w:szCs w:val="22"/>
          <w:lang w:val="sr-Latn-ME"/>
        </w:rPr>
        <w:tab/>
      </w:r>
      <w:r w:rsidRPr="001A7371">
        <w:rPr>
          <w:b/>
          <w:bCs/>
          <w:sz w:val="22"/>
          <w:szCs w:val="22"/>
          <w:lang w:val="sr-Latn-ME"/>
        </w:rPr>
        <w:t>KVALITATIVNI I KVANTITATIVNI SASTAV</w:t>
      </w:r>
    </w:p>
    <w:p w14:paraId="707ACA87" w14:textId="77777777" w:rsidR="00CE5486" w:rsidRPr="001A7371" w:rsidRDefault="00CE5486" w:rsidP="00CE5486">
      <w:pPr>
        <w:rPr>
          <w:sz w:val="22"/>
          <w:szCs w:val="22"/>
          <w:lang w:val="sr-Latn-ME"/>
        </w:rPr>
      </w:pPr>
    </w:p>
    <w:p w14:paraId="31B8A0EB" w14:textId="77777777" w:rsidR="00CE5486" w:rsidRPr="001A7371" w:rsidRDefault="00CE5486" w:rsidP="00CE5486">
      <w:pPr>
        <w:jc w:val="both"/>
        <w:rPr>
          <w:sz w:val="22"/>
          <w:szCs w:val="22"/>
          <w:lang w:val="sr-Latn-ME"/>
        </w:rPr>
      </w:pPr>
      <w:r w:rsidRPr="001A7371">
        <w:rPr>
          <w:sz w:val="22"/>
          <w:szCs w:val="22"/>
          <w:lang w:val="sr-Latn-ME"/>
        </w:rPr>
        <w:t>1 ml koncentrata za rastvor za infuziju sadrži 6 mg paklitaksela.</w:t>
      </w:r>
    </w:p>
    <w:p w14:paraId="1302253A" w14:textId="77777777" w:rsidR="00CE5486" w:rsidRPr="001A7371" w:rsidRDefault="00CE5486" w:rsidP="00CE5486">
      <w:pPr>
        <w:jc w:val="both"/>
        <w:rPr>
          <w:sz w:val="22"/>
          <w:szCs w:val="22"/>
          <w:lang w:val="sr-Latn-ME"/>
        </w:rPr>
      </w:pPr>
    </w:p>
    <w:p w14:paraId="545ACAFB" w14:textId="1E08AD37" w:rsidR="00CE5486" w:rsidRPr="001A7371" w:rsidRDefault="00CE5486" w:rsidP="00CE5486">
      <w:pPr>
        <w:jc w:val="both"/>
        <w:rPr>
          <w:sz w:val="22"/>
          <w:szCs w:val="22"/>
          <w:lang w:val="sr-Latn-ME"/>
        </w:rPr>
      </w:pPr>
      <w:r w:rsidRPr="001A7371">
        <w:rPr>
          <w:sz w:val="22"/>
          <w:szCs w:val="22"/>
          <w:lang w:val="sr-Latn-ME"/>
        </w:rPr>
        <w:t>Svaka bočica sa 5 ml koncentrata za rastvor za infuziju sadrži 30 mg paklitaksela.</w:t>
      </w:r>
    </w:p>
    <w:p w14:paraId="3A29DFC4" w14:textId="4DE9D1F3" w:rsidR="00CE5486" w:rsidRPr="001A7371" w:rsidRDefault="00CE5486" w:rsidP="00CE5486">
      <w:pPr>
        <w:jc w:val="both"/>
        <w:rPr>
          <w:sz w:val="22"/>
          <w:szCs w:val="22"/>
          <w:lang w:val="sr-Latn-ME"/>
        </w:rPr>
      </w:pPr>
      <w:r w:rsidRPr="001A7371">
        <w:rPr>
          <w:sz w:val="22"/>
          <w:szCs w:val="22"/>
          <w:lang w:val="sr-Latn-ME"/>
        </w:rPr>
        <w:t xml:space="preserve">Svaka bočica sa 16,67 ml koncentrata za rastvor za infuziju sadrži 100 mg paklitaksela. </w:t>
      </w:r>
    </w:p>
    <w:p w14:paraId="737A4136" w14:textId="77777777" w:rsidR="00CE5486" w:rsidRPr="001A7371" w:rsidRDefault="00CE5486" w:rsidP="00CE5486">
      <w:pPr>
        <w:jc w:val="both"/>
        <w:rPr>
          <w:sz w:val="22"/>
          <w:szCs w:val="22"/>
          <w:lang w:val="sr-Latn-ME"/>
        </w:rPr>
      </w:pPr>
    </w:p>
    <w:p w14:paraId="34249ABF" w14:textId="5C3FB473" w:rsidR="00CE5486" w:rsidRPr="001A7371" w:rsidRDefault="00CE5486" w:rsidP="00CE5486">
      <w:pPr>
        <w:jc w:val="both"/>
        <w:rPr>
          <w:sz w:val="22"/>
          <w:szCs w:val="22"/>
          <w:lang w:val="sr-Latn-ME"/>
        </w:rPr>
      </w:pPr>
      <w:r w:rsidRPr="001A7371">
        <w:rPr>
          <w:sz w:val="22"/>
          <w:szCs w:val="22"/>
          <w:lang w:val="sr-Latn-ME"/>
        </w:rPr>
        <w:t>Pomoćne supstance: makrogolglicerol</w:t>
      </w:r>
      <w:r w:rsidR="00D27CCB" w:rsidRPr="001A7371">
        <w:rPr>
          <w:sz w:val="22"/>
          <w:szCs w:val="22"/>
          <w:lang w:val="sr-Latn-ME"/>
        </w:rPr>
        <w:t xml:space="preserve"> </w:t>
      </w:r>
      <w:r w:rsidRPr="001A7371">
        <w:rPr>
          <w:sz w:val="22"/>
          <w:szCs w:val="22"/>
          <w:lang w:val="sr-Latn-ME"/>
        </w:rPr>
        <w:t xml:space="preserve">ricinoleat; etanol, apsolutni. </w:t>
      </w:r>
    </w:p>
    <w:p w14:paraId="7B515B0A" w14:textId="77777777" w:rsidR="00CE5486" w:rsidRPr="001A7371" w:rsidRDefault="00CE5486" w:rsidP="00CE5486">
      <w:pPr>
        <w:jc w:val="both"/>
        <w:rPr>
          <w:sz w:val="22"/>
          <w:szCs w:val="22"/>
          <w:lang w:val="sr-Latn-ME"/>
        </w:rPr>
      </w:pPr>
    </w:p>
    <w:p w14:paraId="7B1E7DAC" w14:textId="77777777" w:rsidR="0003793F" w:rsidRPr="001A7371" w:rsidRDefault="0003793F" w:rsidP="00CE5486">
      <w:pPr>
        <w:jc w:val="both"/>
        <w:rPr>
          <w:sz w:val="22"/>
          <w:szCs w:val="22"/>
          <w:lang w:val="sr-Latn-ME"/>
        </w:rPr>
      </w:pPr>
      <w:r w:rsidRPr="001A7371">
        <w:rPr>
          <w:sz w:val="22"/>
          <w:szCs w:val="22"/>
          <w:lang w:val="sr-Latn-ME"/>
        </w:rPr>
        <w:t>Za spisak svih ekscipijenasa, pogledati dio 6.1.</w:t>
      </w:r>
    </w:p>
    <w:p w14:paraId="5BC8372E" w14:textId="64571B9A" w:rsidR="00C37FD7" w:rsidRPr="001A7371" w:rsidRDefault="00C37FD7">
      <w:pPr>
        <w:rPr>
          <w:sz w:val="22"/>
          <w:szCs w:val="22"/>
          <w:lang w:val="sr-Latn-ME"/>
        </w:rPr>
      </w:pPr>
    </w:p>
    <w:p w14:paraId="7CCAC7F2" w14:textId="77777777" w:rsidR="004F3C59" w:rsidRPr="001A7371" w:rsidRDefault="004F3C59">
      <w:pPr>
        <w:rPr>
          <w:sz w:val="22"/>
          <w:szCs w:val="22"/>
          <w:lang w:val="sr-Latn-ME"/>
        </w:rPr>
      </w:pPr>
    </w:p>
    <w:p w14:paraId="2AF9B7C1" w14:textId="77777777" w:rsidR="00411B4B" w:rsidRPr="001A7371" w:rsidRDefault="00411B4B" w:rsidP="00F5167F">
      <w:pPr>
        <w:tabs>
          <w:tab w:val="left" w:pos="540"/>
          <w:tab w:val="left" w:pos="569"/>
        </w:tabs>
        <w:rPr>
          <w:b/>
          <w:bCs/>
          <w:sz w:val="22"/>
          <w:szCs w:val="22"/>
          <w:lang w:val="sr-Latn-ME"/>
        </w:rPr>
      </w:pPr>
      <w:r w:rsidRPr="001A7371">
        <w:rPr>
          <w:b/>
          <w:bCs/>
          <w:sz w:val="22"/>
          <w:szCs w:val="22"/>
          <w:lang w:val="sr-Latn-ME"/>
        </w:rPr>
        <w:t xml:space="preserve">3. </w:t>
      </w:r>
      <w:r w:rsidR="00F5167F" w:rsidRPr="001A7371">
        <w:rPr>
          <w:b/>
          <w:bCs/>
          <w:sz w:val="22"/>
          <w:szCs w:val="22"/>
          <w:lang w:val="sr-Latn-ME"/>
        </w:rPr>
        <w:tab/>
      </w:r>
      <w:r w:rsidRPr="001A7371">
        <w:rPr>
          <w:b/>
          <w:bCs/>
          <w:sz w:val="22"/>
          <w:szCs w:val="22"/>
          <w:lang w:val="sr-Latn-ME"/>
        </w:rPr>
        <w:t>FARMACEUTSKI OBLIK</w:t>
      </w:r>
      <w:r w:rsidR="009F2D23" w:rsidRPr="001A7371">
        <w:rPr>
          <w:b/>
          <w:bCs/>
          <w:sz w:val="22"/>
          <w:szCs w:val="22"/>
          <w:lang w:val="sr-Latn-ME"/>
        </w:rPr>
        <w:t xml:space="preserve"> </w:t>
      </w:r>
    </w:p>
    <w:p w14:paraId="490B2B00" w14:textId="77777777" w:rsidR="00411B4B" w:rsidRPr="001A7371" w:rsidRDefault="00411B4B">
      <w:pPr>
        <w:rPr>
          <w:bCs/>
          <w:sz w:val="22"/>
          <w:szCs w:val="22"/>
          <w:lang w:val="sr-Latn-ME"/>
        </w:rPr>
      </w:pPr>
    </w:p>
    <w:p w14:paraId="4C7D6834" w14:textId="77777777" w:rsidR="00CE5486" w:rsidRPr="001A7371" w:rsidRDefault="00CE5486" w:rsidP="00CE5486">
      <w:pPr>
        <w:rPr>
          <w:bCs/>
          <w:sz w:val="22"/>
          <w:szCs w:val="22"/>
          <w:lang w:val="sr-Latn-ME"/>
        </w:rPr>
      </w:pPr>
      <w:r w:rsidRPr="001A7371">
        <w:rPr>
          <w:bCs/>
          <w:sz w:val="22"/>
          <w:szCs w:val="22"/>
          <w:lang w:val="sr-Latn-ME"/>
        </w:rPr>
        <w:t>Koncentrat za rastvor za infuziju.</w:t>
      </w:r>
    </w:p>
    <w:p w14:paraId="02137E7E" w14:textId="77777777" w:rsidR="00CE5486" w:rsidRPr="001A7371" w:rsidRDefault="00CE5486" w:rsidP="00CE5486">
      <w:pPr>
        <w:rPr>
          <w:bCs/>
          <w:sz w:val="22"/>
          <w:szCs w:val="22"/>
          <w:lang w:val="sr-Latn-ME"/>
        </w:rPr>
      </w:pPr>
    </w:p>
    <w:p w14:paraId="40E854F5" w14:textId="77777777" w:rsidR="00EC2532" w:rsidRPr="001A7371" w:rsidRDefault="00CE5486" w:rsidP="00CE5486">
      <w:pPr>
        <w:rPr>
          <w:bCs/>
          <w:sz w:val="22"/>
          <w:szCs w:val="22"/>
          <w:lang w:val="sr-Latn-ME"/>
        </w:rPr>
      </w:pPr>
      <w:r w:rsidRPr="001A7371">
        <w:rPr>
          <w:bCs/>
          <w:sz w:val="22"/>
          <w:szCs w:val="22"/>
          <w:lang w:val="sr-Latn-ME"/>
        </w:rPr>
        <w:t>Bistar, slabo viskozan rastvor, bezbojan do slabo žut.</w:t>
      </w:r>
    </w:p>
    <w:p w14:paraId="2C1002CA" w14:textId="641DFCC0" w:rsidR="00CE5486" w:rsidRPr="001A7371" w:rsidRDefault="00CE5486" w:rsidP="00CE5486">
      <w:pPr>
        <w:rPr>
          <w:bCs/>
          <w:sz w:val="22"/>
          <w:szCs w:val="22"/>
          <w:lang w:val="sr-Latn-ME"/>
        </w:rPr>
      </w:pPr>
    </w:p>
    <w:p w14:paraId="6D764A4F" w14:textId="77777777" w:rsidR="004F3C59" w:rsidRPr="001A7371" w:rsidRDefault="004F3C59" w:rsidP="00CE5486">
      <w:pPr>
        <w:rPr>
          <w:bCs/>
          <w:sz w:val="22"/>
          <w:szCs w:val="22"/>
          <w:lang w:val="sr-Latn-ME"/>
        </w:rPr>
      </w:pPr>
    </w:p>
    <w:p w14:paraId="7D47CA4F" w14:textId="77777777" w:rsidR="00411B4B" w:rsidRPr="001A7371" w:rsidRDefault="00411B4B" w:rsidP="00F5167F">
      <w:pPr>
        <w:tabs>
          <w:tab w:val="left" w:pos="540"/>
          <w:tab w:val="left" w:pos="569"/>
        </w:tabs>
        <w:rPr>
          <w:b/>
          <w:bCs/>
          <w:sz w:val="22"/>
          <w:szCs w:val="22"/>
          <w:lang w:val="sr-Latn-ME"/>
        </w:rPr>
      </w:pPr>
      <w:r w:rsidRPr="001A7371">
        <w:rPr>
          <w:b/>
          <w:bCs/>
          <w:sz w:val="22"/>
          <w:szCs w:val="22"/>
          <w:lang w:val="sr-Latn-ME"/>
        </w:rPr>
        <w:t xml:space="preserve">4. </w:t>
      </w:r>
      <w:r w:rsidR="00480FB1" w:rsidRPr="001A7371">
        <w:rPr>
          <w:b/>
          <w:bCs/>
          <w:sz w:val="22"/>
          <w:szCs w:val="22"/>
          <w:lang w:val="sr-Latn-ME"/>
        </w:rPr>
        <w:tab/>
      </w:r>
      <w:r w:rsidRPr="001A7371">
        <w:rPr>
          <w:b/>
          <w:bCs/>
          <w:sz w:val="22"/>
          <w:szCs w:val="22"/>
          <w:lang w:val="sr-Latn-ME"/>
        </w:rPr>
        <w:t>KLINIČKI PODACI</w:t>
      </w:r>
    </w:p>
    <w:p w14:paraId="46292B1D" w14:textId="77777777" w:rsidR="00CD6F02" w:rsidRPr="001A7371" w:rsidRDefault="00CD6F02" w:rsidP="00480FB1">
      <w:pPr>
        <w:tabs>
          <w:tab w:val="left" w:pos="540"/>
          <w:tab w:val="left" w:pos="569"/>
        </w:tabs>
        <w:rPr>
          <w:bCs/>
          <w:sz w:val="22"/>
          <w:szCs w:val="22"/>
          <w:lang w:val="sr-Latn-ME"/>
        </w:rPr>
      </w:pPr>
    </w:p>
    <w:p w14:paraId="3467DF76" w14:textId="77777777" w:rsidR="00411B4B" w:rsidRPr="001A7371" w:rsidRDefault="00411B4B" w:rsidP="00480FB1">
      <w:pPr>
        <w:tabs>
          <w:tab w:val="left" w:pos="540"/>
          <w:tab w:val="left" w:pos="569"/>
        </w:tabs>
        <w:rPr>
          <w:b/>
          <w:bCs/>
          <w:sz w:val="22"/>
          <w:szCs w:val="22"/>
          <w:lang w:val="sr-Latn-ME"/>
        </w:rPr>
      </w:pPr>
      <w:r w:rsidRPr="001A7371">
        <w:rPr>
          <w:b/>
          <w:bCs/>
          <w:sz w:val="22"/>
          <w:szCs w:val="22"/>
          <w:lang w:val="sr-Latn-ME"/>
        </w:rPr>
        <w:t xml:space="preserve">4.1. </w:t>
      </w:r>
      <w:r w:rsidR="00480FB1" w:rsidRPr="001A7371">
        <w:rPr>
          <w:b/>
          <w:bCs/>
          <w:sz w:val="22"/>
          <w:szCs w:val="22"/>
          <w:lang w:val="sr-Latn-ME"/>
        </w:rPr>
        <w:tab/>
      </w:r>
      <w:r w:rsidRPr="001A7371">
        <w:rPr>
          <w:b/>
          <w:bCs/>
          <w:sz w:val="22"/>
          <w:szCs w:val="22"/>
          <w:lang w:val="sr-Latn-ME"/>
        </w:rPr>
        <w:t>Terapijske indikacije</w:t>
      </w:r>
    </w:p>
    <w:p w14:paraId="0FF4893D" w14:textId="77777777" w:rsidR="00CE5486" w:rsidRPr="001A7371" w:rsidRDefault="00CE5486" w:rsidP="00480FB1">
      <w:pPr>
        <w:tabs>
          <w:tab w:val="left" w:pos="540"/>
          <w:tab w:val="left" w:pos="569"/>
        </w:tabs>
        <w:rPr>
          <w:b/>
          <w:bCs/>
          <w:sz w:val="22"/>
          <w:szCs w:val="22"/>
          <w:lang w:val="sr-Latn-ME"/>
        </w:rPr>
      </w:pPr>
    </w:p>
    <w:p w14:paraId="334194B2" w14:textId="77777777" w:rsidR="00CE5486" w:rsidRPr="001A7371" w:rsidRDefault="00CE5486" w:rsidP="00CE5486">
      <w:pPr>
        <w:tabs>
          <w:tab w:val="left" w:pos="540"/>
          <w:tab w:val="left" w:pos="569"/>
        </w:tabs>
        <w:jc w:val="both"/>
        <w:rPr>
          <w:b/>
          <w:bCs/>
          <w:sz w:val="22"/>
          <w:szCs w:val="22"/>
          <w:lang w:val="sr-Latn-ME"/>
        </w:rPr>
      </w:pPr>
      <w:r w:rsidRPr="001A7371">
        <w:rPr>
          <w:b/>
          <w:bCs/>
          <w:sz w:val="22"/>
          <w:szCs w:val="22"/>
          <w:lang w:val="sr-Latn-ME"/>
        </w:rPr>
        <w:t>Karcinom ovarijuma:</w:t>
      </w:r>
    </w:p>
    <w:p w14:paraId="75F23898" w14:textId="77777777" w:rsidR="00CE5486" w:rsidRPr="001A7371" w:rsidRDefault="00CE5486" w:rsidP="00CE5486">
      <w:pPr>
        <w:tabs>
          <w:tab w:val="left" w:pos="540"/>
          <w:tab w:val="left" w:pos="569"/>
        </w:tabs>
        <w:jc w:val="both"/>
        <w:rPr>
          <w:bCs/>
          <w:sz w:val="22"/>
          <w:szCs w:val="22"/>
          <w:lang w:val="sr-Latn-ME"/>
        </w:rPr>
      </w:pPr>
      <w:r w:rsidRPr="001A7371">
        <w:rPr>
          <w:bCs/>
          <w:sz w:val="22"/>
          <w:szCs w:val="22"/>
          <w:lang w:val="sr-Latn-ME"/>
        </w:rPr>
        <w:t>U prvoj liniji hemioterapije karcinoma ovarijuma, paklitaksel je indikovan kod pacijenata sa uznapredovalim ili rezidualnim tumorom (&gt; 1 cm) posle inicijalne laparotomije, u kombinaciji sa cisplatinom.</w:t>
      </w:r>
    </w:p>
    <w:p w14:paraId="68720771" w14:textId="77777777" w:rsidR="00CE5486" w:rsidRPr="001A7371" w:rsidRDefault="00CE5486" w:rsidP="00CE5486">
      <w:pPr>
        <w:tabs>
          <w:tab w:val="left" w:pos="540"/>
          <w:tab w:val="left" w:pos="569"/>
        </w:tabs>
        <w:jc w:val="both"/>
        <w:rPr>
          <w:bCs/>
          <w:sz w:val="22"/>
          <w:szCs w:val="22"/>
          <w:lang w:val="sr-Latn-ME"/>
        </w:rPr>
      </w:pPr>
    </w:p>
    <w:p w14:paraId="79946D5D" w14:textId="77777777" w:rsidR="00CE5486" w:rsidRPr="001A7371" w:rsidRDefault="00CE5486" w:rsidP="00CE5486">
      <w:pPr>
        <w:tabs>
          <w:tab w:val="left" w:pos="540"/>
          <w:tab w:val="left" w:pos="569"/>
        </w:tabs>
        <w:jc w:val="both"/>
        <w:rPr>
          <w:bCs/>
          <w:sz w:val="22"/>
          <w:szCs w:val="22"/>
          <w:lang w:val="sr-Latn-ME"/>
        </w:rPr>
      </w:pPr>
      <w:r w:rsidRPr="001A7371">
        <w:rPr>
          <w:bCs/>
          <w:sz w:val="22"/>
          <w:szCs w:val="22"/>
          <w:lang w:val="sr-Latn-ME"/>
        </w:rPr>
        <w:t>U drugoj liniji hemioterapije karcinoma ovarijuma, paklitaksel je indikovan za liječenje metastatskog   karcinoma jajnika posle neusp</w:t>
      </w:r>
      <w:r w:rsidR="00472473" w:rsidRPr="001A7371">
        <w:rPr>
          <w:bCs/>
          <w:sz w:val="22"/>
          <w:szCs w:val="22"/>
          <w:lang w:val="sr-Latn-ME"/>
        </w:rPr>
        <w:t>j</w:t>
      </w:r>
      <w:r w:rsidRPr="001A7371">
        <w:rPr>
          <w:bCs/>
          <w:sz w:val="22"/>
          <w:szCs w:val="22"/>
          <w:lang w:val="sr-Latn-ME"/>
        </w:rPr>
        <w:t>ešne standardne terapije derivatima platine.</w:t>
      </w:r>
    </w:p>
    <w:p w14:paraId="4E347787" w14:textId="77777777" w:rsidR="00CE5486" w:rsidRPr="001A7371" w:rsidRDefault="00CE5486" w:rsidP="00CE5486">
      <w:pPr>
        <w:tabs>
          <w:tab w:val="left" w:pos="540"/>
          <w:tab w:val="left" w:pos="569"/>
        </w:tabs>
        <w:jc w:val="both"/>
        <w:rPr>
          <w:bCs/>
          <w:sz w:val="22"/>
          <w:szCs w:val="22"/>
          <w:lang w:val="sr-Latn-ME"/>
        </w:rPr>
      </w:pPr>
    </w:p>
    <w:p w14:paraId="4DDA61DD" w14:textId="77777777" w:rsidR="00CE5486" w:rsidRPr="001A7371" w:rsidRDefault="00CE5486" w:rsidP="00CE5486">
      <w:pPr>
        <w:tabs>
          <w:tab w:val="left" w:pos="540"/>
          <w:tab w:val="left" w:pos="569"/>
        </w:tabs>
        <w:jc w:val="both"/>
        <w:rPr>
          <w:b/>
          <w:bCs/>
          <w:sz w:val="22"/>
          <w:szCs w:val="22"/>
          <w:lang w:val="sr-Latn-ME"/>
        </w:rPr>
      </w:pPr>
      <w:r w:rsidRPr="001A7371">
        <w:rPr>
          <w:b/>
          <w:bCs/>
          <w:sz w:val="22"/>
          <w:szCs w:val="22"/>
          <w:lang w:val="sr-Latn-ME"/>
        </w:rPr>
        <w:t>Karcinom dojke:</w:t>
      </w:r>
    </w:p>
    <w:p w14:paraId="4DE943BC" w14:textId="1E282F3F" w:rsidR="00CE5486" w:rsidRPr="001A7371" w:rsidRDefault="00CE5486" w:rsidP="00CE5486">
      <w:pPr>
        <w:tabs>
          <w:tab w:val="left" w:pos="540"/>
          <w:tab w:val="left" w:pos="569"/>
        </w:tabs>
        <w:jc w:val="both"/>
        <w:rPr>
          <w:bCs/>
          <w:sz w:val="22"/>
          <w:szCs w:val="22"/>
          <w:lang w:val="sr-Latn-ME"/>
        </w:rPr>
      </w:pPr>
      <w:r w:rsidRPr="001A7371">
        <w:rPr>
          <w:bCs/>
          <w:sz w:val="22"/>
          <w:szCs w:val="22"/>
          <w:lang w:val="sr-Latn-ME"/>
        </w:rPr>
        <w:t>Paklitaksel je indikovan u adjuvantnom liječenju pacijenata sa nodus pozitivnim karcinomom dojke, nakon liječenja antraciklinom i ciklofosfamidom (AC terapija). Adjuvantna terapija paklitakselom je alternativa produžetku AC terapije.</w:t>
      </w:r>
    </w:p>
    <w:p w14:paraId="08D86515" w14:textId="77777777" w:rsidR="00CE5486" w:rsidRPr="001A7371" w:rsidRDefault="00CE5486" w:rsidP="00CE5486">
      <w:pPr>
        <w:tabs>
          <w:tab w:val="left" w:pos="540"/>
          <w:tab w:val="left" w:pos="569"/>
        </w:tabs>
        <w:jc w:val="both"/>
        <w:rPr>
          <w:bCs/>
          <w:sz w:val="22"/>
          <w:szCs w:val="22"/>
          <w:lang w:val="sr-Latn-ME"/>
        </w:rPr>
      </w:pPr>
    </w:p>
    <w:p w14:paraId="70AA8BAD" w14:textId="649BCC1D" w:rsidR="00CE5486" w:rsidRPr="001A7371" w:rsidRDefault="00CE5486" w:rsidP="00CE5486">
      <w:pPr>
        <w:tabs>
          <w:tab w:val="left" w:pos="540"/>
          <w:tab w:val="left" w:pos="569"/>
        </w:tabs>
        <w:jc w:val="both"/>
        <w:rPr>
          <w:bCs/>
          <w:sz w:val="22"/>
          <w:szCs w:val="22"/>
          <w:lang w:val="sr-Latn-ME"/>
        </w:rPr>
      </w:pPr>
      <w:r w:rsidRPr="001A7371">
        <w:rPr>
          <w:bCs/>
          <w:sz w:val="22"/>
          <w:szCs w:val="22"/>
          <w:lang w:val="sr-Latn-ME"/>
        </w:rPr>
        <w:t xml:space="preserve">Paklitaksel je indikovan u prvoj liniji liječenja lokalno uznapredovalog ili metastatskog karcinoma dojke bilo u kombinaciji sa antraciklinom kod pacijenata koji su pogodni za </w:t>
      </w:r>
      <w:r w:rsidR="00472473" w:rsidRPr="001A7371">
        <w:rPr>
          <w:bCs/>
          <w:sz w:val="22"/>
          <w:szCs w:val="22"/>
          <w:lang w:val="sr-Latn-ME"/>
        </w:rPr>
        <w:t xml:space="preserve">liječenje </w:t>
      </w:r>
      <w:r w:rsidRPr="001A7371">
        <w:rPr>
          <w:bCs/>
          <w:sz w:val="22"/>
          <w:szCs w:val="22"/>
          <w:lang w:val="sr-Latn-ME"/>
        </w:rPr>
        <w:t>antraciklin</w:t>
      </w:r>
      <w:r w:rsidR="00472473" w:rsidRPr="001A7371">
        <w:rPr>
          <w:bCs/>
          <w:sz w:val="22"/>
          <w:szCs w:val="22"/>
          <w:lang w:val="sr-Latn-ME"/>
        </w:rPr>
        <w:t>om</w:t>
      </w:r>
      <w:r w:rsidRPr="001A7371">
        <w:rPr>
          <w:bCs/>
          <w:sz w:val="22"/>
          <w:szCs w:val="22"/>
          <w:lang w:val="sr-Latn-ME"/>
        </w:rPr>
        <w:t xml:space="preserve"> ili u kombinaciji sa trastuzumabom kod pacijentkinja koje imaju naglašenu ekspresiju HER-2 (engl. human </w:t>
      </w:r>
      <w:r w:rsidRPr="001A7371">
        <w:rPr>
          <w:bCs/>
          <w:sz w:val="22"/>
          <w:szCs w:val="22"/>
          <w:lang w:val="sr-Latn-ME"/>
        </w:rPr>
        <w:lastRenderedPageBreak/>
        <w:t>epidermal growth factor receptor 2) na nivou 3+, što je određeno na osnovu imunohistohemijskih analiza, a koje nisu pogodne za antraciklinsko liječenje (vidjeti djelove 4.4 i 5.1.).</w:t>
      </w:r>
    </w:p>
    <w:p w14:paraId="59BD5CC3" w14:textId="77777777" w:rsidR="00CE5486" w:rsidRPr="001A7371" w:rsidRDefault="00CE5486" w:rsidP="00CE5486">
      <w:pPr>
        <w:tabs>
          <w:tab w:val="left" w:pos="540"/>
          <w:tab w:val="left" w:pos="569"/>
        </w:tabs>
        <w:jc w:val="both"/>
        <w:rPr>
          <w:bCs/>
          <w:sz w:val="22"/>
          <w:szCs w:val="22"/>
          <w:lang w:val="sr-Latn-ME"/>
        </w:rPr>
      </w:pPr>
    </w:p>
    <w:p w14:paraId="509C9ADA" w14:textId="653B2870" w:rsidR="004D2F08" w:rsidRPr="001A7371" w:rsidRDefault="00CE5486" w:rsidP="004D2F08">
      <w:pPr>
        <w:tabs>
          <w:tab w:val="left" w:pos="540"/>
          <w:tab w:val="left" w:pos="569"/>
        </w:tabs>
        <w:jc w:val="both"/>
        <w:rPr>
          <w:bCs/>
          <w:sz w:val="22"/>
          <w:szCs w:val="22"/>
          <w:lang w:val="sr-Latn-ME"/>
        </w:rPr>
      </w:pPr>
      <w:r w:rsidRPr="001A7371">
        <w:rPr>
          <w:bCs/>
          <w:sz w:val="22"/>
          <w:szCs w:val="22"/>
          <w:lang w:val="sr-Latn-ME"/>
        </w:rPr>
        <w:t xml:space="preserve">Paklitaksel kao monoterapija je indikovan za liječenje pacijentkinja sa metastatskim karcinomom dojke kod kojih </w:t>
      </w:r>
      <w:r w:rsidR="003F16E2" w:rsidRPr="001A7371">
        <w:rPr>
          <w:bCs/>
          <w:sz w:val="22"/>
          <w:szCs w:val="22"/>
          <w:lang w:val="sr-Latn-ME"/>
        </w:rPr>
        <w:t xml:space="preserve">terapija antraciklinima </w:t>
      </w:r>
      <w:r w:rsidRPr="001A7371">
        <w:rPr>
          <w:bCs/>
          <w:sz w:val="22"/>
          <w:szCs w:val="22"/>
          <w:lang w:val="sr-Latn-ME"/>
        </w:rPr>
        <w:t>nije</w:t>
      </w:r>
      <w:r w:rsidR="003F16E2" w:rsidRPr="001A7371">
        <w:rPr>
          <w:bCs/>
          <w:sz w:val="22"/>
          <w:szCs w:val="22"/>
          <w:lang w:val="sr-Latn-ME"/>
        </w:rPr>
        <w:t xml:space="preserve"> bila</w:t>
      </w:r>
      <w:r w:rsidRPr="001A7371">
        <w:rPr>
          <w:bCs/>
          <w:sz w:val="22"/>
          <w:szCs w:val="22"/>
          <w:lang w:val="sr-Latn-ME"/>
        </w:rPr>
        <w:t xml:space="preserve"> uspje</w:t>
      </w:r>
      <w:r w:rsidR="003F16E2" w:rsidRPr="001A7371">
        <w:rPr>
          <w:bCs/>
          <w:sz w:val="22"/>
          <w:szCs w:val="22"/>
          <w:lang w:val="sr-Latn-ME"/>
        </w:rPr>
        <w:t>šna</w:t>
      </w:r>
      <w:r w:rsidRPr="001A7371">
        <w:rPr>
          <w:bCs/>
          <w:sz w:val="22"/>
          <w:szCs w:val="22"/>
          <w:lang w:val="sr-Latn-ME"/>
        </w:rPr>
        <w:t xml:space="preserve"> ili koj</w:t>
      </w:r>
      <w:r w:rsidR="003F16E2" w:rsidRPr="001A7371">
        <w:rPr>
          <w:bCs/>
          <w:sz w:val="22"/>
          <w:szCs w:val="22"/>
          <w:lang w:val="sr-Latn-ME"/>
        </w:rPr>
        <w:t>i</w:t>
      </w:r>
      <w:r w:rsidRPr="001A7371">
        <w:rPr>
          <w:bCs/>
          <w:sz w:val="22"/>
          <w:szCs w:val="22"/>
          <w:lang w:val="sr-Latn-ME"/>
        </w:rPr>
        <w:t xml:space="preserve"> </w:t>
      </w:r>
      <w:r w:rsidR="003F16E2" w:rsidRPr="001A7371">
        <w:rPr>
          <w:bCs/>
          <w:sz w:val="22"/>
          <w:szCs w:val="22"/>
          <w:lang w:val="sr-Latn-ME"/>
        </w:rPr>
        <w:t xml:space="preserve">nisu kandidati </w:t>
      </w:r>
      <w:r w:rsidRPr="001A7371">
        <w:rPr>
          <w:bCs/>
          <w:sz w:val="22"/>
          <w:szCs w:val="22"/>
          <w:lang w:val="sr-Latn-ME"/>
        </w:rPr>
        <w:t xml:space="preserve">za </w:t>
      </w:r>
      <w:r w:rsidR="003F16E2" w:rsidRPr="001A7371">
        <w:rPr>
          <w:bCs/>
          <w:sz w:val="22"/>
          <w:szCs w:val="22"/>
          <w:lang w:val="sr-Latn-ME"/>
        </w:rPr>
        <w:t xml:space="preserve">standardnu </w:t>
      </w:r>
      <w:r w:rsidRPr="001A7371">
        <w:rPr>
          <w:bCs/>
          <w:sz w:val="22"/>
          <w:szCs w:val="22"/>
          <w:lang w:val="sr-Latn-ME"/>
        </w:rPr>
        <w:t>terapiju</w:t>
      </w:r>
      <w:r w:rsidR="003F16E2" w:rsidRPr="001A7371">
        <w:rPr>
          <w:bCs/>
          <w:sz w:val="22"/>
          <w:szCs w:val="22"/>
          <w:lang w:val="sr-Latn-ME"/>
        </w:rPr>
        <w:t xml:space="preserve"> koja sadrži antraciklin</w:t>
      </w:r>
      <w:r w:rsidRPr="001A7371">
        <w:rPr>
          <w:bCs/>
          <w:sz w:val="22"/>
          <w:szCs w:val="22"/>
          <w:lang w:val="sr-Latn-ME"/>
        </w:rPr>
        <w:t>.</w:t>
      </w:r>
    </w:p>
    <w:p w14:paraId="22ED7A42" w14:textId="77777777" w:rsidR="004D2F08" w:rsidRPr="001A7371" w:rsidRDefault="004D2F08" w:rsidP="004D2F08">
      <w:pPr>
        <w:tabs>
          <w:tab w:val="left" w:pos="540"/>
          <w:tab w:val="left" w:pos="569"/>
        </w:tabs>
        <w:jc w:val="both"/>
        <w:rPr>
          <w:bCs/>
          <w:sz w:val="22"/>
          <w:szCs w:val="22"/>
          <w:lang w:val="sr-Latn-ME"/>
        </w:rPr>
      </w:pPr>
    </w:p>
    <w:p w14:paraId="0B780062" w14:textId="77777777" w:rsidR="00CE5486" w:rsidRPr="001A7371" w:rsidRDefault="00CE5486" w:rsidP="004D2F08">
      <w:pPr>
        <w:tabs>
          <w:tab w:val="left" w:pos="540"/>
          <w:tab w:val="left" w:pos="569"/>
        </w:tabs>
        <w:jc w:val="both"/>
        <w:rPr>
          <w:b/>
          <w:bCs/>
          <w:sz w:val="22"/>
          <w:szCs w:val="22"/>
          <w:lang w:val="sr-Latn-ME"/>
        </w:rPr>
      </w:pPr>
      <w:r w:rsidRPr="001A7371">
        <w:rPr>
          <w:b/>
          <w:bCs/>
          <w:sz w:val="22"/>
          <w:szCs w:val="22"/>
          <w:lang w:val="sr-Latn-ME"/>
        </w:rPr>
        <w:t>Uznapredovali nemikrocelularni karcinom pluća:</w:t>
      </w:r>
    </w:p>
    <w:p w14:paraId="15B3713E" w14:textId="77777777" w:rsidR="00411B4B" w:rsidRPr="001A7371" w:rsidRDefault="00CE5486" w:rsidP="00CE5486">
      <w:pPr>
        <w:tabs>
          <w:tab w:val="left" w:pos="540"/>
          <w:tab w:val="left" w:pos="569"/>
        </w:tabs>
        <w:jc w:val="both"/>
        <w:rPr>
          <w:bCs/>
          <w:sz w:val="22"/>
          <w:szCs w:val="22"/>
          <w:lang w:val="sr-Latn-ME"/>
        </w:rPr>
      </w:pPr>
      <w:r w:rsidRPr="001A7371">
        <w:rPr>
          <w:bCs/>
          <w:sz w:val="22"/>
          <w:szCs w:val="22"/>
          <w:lang w:val="sr-Latn-ME"/>
        </w:rPr>
        <w:t xml:space="preserve">Paklitaksel je u kombinaciji sa cisplatinom indikovan u liječenju nemikrocelularnog karcinoma pluća (engl. </w:t>
      </w:r>
      <w:r w:rsidRPr="001A7371">
        <w:rPr>
          <w:bCs/>
          <w:i/>
          <w:sz w:val="22"/>
          <w:szCs w:val="22"/>
          <w:lang w:val="sr-Latn-ME"/>
        </w:rPr>
        <w:t>non-small cell lung cancer</w:t>
      </w:r>
      <w:r w:rsidRPr="001A7371">
        <w:rPr>
          <w:bCs/>
          <w:sz w:val="22"/>
          <w:szCs w:val="22"/>
          <w:lang w:val="sr-Latn-ME"/>
        </w:rPr>
        <w:t>, NSCLC) kod pacijenata koji nisu kandidati za potencijalno kurativni hirurški zahvat i/ili terapiju zračenjem.</w:t>
      </w:r>
    </w:p>
    <w:p w14:paraId="200C0F7F" w14:textId="77777777" w:rsidR="00CE5486" w:rsidRPr="001A7371" w:rsidRDefault="00CE5486" w:rsidP="00CE5486">
      <w:pPr>
        <w:tabs>
          <w:tab w:val="left" w:pos="540"/>
          <w:tab w:val="left" w:pos="569"/>
        </w:tabs>
        <w:jc w:val="both"/>
        <w:rPr>
          <w:bCs/>
          <w:sz w:val="22"/>
          <w:szCs w:val="22"/>
          <w:lang w:val="sr-Latn-ME"/>
        </w:rPr>
      </w:pPr>
    </w:p>
    <w:p w14:paraId="09BB48EA" w14:textId="77777777" w:rsidR="00CE5486" w:rsidRPr="001A7371" w:rsidRDefault="00CE5486" w:rsidP="00CE5486">
      <w:pPr>
        <w:tabs>
          <w:tab w:val="left" w:pos="540"/>
          <w:tab w:val="left" w:pos="569"/>
        </w:tabs>
        <w:jc w:val="both"/>
        <w:rPr>
          <w:b/>
          <w:bCs/>
          <w:sz w:val="22"/>
          <w:szCs w:val="22"/>
          <w:lang w:val="sr-Latn-ME"/>
        </w:rPr>
      </w:pPr>
      <w:r w:rsidRPr="001A7371">
        <w:rPr>
          <w:b/>
          <w:bCs/>
          <w:sz w:val="22"/>
          <w:szCs w:val="22"/>
          <w:lang w:val="sr-Latn-ME"/>
        </w:rPr>
        <w:t>Kapoši sarkom povezan sa AIDS-om:</w:t>
      </w:r>
    </w:p>
    <w:p w14:paraId="70E90150" w14:textId="77777777" w:rsidR="00CE5486" w:rsidRPr="001A7371" w:rsidRDefault="00CE5486" w:rsidP="00CE5486">
      <w:pPr>
        <w:tabs>
          <w:tab w:val="left" w:pos="540"/>
          <w:tab w:val="left" w:pos="569"/>
        </w:tabs>
        <w:jc w:val="both"/>
        <w:rPr>
          <w:bCs/>
          <w:sz w:val="22"/>
          <w:szCs w:val="22"/>
          <w:lang w:val="sr-Latn-ME"/>
        </w:rPr>
      </w:pPr>
      <w:r w:rsidRPr="001A7371">
        <w:rPr>
          <w:bCs/>
          <w:sz w:val="22"/>
          <w:szCs w:val="22"/>
          <w:lang w:val="sr-Latn-ME"/>
        </w:rPr>
        <w:t>Paklitaksel je indikovan u liječenju uznapredovalog Kapoši sarkoma (KS) povezanog sa AIDS-om kod  pacijenata kod kojih je izostao uspjeh liječenja lipozomskim antraciklinima.</w:t>
      </w:r>
    </w:p>
    <w:p w14:paraId="35E43EC4" w14:textId="77777777" w:rsidR="00CE5486" w:rsidRPr="001A7371" w:rsidRDefault="00CE5486" w:rsidP="00CE5486">
      <w:pPr>
        <w:tabs>
          <w:tab w:val="left" w:pos="540"/>
          <w:tab w:val="left" w:pos="569"/>
        </w:tabs>
        <w:jc w:val="both"/>
        <w:rPr>
          <w:bCs/>
          <w:sz w:val="22"/>
          <w:szCs w:val="22"/>
          <w:lang w:val="sr-Latn-ME"/>
        </w:rPr>
      </w:pPr>
    </w:p>
    <w:p w14:paraId="1048C3D7" w14:textId="77777777" w:rsidR="00CE5486" w:rsidRPr="001A7371" w:rsidRDefault="00CE5486" w:rsidP="00CE5486">
      <w:pPr>
        <w:tabs>
          <w:tab w:val="left" w:pos="540"/>
          <w:tab w:val="left" w:pos="569"/>
        </w:tabs>
        <w:jc w:val="both"/>
        <w:rPr>
          <w:bCs/>
          <w:sz w:val="22"/>
          <w:szCs w:val="22"/>
          <w:lang w:val="sr-Latn-ME"/>
        </w:rPr>
      </w:pPr>
      <w:r w:rsidRPr="001A7371">
        <w:rPr>
          <w:bCs/>
          <w:sz w:val="22"/>
          <w:szCs w:val="22"/>
          <w:lang w:val="sr-Latn-ME"/>
        </w:rPr>
        <w:t>Dostupni klinički podaci</w:t>
      </w:r>
      <w:r w:rsidR="003F16E2" w:rsidRPr="001A7371">
        <w:rPr>
          <w:bCs/>
          <w:sz w:val="22"/>
          <w:szCs w:val="22"/>
          <w:lang w:val="sr-Latn-ME"/>
        </w:rPr>
        <w:t xml:space="preserve"> o efikasnosti</w:t>
      </w:r>
      <w:r w:rsidRPr="001A7371">
        <w:rPr>
          <w:bCs/>
          <w:sz w:val="22"/>
          <w:szCs w:val="22"/>
          <w:lang w:val="sr-Latn-ME"/>
        </w:rPr>
        <w:t xml:space="preserve"> koji podržavaju ovu indikaciju su ograničeni, a prikazani su u dijelu 5.1.</w:t>
      </w:r>
    </w:p>
    <w:p w14:paraId="528DD264" w14:textId="77777777" w:rsidR="00CE5486" w:rsidRPr="001A7371" w:rsidRDefault="00CE5486" w:rsidP="00CE5486">
      <w:pPr>
        <w:tabs>
          <w:tab w:val="left" w:pos="540"/>
          <w:tab w:val="left" w:pos="569"/>
        </w:tabs>
        <w:jc w:val="both"/>
        <w:rPr>
          <w:bCs/>
          <w:sz w:val="22"/>
          <w:szCs w:val="22"/>
          <w:lang w:val="sr-Latn-ME"/>
        </w:rPr>
      </w:pPr>
    </w:p>
    <w:p w14:paraId="25CD2484" w14:textId="77777777" w:rsidR="00411B4B" w:rsidRPr="001A7371" w:rsidRDefault="00411B4B" w:rsidP="00480FB1">
      <w:pPr>
        <w:tabs>
          <w:tab w:val="left" w:pos="540"/>
          <w:tab w:val="left" w:pos="569"/>
        </w:tabs>
        <w:rPr>
          <w:b/>
          <w:bCs/>
          <w:sz w:val="22"/>
          <w:szCs w:val="22"/>
          <w:lang w:val="sr-Latn-ME"/>
        </w:rPr>
      </w:pPr>
      <w:r w:rsidRPr="001A7371">
        <w:rPr>
          <w:b/>
          <w:bCs/>
          <w:sz w:val="22"/>
          <w:szCs w:val="22"/>
          <w:lang w:val="sr-Latn-ME"/>
        </w:rPr>
        <w:t xml:space="preserve">4.2. </w:t>
      </w:r>
      <w:r w:rsidR="00480FB1" w:rsidRPr="001A7371">
        <w:rPr>
          <w:b/>
          <w:bCs/>
          <w:sz w:val="22"/>
          <w:szCs w:val="22"/>
          <w:lang w:val="sr-Latn-ME"/>
        </w:rPr>
        <w:tab/>
      </w:r>
      <w:r w:rsidRPr="001A7371">
        <w:rPr>
          <w:b/>
          <w:bCs/>
          <w:sz w:val="22"/>
          <w:szCs w:val="22"/>
          <w:lang w:val="sr-Latn-ME"/>
        </w:rPr>
        <w:t>Doziranje i način primjene</w:t>
      </w:r>
    </w:p>
    <w:p w14:paraId="49FE9BCB" w14:textId="77777777" w:rsidR="0072020E" w:rsidRPr="001A7371" w:rsidRDefault="0072020E" w:rsidP="00480FB1">
      <w:pPr>
        <w:tabs>
          <w:tab w:val="left" w:pos="540"/>
          <w:tab w:val="left" w:pos="569"/>
        </w:tabs>
        <w:rPr>
          <w:bCs/>
          <w:sz w:val="22"/>
          <w:szCs w:val="22"/>
          <w:lang w:val="sr-Latn-ME"/>
        </w:rPr>
      </w:pPr>
    </w:p>
    <w:p w14:paraId="47AB8B4B" w14:textId="77777777" w:rsidR="00452E9D" w:rsidRPr="001A7371" w:rsidRDefault="00452E9D" w:rsidP="00480FB1">
      <w:pPr>
        <w:tabs>
          <w:tab w:val="left" w:pos="540"/>
          <w:tab w:val="left" w:pos="569"/>
        </w:tabs>
        <w:rPr>
          <w:bCs/>
          <w:sz w:val="22"/>
          <w:szCs w:val="22"/>
          <w:u w:val="single"/>
          <w:lang w:val="sr-Latn-ME"/>
        </w:rPr>
      </w:pPr>
      <w:r w:rsidRPr="001A7371">
        <w:rPr>
          <w:bCs/>
          <w:sz w:val="22"/>
          <w:szCs w:val="22"/>
          <w:u w:val="single"/>
          <w:lang w:val="sr-Latn-ME"/>
        </w:rPr>
        <w:t>Doziranje</w:t>
      </w:r>
    </w:p>
    <w:p w14:paraId="1B0BA034" w14:textId="77777777" w:rsidR="00452E9D" w:rsidRPr="001A7371" w:rsidRDefault="00452E9D" w:rsidP="00480FB1">
      <w:pPr>
        <w:tabs>
          <w:tab w:val="left" w:pos="540"/>
          <w:tab w:val="left" w:pos="569"/>
        </w:tabs>
        <w:rPr>
          <w:bCs/>
          <w:sz w:val="22"/>
          <w:szCs w:val="22"/>
          <w:u w:val="single"/>
          <w:lang w:val="sr-Latn-ME"/>
        </w:rPr>
      </w:pPr>
    </w:p>
    <w:p w14:paraId="280DAA35" w14:textId="77777777" w:rsidR="00950EDC" w:rsidRPr="001A7371" w:rsidRDefault="00950EDC" w:rsidP="00950EDC">
      <w:pPr>
        <w:tabs>
          <w:tab w:val="left" w:pos="540"/>
          <w:tab w:val="left" w:pos="569"/>
        </w:tabs>
        <w:jc w:val="both"/>
        <w:rPr>
          <w:bCs/>
          <w:sz w:val="22"/>
          <w:szCs w:val="22"/>
          <w:lang w:val="sr-Latn-ME"/>
        </w:rPr>
      </w:pPr>
      <w:r w:rsidRPr="001A7371">
        <w:rPr>
          <w:bCs/>
          <w:sz w:val="22"/>
          <w:szCs w:val="22"/>
          <w:lang w:val="sr-Latn-ME"/>
        </w:rPr>
        <w:t xml:space="preserve">Paklitaksel treba da se primjenjuje samo pod nadzorom kvalifikovanog onkologa u jedinicama specijalizovanim za primjenu citotoksičnih agenasa (vidjeti </w:t>
      </w:r>
      <w:r w:rsidR="00C93F61" w:rsidRPr="001A7371">
        <w:rPr>
          <w:bCs/>
          <w:sz w:val="22"/>
          <w:szCs w:val="22"/>
          <w:lang w:val="sr-Latn-ME"/>
        </w:rPr>
        <w:t>dio</w:t>
      </w:r>
      <w:r w:rsidRPr="001A7371">
        <w:rPr>
          <w:bCs/>
          <w:sz w:val="22"/>
          <w:szCs w:val="22"/>
          <w:lang w:val="sr-Latn-ME"/>
        </w:rPr>
        <w:t xml:space="preserve"> 6.6).</w:t>
      </w:r>
    </w:p>
    <w:p w14:paraId="2F477963" w14:textId="77777777" w:rsidR="00950EDC" w:rsidRPr="001A7371" w:rsidRDefault="00950EDC" w:rsidP="00950EDC">
      <w:pPr>
        <w:tabs>
          <w:tab w:val="left" w:pos="540"/>
          <w:tab w:val="left" w:pos="569"/>
        </w:tabs>
        <w:jc w:val="both"/>
        <w:rPr>
          <w:bCs/>
          <w:sz w:val="22"/>
          <w:szCs w:val="22"/>
          <w:lang w:val="sr-Latn-ME"/>
        </w:rPr>
      </w:pPr>
    </w:p>
    <w:p w14:paraId="6408A567" w14:textId="298B38FD" w:rsidR="00950EDC" w:rsidRPr="001A7371" w:rsidRDefault="00950EDC" w:rsidP="00950EDC">
      <w:pPr>
        <w:tabs>
          <w:tab w:val="left" w:pos="540"/>
          <w:tab w:val="left" w:pos="569"/>
        </w:tabs>
        <w:jc w:val="both"/>
        <w:rPr>
          <w:bCs/>
          <w:sz w:val="22"/>
          <w:szCs w:val="22"/>
          <w:lang w:val="sr-Latn-ME"/>
        </w:rPr>
      </w:pPr>
      <w:r w:rsidRPr="001A7371">
        <w:rPr>
          <w:bCs/>
          <w:sz w:val="22"/>
          <w:szCs w:val="22"/>
          <w:lang w:val="sr-Latn-ME"/>
        </w:rPr>
        <w:t xml:space="preserve">Prije početka primjene paklitaksela, u cilju prevencije ozbiljne reakcije preosjetljivosti, svi pacijenti moraju da prime kortikosteroide, antihistaminike i H2 antagoniste. </w:t>
      </w:r>
    </w:p>
    <w:p w14:paraId="3ABE4379" w14:textId="77777777" w:rsidR="00950EDC" w:rsidRPr="001A7371" w:rsidRDefault="00950EDC" w:rsidP="00950EDC">
      <w:pPr>
        <w:tabs>
          <w:tab w:val="left" w:pos="540"/>
          <w:tab w:val="left" w:pos="569"/>
        </w:tabs>
        <w:jc w:val="both"/>
        <w:rPr>
          <w:bCs/>
          <w:sz w:val="22"/>
          <w:szCs w:val="22"/>
          <w:lang w:val="sr-Latn-ME"/>
        </w:rPr>
      </w:pPr>
    </w:p>
    <w:p w14:paraId="302F57BE" w14:textId="77777777" w:rsidR="00950EDC" w:rsidRPr="001A7371" w:rsidRDefault="00950EDC" w:rsidP="00950EDC">
      <w:pPr>
        <w:tabs>
          <w:tab w:val="left" w:pos="540"/>
          <w:tab w:val="left" w:pos="569"/>
        </w:tabs>
        <w:jc w:val="both"/>
        <w:rPr>
          <w:bCs/>
          <w:sz w:val="22"/>
          <w:szCs w:val="22"/>
          <w:lang w:val="sr-Latn-ME"/>
        </w:rPr>
      </w:pPr>
      <w:r w:rsidRPr="001A7371">
        <w:rPr>
          <w:bCs/>
          <w:sz w:val="22"/>
          <w:szCs w:val="22"/>
          <w:lang w:val="sr-Latn-ME"/>
        </w:rPr>
        <w:t>Tabela 1: Shema premedikacije</w:t>
      </w:r>
    </w:p>
    <w:p w14:paraId="2345E53F" w14:textId="77777777" w:rsidR="00950EDC" w:rsidRPr="001A7371" w:rsidRDefault="00950EDC" w:rsidP="00950EDC">
      <w:pPr>
        <w:tabs>
          <w:tab w:val="left" w:pos="540"/>
          <w:tab w:val="left" w:pos="569"/>
        </w:tabs>
        <w:jc w:val="both"/>
        <w:rPr>
          <w:bCs/>
          <w:sz w:val="22"/>
          <w:szCs w:val="22"/>
          <w:lang w:val="sr-Latn-ME"/>
        </w:rPr>
      </w:pPr>
    </w:p>
    <w:tbl>
      <w:tblPr>
        <w:tblW w:w="0" w:type="auto"/>
        <w:tblInd w:w="137" w:type="dxa"/>
        <w:tblLayout w:type="fixed"/>
        <w:tblCellMar>
          <w:left w:w="0" w:type="dxa"/>
          <w:right w:w="0" w:type="dxa"/>
        </w:tblCellMar>
        <w:tblLook w:val="01E0" w:firstRow="1" w:lastRow="1" w:firstColumn="1" w:lastColumn="1" w:noHBand="0" w:noVBand="0"/>
      </w:tblPr>
      <w:tblGrid>
        <w:gridCol w:w="2698"/>
        <w:gridCol w:w="2971"/>
        <w:gridCol w:w="3062"/>
      </w:tblGrid>
      <w:tr w:rsidR="00950EDC" w:rsidRPr="001A7371" w14:paraId="76FEABB0" w14:textId="77777777" w:rsidTr="00950EDC">
        <w:trPr>
          <w:trHeight w:hRule="exact" w:val="259"/>
        </w:trPr>
        <w:tc>
          <w:tcPr>
            <w:tcW w:w="2698" w:type="dxa"/>
            <w:tcBorders>
              <w:top w:val="single" w:sz="4" w:space="0" w:color="000000"/>
              <w:left w:val="single" w:sz="4" w:space="0" w:color="000000"/>
              <w:bottom w:val="single" w:sz="4" w:space="0" w:color="000000"/>
              <w:right w:val="single" w:sz="4" w:space="0" w:color="000000"/>
            </w:tcBorders>
            <w:vAlign w:val="center"/>
          </w:tcPr>
          <w:p w14:paraId="4B7877D4" w14:textId="77777777" w:rsidR="00950EDC" w:rsidRPr="001A7371" w:rsidRDefault="00950EDC" w:rsidP="00950EDC">
            <w:pPr>
              <w:widowControl w:val="0"/>
              <w:spacing w:line="244" w:lineRule="exact"/>
              <w:ind w:left="100"/>
              <w:rPr>
                <w:rFonts w:eastAsiaTheme="minorHAnsi"/>
                <w:b/>
                <w:sz w:val="22"/>
                <w:szCs w:val="22"/>
                <w:lang w:val="sr-Latn-ME"/>
              </w:rPr>
            </w:pPr>
            <w:r w:rsidRPr="001A7371">
              <w:rPr>
                <w:rFonts w:eastAsia="Calibri"/>
                <w:b/>
                <w:spacing w:val="-2"/>
                <w:sz w:val="22"/>
                <w:szCs w:val="22"/>
                <w:lang w:val="sr-Latn-ME"/>
              </w:rPr>
              <w:t>Lijek</w:t>
            </w:r>
          </w:p>
        </w:tc>
        <w:tc>
          <w:tcPr>
            <w:tcW w:w="2971" w:type="dxa"/>
            <w:tcBorders>
              <w:top w:val="single" w:sz="4" w:space="0" w:color="000000"/>
              <w:left w:val="single" w:sz="4" w:space="0" w:color="000000"/>
              <w:bottom w:val="single" w:sz="4" w:space="0" w:color="000000"/>
              <w:right w:val="single" w:sz="4" w:space="0" w:color="000000"/>
            </w:tcBorders>
            <w:vAlign w:val="center"/>
          </w:tcPr>
          <w:p w14:paraId="6799E6F7" w14:textId="77777777" w:rsidR="00950EDC" w:rsidRPr="001A7371" w:rsidRDefault="00950EDC" w:rsidP="00950EDC">
            <w:pPr>
              <w:widowControl w:val="0"/>
              <w:spacing w:line="244" w:lineRule="exact"/>
              <w:ind w:left="105"/>
              <w:rPr>
                <w:rFonts w:eastAsiaTheme="minorHAnsi"/>
                <w:b/>
                <w:sz w:val="22"/>
                <w:szCs w:val="22"/>
                <w:lang w:val="sr-Latn-ME"/>
              </w:rPr>
            </w:pPr>
            <w:r w:rsidRPr="001A7371">
              <w:rPr>
                <w:rFonts w:eastAsia="Calibri"/>
                <w:b/>
                <w:spacing w:val="-3"/>
                <w:sz w:val="22"/>
                <w:szCs w:val="22"/>
                <w:lang w:val="sr-Latn-ME"/>
              </w:rPr>
              <w:t>Doza</w:t>
            </w:r>
          </w:p>
        </w:tc>
        <w:tc>
          <w:tcPr>
            <w:tcW w:w="3062" w:type="dxa"/>
            <w:tcBorders>
              <w:top w:val="single" w:sz="4" w:space="0" w:color="000000"/>
              <w:left w:val="single" w:sz="4" w:space="0" w:color="000000"/>
              <w:bottom w:val="single" w:sz="4" w:space="0" w:color="000000"/>
              <w:right w:val="single" w:sz="4" w:space="0" w:color="000000"/>
            </w:tcBorders>
            <w:vAlign w:val="center"/>
          </w:tcPr>
          <w:p w14:paraId="163E819A" w14:textId="77777777" w:rsidR="00950EDC" w:rsidRPr="001A7371" w:rsidRDefault="00950EDC" w:rsidP="00950EDC">
            <w:pPr>
              <w:widowControl w:val="0"/>
              <w:spacing w:line="244" w:lineRule="exact"/>
              <w:ind w:left="100"/>
              <w:rPr>
                <w:rFonts w:eastAsiaTheme="minorHAnsi"/>
                <w:b/>
                <w:sz w:val="22"/>
                <w:szCs w:val="22"/>
                <w:lang w:val="sr-Latn-ME"/>
              </w:rPr>
            </w:pPr>
            <w:r w:rsidRPr="001A7371">
              <w:rPr>
                <w:rFonts w:eastAsia="Calibri"/>
                <w:b/>
                <w:sz w:val="22"/>
                <w:szCs w:val="22"/>
                <w:lang w:val="sr-Latn-ME"/>
              </w:rPr>
              <w:t>Primjena prije paklitaksela</w:t>
            </w:r>
          </w:p>
        </w:tc>
      </w:tr>
      <w:tr w:rsidR="00950EDC" w:rsidRPr="001A7371" w14:paraId="274D2731" w14:textId="77777777" w:rsidTr="00950EDC">
        <w:trPr>
          <w:trHeight w:hRule="exact" w:val="1022"/>
        </w:trPr>
        <w:tc>
          <w:tcPr>
            <w:tcW w:w="2698" w:type="dxa"/>
            <w:tcBorders>
              <w:top w:val="single" w:sz="4" w:space="0" w:color="000000"/>
              <w:left w:val="single" w:sz="4" w:space="0" w:color="000000"/>
              <w:bottom w:val="single" w:sz="4" w:space="0" w:color="000000"/>
              <w:right w:val="single" w:sz="4" w:space="0" w:color="000000"/>
            </w:tcBorders>
            <w:vAlign w:val="center"/>
          </w:tcPr>
          <w:p w14:paraId="230D685D" w14:textId="77777777" w:rsidR="00950EDC" w:rsidRPr="001A7371" w:rsidRDefault="00950EDC" w:rsidP="00950EDC">
            <w:pPr>
              <w:widowControl w:val="0"/>
              <w:spacing w:line="249" w:lineRule="exact"/>
              <w:ind w:left="100"/>
              <w:jc w:val="both"/>
              <w:rPr>
                <w:rFonts w:eastAsiaTheme="minorHAnsi"/>
                <w:sz w:val="22"/>
                <w:szCs w:val="22"/>
                <w:lang w:val="sr-Latn-ME"/>
              </w:rPr>
            </w:pPr>
            <w:r w:rsidRPr="001A7371">
              <w:rPr>
                <w:rFonts w:eastAsia="Calibri"/>
                <w:sz w:val="22"/>
                <w:szCs w:val="22"/>
                <w:lang w:val="sr-Latn-ME"/>
              </w:rPr>
              <w:t>Deksametazon</w:t>
            </w:r>
          </w:p>
        </w:tc>
        <w:tc>
          <w:tcPr>
            <w:tcW w:w="2971" w:type="dxa"/>
            <w:tcBorders>
              <w:top w:val="single" w:sz="4" w:space="0" w:color="000000"/>
              <w:left w:val="single" w:sz="4" w:space="0" w:color="000000"/>
              <w:bottom w:val="single" w:sz="4" w:space="0" w:color="000000"/>
              <w:right w:val="single" w:sz="4" w:space="0" w:color="000000"/>
            </w:tcBorders>
            <w:vAlign w:val="center"/>
          </w:tcPr>
          <w:p w14:paraId="54698124" w14:textId="77777777" w:rsidR="00950EDC" w:rsidRPr="001A7371" w:rsidRDefault="00950EDC" w:rsidP="00950EDC">
            <w:pPr>
              <w:widowControl w:val="0"/>
              <w:spacing w:line="249" w:lineRule="exact"/>
              <w:ind w:left="105"/>
              <w:jc w:val="both"/>
              <w:rPr>
                <w:rFonts w:eastAsiaTheme="minorHAnsi"/>
                <w:sz w:val="22"/>
                <w:szCs w:val="22"/>
                <w:lang w:val="sr-Latn-ME"/>
              </w:rPr>
            </w:pPr>
            <w:r w:rsidRPr="001A7371">
              <w:rPr>
                <w:rFonts w:eastAsia="Calibri"/>
                <w:sz w:val="22"/>
                <w:szCs w:val="22"/>
                <w:lang w:val="sr-Latn-ME"/>
              </w:rPr>
              <w:t>20 mg oralno* ili i.v.</w:t>
            </w:r>
          </w:p>
        </w:tc>
        <w:tc>
          <w:tcPr>
            <w:tcW w:w="3062" w:type="dxa"/>
            <w:tcBorders>
              <w:top w:val="single" w:sz="4" w:space="0" w:color="000000"/>
              <w:left w:val="single" w:sz="4" w:space="0" w:color="000000"/>
              <w:bottom w:val="single" w:sz="4" w:space="0" w:color="000000"/>
              <w:right w:val="single" w:sz="4" w:space="0" w:color="000000"/>
            </w:tcBorders>
            <w:vAlign w:val="center"/>
          </w:tcPr>
          <w:p w14:paraId="6E8C153F" w14:textId="77777777" w:rsidR="00950EDC" w:rsidRPr="001A7371" w:rsidRDefault="00950EDC" w:rsidP="00950EDC">
            <w:pPr>
              <w:widowControl w:val="0"/>
              <w:spacing w:before="1" w:line="250" w:lineRule="exact"/>
              <w:ind w:left="100" w:right="1005"/>
              <w:jc w:val="both"/>
              <w:rPr>
                <w:rFonts w:eastAsiaTheme="minorHAnsi"/>
                <w:sz w:val="22"/>
                <w:szCs w:val="22"/>
                <w:lang w:val="sr-Latn-ME"/>
              </w:rPr>
            </w:pPr>
            <w:r w:rsidRPr="001A7371">
              <w:rPr>
                <w:rFonts w:eastAsia="Calibri"/>
                <w:sz w:val="22"/>
                <w:szCs w:val="22"/>
                <w:lang w:val="sr-Latn-ME"/>
              </w:rPr>
              <w:t>Za oralnu</w:t>
            </w:r>
            <w:r w:rsidRPr="001A7371">
              <w:rPr>
                <w:rFonts w:eastAsia="Calibri"/>
                <w:spacing w:val="-5"/>
                <w:sz w:val="22"/>
                <w:szCs w:val="22"/>
                <w:lang w:val="sr-Latn-ME"/>
              </w:rPr>
              <w:t xml:space="preserve"> </w:t>
            </w:r>
            <w:r w:rsidRPr="001A7371">
              <w:rPr>
                <w:rFonts w:eastAsia="Calibri"/>
                <w:sz w:val="22"/>
                <w:szCs w:val="22"/>
                <w:lang w:val="sr-Latn-ME"/>
              </w:rPr>
              <w:t>primjenu:</w:t>
            </w:r>
            <w:r w:rsidRPr="001A7371">
              <w:rPr>
                <w:rFonts w:eastAsia="Calibri"/>
                <w:spacing w:val="-1"/>
                <w:sz w:val="22"/>
                <w:szCs w:val="22"/>
                <w:lang w:val="sr-Latn-ME"/>
              </w:rPr>
              <w:t xml:space="preserve"> </w:t>
            </w:r>
            <w:r w:rsidRPr="001A7371">
              <w:rPr>
                <w:rFonts w:eastAsia="Calibri"/>
                <w:sz w:val="22"/>
                <w:szCs w:val="22"/>
                <w:lang w:val="sr-Latn-ME"/>
              </w:rPr>
              <w:t>približno 12 i 6 sati</w:t>
            </w:r>
            <w:r w:rsidRPr="001A7371">
              <w:rPr>
                <w:rFonts w:eastAsia="Calibri"/>
                <w:spacing w:val="-1"/>
                <w:sz w:val="22"/>
                <w:szCs w:val="22"/>
                <w:lang w:val="sr-Latn-ME"/>
              </w:rPr>
              <w:t xml:space="preserve"> </w:t>
            </w:r>
            <w:r w:rsidRPr="001A7371">
              <w:rPr>
                <w:rFonts w:eastAsia="Calibri"/>
                <w:spacing w:val="-4"/>
                <w:sz w:val="22"/>
                <w:szCs w:val="22"/>
                <w:lang w:val="sr-Latn-ME"/>
              </w:rPr>
              <w:t>ili</w:t>
            </w:r>
          </w:p>
          <w:p w14:paraId="0F18038E" w14:textId="77777777" w:rsidR="00950EDC" w:rsidRPr="001A7371" w:rsidRDefault="00950EDC" w:rsidP="00950EDC">
            <w:pPr>
              <w:widowControl w:val="0"/>
              <w:spacing w:line="259" w:lineRule="auto"/>
              <w:ind w:left="100" w:right="17"/>
              <w:jc w:val="both"/>
              <w:rPr>
                <w:rFonts w:eastAsiaTheme="minorHAnsi"/>
                <w:sz w:val="22"/>
                <w:szCs w:val="22"/>
                <w:lang w:val="sr-Latn-ME"/>
              </w:rPr>
            </w:pPr>
            <w:r w:rsidRPr="001A7371">
              <w:rPr>
                <w:rFonts w:eastAsia="Calibri"/>
                <w:sz w:val="22"/>
                <w:szCs w:val="22"/>
                <w:lang w:val="sr-Latn-ME"/>
              </w:rPr>
              <w:t>kod i.v.</w:t>
            </w:r>
            <w:r w:rsidR="00BE1608" w:rsidRPr="001A7371">
              <w:rPr>
                <w:rFonts w:eastAsia="Calibri"/>
                <w:sz w:val="22"/>
                <w:szCs w:val="22"/>
                <w:lang w:val="sr-Latn-ME"/>
              </w:rPr>
              <w:t xml:space="preserve"> primjene</w:t>
            </w:r>
            <w:r w:rsidRPr="001A7371">
              <w:rPr>
                <w:rFonts w:eastAsia="Calibri"/>
                <w:sz w:val="22"/>
                <w:szCs w:val="22"/>
                <w:lang w:val="sr-Latn-ME"/>
              </w:rPr>
              <w:t xml:space="preserve"> približno: 30 do</w:t>
            </w:r>
            <w:r w:rsidRPr="001A7371">
              <w:rPr>
                <w:rFonts w:eastAsia="Calibri"/>
                <w:spacing w:val="17"/>
                <w:sz w:val="22"/>
                <w:szCs w:val="22"/>
                <w:lang w:val="sr-Latn-ME"/>
              </w:rPr>
              <w:t xml:space="preserve"> </w:t>
            </w:r>
            <w:r w:rsidRPr="001A7371">
              <w:rPr>
                <w:rFonts w:eastAsia="Calibri"/>
                <w:sz w:val="22"/>
                <w:szCs w:val="22"/>
                <w:lang w:val="sr-Latn-ME"/>
              </w:rPr>
              <w:t>60</w:t>
            </w:r>
            <w:r w:rsidRPr="001A7371">
              <w:rPr>
                <w:rFonts w:eastAsia="Calibri"/>
                <w:spacing w:val="2"/>
                <w:sz w:val="22"/>
                <w:szCs w:val="22"/>
                <w:lang w:val="sr-Latn-ME"/>
              </w:rPr>
              <w:t xml:space="preserve"> </w:t>
            </w:r>
            <w:r w:rsidRPr="001A7371">
              <w:rPr>
                <w:rFonts w:eastAsia="Calibri"/>
                <w:spacing w:val="-2"/>
                <w:sz w:val="22"/>
                <w:szCs w:val="22"/>
                <w:lang w:val="sr-Latn-ME"/>
              </w:rPr>
              <w:t>minuta</w:t>
            </w:r>
          </w:p>
        </w:tc>
      </w:tr>
      <w:tr w:rsidR="00950EDC" w:rsidRPr="001A7371" w14:paraId="4FB1BBD1" w14:textId="77777777" w:rsidTr="00950EDC">
        <w:trPr>
          <w:trHeight w:hRule="exact" w:val="264"/>
        </w:trPr>
        <w:tc>
          <w:tcPr>
            <w:tcW w:w="2698" w:type="dxa"/>
            <w:tcBorders>
              <w:top w:val="single" w:sz="4" w:space="0" w:color="000000"/>
              <w:left w:val="single" w:sz="4" w:space="0" w:color="000000"/>
              <w:bottom w:val="single" w:sz="4" w:space="0" w:color="000000"/>
              <w:right w:val="single" w:sz="4" w:space="0" w:color="000000"/>
            </w:tcBorders>
            <w:vAlign w:val="center"/>
          </w:tcPr>
          <w:p w14:paraId="55E55D03" w14:textId="5D1615C1" w:rsidR="00950EDC" w:rsidRPr="001A7371" w:rsidRDefault="00950EDC" w:rsidP="00950EDC">
            <w:pPr>
              <w:widowControl w:val="0"/>
              <w:spacing w:line="244" w:lineRule="exact"/>
              <w:ind w:left="100"/>
              <w:jc w:val="both"/>
              <w:rPr>
                <w:rFonts w:eastAsiaTheme="minorHAnsi"/>
                <w:sz w:val="22"/>
                <w:szCs w:val="22"/>
                <w:lang w:val="sr-Latn-ME"/>
              </w:rPr>
            </w:pPr>
            <w:r w:rsidRPr="001A7371">
              <w:rPr>
                <w:rFonts w:eastAsia="Calibri"/>
                <w:sz w:val="22"/>
                <w:szCs w:val="22"/>
                <w:lang w:val="sr-Latn-ME"/>
              </w:rPr>
              <w:t>Difenhidramin</w:t>
            </w:r>
            <w:r w:rsidRPr="001A7371">
              <w:rPr>
                <w:rFonts w:eastAsia="Calibri"/>
                <w:sz w:val="22"/>
                <w:szCs w:val="22"/>
                <w:vertAlign w:val="superscript"/>
                <w:lang w:val="sr-Latn-ME"/>
              </w:rPr>
              <w:t>**</w:t>
            </w:r>
          </w:p>
        </w:tc>
        <w:tc>
          <w:tcPr>
            <w:tcW w:w="2971" w:type="dxa"/>
            <w:tcBorders>
              <w:top w:val="single" w:sz="4" w:space="0" w:color="000000"/>
              <w:left w:val="single" w:sz="4" w:space="0" w:color="000000"/>
              <w:bottom w:val="single" w:sz="4" w:space="0" w:color="000000"/>
              <w:right w:val="single" w:sz="4" w:space="0" w:color="000000"/>
            </w:tcBorders>
            <w:vAlign w:val="center"/>
          </w:tcPr>
          <w:p w14:paraId="5B2E309A" w14:textId="77777777" w:rsidR="00950EDC" w:rsidRPr="001A7371" w:rsidRDefault="00950EDC" w:rsidP="00950EDC">
            <w:pPr>
              <w:widowControl w:val="0"/>
              <w:spacing w:line="244" w:lineRule="exact"/>
              <w:ind w:left="105"/>
              <w:jc w:val="both"/>
              <w:rPr>
                <w:rFonts w:eastAsiaTheme="minorHAnsi"/>
                <w:sz w:val="22"/>
                <w:szCs w:val="22"/>
                <w:lang w:val="sr-Latn-ME"/>
              </w:rPr>
            </w:pPr>
            <w:r w:rsidRPr="001A7371">
              <w:rPr>
                <w:rFonts w:eastAsia="Calibri"/>
                <w:sz w:val="22"/>
                <w:szCs w:val="22"/>
                <w:lang w:val="sr-Latn-ME"/>
              </w:rPr>
              <w:t>50 mg</w:t>
            </w:r>
            <w:r w:rsidRPr="001A7371">
              <w:rPr>
                <w:rFonts w:eastAsia="Calibri"/>
                <w:spacing w:val="-9"/>
                <w:sz w:val="22"/>
                <w:szCs w:val="22"/>
                <w:lang w:val="sr-Latn-ME"/>
              </w:rPr>
              <w:t xml:space="preserve"> </w:t>
            </w:r>
            <w:r w:rsidRPr="001A7371">
              <w:rPr>
                <w:rFonts w:eastAsia="Calibri"/>
                <w:sz w:val="22"/>
                <w:szCs w:val="22"/>
                <w:lang w:val="sr-Latn-ME"/>
              </w:rPr>
              <w:t>i.v.</w:t>
            </w:r>
          </w:p>
        </w:tc>
        <w:tc>
          <w:tcPr>
            <w:tcW w:w="3062" w:type="dxa"/>
            <w:tcBorders>
              <w:top w:val="single" w:sz="4" w:space="0" w:color="000000"/>
              <w:left w:val="single" w:sz="4" w:space="0" w:color="000000"/>
              <w:bottom w:val="single" w:sz="4" w:space="0" w:color="000000"/>
              <w:right w:val="single" w:sz="4" w:space="0" w:color="000000"/>
            </w:tcBorders>
            <w:vAlign w:val="center"/>
          </w:tcPr>
          <w:p w14:paraId="160B6F18" w14:textId="77777777" w:rsidR="00950EDC" w:rsidRPr="001A7371" w:rsidRDefault="00950EDC" w:rsidP="00950EDC">
            <w:pPr>
              <w:widowControl w:val="0"/>
              <w:spacing w:line="244" w:lineRule="exact"/>
              <w:ind w:left="100"/>
              <w:jc w:val="both"/>
              <w:rPr>
                <w:rFonts w:eastAsiaTheme="minorHAnsi"/>
                <w:sz w:val="22"/>
                <w:szCs w:val="22"/>
                <w:lang w:val="sr-Latn-ME"/>
              </w:rPr>
            </w:pPr>
            <w:r w:rsidRPr="001A7371">
              <w:rPr>
                <w:rFonts w:eastAsia="Calibri"/>
                <w:sz w:val="22"/>
                <w:szCs w:val="22"/>
                <w:lang w:val="sr-Latn-ME"/>
              </w:rPr>
              <w:t>30 do 60</w:t>
            </w:r>
            <w:r w:rsidRPr="001A7371">
              <w:rPr>
                <w:rFonts w:eastAsia="Calibri"/>
                <w:spacing w:val="-11"/>
                <w:sz w:val="22"/>
                <w:szCs w:val="22"/>
                <w:lang w:val="sr-Latn-ME"/>
              </w:rPr>
              <w:t xml:space="preserve"> </w:t>
            </w:r>
            <w:r w:rsidRPr="001A7371">
              <w:rPr>
                <w:rFonts w:eastAsia="Calibri"/>
                <w:sz w:val="22"/>
                <w:szCs w:val="22"/>
                <w:lang w:val="sr-Latn-ME"/>
              </w:rPr>
              <w:t>minuta</w:t>
            </w:r>
          </w:p>
        </w:tc>
      </w:tr>
      <w:tr w:rsidR="00950EDC" w:rsidRPr="001A7371" w14:paraId="728F4E71" w14:textId="77777777" w:rsidTr="00950EDC">
        <w:trPr>
          <w:trHeight w:hRule="exact" w:val="518"/>
        </w:trPr>
        <w:tc>
          <w:tcPr>
            <w:tcW w:w="2698" w:type="dxa"/>
            <w:tcBorders>
              <w:top w:val="single" w:sz="4" w:space="0" w:color="000000"/>
              <w:left w:val="single" w:sz="4" w:space="0" w:color="000000"/>
              <w:bottom w:val="single" w:sz="4" w:space="0" w:color="000000"/>
              <w:right w:val="single" w:sz="4" w:space="0" w:color="000000"/>
            </w:tcBorders>
            <w:vAlign w:val="center"/>
          </w:tcPr>
          <w:p w14:paraId="707F216E" w14:textId="77777777" w:rsidR="00950EDC" w:rsidRPr="001A7371" w:rsidRDefault="00950EDC" w:rsidP="00950EDC">
            <w:pPr>
              <w:widowControl w:val="0"/>
              <w:spacing w:line="242" w:lineRule="auto"/>
              <w:ind w:left="100" w:right="1376"/>
              <w:jc w:val="both"/>
              <w:rPr>
                <w:rFonts w:eastAsiaTheme="minorHAnsi"/>
                <w:sz w:val="22"/>
                <w:szCs w:val="22"/>
                <w:lang w:val="sr-Latn-ME"/>
              </w:rPr>
            </w:pPr>
            <w:r w:rsidRPr="001A7371">
              <w:rPr>
                <w:rFonts w:eastAsia="Calibri"/>
                <w:sz w:val="22"/>
                <w:szCs w:val="22"/>
                <w:lang w:val="sr-Latn-ME"/>
              </w:rPr>
              <w:t>Cimetidin</w:t>
            </w:r>
            <w:r w:rsidRPr="001A7371">
              <w:rPr>
                <w:rFonts w:eastAsia="Calibri"/>
                <w:spacing w:val="-5"/>
                <w:sz w:val="22"/>
                <w:szCs w:val="22"/>
                <w:lang w:val="sr-Latn-ME"/>
              </w:rPr>
              <w:t xml:space="preserve"> </w:t>
            </w:r>
            <w:r w:rsidRPr="001A7371">
              <w:rPr>
                <w:rFonts w:eastAsia="Calibri"/>
                <w:sz w:val="22"/>
                <w:szCs w:val="22"/>
                <w:lang w:val="sr-Latn-ME"/>
              </w:rPr>
              <w:t>ili</w:t>
            </w:r>
            <w:r w:rsidRPr="001A7371">
              <w:rPr>
                <w:rFonts w:eastAsia="Calibri"/>
                <w:spacing w:val="-1"/>
                <w:sz w:val="22"/>
                <w:szCs w:val="22"/>
                <w:lang w:val="sr-Latn-ME"/>
              </w:rPr>
              <w:t xml:space="preserve"> </w:t>
            </w:r>
            <w:r w:rsidRPr="001A7371">
              <w:rPr>
                <w:rFonts w:eastAsia="Calibri"/>
                <w:sz w:val="22"/>
                <w:szCs w:val="22"/>
                <w:lang w:val="sr-Latn-ME"/>
              </w:rPr>
              <w:t>ranitidin</w:t>
            </w:r>
          </w:p>
        </w:tc>
        <w:tc>
          <w:tcPr>
            <w:tcW w:w="2971" w:type="dxa"/>
            <w:tcBorders>
              <w:top w:val="single" w:sz="4" w:space="0" w:color="000000"/>
              <w:left w:val="single" w:sz="4" w:space="0" w:color="000000"/>
              <w:bottom w:val="single" w:sz="4" w:space="0" w:color="000000"/>
              <w:right w:val="single" w:sz="4" w:space="0" w:color="000000"/>
            </w:tcBorders>
            <w:vAlign w:val="center"/>
          </w:tcPr>
          <w:p w14:paraId="5832775D" w14:textId="77777777" w:rsidR="00950EDC" w:rsidRPr="001A7371" w:rsidRDefault="00950EDC" w:rsidP="00950EDC">
            <w:pPr>
              <w:widowControl w:val="0"/>
              <w:spacing w:line="244" w:lineRule="exact"/>
              <w:ind w:left="105"/>
              <w:jc w:val="both"/>
              <w:rPr>
                <w:rFonts w:eastAsiaTheme="minorHAnsi"/>
                <w:sz w:val="22"/>
                <w:szCs w:val="22"/>
                <w:lang w:val="sr-Latn-ME"/>
              </w:rPr>
            </w:pPr>
            <w:r w:rsidRPr="001A7371">
              <w:rPr>
                <w:rFonts w:eastAsia="Calibri"/>
                <w:sz w:val="22"/>
                <w:szCs w:val="22"/>
                <w:lang w:val="sr-Latn-ME"/>
              </w:rPr>
              <w:t>300 mg</w:t>
            </w:r>
            <w:r w:rsidRPr="001A7371">
              <w:rPr>
                <w:rFonts w:eastAsia="Calibri"/>
                <w:spacing w:val="-7"/>
                <w:sz w:val="22"/>
                <w:szCs w:val="22"/>
                <w:lang w:val="sr-Latn-ME"/>
              </w:rPr>
              <w:t xml:space="preserve"> </w:t>
            </w:r>
            <w:r w:rsidRPr="001A7371">
              <w:rPr>
                <w:rFonts w:eastAsia="Calibri"/>
                <w:sz w:val="22"/>
                <w:szCs w:val="22"/>
                <w:lang w:val="sr-Latn-ME"/>
              </w:rPr>
              <w:t>i.v.</w:t>
            </w:r>
          </w:p>
          <w:p w14:paraId="231A151C" w14:textId="77777777" w:rsidR="00950EDC" w:rsidRPr="001A7371" w:rsidRDefault="00950EDC" w:rsidP="00950EDC">
            <w:pPr>
              <w:widowControl w:val="0"/>
              <w:spacing w:before="1" w:line="259" w:lineRule="auto"/>
              <w:ind w:left="105"/>
              <w:jc w:val="both"/>
              <w:rPr>
                <w:rFonts w:eastAsiaTheme="minorHAnsi"/>
                <w:sz w:val="22"/>
                <w:szCs w:val="22"/>
                <w:lang w:val="sr-Latn-ME"/>
              </w:rPr>
            </w:pPr>
            <w:r w:rsidRPr="001A7371">
              <w:rPr>
                <w:rFonts w:eastAsia="Calibri"/>
                <w:sz w:val="22"/>
                <w:szCs w:val="22"/>
                <w:lang w:val="sr-Latn-ME"/>
              </w:rPr>
              <w:t>50 mg</w:t>
            </w:r>
            <w:r w:rsidRPr="001A7371">
              <w:rPr>
                <w:rFonts w:eastAsia="Calibri"/>
                <w:spacing w:val="-9"/>
                <w:sz w:val="22"/>
                <w:szCs w:val="22"/>
                <w:lang w:val="sr-Latn-ME"/>
              </w:rPr>
              <w:t xml:space="preserve"> </w:t>
            </w:r>
            <w:r w:rsidRPr="001A7371">
              <w:rPr>
                <w:rFonts w:eastAsia="Calibri"/>
                <w:sz w:val="22"/>
                <w:szCs w:val="22"/>
                <w:lang w:val="sr-Latn-ME"/>
              </w:rPr>
              <w:t>i.v.</w:t>
            </w:r>
          </w:p>
        </w:tc>
        <w:tc>
          <w:tcPr>
            <w:tcW w:w="3062" w:type="dxa"/>
            <w:tcBorders>
              <w:top w:val="single" w:sz="4" w:space="0" w:color="000000"/>
              <w:left w:val="single" w:sz="4" w:space="0" w:color="000000"/>
              <w:bottom w:val="single" w:sz="4" w:space="0" w:color="000000"/>
              <w:right w:val="single" w:sz="4" w:space="0" w:color="000000"/>
            </w:tcBorders>
            <w:vAlign w:val="center"/>
          </w:tcPr>
          <w:p w14:paraId="3AA8A359" w14:textId="77777777" w:rsidR="00950EDC" w:rsidRPr="001A7371" w:rsidRDefault="00950EDC" w:rsidP="00950EDC">
            <w:pPr>
              <w:widowControl w:val="0"/>
              <w:spacing w:line="244" w:lineRule="exact"/>
              <w:ind w:left="100"/>
              <w:jc w:val="both"/>
              <w:rPr>
                <w:rFonts w:eastAsiaTheme="minorHAnsi"/>
                <w:sz w:val="22"/>
                <w:szCs w:val="22"/>
                <w:lang w:val="sr-Latn-ME"/>
              </w:rPr>
            </w:pPr>
            <w:r w:rsidRPr="001A7371">
              <w:rPr>
                <w:rFonts w:eastAsia="Calibri"/>
                <w:sz w:val="22"/>
                <w:szCs w:val="22"/>
                <w:lang w:val="sr-Latn-ME"/>
              </w:rPr>
              <w:t>30 do 60</w:t>
            </w:r>
            <w:r w:rsidRPr="001A7371">
              <w:rPr>
                <w:rFonts w:eastAsia="Calibri"/>
                <w:spacing w:val="-11"/>
                <w:sz w:val="22"/>
                <w:szCs w:val="22"/>
                <w:lang w:val="sr-Latn-ME"/>
              </w:rPr>
              <w:t xml:space="preserve"> </w:t>
            </w:r>
            <w:r w:rsidRPr="001A7371">
              <w:rPr>
                <w:rFonts w:eastAsia="Calibri"/>
                <w:sz w:val="22"/>
                <w:szCs w:val="22"/>
                <w:lang w:val="sr-Latn-ME"/>
              </w:rPr>
              <w:t>minuta</w:t>
            </w:r>
          </w:p>
        </w:tc>
      </w:tr>
    </w:tbl>
    <w:p w14:paraId="7EC13F55" w14:textId="77777777" w:rsidR="00950EDC" w:rsidRPr="001A7371" w:rsidRDefault="00950EDC" w:rsidP="00950EDC">
      <w:pPr>
        <w:tabs>
          <w:tab w:val="left" w:pos="540"/>
          <w:tab w:val="left" w:pos="569"/>
        </w:tabs>
        <w:jc w:val="both"/>
        <w:rPr>
          <w:bCs/>
          <w:sz w:val="22"/>
          <w:szCs w:val="22"/>
          <w:lang w:val="sr-Latn-ME"/>
        </w:rPr>
      </w:pPr>
      <w:r w:rsidRPr="001A7371">
        <w:rPr>
          <w:bCs/>
          <w:sz w:val="22"/>
          <w:szCs w:val="22"/>
          <w:lang w:val="sr-Latn-ME"/>
        </w:rPr>
        <w:t>* 8-20 mg za pacijente sa KS</w:t>
      </w:r>
    </w:p>
    <w:p w14:paraId="56A78A80" w14:textId="77777777" w:rsidR="00950EDC" w:rsidRPr="001A7371" w:rsidRDefault="00950EDC" w:rsidP="00950EDC">
      <w:pPr>
        <w:tabs>
          <w:tab w:val="left" w:pos="540"/>
          <w:tab w:val="left" w:pos="569"/>
        </w:tabs>
        <w:jc w:val="both"/>
        <w:rPr>
          <w:bCs/>
          <w:sz w:val="22"/>
          <w:szCs w:val="22"/>
          <w:lang w:val="sr-Latn-ME"/>
        </w:rPr>
      </w:pPr>
      <w:r w:rsidRPr="001A7371">
        <w:rPr>
          <w:bCs/>
          <w:sz w:val="22"/>
          <w:szCs w:val="22"/>
          <w:lang w:val="sr-Latn-ME"/>
        </w:rPr>
        <w:t>**ili ekvivalentan antihistaminik, npr. Hlorfeniramin</w:t>
      </w:r>
    </w:p>
    <w:p w14:paraId="74793C9E" w14:textId="77777777" w:rsidR="00950EDC" w:rsidRPr="001A7371" w:rsidRDefault="00950EDC" w:rsidP="00950EDC">
      <w:pPr>
        <w:tabs>
          <w:tab w:val="left" w:pos="540"/>
          <w:tab w:val="left" w:pos="569"/>
        </w:tabs>
        <w:jc w:val="both"/>
        <w:rPr>
          <w:bCs/>
          <w:sz w:val="22"/>
          <w:szCs w:val="22"/>
          <w:lang w:val="sr-Latn-ME"/>
        </w:rPr>
      </w:pPr>
    </w:p>
    <w:p w14:paraId="6A177DB8" w14:textId="77777777" w:rsidR="00AA6877" w:rsidRPr="001A7371" w:rsidRDefault="00AA6877" w:rsidP="00AA6877">
      <w:pPr>
        <w:tabs>
          <w:tab w:val="left" w:pos="540"/>
          <w:tab w:val="left" w:pos="569"/>
        </w:tabs>
        <w:jc w:val="both"/>
        <w:rPr>
          <w:b/>
          <w:bCs/>
          <w:sz w:val="22"/>
          <w:szCs w:val="22"/>
          <w:lang w:val="sr-Latn-ME"/>
        </w:rPr>
      </w:pPr>
      <w:r w:rsidRPr="001A7371">
        <w:rPr>
          <w:b/>
          <w:bCs/>
          <w:sz w:val="22"/>
          <w:szCs w:val="22"/>
          <w:lang w:val="sr-Latn-ME"/>
        </w:rPr>
        <w:t>Prva linija hemioterapije karcinoma ovarijuma:</w:t>
      </w:r>
    </w:p>
    <w:p w14:paraId="223EF3A8" w14:textId="77777777" w:rsidR="00AA6877" w:rsidRPr="001A7371" w:rsidRDefault="00AA6877" w:rsidP="00AA6877">
      <w:pPr>
        <w:tabs>
          <w:tab w:val="left" w:pos="540"/>
          <w:tab w:val="left" w:pos="569"/>
        </w:tabs>
        <w:jc w:val="both"/>
        <w:rPr>
          <w:bCs/>
          <w:sz w:val="22"/>
          <w:szCs w:val="22"/>
          <w:lang w:val="sr-Latn-ME"/>
        </w:rPr>
      </w:pPr>
      <w:r w:rsidRPr="001A7371">
        <w:rPr>
          <w:bCs/>
          <w:sz w:val="22"/>
          <w:szCs w:val="22"/>
          <w:lang w:val="sr-Latn-ME"/>
        </w:rPr>
        <w:t>Iako se ispituju i drugi režimi doziranja, preporučuje se kombinacija paklitaksela i cisplatina.</w:t>
      </w:r>
    </w:p>
    <w:p w14:paraId="64163884" w14:textId="44B0B621" w:rsidR="00AA6877" w:rsidRPr="001A7371" w:rsidRDefault="00AA6877" w:rsidP="00AA6877">
      <w:pPr>
        <w:tabs>
          <w:tab w:val="left" w:pos="540"/>
          <w:tab w:val="left" w:pos="569"/>
        </w:tabs>
        <w:jc w:val="both"/>
        <w:rPr>
          <w:bCs/>
          <w:sz w:val="22"/>
          <w:szCs w:val="22"/>
          <w:lang w:val="sr-Latn-ME"/>
        </w:rPr>
      </w:pPr>
      <w:r w:rsidRPr="001A7371">
        <w:rPr>
          <w:bCs/>
          <w:sz w:val="22"/>
          <w:szCs w:val="22"/>
          <w:lang w:val="sr-Latn-ME"/>
        </w:rPr>
        <w:t>Zavisno od trajanja infuzije, preporučuju se d</w:t>
      </w:r>
      <w:r w:rsidR="00BE1608" w:rsidRPr="001A7371">
        <w:rPr>
          <w:bCs/>
          <w:sz w:val="22"/>
          <w:szCs w:val="22"/>
          <w:lang w:val="sr-Latn-ME"/>
        </w:rPr>
        <w:t>vije</w:t>
      </w:r>
      <w:r w:rsidRPr="001A7371">
        <w:rPr>
          <w:bCs/>
          <w:sz w:val="22"/>
          <w:szCs w:val="22"/>
          <w:lang w:val="sr-Latn-ME"/>
        </w:rPr>
        <w:t xml:space="preserve"> doz</w:t>
      </w:r>
      <w:r w:rsidR="00BE1608" w:rsidRPr="001A7371">
        <w:rPr>
          <w:bCs/>
          <w:sz w:val="22"/>
          <w:szCs w:val="22"/>
          <w:lang w:val="sr-Latn-ME"/>
        </w:rPr>
        <w:t>e</w:t>
      </w:r>
      <w:r w:rsidRPr="001A7371">
        <w:rPr>
          <w:bCs/>
          <w:sz w:val="22"/>
          <w:szCs w:val="22"/>
          <w:lang w:val="sr-Latn-ME"/>
        </w:rPr>
        <w:t xml:space="preserve"> paklitakse</w:t>
      </w:r>
      <w:r w:rsidR="00BE1608" w:rsidRPr="001A7371">
        <w:rPr>
          <w:bCs/>
          <w:sz w:val="22"/>
          <w:szCs w:val="22"/>
          <w:lang w:val="sr-Latn-ME"/>
        </w:rPr>
        <w:t>la se preporučuju</w:t>
      </w:r>
      <w:r w:rsidRPr="001A7371">
        <w:rPr>
          <w:bCs/>
          <w:sz w:val="22"/>
          <w:szCs w:val="22"/>
          <w:lang w:val="sr-Latn-ME"/>
        </w:rPr>
        <w:t>: 175 mg/m</w:t>
      </w:r>
      <w:r w:rsidRPr="001A7371">
        <w:rPr>
          <w:bCs/>
          <w:sz w:val="22"/>
          <w:szCs w:val="22"/>
          <w:vertAlign w:val="superscript"/>
          <w:lang w:val="sr-Latn-ME"/>
        </w:rPr>
        <w:t>2</w:t>
      </w:r>
      <w:r w:rsidRPr="001A7371">
        <w:rPr>
          <w:bCs/>
          <w:sz w:val="22"/>
          <w:szCs w:val="22"/>
          <w:lang w:val="sr-Latn-ME"/>
        </w:rPr>
        <w:t xml:space="preserve"> paklitaksela intravenski tokom 3 sata, posle čega se daje cisplatin u dozi od 75 mg/m</w:t>
      </w:r>
      <w:r w:rsidRPr="001A7371">
        <w:rPr>
          <w:bCs/>
          <w:sz w:val="22"/>
          <w:szCs w:val="22"/>
          <w:vertAlign w:val="superscript"/>
          <w:lang w:val="sr-Latn-ME"/>
        </w:rPr>
        <w:t>2</w:t>
      </w:r>
      <w:r w:rsidRPr="001A7371">
        <w:rPr>
          <w:bCs/>
          <w:sz w:val="22"/>
          <w:szCs w:val="22"/>
          <w:lang w:val="sr-Latn-ME"/>
        </w:rPr>
        <w:t xml:space="preserve"> i terapija se ponavlja svake treće nedjelje, ili paklitaksel 135 mg/m</w:t>
      </w:r>
      <w:r w:rsidRPr="001A7371">
        <w:rPr>
          <w:bCs/>
          <w:sz w:val="22"/>
          <w:szCs w:val="22"/>
          <w:vertAlign w:val="superscript"/>
          <w:lang w:val="sr-Latn-ME"/>
        </w:rPr>
        <w:t>2</w:t>
      </w:r>
      <w:r w:rsidRPr="001A7371">
        <w:rPr>
          <w:bCs/>
          <w:sz w:val="22"/>
          <w:szCs w:val="22"/>
          <w:lang w:val="sr-Latn-ME"/>
        </w:rPr>
        <w:t>, koji se primjenjuje infuzijom u roku od 24 sata, nakon čega se daje cisplatin u dozi od 75 mg/m</w:t>
      </w:r>
      <w:r w:rsidRPr="001A7371">
        <w:rPr>
          <w:bCs/>
          <w:sz w:val="22"/>
          <w:szCs w:val="22"/>
          <w:vertAlign w:val="superscript"/>
          <w:lang w:val="sr-Latn-ME"/>
        </w:rPr>
        <w:t>2</w:t>
      </w:r>
      <w:r w:rsidRPr="001A7371">
        <w:rPr>
          <w:bCs/>
          <w:sz w:val="22"/>
          <w:szCs w:val="22"/>
          <w:lang w:val="sr-Latn-ME"/>
        </w:rPr>
        <w:t xml:space="preserve"> i terapija se ponavlja svake treće nedjelje (vidjeti dio 5.1.).</w:t>
      </w:r>
    </w:p>
    <w:p w14:paraId="4382FA8B" w14:textId="77777777" w:rsidR="00AA6877" w:rsidRPr="001A7371" w:rsidRDefault="00AA6877" w:rsidP="00AA6877">
      <w:pPr>
        <w:tabs>
          <w:tab w:val="left" w:pos="540"/>
          <w:tab w:val="left" w:pos="569"/>
        </w:tabs>
        <w:jc w:val="both"/>
        <w:rPr>
          <w:bCs/>
          <w:sz w:val="22"/>
          <w:szCs w:val="22"/>
          <w:lang w:val="sr-Latn-ME"/>
        </w:rPr>
      </w:pPr>
    </w:p>
    <w:p w14:paraId="12D27121" w14:textId="77777777" w:rsidR="00AA6877" w:rsidRPr="001A7371" w:rsidRDefault="00AA6877" w:rsidP="00AA6877">
      <w:pPr>
        <w:tabs>
          <w:tab w:val="left" w:pos="540"/>
          <w:tab w:val="left" w:pos="569"/>
        </w:tabs>
        <w:jc w:val="both"/>
        <w:rPr>
          <w:b/>
          <w:bCs/>
          <w:sz w:val="22"/>
          <w:szCs w:val="22"/>
          <w:lang w:val="sr-Latn-ME"/>
        </w:rPr>
      </w:pPr>
      <w:r w:rsidRPr="001A7371">
        <w:rPr>
          <w:b/>
          <w:bCs/>
          <w:sz w:val="22"/>
          <w:szCs w:val="22"/>
          <w:lang w:val="sr-Latn-ME"/>
        </w:rPr>
        <w:t>Druga linija hemioterapije karcinoma ovarijuma:</w:t>
      </w:r>
    </w:p>
    <w:p w14:paraId="2E4AAF2B" w14:textId="43BFBD3D" w:rsidR="00AA6877" w:rsidRPr="001A7371" w:rsidRDefault="00AA6877" w:rsidP="00AA6877">
      <w:pPr>
        <w:tabs>
          <w:tab w:val="left" w:pos="540"/>
          <w:tab w:val="left" w:pos="569"/>
        </w:tabs>
        <w:jc w:val="both"/>
        <w:rPr>
          <w:bCs/>
          <w:sz w:val="22"/>
          <w:szCs w:val="22"/>
          <w:lang w:val="sr-Latn-ME"/>
        </w:rPr>
      </w:pPr>
      <w:r w:rsidRPr="001A7371">
        <w:rPr>
          <w:bCs/>
          <w:sz w:val="22"/>
          <w:szCs w:val="22"/>
          <w:lang w:val="sr-Latn-ME"/>
        </w:rPr>
        <w:lastRenderedPageBreak/>
        <w:t>Preporučena doza paklitaksela je 175 mg/m</w:t>
      </w:r>
      <w:r w:rsidRPr="001A7371">
        <w:rPr>
          <w:bCs/>
          <w:sz w:val="22"/>
          <w:szCs w:val="22"/>
          <w:vertAlign w:val="superscript"/>
          <w:lang w:val="sr-Latn-ME"/>
        </w:rPr>
        <w:t>2</w:t>
      </w:r>
      <w:r w:rsidRPr="001A7371">
        <w:rPr>
          <w:bCs/>
          <w:sz w:val="22"/>
          <w:szCs w:val="22"/>
          <w:lang w:val="sr-Latn-ME"/>
        </w:rPr>
        <w:t xml:space="preserve"> koja se primjenjuje infuzijom </w:t>
      </w:r>
      <w:r w:rsidR="00BE1608" w:rsidRPr="001A7371">
        <w:rPr>
          <w:bCs/>
          <w:sz w:val="22"/>
          <w:szCs w:val="22"/>
          <w:lang w:val="sr-Latn-ME"/>
        </w:rPr>
        <w:t>tokom</w:t>
      </w:r>
      <w:r w:rsidRPr="001A7371">
        <w:rPr>
          <w:bCs/>
          <w:sz w:val="22"/>
          <w:szCs w:val="22"/>
          <w:lang w:val="sr-Latn-ME"/>
        </w:rPr>
        <w:t xml:space="preserve"> 3 sata,</w:t>
      </w:r>
      <w:r w:rsidR="00BE1608" w:rsidRPr="001A7371">
        <w:rPr>
          <w:bCs/>
          <w:sz w:val="22"/>
          <w:szCs w:val="22"/>
          <w:lang w:val="sr-Latn-ME"/>
        </w:rPr>
        <w:t xml:space="preserve"> </w:t>
      </w:r>
      <w:r w:rsidRPr="001A7371">
        <w:rPr>
          <w:bCs/>
          <w:sz w:val="22"/>
          <w:szCs w:val="22"/>
          <w:lang w:val="sr-Latn-ME"/>
        </w:rPr>
        <w:t>sa pauzom od tri nedjelje između ciklusa.</w:t>
      </w:r>
    </w:p>
    <w:p w14:paraId="022ED699" w14:textId="77777777" w:rsidR="00AA6877" w:rsidRPr="001A7371" w:rsidRDefault="00AA6877" w:rsidP="00AA6877">
      <w:pPr>
        <w:tabs>
          <w:tab w:val="left" w:pos="540"/>
          <w:tab w:val="left" w:pos="569"/>
        </w:tabs>
        <w:jc w:val="both"/>
        <w:rPr>
          <w:bCs/>
          <w:sz w:val="22"/>
          <w:szCs w:val="22"/>
          <w:lang w:val="sr-Latn-ME"/>
        </w:rPr>
      </w:pPr>
      <w:r w:rsidRPr="001A7371">
        <w:rPr>
          <w:bCs/>
          <w:sz w:val="22"/>
          <w:szCs w:val="22"/>
          <w:lang w:val="sr-Latn-ME"/>
        </w:rPr>
        <w:t xml:space="preserve"> </w:t>
      </w:r>
    </w:p>
    <w:p w14:paraId="59EB541E" w14:textId="77777777" w:rsidR="00AA6877" w:rsidRPr="001A7371" w:rsidRDefault="00AA6877" w:rsidP="00AA6877">
      <w:pPr>
        <w:tabs>
          <w:tab w:val="left" w:pos="540"/>
          <w:tab w:val="left" w:pos="569"/>
        </w:tabs>
        <w:jc w:val="both"/>
        <w:rPr>
          <w:b/>
          <w:bCs/>
          <w:sz w:val="22"/>
          <w:szCs w:val="22"/>
          <w:lang w:val="sr-Latn-ME"/>
        </w:rPr>
      </w:pPr>
      <w:r w:rsidRPr="001A7371">
        <w:rPr>
          <w:b/>
          <w:bCs/>
          <w:sz w:val="22"/>
          <w:szCs w:val="22"/>
          <w:lang w:val="sr-Latn-ME"/>
        </w:rPr>
        <w:t>Adjuvantna hemioterapija karcinoma dojke:</w:t>
      </w:r>
    </w:p>
    <w:p w14:paraId="3406E702" w14:textId="2DCBB1A4" w:rsidR="00AA6877" w:rsidRPr="001A7371" w:rsidRDefault="00AA6877" w:rsidP="00AA6877">
      <w:pPr>
        <w:tabs>
          <w:tab w:val="left" w:pos="540"/>
          <w:tab w:val="left" w:pos="569"/>
        </w:tabs>
        <w:jc w:val="both"/>
        <w:rPr>
          <w:bCs/>
          <w:sz w:val="22"/>
          <w:szCs w:val="22"/>
          <w:lang w:val="sr-Latn-ME"/>
        </w:rPr>
      </w:pPr>
      <w:r w:rsidRPr="001A7371">
        <w:rPr>
          <w:bCs/>
          <w:sz w:val="22"/>
          <w:szCs w:val="22"/>
          <w:lang w:val="sr-Latn-ME"/>
        </w:rPr>
        <w:t>Preporučena doza paklitaksela je 175mg/m</w:t>
      </w:r>
      <w:r w:rsidRPr="001A7371">
        <w:rPr>
          <w:bCs/>
          <w:sz w:val="22"/>
          <w:szCs w:val="22"/>
          <w:vertAlign w:val="superscript"/>
          <w:lang w:val="sr-Latn-ME"/>
        </w:rPr>
        <w:t>2</w:t>
      </w:r>
      <w:r w:rsidRPr="001A7371">
        <w:rPr>
          <w:bCs/>
          <w:sz w:val="22"/>
          <w:szCs w:val="22"/>
          <w:lang w:val="sr-Latn-ME"/>
        </w:rPr>
        <w:t xml:space="preserve"> koja se primjenjuje intravenski </w:t>
      </w:r>
      <w:r w:rsidR="00BE1608" w:rsidRPr="001A7371">
        <w:rPr>
          <w:bCs/>
          <w:sz w:val="22"/>
          <w:szCs w:val="22"/>
          <w:lang w:val="sr-Latn-ME"/>
        </w:rPr>
        <w:t xml:space="preserve">tokom </w:t>
      </w:r>
      <w:r w:rsidRPr="001A7371">
        <w:rPr>
          <w:bCs/>
          <w:sz w:val="22"/>
          <w:szCs w:val="22"/>
          <w:lang w:val="sr-Latn-ME"/>
        </w:rPr>
        <w:t>3 sata, tokom četiri ciklusa, sa vremenskim razmakom između pojedinih ciklusa od tri nedjelje, nakon AC terapije.</w:t>
      </w:r>
    </w:p>
    <w:p w14:paraId="07D8F59F" w14:textId="77777777" w:rsidR="00AA6877" w:rsidRPr="001A7371" w:rsidRDefault="00AA6877" w:rsidP="00AA6877">
      <w:pPr>
        <w:tabs>
          <w:tab w:val="left" w:pos="540"/>
          <w:tab w:val="left" w:pos="569"/>
        </w:tabs>
        <w:jc w:val="both"/>
        <w:rPr>
          <w:bCs/>
          <w:sz w:val="22"/>
          <w:szCs w:val="22"/>
          <w:lang w:val="sr-Latn-ME"/>
        </w:rPr>
      </w:pPr>
    </w:p>
    <w:p w14:paraId="29538996" w14:textId="77777777" w:rsidR="00AA6877" w:rsidRPr="001A7371" w:rsidRDefault="00AA6877" w:rsidP="00AA6877">
      <w:pPr>
        <w:tabs>
          <w:tab w:val="left" w:pos="540"/>
          <w:tab w:val="left" w:pos="569"/>
        </w:tabs>
        <w:jc w:val="both"/>
        <w:rPr>
          <w:b/>
          <w:bCs/>
          <w:sz w:val="22"/>
          <w:szCs w:val="22"/>
          <w:lang w:val="sr-Latn-ME"/>
        </w:rPr>
      </w:pPr>
      <w:r w:rsidRPr="001A7371">
        <w:rPr>
          <w:b/>
          <w:bCs/>
          <w:sz w:val="22"/>
          <w:szCs w:val="22"/>
          <w:lang w:val="sr-Latn-ME"/>
        </w:rPr>
        <w:t>Prva linija hemioterapije karcinoma dojke:</w:t>
      </w:r>
    </w:p>
    <w:p w14:paraId="04D21B82" w14:textId="77777777" w:rsidR="00AA6877" w:rsidRPr="001A7371" w:rsidRDefault="00AA6877" w:rsidP="00AA6877">
      <w:pPr>
        <w:tabs>
          <w:tab w:val="left" w:pos="540"/>
          <w:tab w:val="left" w:pos="569"/>
        </w:tabs>
        <w:jc w:val="both"/>
        <w:rPr>
          <w:bCs/>
          <w:sz w:val="22"/>
          <w:szCs w:val="22"/>
          <w:lang w:val="sr-Latn-ME"/>
        </w:rPr>
      </w:pPr>
      <w:r w:rsidRPr="001A7371">
        <w:rPr>
          <w:bCs/>
          <w:sz w:val="22"/>
          <w:szCs w:val="22"/>
          <w:lang w:val="sr-Latn-ME"/>
        </w:rPr>
        <w:t>Kada se upotrebljava u kombinaciji sa doksorubicinom (50 mg/m</w:t>
      </w:r>
      <w:r w:rsidRPr="001A7371">
        <w:rPr>
          <w:bCs/>
          <w:sz w:val="22"/>
          <w:szCs w:val="22"/>
          <w:vertAlign w:val="superscript"/>
          <w:lang w:val="sr-Latn-ME"/>
        </w:rPr>
        <w:t>2</w:t>
      </w:r>
      <w:r w:rsidRPr="001A7371">
        <w:rPr>
          <w:bCs/>
          <w:sz w:val="22"/>
          <w:szCs w:val="22"/>
          <w:lang w:val="sr-Latn-ME"/>
        </w:rPr>
        <w:t>), paklitaksel se mora davati 24 sata nakon doksorubicina. Preporučena doza paklitaksela iznosi 220 mg/m</w:t>
      </w:r>
      <w:r w:rsidRPr="001A7371">
        <w:rPr>
          <w:bCs/>
          <w:sz w:val="22"/>
          <w:szCs w:val="22"/>
          <w:vertAlign w:val="superscript"/>
          <w:lang w:val="sr-Latn-ME"/>
        </w:rPr>
        <w:t>2</w:t>
      </w:r>
      <w:r w:rsidRPr="001A7371">
        <w:rPr>
          <w:bCs/>
          <w:sz w:val="22"/>
          <w:szCs w:val="22"/>
          <w:lang w:val="sr-Latn-ME"/>
        </w:rPr>
        <w:t>, koja se daje intravenski tokom 3 sata, sa razmakom od 3 nedjelje između ciklusa liječenja (vidjeti djelove 4.5. i 5.1.).</w:t>
      </w:r>
    </w:p>
    <w:p w14:paraId="0B75FFCE" w14:textId="77777777" w:rsidR="00AA6877" w:rsidRPr="001A7371" w:rsidRDefault="00AA6877" w:rsidP="00AA6877">
      <w:pPr>
        <w:tabs>
          <w:tab w:val="left" w:pos="540"/>
          <w:tab w:val="left" w:pos="569"/>
        </w:tabs>
        <w:jc w:val="both"/>
        <w:rPr>
          <w:bCs/>
          <w:sz w:val="22"/>
          <w:szCs w:val="22"/>
          <w:lang w:val="sr-Latn-ME"/>
        </w:rPr>
      </w:pPr>
    </w:p>
    <w:p w14:paraId="48E33071" w14:textId="0102FBF8" w:rsidR="00AA6877" w:rsidRPr="001A7371" w:rsidRDefault="00AA6877" w:rsidP="00AA6877">
      <w:pPr>
        <w:tabs>
          <w:tab w:val="left" w:pos="540"/>
          <w:tab w:val="left" w:pos="569"/>
        </w:tabs>
        <w:jc w:val="both"/>
        <w:rPr>
          <w:bCs/>
          <w:sz w:val="22"/>
          <w:szCs w:val="22"/>
          <w:lang w:val="sr-Latn-ME"/>
        </w:rPr>
      </w:pPr>
      <w:r w:rsidRPr="001A7371">
        <w:rPr>
          <w:bCs/>
          <w:sz w:val="22"/>
          <w:szCs w:val="22"/>
          <w:lang w:val="sr-Latn-ME"/>
        </w:rPr>
        <w:t>Ukoliko se primjenjuje sa trastuzumabom, preporučena doza paklitaksela iznosi 175 mg/m</w:t>
      </w:r>
      <w:r w:rsidRPr="001A7371">
        <w:rPr>
          <w:bCs/>
          <w:sz w:val="22"/>
          <w:szCs w:val="22"/>
          <w:vertAlign w:val="superscript"/>
          <w:lang w:val="sr-Latn-ME"/>
        </w:rPr>
        <w:t>2</w:t>
      </w:r>
      <w:r w:rsidRPr="001A7371">
        <w:rPr>
          <w:bCs/>
          <w:sz w:val="22"/>
          <w:szCs w:val="22"/>
          <w:lang w:val="sr-Latn-ME"/>
        </w:rPr>
        <w:t xml:space="preserve"> intravenski tokom 3 sata, sa razmakom od 3 nedjelje između ciklusa</w:t>
      </w:r>
      <w:r w:rsidR="00D743FD" w:rsidRPr="001A7371">
        <w:rPr>
          <w:bCs/>
          <w:sz w:val="22"/>
          <w:szCs w:val="22"/>
          <w:lang w:val="sr-Latn-ME"/>
        </w:rPr>
        <w:t xml:space="preserve"> (vidjeti dio 5.1)</w:t>
      </w:r>
      <w:r w:rsidRPr="001A7371">
        <w:rPr>
          <w:bCs/>
          <w:sz w:val="22"/>
          <w:szCs w:val="22"/>
          <w:lang w:val="sr-Latn-ME"/>
        </w:rPr>
        <w:t>. Infuzija paklitaksela može se započeti sljedećeg dana nakon prve doze trastuzumaba ili neposredno nakon sljedećih doza trastuzumaba, ukoliko je pacijentkinja dobro podnijela prethodno liječenje trastuzumabom (za detalje o doziranju trast</w:t>
      </w:r>
      <w:r w:rsidR="007034D6" w:rsidRPr="001A7371">
        <w:rPr>
          <w:bCs/>
          <w:sz w:val="22"/>
          <w:szCs w:val="22"/>
          <w:lang w:val="sr-Latn-ME"/>
        </w:rPr>
        <w:t>u</w:t>
      </w:r>
      <w:r w:rsidRPr="001A7371">
        <w:rPr>
          <w:bCs/>
          <w:sz w:val="22"/>
          <w:szCs w:val="22"/>
          <w:lang w:val="sr-Latn-ME"/>
        </w:rPr>
        <w:t>zumaba pogledati Sažetak karakteristika lijeka</w:t>
      </w:r>
      <w:r w:rsidR="00D743FD" w:rsidRPr="001A7371">
        <w:rPr>
          <w:bCs/>
          <w:sz w:val="22"/>
          <w:szCs w:val="22"/>
          <w:lang w:val="sr-Latn-ME"/>
        </w:rPr>
        <w:t xml:space="preserve"> </w:t>
      </w:r>
      <w:r w:rsidR="007034D6" w:rsidRPr="001A7371">
        <w:rPr>
          <w:bCs/>
          <w:sz w:val="22"/>
          <w:szCs w:val="22"/>
          <w:lang w:val="sr-Latn-ME"/>
        </w:rPr>
        <w:t>trastuzuma</w:t>
      </w:r>
      <w:r w:rsidR="00D743FD" w:rsidRPr="001A7371">
        <w:rPr>
          <w:bCs/>
          <w:sz w:val="22"/>
          <w:szCs w:val="22"/>
          <w:lang w:val="sr-Latn-ME"/>
        </w:rPr>
        <w:t>b</w:t>
      </w:r>
      <w:r w:rsidRPr="001A7371">
        <w:rPr>
          <w:bCs/>
          <w:sz w:val="22"/>
          <w:szCs w:val="22"/>
          <w:lang w:val="sr-Latn-ME"/>
        </w:rPr>
        <w:t>.</w:t>
      </w:r>
    </w:p>
    <w:p w14:paraId="4EC63824" w14:textId="77777777" w:rsidR="00AA6877" w:rsidRPr="001A7371" w:rsidRDefault="00AA6877" w:rsidP="00AA6877">
      <w:pPr>
        <w:tabs>
          <w:tab w:val="left" w:pos="540"/>
          <w:tab w:val="left" w:pos="569"/>
        </w:tabs>
        <w:jc w:val="both"/>
        <w:rPr>
          <w:bCs/>
          <w:sz w:val="22"/>
          <w:szCs w:val="22"/>
          <w:lang w:val="sr-Latn-ME"/>
        </w:rPr>
      </w:pPr>
    </w:p>
    <w:p w14:paraId="256495CC" w14:textId="77777777" w:rsidR="00AA6877" w:rsidRPr="001A7371" w:rsidRDefault="00AA6877" w:rsidP="00AA6877">
      <w:pPr>
        <w:tabs>
          <w:tab w:val="left" w:pos="540"/>
          <w:tab w:val="left" w:pos="569"/>
        </w:tabs>
        <w:jc w:val="both"/>
        <w:rPr>
          <w:b/>
          <w:bCs/>
          <w:sz w:val="22"/>
          <w:szCs w:val="22"/>
          <w:lang w:val="sr-Latn-ME"/>
        </w:rPr>
      </w:pPr>
      <w:r w:rsidRPr="001A7371">
        <w:rPr>
          <w:b/>
          <w:bCs/>
          <w:sz w:val="22"/>
          <w:szCs w:val="22"/>
          <w:lang w:val="sr-Latn-ME"/>
        </w:rPr>
        <w:t>Druga linija hemioterapije karcinoma dojke:</w:t>
      </w:r>
    </w:p>
    <w:p w14:paraId="1ED368FC" w14:textId="28353D62" w:rsidR="00AA6877" w:rsidRPr="001A7371" w:rsidRDefault="00AA6877" w:rsidP="00AA6877">
      <w:pPr>
        <w:tabs>
          <w:tab w:val="left" w:pos="540"/>
          <w:tab w:val="left" w:pos="569"/>
        </w:tabs>
        <w:jc w:val="both"/>
        <w:rPr>
          <w:bCs/>
          <w:sz w:val="22"/>
          <w:szCs w:val="22"/>
          <w:lang w:val="sr-Latn-ME"/>
        </w:rPr>
      </w:pPr>
      <w:r w:rsidRPr="001A7371">
        <w:rPr>
          <w:bCs/>
          <w:sz w:val="22"/>
          <w:szCs w:val="22"/>
          <w:lang w:val="sr-Latn-ME"/>
        </w:rPr>
        <w:t>Preporučena doza palitaksela je 175 mg/m</w:t>
      </w:r>
      <w:r w:rsidRPr="001A7371">
        <w:rPr>
          <w:bCs/>
          <w:sz w:val="22"/>
          <w:szCs w:val="22"/>
          <w:vertAlign w:val="superscript"/>
          <w:lang w:val="sr-Latn-ME"/>
        </w:rPr>
        <w:t>2</w:t>
      </w:r>
      <w:r w:rsidRPr="001A7371">
        <w:rPr>
          <w:bCs/>
          <w:sz w:val="22"/>
          <w:szCs w:val="22"/>
          <w:lang w:val="sr-Latn-ME"/>
        </w:rPr>
        <w:t xml:space="preserve"> u vidu infuzije </w:t>
      </w:r>
      <w:r w:rsidR="00D743FD" w:rsidRPr="001A7371">
        <w:rPr>
          <w:bCs/>
          <w:sz w:val="22"/>
          <w:szCs w:val="22"/>
          <w:lang w:val="sr-Latn-ME"/>
        </w:rPr>
        <w:t>tokom</w:t>
      </w:r>
      <w:r w:rsidRPr="001A7371">
        <w:rPr>
          <w:bCs/>
          <w:sz w:val="22"/>
          <w:szCs w:val="22"/>
          <w:lang w:val="sr-Latn-ME"/>
        </w:rPr>
        <w:t xml:space="preserve"> tri sata</w:t>
      </w:r>
      <w:r w:rsidR="00D743FD" w:rsidRPr="001A7371">
        <w:rPr>
          <w:bCs/>
          <w:sz w:val="22"/>
          <w:szCs w:val="22"/>
          <w:lang w:val="sr-Latn-ME"/>
        </w:rPr>
        <w:t>,</w:t>
      </w:r>
      <w:r w:rsidRPr="001A7371">
        <w:rPr>
          <w:bCs/>
          <w:sz w:val="22"/>
          <w:szCs w:val="22"/>
          <w:lang w:val="sr-Latn-ME"/>
        </w:rPr>
        <w:t xml:space="preserve"> sa pauzom od tri nedjelje između ciklusa.</w:t>
      </w:r>
    </w:p>
    <w:p w14:paraId="2F6F5607" w14:textId="77777777" w:rsidR="00AA6877" w:rsidRPr="001A7371" w:rsidRDefault="00AA6877" w:rsidP="00AA6877">
      <w:pPr>
        <w:tabs>
          <w:tab w:val="left" w:pos="540"/>
          <w:tab w:val="left" w:pos="569"/>
        </w:tabs>
        <w:jc w:val="both"/>
        <w:rPr>
          <w:bCs/>
          <w:sz w:val="22"/>
          <w:szCs w:val="22"/>
          <w:lang w:val="sr-Latn-ME"/>
        </w:rPr>
      </w:pPr>
    </w:p>
    <w:p w14:paraId="5D441326" w14:textId="77777777" w:rsidR="00AA6877" w:rsidRPr="001A7371" w:rsidRDefault="00AA6877" w:rsidP="00AA6877">
      <w:pPr>
        <w:tabs>
          <w:tab w:val="left" w:pos="540"/>
          <w:tab w:val="left" w:pos="569"/>
        </w:tabs>
        <w:jc w:val="both"/>
        <w:rPr>
          <w:b/>
          <w:bCs/>
          <w:sz w:val="22"/>
          <w:szCs w:val="22"/>
          <w:lang w:val="sr-Latn-ME"/>
        </w:rPr>
      </w:pPr>
      <w:r w:rsidRPr="001A7371">
        <w:rPr>
          <w:b/>
          <w:bCs/>
          <w:sz w:val="22"/>
          <w:szCs w:val="22"/>
          <w:lang w:val="sr-Latn-ME"/>
        </w:rPr>
        <w:t>Uznapredovali nemikrocelularni karcinom pluća (NSCLC):</w:t>
      </w:r>
    </w:p>
    <w:p w14:paraId="179F7305" w14:textId="1D80AE52" w:rsidR="00AA6877" w:rsidRPr="001A7371" w:rsidRDefault="00AA6877" w:rsidP="00AA6877">
      <w:pPr>
        <w:tabs>
          <w:tab w:val="left" w:pos="540"/>
          <w:tab w:val="left" w:pos="569"/>
        </w:tabs>
        <w:jc w:val="both"/>
        <w:rPr>
          <w:bCs/>
          <w:sz w:val="22"/>
          <w:szCs w:val="22"/>
          <w:lang w:val="sr-Latn-ME"/>
        </w:rPr>
      </w:pPr>
      <w:r w:rsidRPr="001A7371">
        <w:rPr>
          <w:bCs/>
          <w:sz w:val="22"/>
          <w:szCs w:val="22"/>
          <w:lang w:val="sr-Latn-ME"/>
        </w:rPr>
        <w:t>Preporučena doza paklitaksela je 175 mg/m</w:t>
      </w:r>
      <w:r w:rsidRPr="001A7371">
        <w:rPr>
          <w:bCs/>
          <w:sz w:val="22"/>
          <w:szCs w:val="22"/>
          <w:vertAlign w:val="superscript"/>
          <w:lang w:val="sr-Latn-ME"/>
        </w:rPr>
        <w:t>2</w:t>
      </w:r>
      <w:r w:rsidRPr="001A7371">
        <w:rPr>
          <w:bCs/>
          <w:sz w:val="22"/>
          <w:szCs w:val="22"/>
          <w:lang w:val="sr-Latn-ME"/>
        </w:rPr>
        <w:t xml:space="preserve"> primijenjena infuzijom </w:t>
      </w:r>
      <w:r w:rsidR="00D743FD" w:rsidRPr="001A7371">
        <w:rPr>
          <w:bCs/>
          <w:sz w:val="22"/>
          <w:szCs w:val="22"/>
          <w:lang w:val="sr-Latn-ME"/>
        </w:rPr>
        <w:t>tokom</w:t>
      </w:r>
      <w:r w:rsidRPr="001A7371">
        <w:rPr>
          <w:bCs/>
          <w:sz w:val="22"/>
          <w:szCs w:val="22"/>
          <w:lang w:val="sr-Latn-ME"/>
        </w:rPr>
        <w:t xml:space="preserve"> tri sata posle čega slijedi primjena cisplatina u dozi od 80 mg/m</w:t>
      </w:r>
      <w:r w:rsidRPr="001A7371">
        <w:rPr>
          <w:bCs/>
          <w:sz w:val="22"/>
          <w:szCs w:val="22"/>
          <w:vertAlign w:val="superscript"/>
          <w:lang w:val="sr-Latn-ME"/>
        </w:rPr>
        <w:t>2</w:t>
      </w:r>
      <w:r w:rsidRPr="001A7371">
        <w:rPr>
          <w:bCs/>
          <w:sz w:val="22"/>
          <w:szCs w:val="22"/>
          <w:lang w:val="sr-Latn-ME"/>
        </w:rPr>
        <w:t>, sa pauzom od tri nedjelje između ciklusa.</w:t>
      </w:r>
    </w:p>
    <w:p w14:paraId="5B0C54F7" w14:textId="77777777" w:rsidR="00AA6877" w:rsidRPr="001A7371" w:rsidRDefault="00AA6877" w:rsidP="00AA6877">
      <w:pPr>
        <w:tabs>
          <w:tab w:val="left" w:pos="540"/>
          <w:tab w:val="left" w:pos="569"/>
        </w:tabs>
        <w:jc w:val="both"/>
        <w:rPr>
          <w:bCs/>
          <w:sz w:val="22"/>
          <w:szCs w:val="22"/>
          <w:lang w:val="sr-Latn-ME"/>
        </w:rPr>
      </w:pPr>
    </w:p>
    <w:p w14:paraId="032472E2" w14:textId="77777777" w:rsidR="00AA6877" w:rsidRPr="001A7371" w:rsidRDefault="00AA6877" w:rsidP="00AA6877">
      <w:pPr>
        <w:tabs>
          <w:tab w:val="left" w:pos="540"/>
          <w:tab w:val="left" w:pos="569"/>
        </w:tabs>
        <w:jc w:val="both"/>
        <w:rPr>
          <w:b/>
          <w:bCs/>
          <w:sz w:val="22"/>
          <w:szCs w:val="22"/>
          <w:lang w:val="sr-Latn-ME"/>
        </w:rPr>
      </w:pPr>
      <w:r w:rsidRPr="001A7371">
        <w:rPr>
          <w:b/>
          <w:bCs/>
          <w:sz w:val="22"/>
          <w:szCs w:val="22"/>
          <w:lang w:val="sr-Latn-ME"/>
        </w:rPr>
        <w:t>Liječenje Kapoši sarkoma povezanog sa AIDS-om:</w:t>
      </w:r>
    </w:p>
    <w:p w14:paraId="2857F1D7" w14:textId="77777777" w:rsidR="00AA6877" w:rsidRPr="001A7371" w:rsidRDefault="00AA6877" w:rsidP="00AA6877">
      <w:pPr>
        <w:tabs>
          <w:tab w:val="left" w:pos="540"/>
          <w:tab w:val="left" w:pos="569"/>
        </w:tabs>
        <w:jc w:val="both"/>
        <w:rPr>
          <w:bCs/>
          <w:sz w:val="22"/>
          <w:szCs w:val="22"/>
          <w:lang w:val="sr-Latn-ME"/>
        </w:rPr>
      </w:pPr>
      <w:r w:rsidRPr="001A7371">
        <w:rPr>
          <w:bCs/>
          <w:sz w:val="22"/>
          <w:szCs w:val="22"/>
          <w:lang w:val="sr-Latn-ME"/>
        </w:rPr>
        <w:t>Preporučena doza paklitaksela je 100mg/m², a primjenjuje se intravenski kao tročasovna infuzija, sa razmakom između pojedinih ciklusa od 2 nedjelje.</w:t>
      </w:r>
    </w:p>
    <w:p w14:paraId="50E57F40" w14:textId="77777777" w:rsidR="00AA6877" w:rsidRPr="001A7371" w:rsidRDefault="00AA6877" w:rsidP="00AA6877">
      <w:pPr>
        <w:tabs>
          <w:tab w:val="left" w:pos="540"/>
          <w:tab w:val="left" w:pos="569"/>
        </w:tabs>
        <w:jc w:val="both"/>
        <w:rPr>
          <w:bCs/>
          <w:sz w:val="22"/>
          <w:szCs w:val="22"/>
          <w:lang w:val="sr-Latn-ME"/>
        </w:rPr>
      </w:pPr>
    </w:p>
    <w:p w14:paraId="0F4FA94C" w14:textId="77777777" w:rsidR="00AA6877" w:rsidRPr="001A7371" w:rsidRDefault="00AA6877" w:rsidP="00AA6877">
      <w:pPr>
        <w:tabs>
          <w:tab w:val="left" w:pos="540"/>
          <w:tab w:val="left" w:pos="569"/>
        </w:tabs>
        <w:jc w:val="both"/>
        <w:rPr>
          <w:bCs/>
          <w:sz w:val="22"/>
          <w:szCs w:val="22"/>
          <w:lang w:val="sr-Latn-ME"/>
        </w:rPr>
      </w:pPr>
      <w:r w:rsidRPr="001A7371">
        <w:rPr>
          <w:bCs/>
          <w:sz w:val="22"/>
          <w:szCs w:val="22"/>
          <w:lang w:val="sr-Latn-ME"/>
        </w:rPr>
        <w:t>Sl</w:t>
      </w:r>
      <w:r w:rsidR="00B359EA" w:rsidRPr="001A7371">
        <w:rPr>
          <w:bCs/>
          <w:sz w:val="22"/>
          <w:szCs w:val="22"/>
          <w:lang w:val="sr-Latn-ME"/>
        </w:rPr>
        <w:t>j</w:t>
      </w:r>
      <w:r w:rsidRPr="001A7371">
        <w:rPr>
          <w:bCs/>
          <w:sz w:val="22"/>
          <w:szCs w:val="22"/>
          <w:lang w:val="sr-Latn-ME"/>
        </w:rPr>
        <w:t>edeće doze paklitaksela će biti date u zavisnosti od individualne podnošljivosti kod pacijenata.</w:t>
      </w:r>
    </w:p>
    <w:p w14:paraId="7E1E836D" w14:textId="77777777" w:rsidR="00C65020" w:rsidRPr="001A7371" w:rsidRDefault="00C65020" w:rsidP="00AA6877">
      <w:pPr>
        <w:tabs>
          <w:tab w:val="left" w:pos="540"/>
          <w:tab w:val="left" w:pos="569"/>
        </w:tabs>
        <w:jc w:val="both"/>
        <w:rPr>
          <w:bCs/>
          <w:sz w:val="22"/>
          <w:szCs w:val="22"/>
          <w:lang w:val="sr-Latn-ME"/>
        </w:rPr>
      </w:pPr>
    </w:p>
    <w:p w14:paraId="73A4DCFD" w14:textId="20F1BD3E" w:rsidR="00AA6877" w:rsidRPr="001A7371" w:rsidRDefault="00AA6877" w:rsidP="00AA6877">
      <w:pPr>
        <w:tabs>
          <w:tab w:val="left" w:pos="540"/>
          <w:tab w:val="left" w:pos="569"/>
        </w:tabs>
        <w:jc w:val="both"/>
        <w:rPr>
          <w:bCs/>
          <w:sz w:val="22"/>
          <w:szCs w:val="22"/>
          <w:lang w:val="sr-Latn-ME"/>
        </w:rPr>
      </w:pPr>
      <w:r w:rsidRPr="001A7371">
        <w:rPr>
          <w:bCs/>
          <w:sz w:val="22"/>
          <w:szCs w:val="22"/>
          <w:lang w:val="sr-Latn-ME"/>
        </w:rPr>
        <w:t>Primjenu paklitaksela ne treba ponavljati sve dok broj neutrofila ne dostigne vrijednost od ≥ 1,5</w:t>
      </w:r>
      <w:r w:rsidR="00D743FD" w:rsidRPr="001A7371">
        <w:rPr>
          <w:bCs/>
          <w:sz w:val="22"/>
          <w:szCs w:val="22"/>
          <w:lang w:val="sr-Latn-ME"/>
        </w:rPr>
        <w:t>00/mm</w:t>
      </w:r>
      <w:r w:rsidR="00D743FD" w:rsidRPr="001A7371">
        <w:rPr>
          <w:bCs/>
          <w:sz w:val="22"/>
          <w:szCs w:val="22"/>
          <w:vertAlign w:val="superscript"/>
          <w:lang w:val="sr-Latn-ME"/>
        </w:rPr>
        <w:t>3</w:t>
      </w:r>
      <w:r w:rsidRPr="001A7371">
        <w:rPr>
          <w:bCs/>
          <w:sz w:val="22"/>
          <w:szCs w:val="22"/>
          <w:lang w:val="sr-Latn-ME"/>
        </w:rPr>
        <w:t xml:space="preserve"> (≥ </w:t>
      </w:r>
      <w:r w:rsidR="00D743FD" w:rsidRPr="001A7371">
        <w:rPr>
          <w:bCs/>
          <w:sz w:val="22"/>
          <w:szCs w:val="22"/>
          <w:lang w:val="sr-Latn-ME"/>
        </w:rPr>
        <w:t>1,000/mm</w:t>
      </w:r>
      <w:r w:rsidR="00D743FD" w:rsidRPr="001A7371">
        <w:rPr>
          <w:bCs/>
          <w:sz w:val="22"/>
          <w:szCs w:val="22"/>
          <w:vertAlign w:val="superscript"/>
          <w:lang w:val="sr-Latn-ME"/>
        </w:rPr>
        <w:t>3</w:t>
      </w:r>
      <w:r w:rsidRPr="001A7371">
        <w:rPr>
          <w:bCs/>
          <w:sz w:val="22"/>
          <w:szCs w:val="22"/>
          <w:lang w:val="sr-Latn-ME"/>
        </w:rPr>
        <w:t xml:space="preserve"> za pacijente sa KS), a broj trombocita ≥ 100</w:t>
      </w:r>
      <w:r w:rsidR="00C65020" w:rsidRPr="001A7371">
        <w:rPr>
          <w:bCs/>
          <w:sz w:val="22"/>
          <w:szCs w:val="22"/>
          <w:lang w:val="sr-Latn-ME"/>
        </w:rPr>
        <w:t>,000/mm</w:t>
      </w:r>
      <w:r w:rsidR="00C65020" w:rsidRPr="001A7371">
        <w:rPr>
          <w:bCs/>
          <w:sz w:val="22"/>
          <w:szCs w:val="22"/>
          <w:vertAlign w:val="superscript"/>
          <w:lang w:val="sr-Latn-ME"/>
        </w:rPr>
        <w:t>3</w:t>
      </w:r>
      <w:r w:rsidRPr="001A7371">
        <w:rPr>
          <w:bCs/>
          <w:sz w:val="22"/>
          <w:szCs w:val="22"/>
          <w:lang w:val="sr-Latn-ME"/>
        </w:rPr>
        <w:t xml:space="preserve"> (≥ 75</w:t>
      </w:r>
      <w:r w:rsidR="00C65020" w:rsidRPr="001A7371">
        <w:rPr>
          <w:bCs/>
          <w:sz w:val="22"/>
          <w:szCs w:val="22"/>
          <w:lang w:val="sr-Latn-ME"/>
        </w:rPr>
        <w:t>,000/mm</w:t>
      </w:r>
      <w:r w:rsidR="00C65020" w:rsidRPr="001A7371">
        <w:rPr>
          <w:bCs/>
          <w:sz w:val="22"/>
          <w:szCs w:val="22"/>
          <w:vertAlign w:val="superscript"/>
          <w:lang w:val="sr-Latn-ME"/>
        </w:rPr>
        <w:t>3</w:t>
      </w:r>
      <w:r w:rsidRPr="001A7371">
        <w:rPr>
          <w:bCs/>
          <w:sz w:val="22"/>
          <w:szCs w:val="22"/>
          <w:lang w:val="sr-Latn-ME"/>
        </w:rPr>
        <w:t xml:space="preserve"> za pacijente sa KS).</w:t>
      </w:r>
    </w:p>
    <w:p w14:paraId="16BEC16F" w14:textId="08B95852" w:rsidR="00AA6877" w:rsidRPr="001A7371" w:rsidRDefault="00AA6877" w:rsidP="00AA6877">
      <w:pPr>
        <w:tabs>
          <w:tab w:val="left" w:pos="540"/>
          <w:tab w:val="left" w:pos="569"/>
        </w:tabs>
        <w:jc w:val="both"/>
        <w:rPr>
          <w:bCs/>
          <w:sz w:val="22"/>
          <w:szCs w:val="22"/>
          <w:lang w:val="sr-Latn-ME"/>
        </w:rPr>
      </w:pPr>
      <w:r w:rsidRPr="001A7371">
        <w:rPr>
          <w:bCs/>
          <w:sz w:val="22"/>
          <w:szCs w:val="22"/>
          <w:lang w:val="sr-Latn-ME"/>
        </w:rPr>
        <w:t>Pacijentima sa teškom neutropenijom (broj neutrofila &lt;</w:t>
      </w:r>
      <w:r w:rsidR="00C65020" w:rsidRPr="001A7371">
        <w:rPr>
          <w:bCs/>
          <w:sz w:val="22"/>
          <w:szCs w:val="22"/>
          <w:vertAlign w:val="superscript"/>
          <w:lang w:val="sr-Latn-ME"/>
        </w:rPr>
        <w:t xml:space="preserve"> </w:t>
      </w:r>
      <w:r w:rsidR="00C65020" w:rsidRPr="001A7371">
        <w:rPr>
          <w:bCs/>
          <w:sz w:val="22"/>
          <w:szCs w:val="22"/>
          <w:lang w:val="sr-Latn-ME"/>
        </w:rPr>
        <w:t>500/mm</w:t>
      </w:r>
      <w:r w:rsidR="00C65020" w:rsidRPr="001A7371">
        <w:rPr>
          <w:bCs/>
          <w:sz w:val="22"/>
          <w:szCs w:val="22"/>
          <w:vertAlign w:val="superscript"/>
          <w:lang w:val="sr-Latn-ME"/>
        </w:rPr>
        <w:t>3</w:t>
      </w:r>
      <w:r w:rsidR="00622FC9" w:rsidRPr="001A7371">
        <w:rPr>
          <w:bCs/>
          <w:sz w:val="22"/>
          <w:szCs w:val="22"/>
          <w:lang w:val="sr-Latn-ME"/>
        </w:rPr>
        <w:t xml:space="preserve"> </w:t>
      </w:r>
      <w:r w:rsidR="00C65020" w:rsidRPr="001A7371">
        <w:rPr>
          <w:bCs/>
          <w:sz w:val="22"/>
          <w:szCs w:val="22"/>
          <w:lang w:val="sr-Latn-ME"/>
        </w:rPr>
        <w:t>tokom</w:t>
      </w:r>
      <w:r w:rsidRPr="001A7371">
        <w:rPr>
          <w:bCs/>
          <w:sz w:val="22"/>
          <w:szCs w:val="22"/>
          <w:lang w:val="sr-Latn-ME"/>
        </w:rPr>
        <w:t xml:space="preserve"> ≥7 dana) ili teškom perifernom neuropatijom treba davati za 20% smanjenu dozu u narednim ciklusima (25% za pacijente sa KS) (vidjeti dio 4.4.).</w:t>
      </w:r>
    </w:p>
    <w:p w14:paraId="2F0F8BFA" w14:textId="77777777" w:rsidR="00AA6877" w:rsidRPr="001A7371" w:rsidRDefault="00AA6877" w:rsidP="00AA6877">
      <w:pPr>
        <w:tabs>
          <w:tab w:val="left" w:pos="540"/>
          <w:tab w:val="left" w:pos="569"/>
        </w:tabs>
        <w:jc w:val="both"/>
        <w:rPr>
          <w:bCs/>
          <w:sz w:val="22"/>
          <w:szCs w:val="22"/>
          <w:lang w:val="sr-Latn-ME"/>
        </w:rPr>
      </w:pPr>
    </w:p>
    <w:p w14:paraId="15150419" w14:textId="00CA479D" w:rsidR="00AA6877" w:rsidRPr="001A7371" w:rsidRDefault="00AA6877" w:rsidP="00AA6877">
      <w:pPr>
        <w:tabs>
          <w:tab w:val="left" w:pos="540"/>
          <w:tab w:val="left" w:pos="569"/>
        </w:tabs>
        <w:jc w:val="both"/>
        <w:rPr>
          <w:bCs/>
          <w:sz w:val="22"/>
          <w:szCs w:val="22"/>
          <w:lang w:val="sr-Latn-ME"/>
        </w:rPr>
      </w:pPr>
      <w:r w:rsidRPr="001A7371">
        <w:rPr>
          <w:b/>
          <w:bCs/>
          <w:sz w:val="22"/>
          <w:szCs w:val="22"/>
          <w:lang w:val="sr-Latn-ME"/>
        </w:rPr>
        <w:t>Pacijenti sa</w:t>
      </w:r>
      <w:r w:rsidR="00C65020" w:rsidRPr="001A7371">
        <w:rPr>
          <w:b/>
          <w:bCs/>
          <w:sz w:val="22"/>
          <w:szCs w:val="22"/>
          <w:lang w:val="sr-Latn-ME"/>
        </w:rPr>
        <w:t xml:space="preserve"> </w:t>
      </w:r>
      <w:r w:rsidRPr="001A7371">
        <w:rPr>
          <w:b/>
          <w:bCs/>
          <w:sz w:val="22"/>
          <w:szCs w:val="22"/>
          <w:lang w:val="sr-Latn-ME"/>
        </w:rPr>
        <w:t>oštećenjem jetre:</w:t>
      </w:r>
      <w:r w:rsidRPr="001A7371">
        <w:rPr>
          <w:bCs/>
          <w:sz w:val="22"/>
          <w:szCs w:val="22"/>
          <w:lang w:val="sr-Latn-ME"/>
        </w:rPr>
        <w:t xml:space="preserve"> Nema</w:t>
      </w:r>
      <w:r w:rsidR="00C65020" w:rsidRPr="001A7371">
        <w:rPr>
          <w:bCs/>
          <w:sz w:val="22"/>
          <w:szCs w:val="22"/>
          <w:lang w:val="sr-Latn-ME"/>
        </w:rPr>
        <w:t xml:space="preserve"> dovoljno</w:t>
      </w:r>
      <w:r w:rsidRPr="001A7371">
        <w:rPr>
          <w:bCs/>
          <w:sz w:val="22"/>
          <w:szCs w:val="22"/>
          <w:lang w:val="sr-Latn-ME"/>
        </w:rPr>
        <w:t xml:space="preserve"> podataka za preporuku doziranja kod pacijenata sa blago do umjereno oštećenom funkcijom jetre (vidjeti djelove 4.4 i 5.2).</w:t>
      </w:r>
      <w:r w:rsidR="00C65020" w:rsidRPr="001A7371">
        <w:rPr>
          <w:bCs/>
          <w:sz w:val="22"/>
          <w:szCs w:val="22"/>
          <w:lang w:val="sr-Latn-ME"/>
        </w:rPr>
        <w:t xml:space="preserve"> </w:t>
      </w:r>
      <w:r w:rsidRPr="001A7371">
        <w:rPr>
          <w:bCs/>
          <w:sz w:val="22"/>
          <w:szCs w:val="22"/>
          <w:lang w:val="sr-Latn-ME"/>
        </w:rPr>
        <w:t>Pacijenti sa teškim oštećenjem jetre ne smiju se liječiti paklitakselom.</w:t>
      </w:r>
    </w:p>
    <w:p w14:paraId="624AE5BC" w14:textId="77777777" w:rsidR="00AA6877" w:rsidRPr="001A7371" w:rsidRDefault="00AA6877" w:rsidP="00AA6877">
      <w:pPr>
        <w:tabs>
          <w:tab w:val="left" w:pos="540"/>
          <w:tab w:val="left" w:pos="569"/>
        </w:tabs>
        <w:jc w:val="both"/>
        <w:rPr>
          <w:bCs/>
          <w:sz w:val="22"/>
          <w:szCs w:val="22"/>
          <w:lang w:val="sr-Latn-ME"/>
        </w:rPr>
      </w:pPr>
    </w:p>
    <w:p w14:paraId="6E5C460B" w14:textId="77777777" w:rsidR="00B359EA" w:rsidRPr="001A7371" w:rsidRDefault="00B359EA" w:rsidP="00B359EA">
      <w:pPr>
        <w:tabs>
          <w:tab w:val="left" w:pos="540"/>
          <w:tab w:val="left" w:pos="569"/>
        </w:tabs>
        <w:rPr>
          <w:sz w:val="22"/>
          <w:szCs w:val="22"/>
          <w:u w:val="single"/>
          <w:lang w:val="sr-Latn-ME"/>
        </w:rPr>
      </w:pPr>
      <w:r w:rsidRPr="001A7371">
        <w:rPr>
          <w:sz w:val="22"/>
          <w:szCs w:val="22"/>
          <w:u w:val="single"/>
          <w:lang w:val="sr-Latn-ME"/>
        </w:rPr>
        <w:t>Pedijatrijska populacija</w:t>
      </w:r>
    </w:p>
    <w:p w14:paraId="64F811A6" w14:textId="77777777" w:rsidR="00AA6877" w:rsidRPr="001A7371" w:rsidRDefault="00AA6877" w:rsidP="00AA6877">
      <w:pPr>
        <w:tabs>
          <w:tab w:val="left" w:pos="540"/>
          <w:tab w:val="left" w:pos="569"/>
        </w:tabs>
        <w:jc w:val="both"/>
        <w:rPr>
          <w:bCs/>
          <w:sz w:val="22"/>
          <w:szCs w:val="22"/>
          <w:lang w:val="sr-Latn-ME"/>
        </w:rPr>
      </w:pPr>
      <w:r w:rsidRPr="001A7371">
        <w:rPr>
          <w:bCs/>
          <w:sz w:val="22"/>
          <w:szCs w:val="22"/>
          <w:lang w:val="sr-Latn-ME"/>
        </w:rPr>
        <w:t>Paklitaksel se ne preporučuje kod djece mlađe od 18 godina usljed nedostatka podataka o bezbjednosti i efikasnosti.</w:t>
      </w:r>
    </w:p>
    <w:p w14:paraId="1BC9FEAC" w14:textId="77777777" w:rsidR="00AA6877" w:rsidRPr="001A7371" w:rsidRDefault="00AA6877" w:rsidP="00AA6877">
      <w:pPr>
        <w:tabs>
          <w:tab w:val="left" w:pos="540"/>
          <w:tab w:val="left" w:pos="569"/>
        </w:tabs>
        <w:jc w:val="both"/>
        <w:rPr>
          <w:bCs/>
          <w:sz w:val="22"/>
          <w:szCs w:val="22"/>
          <w:lang w:val="sr-Latn-ME"/>
        </w:rPr>
      </w:pPr>
    </w:p>
    <w:p w14:paraId="2F3BDF82" w14:textId="77777777" w:rsidR="00AA6877" w:rsidRPr="001A7371" w:rsidRDefault="00AA6877" w:rsidP="00AA6877">
      <w:pPr>
        <w:tabs>
          <w:tab w:val="left" w:pos="540"/>
          <w:tab w:val="left" w:pos="569"/>
        </w:tabs>
        <w:jc w:val="both"/>
        <w:rPr>
          <w:bCs/>
          <w:sz w:val="22"/>
          <w:szCs w:val="22"/>
          <w:u w:val="single"/>
          <w:lang w:val="sr-Latn-ME"/>
        </w:rPr>
      </w:pPr>
      <w:r w:rsidRPr="001A7371">
        <w:rPr>
          <w:bCs/>
          <w:sz w:val="22"/>
          <w:szCs w:val="22"/>
          <w:u w:val="single"/>
          <w:lang w:val="sr-Latn-ME"/>
        </w:rPr>
        <w:t>Način primjene</w:t>
      </w:r>
    </w:p>
    <w:p w14:paraId="26FA3B98" w14:textId="77777777" w:rsidR="00AA6877" w:rsidRPr="001A7371" w:rsidRDefault="00AA6877" w:rsidP="00AA6877">
      <w:pPr>
        <w:tabs>
          <w:tab w:val="left" w:pos="540"/>
          <w:tab w:val="left" w:pos="569"/>
        </w:tabs>
        <w:jc w:val="both"/>
        <w:rPr>
          <w:bCs/>
          <w:sz w:val="22"/>
          <w:szCs w:val="22"/>
          <w:lang w:val="sr-Latn-ME"/>
        </w:rPr>
      </w:pPr>
      <w:r w:rsidRPr="001A7371">
        <w:rPr>
          <w:bCs/>
          <w:sz w:val="22"/>
          <w:szCs w:val="22"/>
          <w:lang w:val="sr-Latn-ME"/>
        </w:rPr>
        <w:t>Neophodne su mjere opreza prilikom rukovanja i primjene paklitaksela.</w:t>
      </w:r>
    </w:p>
    <w:p w14:paraId="68CD06FD" w14:textId="6B2A141F" w:rsidR="00950EDC" w:rsidRPr="001A7371" w:rsidRDefault="00AA6877" w:rsidP="00AA6877">
      <w:pPr>
        <w:tabs>
          <w:tab w:val="left" w:pos="540"/>
          <w:tab w:val="left" w:pos="569"/>
        </w:tabs>
        <w:jc w:val="both"/>
        <w:rPr>
          <w:bCs/>
          <w:sz w:val="22"/>
          <w:szCs w:val="22"/>
          <w:lang w:val="sr-Latn-ME"/>
        </w:rPr>
      </w:pPr>
      <w:r w:rsidRPr="001A7371">
        <w:rPr>
          <w:bCs/>
          <w:sz w:val="22"/>
          <w:szCs w:val="22"/>
          <w:lang w:val="sr-Latn-ME"/>
        </w:rPr>
        <w:t>Koncentrat za rastvor za infuziju se mora rastvoriti prije primjene (vidjeti dio 6.6</w:t>
      </w:r>
      <w:r w:rsidR="00B359EA" w:rsidRPr="001A7371">
        <w:rPr>
          <w:bCs/>
          <w:sz w:val="22"/>
          <w:szCs w:val="22"/>
          <w:lang w:val="sr-Latn-ME"/>
        </w:rPr>
        <w:t xml:space="preserve">.) i smije se primijeniti samo </w:t>
      </w:r>
      <w:r w:rsidRPr="001A7371">
        <w:rPr>
          <w:bCs/>
          <w:sz w:val="22"/>
          <w:szCs w:val="22"/>
          <w:lang w:val="sr-Latn-ME"/>
        </w:rPr>
        <w:t xml:space="preserve">intravenski. </w:t>
      </w:r>
      <w:r w:rsidR="00B359EA" w:rsidRPr="001A7371">
        <w:rPr>
          <w:bCs/>
          <w:sz w:val="22"/>
          <w:szCs w:val="22"/>
          <w:lang w:val="sr-Latn-ME"/>
        </w:rPr>
        <w:t>Paklitaksel</w:t>
      </w:r>
      <w:r w:rsidRPr="001A7371">
        <w:rPr>
          <w:bCs/>
          <w:sz w:val="22"/>
          <w:szCs w:val="22"/>
          <w:lang w:val="sr-Latn-ME"/>
        </w:rPr>
        <w:t xml:space="preserve"> treba primjenjivati intravenski koristeći "</w:t>
      </w:r>
      <w:r w:rsidRPr="001A7371">
        <w:rPr>
          <w:bCs/>
          <w:i/>
          <w:sz w:val="22"/>
          <w:szCs w:val="22"/>
          <w:lang w:val="sr-Latn-ME"/>
        </w:rPr>
        <w:t>in-line</w:t>
      </w:r>
      <w:r w:rsidRPr="001A7371">
        <w:rPr>
          <w:bCs/>
          <w:sz w:val="22"/>
          <w:szCs w:val="22"/>
          <w:lang w:val="sr-Latn-ME"/>
        </w:rPr>
        <w:t xml:space="preserve">" filter sa mikroporoznom membranom ≤ 0,22 </w:t>
      </w:r>
      <w:r w:rsidR="00C65020" w:rsidRPr="001A7371">
        <w:rPr>
          <w:bCs/>
          <w:sz w:val="22"/>
          <w:szCs w:val="22"/>
          <w:lang w:val="sr-Latn-ME"/>
        </w:rPr>
        <w:t>µm</w:t>
      </w:r>
      <w:r w:rsidRPr="001A7371">
        <w:rPr>
          <w:bCs/>
          <w:sz w:val="22"/>
          <w:szCs w:val="22"/>
          <w:lang w:val="sr-Latn-ME"/>
        </w:rPr>
        <w:t xml:space="preserve"> (vidjeti dio 6.6).</w:t>
      </w:r>
    </w:p>
    <w:p w14:paraId="1C9210C6" w14:textId="77777777" w:rsidR="00452E9D" w:rsidRPr="001A7371" w:rsidRDefault="00452E9D" w:rsidP="00480FB1">
      <w:pPr>
        <w:tabs>
          <w:tab w:val="left" w:pos="540"/>
          <w:tab w:val="left" w:pos="569"/>
        </w:tabs>
        <w:rPr>
          <w:bCs/>
          <w:sz w:val="22"/>
          <w:szCs w:val="22"/>
          <w:lang w:val="sr-Latn-ME"/>
        </w:rPr>
      </w:pPr>
    </w:p>
    <w:p w14:paraId="2A9A2EE2" w14:textId="77777777" w:rsidR="00411B4B" w:rsidRPr="001A7371" w:rsidRDefault="00411B4B" w:rsidP="00480FB1">
      <w:pPr>
        <w:tabs>
          <w:tab w:val="left" w:pos="540"/>
          <w:tab w:val="left" w:pos="569"/>
        </w:tabs>
        <w:rPr>
          <w:b/>
          <w:bCs/>
          <w:sz w:val="22"/>
          <w:szCs w:val="22"/>
          <w:lang w:val="sr-Latn-ME"/>
        </w:rPr>
      </w:pPr>
      <w:r w:rsidRPr="001A7371">
        <w:rPr>
          <w:b/>
          <w:bCs/>
          <w:sz w:val="22"/>
          <w:szCs w:val="22"/>
          <w:lang w:val="sr-Latn-ME"/>
        </w:rPr>
        <w:lastRenderedPageBreak/>
        <w:t xml:space="preserve">4.3. </w:t>
      </w:r>
      <w:r w:rsidR="00480FB1" w:rsidRPr="001A7371">
        <w:rPr>
          <w:b/>
          <w:bCs/>
          <w:sz w:val="22"/>
          <w:szCs w:val="22"/>
          <w:lang w:val="sr-Latn-ME"/>
        </w:rPr>
        <w:tab/>
      </w:r>
      <w:r w:rsidRPr="001A7371">
        <w:rPr>
          <w:b/>
          <w:bCs/>
          <w:sz w:val="22"/>
          <w:szCs w:val="22"/>
          <w:lang w:val="sr-Latn-ME"/>
        </w:rPr>
        <w:t>Kontraindikacije</w:t>
      </w:r>
    </w:p>
    <w:p w14:paraId="78055B5B" w14:textId="77777777" w:rsidR="006B4A75" w:rsidRPr="001A7371" w:rsidRDefault="006B4A75" w:rsidP="006B4A75">
      <w:pPr>
        <w:tabs>
          <w:tab w:val="left" w:pos="540"/>
          <w:tab w:val="left" w:pos="569"/>
        </w:tabs>
        <w:rPr>
          <w:bCs/>
          <w:sz w:val="22"/>
          <w:szCs w:val="22"/>
          <w:lang w:val="sr-Latn-ME"/>
        </w:rPr>
      </w:pPr>
    </w:p>
    <w:p w14:paraId="008EA84D" w14:textId="2CFD6598" w:rsidR="006B4A75" w:rsidRPr="001A7371" w:rsidRDefault="006B4A75" w:rsidP="006B4A75">
      <w:pPr>
        <w:tabs>
          <w:tab w:val="left" w:pos="540"/>
          <w:tab w:val="left" w:pos="569"/>
        </w:tabs>
        <w:jc w:val="both"/>
        <w:rPr>
          <w:bCs/>
          <w:sz w:val="22"/>
          <w:szCs w:val="22"/>
          <w:lang w:val="sr-Latn-ME"/>
        </w:rPr>
      </w:pPr>
      <w:r w:rsidRPr="001A7371">
        <w:rPr>
          <w:bCs/>
          <w:sz w:val="22"/>
          <w:szCs w:val="22"/>
          <w:lang w:val="sr-Latn-ME"/>
        </w:rPr>
        <w:t>Paklitaksel je kontraindikovan kod pacijenata sa preosjetljivošću na paklitaksel ili na bilo koju  pomoćnu supstancu navedenu u dijelu 6.1., a naročito na makrogolglicerolricinoleat (</w:t>
      </w:r>
      <w:r w:rsidR="00C65020" w:rsidRPr="001A7371">
        <w:rPr>
          <w:bCs/>
          <w:sz w:val="22"/>
          <w:szCs w:val="22"/>
          <w:lang w:val="sr-Latn-ME"/>
        </w:rPr>
        <w:t xml:space="preserve">polioksietilirano </w:t>
      </w:r>
      <w:r w:rsidRPr="001A7371">
        <w:rPr>
          <w:bCs/>
          <w:sz w:val="22"/>
          <w:szCs w:val="22"/>
          <w:lang w:val="sr-Latn-ME"/>
        </w:rPr>
        <w:t>ricinusovo ulje ) (vidjeti dio 4.4).</w:t>
      </w:r>
    </w:p>
    <w:p w14:paraId="7BDB375C" w14:textId="77777777" w:rsidR="006B4A75" w:rsidRPr="001A7371" w:rsidRDefault="006B4A75" w:rsidP="006B4A75">
      <w:pPr>
        <w:tabs>
          <w:tab w:val="left" w:pos="540"/>
          <w:tab w:val="left" w:pos="569"/>
        </w:tabs>
        <w:jc w:val="both"/>
        <w:rPr>
          <w:bCs/>
          <w:sz w:val="22"/>
          <w:szCs w:val="22"/>
          <w:lang w:val="sr-Latn-ME"/>
        </w:rPr>
      </w:pPr>
    </w:p>
    <w:p w14:paraId="0B5B4344" w14:textId="599691DD" w:rsidR="006B4A75" w:rsidRPr="001A7371" w:rsidRDefault="006B4A75" w:rsidP="006B4A75">
      <w:pPr>
        <w:tabs>
          <w:tab w:val="left" w:pos="540"/>
          <w:tab w:val="left" w:pos="569"/>
        </w:tabs>
        <w:jc w:val="both"/>
        <w:rPr>
          <w:bCs/>
          <w:sz w:val="22"/>
          <w:szCs w:val="22"/>
          <w:lang w:val="sr-Latn-ME"/>
        </w:rPr>
      </w:pPr>
      <w:r w:rsidRPr="001A7371">
        <w:rPr>
          <w:bCs/>
          <w:sz w:val="22"/>
          <w:szCs w:val="22"/>
          <w:lang w:val="sr-Latn-ME"/>
        </w:rPr>
        <w:t xml:space="preserve">Paklitaksel se ne smije primjenjivati kod pacijenata čiji je broj neutrofila prije početka liječenja </w:t>
      </w:r>
      <w:r w:rsidR="00DE3265" w:rsidRPr="001A7371">
        <w:rPr>
          <w:bCs/>
          <w:sz w:val="22"/>
          <w:szCs w:val="22"/>
          <w:lang w:val="sr-Latn-ME"/>
        </w:rPr>
        <w:t>&lt;</w:t>
      </w:r>
      <w:r w:rsidR="00C65020" w:rsidRPr="001A7371">
        <w:rPr>
          <w:bCs/>
          <w:sz w:val="22"/>
          <w:szCs w:val="22"/>
          <w:lang w:val="sr-Latn-ME"/>
        </w:rPr>
        <w:t>1,500/mm</w:t>
      </w:r>
      <w:r w:rsidR="00C65020" w:rsidRPr="001A7371">
        <w:rPr>
          <w:bCs/>
          <w:sz w:val="22"/>
          <w:szCs w:val="22"/>
          <w:vertAlign w:val="superscript"/>
          <w:lang w:val="sr-Latn-ME"/>
        </w:rPr>
        <w:t>3</w:t>
      </w:r>
      <w:r w:rsidR="00C65020" w:rsidRPr="001A7371">
        <w:rPr>
          <w:bCs/>
          <w:sz w:val="22"/>
          <w:szCs w:val="22"/>
          <w:lang w:val="sr-Latn-ME"/>
        </w:rPr>
        <w:t xml:space="preserve"> (</w:t>
      </w:r>
      <w:r w:rsidR="00DE3265" w:rsidRPr="001A7371">
        <w:rPr>
          <w:bCs/>
          <w:sz w:val="22"/>
          <w:szCs w:val="22"/>
          <w:lang w:val="sr-Latn-ME"/>
        </w:rPr>
        <w:t>&lt;</w:t>
      </w:r>
      <w:r w:rsidR="00C65020" w:rsidRPr="001A7371">
        <w:rPr>
          <w:bCs/>
          <w:sz w:val="22"/>
          <w:szCs w:val="22"/>
          <w:lang w:val="sr-Latn-ME"/>
        </w:rPr>
        <w:t xml:space="preserve"> 1,000/mm</w:t>
      </w:r>
      <w:r w:rsidR="00C65020" w:rsidRPr="001A7371">
        <w:rPr>
          <w:bCs/>
          <w:sz w:val="22"/>
          <w:szCs w:val="22"/>
          <w:vertAlign w:val="superscript"/>
          <w:lang w:val="sr-Latn-ME"/>
        </w:rPr>
        <w:t>3</w:t>
      </w:r>
      <w:r w:rsidR="00C65020" w:rsidRPr="001A7371">
        <w:rPr>
          <w:bCs/>
          <w:sz w:val="22"/>
          <w:szCs w:val="22"/>
          <w:lang w:val="sr-Latn-ME"/>
        </w:rPr>
        <w:t xml:space="preserve"> za pacijente sa KS</w:t>
      </w:r>
      <w:r w:rsidR="00DE3265" w:rsidRPr="001A7371">
        <w:rPr>
          <w:bCs/>
          <w:sz w:val="22"/>
          <w:szCs w:val="22"/>
          <w:lang w:val="sr-Latn-ME"/>
        </w:rPr>
        <w:t>).</w:t>
      </w:r>
      <w:r w:rsidR="00C65020" w:rsidRPr="001A7371">
        <w:rPr>
          <w:bCs/>
          <w:sz w:val="22"/>
          <w:szCs w:val="22"/>
          <w:lang w:val="sr-Latn-ME"/>
        </w:rPr>
        <w:t xml:space="preserve"> </w:t>
      </w:r>
    </w:p>
    <w:p w14:paraId="473034CF" w14:textId="77777777" w:rsidR="006B4A75" w:rsidRPr="001A7371" w:rsidRDefault="006B4A75" w:rsidP="006B4A75">
      <w:pPr>
        <w:tabs>
          <w:tab w:val="left" w:pos="540"/>
          <w:tab w:val="left" w:pos="569"/>
        </w:tabs>
        <w:jc w:val="both"/>
        <w:rPr>
          <w:bCs/>
          <w:sz w:val="22"/>
          <w:szCs w:val="22"/>
          <w:lang w:val="sr-Latn-ME"/>
        </w:rPr>
      </w:pPr>
      <w:r w:rsidRPr="001A7371">
        <w:rPr>
          <w:bCs/>
          <w:sz w:val="22"/>
          <w:szCs w:val="22"/>
          <w:lang w:val="sr-Latn-ME"/>
        </w:rPr>
        <w:t>Paklitaksel je kontraindikovan tokom dojenja (vidjeti dio 4.6.)</w:t>
      </w:r>
    </w:p>
    <w:p w14:paraId="1F66D061" w14:textId="77777777" w:rsidR="006B4A75" w:rsidRPr="001A7371" w:rsidRDefault="006B4A75" w:rsidP="006B4A75">
      <w:pPr>
        <w:tabs>
          <w:tab w:val="left" w:pos="540"/>
          <w:tab w:val="left" w:pos="569"/>
        </w:tabs>
        <w:jc w:val="both"/>
        <w:rPr>
          <w:bCs/>
          <w:sz w:val="22"/>
          <w:szCs w:val="22"/>
          <w:lang w:val="sr-Latn-ME"/>
        </w:rPr>
      </w:pPr>
    </w:p>
    <w:p w14:paraId="4654D149" w14:textId="77777777" w:rsidR="006B4A75" w:rsidRPr="001A7371" w:rsidRDefault="006B4A75" w:rsidP="006B4A75">
      <w:pPr>
        <w:tabs>
          <w:tab w:val="left" w:pos="540"/>
          <w:tab w:val="left" w:pos="569"/>
        </w:tabs>
        <w:jc w:val="both"/>
        <w:rPr>
          <w:bCs/>
          <w:sz w:val="22"/>
          <w:szCs w:val="22"/>
          <w:lang w:val="sr-Latn-ME"/>
        </w:rPr>
      </w:pPr>
      <w:r w:rsidRPr="001A7371">
        <w:rPr>
          <w:bCs/>
          <w:sz w:val="22"/>
          <w:szCs w:val="22"/>
          <w:lang w:val="sr-Latn-ME"/>
        </w:rPr>
        <w:t>U slučaju Kapošijevog sarkoma, paklitaksel je kontraindikovan kod pacijenata koji istovremeno imaju teške, nekontrolisane infekcije.</w:t>
      </w:r>
    </w:p>
    <w:p w14:paraId="3EEDB244" w14:textId="77777777" w:rsidR="006B4A75" w:rsidRPr="001A7371" w:rsidRDefault="006B4A75" w:rsidP="006B4A75">
      <w:pPr>
        <w:tabs>
          <w:tab w:val="left" w:pos="540"/>
          <w:tab w:val="left" w:pos="569"/>
        </w:tabs>
        <w:rPr>
          <w:bCs/>
          <w:sz w:val="22"/>
          <w:szCs w:val="22"/>
          <w:lang w:val="sr-Latn-ME"/>
        </w:rPr>
      </w:pPr>
    </w:p>
    <w:p w14:paraId="3FDC9EE3" w14:textId="77777777" w:rsidR="00411B4B" w:rsidRPr="001A7371" w:rsidRDefault="00411B4B" w:rsidP="00480FB1">
      <w:pPr>
        <w:tabs>
          <w:tab w:val="left" w:pos="540"/>
          <w:tab w:val="left" w:pos="569"/>
        </w:tabs>
        <w:rPr>
          <w:b/>
          <w:bCs/>
          <w:sz w:val="22"/>
          <w:szCs w:val="22"/>
          <w:lang w:val="sr-Latn-ME"/>
        </w:rPr>
      </w:pPr>
      <w:r w:rsidRPr="001A7371">
        <w:rPr>
          <w:b/>
          <w:bCs/>
          <w:sz w:val="22"/>
          <w:szCs w:val="22"/>
          <w:lang w:val="sr-Latn-ME"/>
        </w:rPr>
        <w:t xml:space="preserve">4.4. </w:t>
      </w:r>
      <w:r w:rsidR="00480FB1" w:rsidRPr="001A7371">
        <w:rPr>
          <w:b/>
          <w:bCs/>
          <w:sz w:val="22"/>
          <w:szCs w:val="22"/>
          <w:lang w:val="sr-Latn-ME"/>
        </w:rPr>
        <w:tab/>
      </w:r>
      <w:r w:rsidRPr="001A7371">
        <w:rPr>
          <w:b/>
          <w:bCs/>
          <w:sz w:val="22"/>
          <w:szCs w:val="22"/>
          <w:lang w:val="sr-Latn-ME"/>
        </w:rPr>
        <w:t>Posebna upozorenja i mjere opreza pri upotrebi lijeka</w:t>
      </w:r>
    </w:p>
    <w:p w14:paraId="0DC84F8C" w14:textId="77777777" w:rsidR="0072020E" w:rsidRPr="001A7371" w:rsidRDefault="0072020E" w:rsidP="00480FB1">
      <w:pPr>
        <w:tabs>
          <w:tab w:val="left" w:pos="540"/>
          <w:tab w:val="left" w:pos="569"/>
        </w:tabs>
        <w:rPr>
          <w:bCs/>
          <w:sz w:val="22"/>
          <w:szCs w:val="22"/>
          <w:lang w:val="sr-Latn-ME"/>
        </w:rPr>
      </w:pPr>
    </w:p>
    <w:p w14:paraId="58A0629C" w14:textId="77777777" w:rsidR="009C7C12" w:rsidRPr="001A7371" w:rsidRDefault="009C7C12" w:rsidP="009C7C12">
      <w:pPr>
        <w:tabs>
          <w:tab w:val="left" w:pos="540"/>
          <w:tab w:val="left" w:pos="569"/>
        </w:tabs>
        <w:jc w:val="both"/>
        <w:rPr>
          <w:sz w:val="22"/>
          <w:szCs w:val="22"/>
          <w:lang w:val="sr-Latn-ME"/>
        </w:rPr>
      </w:pPr>
      <w:r w:rsidRPr="001A7371">
        <w:rPr>
          <w:sz w:val="22"/>
          <w:szCs w:val="22"/>
          <w:lang w:val="sr-Latn-ME"/>
        </w:rPr>
        <w:t>Lijek Sindaxel se mora primjenjivati pod nadzorom ljekara specijaliste koji ima iskustvo sa primjenom hemioterapijskih agenasa u liječenju karcinoma. S obzirom da mogu da se jave teške reakcije preosjetljivosti, uvijek moraju da budu dostupni odgovarajući ljekovi i oprema za reanimaciju.</w:t>
      </w:r>
    </w:p>
    <w:p w14:paraId="1BF3CFB8" w14:textId="77777777" w:rsidR="009C7C12" w:rsidRPr="001A7371" w:rsidRDefault="009C7C12" w:rsidP="009C7C12">
      <w:pPr>
        <w:tabs>
          <w:tab w:val="left" w:pos="540"/>
          <w:tab w:val="left" w:pos="569"/>
        </w:tabs>
        <w:jc w:val="both"/>
        <w:rPr>
          <w:sz w:val="22"/>
          <w:szCs w:val="22"/>
          <w:lang w:val="sr-Latn-ME"/>
        </w:rPr>
      </w:pPr>
    </w:p>
    <w:p w14:paraId="73747F89" w14:textId="0066C114" w:rsidR="009C7C12" w:rsidRPr="001A7371" w:rsidRDefault="009C7C12" w:rsidP="009C7C12">
      <w:pPr>
        <w:tabs>
          <w:tab w:val="left" w:pos="540"/>
          <w:tab w:val="left" w:pos="569"/>
        </w:tabs>
        <w:jc w:val="both"/>
        <w:rPr>
          <w:sz w:val="22"/>
          <w:szCs w:val="22"/>
          <w:lang w:val="sr-Latn-ME"/>
        </w:rPr>
      </w:pPr>
      <w:r w:rsidRPr="001A7371">
        <w:rPr>
          <w:sz w:val="22"/>
          <w:szCs w:val="22"/>
          <w:lang w:val="sr-Latn-ME"/>
        </w:rPr>
        <w:t>Savjetuje se pažljivo</w:t>
      </w:r>
      <w:r w:rsidR="00DE3265" w:rsidRPr="001A7371">
        <w:rPr>
          <w:sz w:val="22"/>
          <w:szCs w:val="22"/>
          <w:lang w:val="sr-Latn-ME"/>
        </w:rPr>
        <w:t xml:space="preserve"> praćenje</w:t>
      </w:r>
      <w:r w:rsidRPr="001A7371">
        <w:rPr>
          <w:sz w:val="22"/>
          <w:szCs w:val="22"/>
          <w:lang w:val="sr-Latn-ME"/>
        </w:rPr>
        <w:t xml:space="preserve"> mjesta infuzije tokom primjene, zbog moguće pojave infiltracije kao posledice ekstravazacije.</w:t>
      </w:r>
    </w:p>
    <w:p w14:paraId="574DA5BA" w14:textId="77777777" w:rsidR="009C7C12" w:rsidRPr="001A7371" w:rsidRDefault="009C7C12" w:rsidP="009C7C12">
      <w:pPr>
        <w:tabs>
          <w:tab w:val="left" w:pos="540"/>
          <w:tab w:val="left" w:pos="569"/>
        </w:tabs>
        <w:jc w:val="both"/>
        <w:rPr>
          <w:sz w:val="22"/>
          <w:szCs w:val="22"/>
          <w:lang w:val="sr-Latn-ME"/>
        </w:rPr>
      </w:pPr>
    </w:p>
    <w:p w14:paraId="58DBAD41" w14:textId="77777777" w:rsidR="009C7C12" w:rsidRPr="001A7371" w:rsidRDefault="009C7C12" w:rsidP="009C7C12">
      <w:pPr>
        <w:tabs>
          <w:tab w:val="left" w:pos="540"/>
          <w:tab w:val="left" w:pos="569"/>
        </w:tabs>
        <w:jc w:val="both"/>
        <w:rPr>
          <w:sz w:val="22"/>
          <w:szCs w:val="22"/>
          <w:lang w:val="sr-Latn-ME"/>
        </w:rPr>
      </w:pPr>
      <w:r w:rsidRPr="001A7371">
        <w:rPr>
          <w:sz w:val="22"/>
          <w:szCs w:val="22"/>
          <w:lang w:val="sr-Latn-ME"/>
        </w:rPr>
        <w:t>Pacijenti moraju da prime kortikosteroide, antihistaminike i antagoniste H2 receptora u cilju premedikacije (vidjeti dio 4.2).</w:t>
      </w:r>
    </w:p>
    <w:p w14:paraId="7E928AE6" w14:textId="77777777" w:rsidR="009C7C12" w:rsidRPr="001A7371" w:rsidRDefault="009C7C12" w:rsidP="009C7C12">
      <w:pPr>
        <w:tabs>
          <w:tab w:val="left" w:pos="540"/>
          <w:tab w:val="left" w:pos="569"/>
        </w:tabs>
        <w:jc w:val="both"/>
        <w:rPr>
          <w:sz w:val="22"/>
          <w:szCs w:val="22"/>
          <w:lang w:val="sr-Latn-ME"/>
        </w:rPr>
      </w:pPr>
    </w:p>
    <w:p w14:paraId="56E79629" w14:textId="77777777" w:rsidR="00057E35" w:rsidRPr="001A7371" w:rsidRDefault="009C7C12" w:rsidP="009C7C12">
      <w:pPr>
        <w:tabs>
          <w:tab w:val="left" w:pos="540"/>
          <w:tab w:val="left" w:pos="569"/>
        </w:tabs>
        <w:jc w:val="both"/>
        <w:rPr>
          <w:sz w:val="22"/>
          <w:szCs w:val="22"/>
          <w:lang w:val="sr-Latn-ME"/>
        </w:rPr>
      </w:pPr>
      <w:r w:rsidRPr="001A7371">
        <w:rPr>
          <w:sz w:val="22"/>
          <w:szCs w:val="22"/>
          <w:lang w:val="sr-Latn-ME"/>
        </w:rPr>
        <w:t>Kada se daje u kombinaciji sa cisplatinom, paklitaksel se mora davati prije cisplatina (vidjeti dio 4.5).</w:t>
      </w:r>
    </w:p>
    <w:p w14:paraId="0D787F6F" w14:textId="77777777" w:rsidR="00B765EF" w:rsidRPr="001A7371" w:rsidRDefault="00B765EF" w:rsidP="009C7C12">
      <w:pPr>
        <w:tabs>
          <w:tab w:val="left" w:pos="540"/>
          <w:tab w:val="left" w:pos="569"/>
        </w:tabs>
        <w:jc w:val="both"/>
        <w:rPr>
          <w:sz w:val="22"/>
          <w:szCs w:val="22"/>
          <w:lang w:val="sr-Latn-ME"/>
        </w:rPr>
      </w:pPr>
    </w:p>
    <w:p w14:paraId="62BD8550" w14:textId="0109BE10" w:rsidR="00B765EF" w:rsidRPr="001A7371" w:rsidRDefault="00B765EF" w:rsidP="009C7C12">
      <w:pPr>
        <w:tabs>
          <w:tab w:val="left" w:pos="540"/>
          <w:tab w:val="left" w:pos="569"/>
        </w:tabs>
        <w:jc w:val="both"/>
        <w:rPr>
          <w:sz w:val="22"/>
          <w:szCs w:val="22"/>
          <w:lang w:val="sr-Latn-ME"/>
        </w:rPr>
      </w:pPr>
      <w:r w:rsidRPr="001A7371">
        <w:rPr>
          <w:b/>
          <w:sz w:val="22"/>
          <w:szCs w:val="22"/>
          <w:lang w:val="sr-Latn-ME"/>
        </w:rPr>
        <w:t xml:space="preserve">Teške reakcije preosjetljivosti, </w:t>
      </w:r>
      <w:r w:rsidRPr="001A7371">
        <w:rPr>
          <w:sz w:val="22"/>
          <w:szCs w:val="22"/>
          <w:lang w:val="sr-Latn-ME"/>
        </w:rPr>
        <w:t>koje karakterišu dispneja, arterijska hipotenzija koja mora da se liječi, angioedem i generalizovana urtikarija, zabilježeni su kod manje od 1% pacijenata liječenih paklitakselom nakon primjene odgovarajuće premedikacije. Ove reakcije su vjerovatno posredovane histaminom. Ukoliko dođe do teških reakcija preosjetljivosti, primjenu paklitaksela treba odmah prekinuti, započeti simptomatsku terapiju i ne treba ponovo započinjati davanje paklitaksela.</w:t>
      </w:r>
    </w:p>
    <w:p w14:paraId="1BB02C8D" w14:textId="77777777" w:rsidR="00B765EF" w:rsidRPr="001A7371" w:rsidRDefault="00B765EF" w:rsidP="009C7C12">
      <w:pPr>
        <w:tabs>
          <w:tab w:val="left" w:pos="540"/>
          <w:tab w:val="left" w:pos="569"/>
        </w:tabs>
        <w:jc w:val="both"/>
        <w:rPr>
          <w:sz w:val="22"/>
          <w:szCs w:val="22"/>
          <w:lang w:val="sr-Latn-ME"/>
        </w:rPr>
      </w:pPr>
    </w:p>
    <w:p w14:paraId="50A9D292" w14:textId="103B6ED1" w:rsidR="00B765EF" w:rsidRPr="001A7371" w:rsidRDefault="00B765EF" w:rsidP="00B765EF">
      <w:pPr>
        <w:tabs>
          <w:tab w:val="left" w:pos="540"/>
          <w:tab w:val="left" w:pos="569"/>
        </w:tabs>
        <w:jc w:val="both"/>
        <w:rPr>
          <w:sz w:val="22"/>
          <w:szCs w:val="22"/>
          <w:lang w:val="sr-Latn-ME"/>
        </w:rPr>
      </w:pPr>
      <w:r w:rsidRPr="001A7371">
        <w:rPr>
          <w:b/>
          <w:sz w:val="22"/>
          <w:szCs w:val="22"/>
          <w:lang w:val="sr-Latn-ME"/>
        </w:rPr>
        <w:t>Supresija ko</w:t>
      </w:r>
      <w:r w:rsidR="00DE3265" w:rsidRPr="001A7371">
        <w:rPr>
          <w:b/>
          <w:sz w:val="22"/>
          <w:szCs w:val="22"/>
          <w:lang w:val="sr-Latn-ME"/>
        </w:rPr>
        <w:t>stne</w:t>
      </w:r>
      <w:r w:rsidRPr="001A7371">
        <w:rPr>
          <w:b/>
          <w:sz w:val="22"/>
          <w:szCs w:val="22"/>
          <w:lang w:val="sr-Latn-ME"/>
        </w:rPr>
        <w:t xml:space="preserve"> srži</w:t>
      </w:r>
      <w:r w:rsidRPr="001A7371">
        <w:rPr>
          <w:sz w:val="22"/>
          <w:szCs w:val="22"/>
          <w:lang w:val="sr-Latn-ME"/>
        </w:rPr>
        <w:t xml:space="preserve"> (posebno neutropenija) je</w:t>
      </w:r>
      <w:r w:rsidR="00D2618A" w:rsidRPr="001A7371">
        <w:rPr>
          <w:sz w:val="22"/>
          <w:szCs w:val="22"/>
          <w:lang w:val="sr-Latn-ME"/>
        </w:rPr>
        <w:t xml:space="preserve"> dozom </w:t>
      </w:r>
      <w:r w:rsidRPr="001A7371">
        <w:rPr>
          <w:sz w:val="22"/>
          <w:szCs w:val="22"/>
          <w:lang w:val="sr-Latn-ME"/>
        </w:rPr>
        <w:t>ogranič</w:t>
      </w:r>
      <w:r w:rsidR="00D2618A" w:rsidRPr="001A7371">
        <w:rPr>
          <w:sz w:val="22"/>
          <w:szCs w:val="22"/>
          <w:lang w:val="sr-Latn-ME"/>
        </w:rPr>
        <w:t>ena toksičnost</w:t>
      </w:r>
      <w:r w:rsidRPr="001A7371">
        <w:rPr>
          <w:sz w:val="22"/>
          <w:szCs w:val="22"/>
          <w:lang w:val="sr-Latn-ME"/>
        </w:rPr>
        <w:t xml:space="preserve">. Zbog toga se, tokom terapije paklitakselom, kompletna krvna slika mora često kontrolisati. Terapiju paklitakselom ne treba ponovo primjenjivati sve dok se broj neutrofila ne vrati na </w:t>
      </w:r>
      <w:r w:rsidR="00700C91" w:rsidRPr="001A7371">
        <w:rPr>
          <w:sz w:val="22"/>
          <w:szCs w:val="22"/>
          <w:lang w:val="sr-Latn-ME"/>
        </w:rPr>
        <w:t>≥ 1,500/mm3 (≥ 1,000/mm3 za pacijente sa KS</w:t>
      </w:r>
      <w:r w:rsidRPr="001A7371">
        <w:rPr>
          <w:sz w:val="22"/>
          <w:szCs w:val="22"/>
          <w:lang w:val="sr-Latn-ME"/>
        </w:rPr>
        <w:t>,</w:t>
      </w:r>
      <w:r w:rsidR="00700C91" w:rsidRPr="001A7371">
        <w:rPr>
          <w:sz w:val="22"/>
          <w:szCs w:val="22"/>
          <w:lang w:val="sr-Latn-ME"/>
        </w:rPr>
        <w:t xml:space="preserve"> </w:t>
      </w:r>
      <w:r w:rsidRPr="001A7371">
        <w:rPr>
          <w:sz w:val="22"/>
          <w:szCs w:val="22"/>
          <w:lang w:val="sr-Latn-ME"/>
        </w:rPr>
        <w:t xml:space="preserve">a broj trombocita na </w:t>
      </w:r>
      <w:r w:rsidR="00700C91" w:rsidRPr="001A7371">
        <w:rPr>
          <w:sz w:val="22"/>
          <w:szCs w:val="22"/>
          <w:lang w:val="sr-Latn-ME"/>
        </w:rPr>
        <w:t>≥ 100,000/mm3 (≥ 75,000/mm3 za pacijente sa KS)</w:t>
      </w:r>
      <w:r w:rsidRPr="001A7371">
        <w:rPr>
          <w:sz w:val="22"/>
          <w:szCs w:val="22"/>
          <w:lang w:val="sr-Latn-ME"/>
        </w:rPr>
        <w:t>. U kliničkim studijama kod pacijenata sa Kapošijevim sarkomom, većina pacijenata je primala faktor stimulacije granulocitnih kolonija (G-CSF).</w:t>
      </w:r>
    </w:p>
    <w:p w14:paraId="1E001178" w14:textId="77777777" w:rsidR="00B765EF" w:rsidRPr="001A7371" w:rsidRDefault="00B765EF" w:rsidP="00B765EF">
      <w:pPr>
        <w:tabs>
          <w:tab w:val="left" w:pos="540"/>
          <w:tab w:val="left" w:pos="569"/>
        </w:tabs>
        <w:jc w:val="both"/>
        <w:rPr>
          <w:sz w:val="22"/>
          <w:szCs w:val="22"/>
          <w:lang w:val="sr-Latn-ME"/>
        </w:rPr>
      </w:pPr>
    </w:p>
    <w:p w14:paraId="03AAE7B0" w14:textId="53170511" w:rsidR="000834E9" w:rsidRPr="001A7371" w:rsidRDefault="00B765EF" w:rsidP="000834E9">
      <w:pPr>
        <w:tabs>
          <w:tab w:val="left" w:pos="540"/>
          <w:tab w:val="left" w:pos="569"/>
        </w:tabs>
        <w:jc w:val="both"/>
        <w:rPr>
          <w:sz w:val="22"/>
          <w:szCs w:val="22"/>
          <w:lang w:val="sr-Latn-ME"/>
        </w:rPr>
      </w:pPr>
      <w:r w:rsidRPr="001A7371">
        <w:rPr>
          <w:b/>
          <w:sz w:val="22"/>
          <w:szCs w:val="22"/>
          <w:lang w:val="sr-Latn-ME"/>
        </w:rPr>
        <w:t>Pacijenti sa oštećenjem jetre</w:t>
      </w:r>
      <w:r w:rsidRPr="001A7371">
        <w:rPr>
          <w:sz w:val="22"/>
          <w:szCs w:val="22"/>
          <w:lang w:val="sr-Latn-ME"/>
        </w:rPr>
        <w:t xml:space="preserve"> mogu biti pod povećanim rizikom od toksičnosti, </w:t>
      </w:r>
      <w:r w:rsidR="000834E9" w:rsidRPr="001A7371">
        <w:rPr>
          <w:sz w:val="22"/>
          <w:szCs w:val="22"/>
          <w:lang w:val="sr-Latn-ME"/>
        </w:rPr>
        <w:t>mijelosupresije III- IV stepena.</w:t>
      </w:r>
      <w:r w:rsidRPr="001A7371">
        <w:rPr>
          <w:sz w:val="22"/>
          <w:szCs w:val="22"/>
          <w:lang w:val="sr-Latn-ME"/>
        </w:rPr>
        <w:t xml:space="preserve"> Nema dokaza da se toksičnost paklitaksela povećava kada se daje u obliku 3-časovne infuzije pacijentima sa blagim oštećenjem jetrene funkcije. Kada se paklitaksel daje </w:t>
      </w:r>
      <w:r w:rsidR="000834E9" w:rsidRPr="001A7371">
        <w:rPr>
          <w:sz w:val="22"/>
          <w:szCs w:val="22"/>
          <w:lang w:val="sr-Latn-ME"/>
        </w:rPr>
        <w:t>u dugotrajnoj infuziji, jače izražena</w:t>
      </w:r>
      <w:r w:rsidRPr="001A7371">
        <w:rPr>
          <w:sz w:val="22"/>
          <w:szCs w:val="22"/>
          <w:lang w:val="sr-Latn-ME"/>
        </w:rPr>
        <w:t xml:space="preserve"> mijelosupresija se može </w:t>
      </w:r>
      <w:r w:rsidR="000834E9" w:rsidRPr="001A7371">
        <w:rPr>
          <w:sz w:val="22"/>
          <w:szCs w:val="22"/>
          <w:lang w:val="sr-Latn-ME"/>
        </w:rPr>
        <w:t>zapaziti</w:t>
      </w:r>
      <w:r w:rsidRPr="001A7371">
        <w:rPr>
          <w:sz w:val="22"/>
          <w:szCs w:val="22"/>
          <w:lang w:val="sr-Latn-ME"/>
        </w:rPr>
        <w:t xml:space="preserve"> kod pacijenata sa umjerenim do teškim oštećenjem funkcije jetre. Pacijente treba pažljivo pratiti zbog razvoja </w:t>
      </w:r>
      <w:r w:rsidR="000834E9" w:rsidRPr="001A7371">
        <w:rPr>
          <w:sz w:val="22"/>
          <w:szCs w:val="22"/>
          <w:lang w:val="sr-Latn-ME"/>
        </w:rPr>
        <w:t>teške</w:t>
      </w:r>
      <w:r w:rsidRPr="001A7371">
        <w:rPr>
          <w:sz w:val="22"/>
          <w:szCs w:val="22"/>
          <w:lang w:val="sr-Latn-ME"/>
        </w:rPr>
        <w:t xml:space="preserve"> mijelosupresije (vidjeti dio 4.2). </w:t>
      </w:r>
      <w:r w:rsidR="000834E9" w:rsidRPr="001A7371">
        <w:rPr>
          <w:sz w:val="22"/>
          <w:szCs w:val="22"/>
          <w:lang w:val="sr-Latn-ME"/>
        </w:rPr>
        <w:t>Ne postoje adekvatni podaci na osnovu kojih bi se preporučile promjene u doziranju kod pacijenata sa blagim do umjerenim oštećenjem jetre (vidjeti dio 5.2).</w:t>
      </w:r>
    </w:p>
    <w:p w14:paraId="4E86FC2A" w14:textId="77777777" w:rsidR="00B765EF" w:rsidRPr="001A7371" w:rsidRDefault="00B765EF" w:rsidP="00B765EF">
      <w:pPr>
        <w:tabs>
          <w:tab w:val="left" w:pos="540"/>
          <w:tab w:val="left" w:pos="569"/>
        </w:tabs>
        <w:jc w:val="both"/>
        <w:rPr>
          <w:sz w:val="22"/>
          <w:szCs w:val="22"/>
          <w:lang w:val="sr-Latn-ME"/>
        </w:rPr>
      </w:pPr>
      <w:r w:rsidRPr="001A7371">
        <w:rPr>
          <w:sz w:val="22"/>
          <w:szCs w:val="22"/>
          <w:lang w:val="sr-Latn-ME"/>
        </w:rPr>
        <w:t>Nema dostupnih podataka za pacijente sa teškom početnom holestazom. Pacijenti sa teškim oštećenjem jetre ne smiju se liječiti paklitakselom.</w:t>
      </w:r>
    </w:p>
    <w:p w14:paraId="2B84BE10" w14:textId="77777777" w:rsidR="007034D6" w:rsidRPr="001A7371" w:rsidRDefault="007034D6" w:rsidP="00B765EF">
      <w:pPr>
        <w:tabs>
          <w:tab w:val="left" w:pos="540"/>
          <w:tab w:val="left" w:pos="569"/>
        </w:tabs>
        <w:jc w:val="both"/>
        <w:rPr>
          <w:sz w:val="22"/>
          <w:szCs w:val="22"/>
          <w:lang w:val="sr-Latn-ME"/>
        </w:rPr>
      </w:pPr>
    </w:p>
    <w:p w14:paraId="1E7C2762" w14:textId="352A3F68" w:rsidR="007034D6" w:rsidRPr="001A7371" w:rsidRDefault="007034D6" w:rsidP="007034D6">
      <w:pPr>
        <w:tabs>
          <w:tab w:val="left" w:pos="540"/>
          <w:tab w:val="left" w:pos="569"/>
        </w:tabs>
        <w:jc w:val="both"/>
        <w:rPr>
          <w:sz w:val="22"/>
          <w:szCs w:val="22"/>
          <w:lang w:val="sr-Latn-ME"/>
        </w:rPr>
      </w:pPr>
      <w:r w:rsidRPr="001A7371">
        <w:rPr>
          <w:b/>
          <w:sz w:val="22"/>
          <w:szCs w:val="22"/>
          <w:lang w:val="sr-Latn-ME"/>
        </w:rPr>
        <w:t>Teški poremećaji sprovodnog sistema srca</w:t>
      </w:r>
      <w:r w:rsidRPr="001A7371">
        <w:rPr>
          <w:sz w:val="22"/>
          <w:szCs w:val="22"/>
          <w:lang w:val="sr-Latn-ME"/>
        </w:rPr>
        <w:t xml:space="preserve"> su se javljali rijetko prilikom primjene paklitaksela kao monoterapije. Ukoliko se tokom primjene paklitaksela kod pacijen</w:t>
      </w:r>
      <w:r w:rsidR="006243B5" w:rsidRPr="001A7371">
        <w:rPr>
          <w:sz w:val="22"/>
          <w:szCs w:val="22"/>
          <w:lang w:val="sr-Latn-ME"/>
        </w:rPr>
        <w:t>a</w:t>
      </w:r>
      <w:r w:rsidRPr="001A7371">
        <w:rPr>
          <w:sz w:val="22"/>
          <w:szCs w:val="22"/>
          <w:lang w:val="sr-Latn-ME"/>
        </w:rPr>
        <w:t xml:space="preserve">ta jave značajni poremećaji </w:t>
      </w:r>
      <w:r w:rsidRPr="001A7371">
        <w:rPr>
          <w:sz w:val="22"/>
          <w:szCs w:val="22"/>
          <w:lang w:val="sr-Latn-ME"/>
        </w:rPr>
        <w:lastRenderedPageBreak/>
        <w:t>sprovodnog sistema srca, potrebno je primijeniti odgovarajuću terapiju i sprovesti kontinuirani kardiološki monitoring u toku narednih terapija paklitakselom.</w:t>
      </w:r>
    </w:p>
    <w:p w14:paraId="1BFF9D97" w14:textId="77777777" w:rsidR="007034D6" w:rsidRPr="001A7371" w:rsidRDefault="007034D6" w:rsidP="007034D6">
      <w:pPr>
        <w:tabs>
          <w:tab w:val="left" w:pos="540"/>
          <w:tab w:val="left" w:pos="569"/>
        </w:tabs>
        <w:jc w:val="both"/>
        <w:rPr>
          <w:sz w:val="22"/>
          <w:szCs w:val="22"/>
          <w:lang w:val="sr-Latn-ME"/>
        </w:rPr>
      </w:pPr>
    </w:p>
    <w:p w14:paraId="384D6C2B" w14:textId="2CCC0E4B" w:rsidR="007034D6" w:rsidRPr="001A7371" w:rsidRDefault="007034D6" w:rsidP="007034D6">
      <w:pPr>
        <w:tabs>
          <w:tab w:val="left" w:pos="540"/>
          <w:tab w:val="left" w:pos="569"/>
        </w:tabs>
        <w:jc w:val="both"/>
        <w:rPr>
          <w:sz w:val="22"/>
          <w:szCs w:val="22"/>
          <w:lang w:val="sr-Latn-ME"/>
        </w:rPr>
      </w:pPr>
      <w:r w:rsidRPr="001A7371">
        <w:rPr>
          <w:sz w:val="22"/>
          <w:szCs w:val="22"/>
          <w:lang w:val="sr-Latn-ME"/>
        </w:rPr>
        <w:t xml:space="preserve">U toku primjene paklitaksela zapaženi su hipotenzija, hipertenzija i bradikardija; pacijenti obično nemaju simptome i generalno nije potrebno liječenje. Preporučuje se često praćenje vitalnih funkcija, a posebno u toku prvog sata primjene infuzije paklitaksela. Teški kardiovaskularni događaji su češće uočavani kod pacijenata sa NSCLC nego kod pacijenata sa karcinomom dojke ili ovarijuma. Zabilježen je jedan slučaj srčane insuficijencije povezan sa primjenom paklitaksela u kliničkom ispitivanju </w:t>
      </w:r>
      <w:r w:rsidR="006243B5" w:rsidRPr="001A7371">
        <w:rPr>
          <w:sz w:val="22"/>
          <w:szCs w:val="22"/>
          <w:lang w:val="sr-Latn-ME"/>
        </w:rPr>
        <w:t xml:space="preserve">kod pacijenata sa </w:t>
      </w:r>
      <w:r w:rsidRPr="001A7371">
        <w:rPr>
          <w:sz w:val="22"/>
          <w:szCs w:val="22"/>
          <w:lang w:val="sr-Latn-ME"/>
        </w:rPr>
        <w:t>Kapošijev</w:t>
      </w:r>
      <w:r w:rsidR="006243B5" w:rsidRPr="001A7371">
        <w:rPr>
          <w:sz w:val="22"/>
          <w:szCs w:val="22"/>
          <w:lang w:val="sr-Latn-ME"/>
        </w:rPr>
        <w:t>im</w:t>
      </w:r>
      <w:r w:rsidRPr="001A7371">
        <w:rPr>
          <w:sz w:val="22"/>
          <w:szCs w:val="22"/>
          <w:lang w:val="sr-Latn-ME"/>
        </w:rPr>
        <w:t xml:space="preserve"> sarkom</w:t>
      </w:r>
      <w:r w:rsidR="006243B5" w:rsidRPr="001A7371">
        <w:rPr>
          <w:sz w:val="22"/>
          <w:szCs w:val="22"/>
          <w:lang w:val="sr-Latn-ME"/>
        </w:rPr>
        <w:t>om</w:t>
      </w:r>
      <w:r w:rsidRPr="001A7371">
        <w:rPr>
          <w:sz w:val="22"/>
          <w:szCs w:val="22"/>
          <w:lang w:val="sr-Latn-ME"/>
        </w:rPr>
        <w:t xml:space="preserve"> povezan</w:t>
      </w:r>
      <w:r w:rsidR="006243B5" w:rsidRPr="001A7371">
        <w:rPr>
          <w:sz w:val="22"/>
          <w:szCs w:val="22"/>
          <w:lang w:val="sr-Latn-ME"/>
        </w:rPr>
        <w:t>im</w:t>
      </w:r>
      <w:r w:rsidRPr="001A7371">
        <w:rPr>
          <w:sz w:val="22"/>
          <w:szCs w:val="22"/>
          <w:lang w:val="sr-Latn-ME"/>
        </w:rPr>
        <w:t xml:space="preserve"> sa AIDS-om.</w:t>
      </w:r>
    </w:p>
    <w:p w14:paraId="0D3B7DF3" w14:textId="77777777" w:rsidR="007034D6" w:rsidRPr="001A7371" w:rsidRDefault="007034D6" w:rsidP="007034D6">
      <w:pPr>
        <w:tabs>
          <w:tab w:val="left" w:pos="540"/>
          <w:tab w:val="left" w:pos="569"/>
        </w:tabs>
        <w:jc w:val="both"/>
        <w:rPr>
          <w:sz w:val="22"/>
          <w:szCs w:val="22"/>
          <w:lang w:val="sr-Latn-ME"/>
        </w:rPr>
      </w:pPr>
    </w:p>
    <w:p w14:paraId="3E5B7BF7" w14:textId="3A3C941F" w:rsidR="007034D6" w:rsidRPr="001A7371" w:rsidRDefault="007034D6" w:rsidP="007034D6">
      <w:pPr>
        <w:tabs>
          <w:tab w:val="left" w:pos="540"/>
          <w:tab w:val="left" w:pos="569"/>
        </w:tabs>
        <w:jc w:val="both"/>
        <w:rPr>
          <w:sz w:val="22"/>
          <w:szCs w:val="22"/>
          <w:lang w:val="sr-Latn-ME"/>
        </w:rPr>
      </w:pPr>
      <w:r w:rsidRPr="001A7371">
        <w:rPr>
          <w:sz w:val="22"/>
          <w:szCs w:val="22"/>
          <w:lang w:val="sr-Latn-ME"/>
        </w:rPr>
        <w:t xml:space="preserve">Ukoliko se paklitaksel upotrebljava u kombinaciji sa doksorubicinom ili trastuzumabom za inicijalno liječenje metastatskog karcinoma dojke, potrebno je obratiti pažnju na praćenje funkcije srca. U slučaju da su pacijenti kandidati za liječenje paklitakselom u navedenoj kombinaciji, potrebno je izvršiti osnovni kardiološki pregled, uključujući uzimanje anamneze, fizikalni pregled, EKG, ehokardiogram i/ ili MUGA (engl. </w:t>
      </w:r>
      <w:r w:rsidRPr="001A7371">
        <w:rPr>
          <w:i/>
          <w:sz w:val="22"/>
          <w:szCs w:val="22"/>
          <w:lang w:val="sr-Latn-ME"/>
        </w:rPr>
        <w:t>Multiple Gated Acquisition scan</w:t>
      </w:r>
      <w:r w:rsidRPr="001A7371">
        <w:rPr>
          <w:sz w:val="22"/>
          <w:szCs w:val="22"/>
          <w:lang w:val="sr-Latn-ME"/>
        </w:rPr>
        <w:t>) skeniranje. Tokom liječenja potrebno je nastaviti praćenje funkcije srca (npr. svaka tri mjeseca). Praćenje može da pomogne u indentifikaciji pacijenata kod kojih se javlja poremećaj funkcije srca, a ordinirajući ljekari moraju pažljivo procjeniti kumulativnu dozu primijenjenog (mg/m</w:t>
      </w:r>
      <w:r w:rsidRPr="001A7371">
        <w:rPr>
          <w:sz w:val="22"/>
          <w:szCs w:val="22"/>
          <w:vertAlign w:val="superscript"/>
          <w:lang w:val="sr-Latn-ME"/>
        </w:rPr>
        <w:t>2</w:t>
      </w:r>
      <w:r w:rsidRPr="001A7371">
        <w:rPr>
          <w:sz w:val="22"/>
          <w:szCs w:val="22"/>
          <w:lang w:val="sr-Latn-ME"/>
        </w:rPr>
        <w:t>) antraciklina prilikom donošenja odluke o tome koliko često će vršiti procjenu ventrikularne funkcije. Ukoliko se na pregledu uoči pogoršanje srčane funkcije, pa čak i asimptomatsko, ordinirajući ljekar mora pažljivo procijeniti kliničku korist nastavka liječenja u odnosu na mogućnost nastanka oštećenja srca, uključujući i potencijalno ireverzibilno oštećenje. U slučaju nastavka liječenja potrebna je češća kontrola srčane funkcije (npr. svakih 1-2 ciklusa). Više detalja može se naći u Sažetku karakteristika lijeka</w:t>
      </w:r>
      <w:r w:rsidR="006243B5" w:rsidRPr="001A7371">
        <w:rPr>
          <w:sz w:val="22"/>
          <w:szCs w:val="22"/>
          <w:lang w:val="sr-Latn-ME"/>
        </w:rPr>
        <w:t xml:space="preserve"> za </w:t>
      </w:r>
      <w:r w:rsidRPr="001A7371">
        <w:rPr>
          <w:sz w:val="22"/>
          <w:szCs w:val="22"/>
          <w:lang w:val="sr-Latn-ME"/>
        </w:rPr>
        <w:t>trastuzumab ili doksorubicin.</w:t>
      </w:r>
    </w:p>
    <w:p w14:paraId="56AF7E68" w14:textId="77777777" w:rsidR="000834E9" w:rsidRPr="001A7371" w:rsidRDefault="000834E9" w:rsidP="007034D6">
      <w:pPr>
        <w:tabs>
          <w:tab w:val="left" w:pos="540"/>
          <w:tab w:val="left" w:pos="569"/>
        </w:tabs>
        <w:jc w:val="both"/>
        <w:rPr>
          <w:sz w:val="22"/>
          <w:szCs w:val="22"/>
          <w:lang w:val="sr-Latn-ME"/>
        </w:rPr>
      </w:pPr>
    </w:p>
    <w:p w14:paraId="25914728" w14:textId="71FC1C65" w:rsidR="000834E9" w:rsidRPr="001A7371" w:rsidRDefault="000834E9" w:rsidP="007034D6">
      <w:pPr>
        <w:tabs>
          <w:tab w:val="left" w:pos="540"/>
          <w:tab w:val="left" w:pos="569"/>
        </w:tabs>
        <w:jc w:val="both"/>
        <w:rPr>
          <w:sz w:val="22"/>
          <w:szCs w:val="22"/>
          <w:lang w:val="sr-Latn-ME"/>
        </w:rPr>
      </w:pPr>
      <w:r w:rsidRPr="001A7371">
        <w:rPr>
          <w:sz w:val="22"/>
          <w:szCs w:val="22"/>
          <w:lang w:val="sr-Latn-ME"/>
        </w:rPr>
        <w:t xml:space="preserve">Iako je pojava </w:t>
      </w:r>
      <w:r w:rsidRPr="001A7371">
        <w:rPr>
          <w:b/>
          <w:sz w:val="22"/>
          <w:szCs w:val="22"/>
          <w:lang w:val="sr-Latn-ME"/>
        </w:rPr>
        <w:t>periferne neuropatije</w:t>
      </w:r>
      <w:r w:rsidRPr="001A7371">
        <w:rPr>
          <w:sz w:val="22"/>
          <w:szCs w:val="22"/>
          <w:lang w:val="sr-Latn-ME"/>
        </w:rPr>
        <w:t xml:space="preserve"> česta, </w:t>
      </w:r>
      <w:r w:rsidR="006243B5" w:rsidRPr="001A7371">
        <w:rPr>
          <w:sz w:val="22"/>
          <w:szCs w:val="22"/>
          <w:lang w:val="sr-Latn-ME"/>
        </w:rPr>
        <w:t xml:space="preserve">teški </w:t>
      </w:r>
      <w:r w:rsidRPr="001A7371">
        <w:rPr>
          <w:sz w:val="22"/>
          <w:szCs w:val="22"/>
          <w:lang w:val="sr-Latn-ME"/>
        </w:rPr>
        <w:t>simptomi se javljaju rijetko.</w:t>
      </w:r>
      <w:r w:rsidR="006243B5" w:rsidRPr="001A7371">
        <w:rPr>
          <w:sz w:val="22"/>
          <w:szCs w:val="22"/>
          <w:lang w:val="sr-Latn-ME"/>
        </w:rPr>
        <w:t xml:space="preserve"> </w:t>
      </w:r>
      <w:r w:rsidRPr="001A7371">
        <w:rPr>
          <w:sz w:val="22"/>
          <w:szCs w:val="22"/>
          <w:lang w:val="sr-Latn-ME"/>
        </w:rPr>
        <w:t>U teškim slučajevima, preporučuje se smanjenje doze paklitaksela u svim sljedećim ciklusima za 20% (25% za pacijente sa KS). Primjena paklitaksela</w:t>
      </w:r>
      <w:r w:rsidR="001824D9" w:rsidRPr="001A7371">
        <w:rPr>
          <w:sz w:val="22"/>
          <w:szCs w:val="22"/>
          <w:lang w:val="sr-Latn-ME"/>
        </w:rPr>
        <w:t xml:space="preserve"> u tročasovnoj infuziji,</w:t>
      </w:r>
      <w:r w:rsidRPr="001A7371">
        <w:rPr>
          <w:sz w:val="22"/>
          <w:szCs w:val="22"/>
          <w:lang w:val="sr-Latn-ME"/>
        </w:rPr>
        <w:t xml:space="preserve"> u kombinaciji sa cisplatinom kod pacijenata sa NSCLC</w:t>
      </w:r>
      <w:r w:rsidR="001824D9" w:rsidRPr="001A7371">
        <w:rPr>
          <w:sz w:val="22"/>
          <w:szCs w:val="22"/>
          <w:lang w:val="sr-Latn-ME"/>
        </w:rPr>
        <w:t xml:space="preserve">, te pacijentkinja koji dobijaju paklitaksel u prvoj liniji terapije za karcinom ovarijuma,  </w:t>
      </w:r>
      <w:r w:rsidRPr="001A7371">
        <w:rPr>
          <w:sz w:val="22"/>
          <w:szCs w:val="22"/>
          <w:lang w:val="sr-Latn-ME"/>
        </w:rPr>
        <w:t xml:space="preserve">dovela je do veće incidence teške neurotoksičnosti </w:t>
      </w:r>
      <w:r w:rsidR="001824D9" w:rsidRPr="001A7371">
        <w:rPr>
          <w:sz w:val="22"/>
          <w:szCs w:val="22"/>
          <w:lang w:val="sr-Latn-ME"/>
        </w:rPr>
        <w:t>u odn</w:t>
      </w:r>
      <w:r w:rsidR="00C46E3C" w:rsidRPr="001A7371">
        <w:rPr>
          <w:sz w:val="22"/>
          <w:szCs w:val="22"/>
          <w:lang w:val="sr-Latn-ME"/>
        </w:rPr>
        <w:t>osu na monoterapiju paklitakselom</w:t>
      </w:r>
      <w:r w:rsidR="001824D9" w:rsidRPr="001A7371">
        <w:rPr>
          <w:sz w:val="22"/>
          <w:szCs w:val="22"/>
          <w:lang w:val="sr-Latn-ME"/>
        </w:rPr>
        <w:t xml:space="preserve"> i </w:t>
      </w:r>
      <w:r w:rsidRPr="001A7371">
        <w:rPr>
          <w:sz w:val="22"/>
          <w:szCs w:val="22"/>
          <w:lang w:val="sr-Latn-ME"/>
        </w:rPr>
        <w:t xml:space="preserve"> ciklofosfamid</w:t>
      </w:r>
      <w:r w:rsidR="00C46E3C" w:rsidRPr="001A7371">
        <w:rPr>
          <w:sz w:val="22"/>
          <w:szCs w:val="22"/>
          <w:lang w:val="sr-Latn-ME"/>
        </w:rPr>
        <w:t>om</w:t>
      </w:r>
      <w:r w:rsidRPr="001A7371">
        <w:rPr>
          <w:sz w:val="22"/>
          <w:szCs w:val="22"/>
          <w:lang w:val="sr-Latn-ME"/>
        </w:rPr>
        <w:t xml:space="preserve"> </w:t>
      </w:r>
      <w:r w:rsidR="00C46E3C" w:rsidRPr="001A7371">
        <w:rPr>
          <w:sz w:val="22"/>
          <w:szCs w:val="22"/>
          <w:lang w:val="sr-Latn-ME"/>
        </w:rPr>
        <w:t>nakon koje je uslijedila primjena cisplatina.</w:t>
      </w:r>
    </w:p>
    <w:p w14:paraId="5163882C" w14:textId="77777777" w:rsidR="000834E9" w:rsidRPr="001A7371" w:rsidRDefault="000834E9" w:rsidP="009C7C12">
      <w:pPr>
        <w:tabs>
          <w:tab w:val="left" w:pos="540"/>
          <w:tab w:val="left" w:pos="569"/>
        </w:tabs>
        <w:jc w:val="both"/>
        <w:rPr>
          <w:bCs/>
          <w:sz w:val="22"/>
          <w:szCs w:val="22"/>
          <w:lang w:val="sr-Latn-ME"/>
        </w:rPr>
      </w:pPr>
    </w:p>
    <w:p w14:paraId="726BD420" w14:textId="77777777" w:rsidR="000834E9" w:rsidRPr="001A7371" w:rsidRDefault="002F6500" w:rsidP="009C7C12">
      <w:pPr>
        <w:tabs>
          <w:tab w:val="left" w:pos="540"/>
          <w:tab w:val="left" w:pos="569"/>
        </w:tabs>
        <w:jc w:val="both"/>
        <w:rPr>
          <w:bCs/>
          <w:sz w:val="22"/>
          <w:szCs w:val="22"/>
          <w:lang w:val="sr-Latn-ME"/>
        </w:rPr>
      </w:pPr>
      <w:r w:rsidRPr="001A7371">
        <w:rPr>
          <w:bCs/>
          <w:sz w:val="22"/>
          <w:szCs w:val="22"/>
          <w:lang w:val="sr-Latn-ME"/>
        </w:rPr>
        <w:t xml:space="preserve">Treba posebno voditi računa da ne dođe do </w:t>
      </w:r>
      <w:r w:rsidRPr="001A7371">
        <w:rPr>
          <w:b/>
          <w:bCs/>
          <w:sz w:val="22"/>
          <w:szCs w:val="22"/>
          <w:lang w:val="sr-Latn-ME"/>
        </w:rPr>
        <w:t>intraarterijske primjene</w:t>
      </w:r>
      <w:r w:rsidRPr="001A7371">
        <w:rPr>
          <w:bCs/>
          <w:sz w:val="22"/>
          <w:szCs w:val="22"/>
          <w:lang w:val="sr-Latn-ME"/>
        </w:rPr>
        <w:t xml:space="preserve"> paklitaksela, pošto su u studijama na životinjama koje su ispitivane na lokalnu podnošljivost uočene teške reakcije tkiva posle intraarterijske aplikacije.</w:t>
      </w:r>
    </w:p>
    <w:p w14:paraId="2DB5CF28" w14:textId="77777777" w:rsidR="001F370F" w:rsidRPr="001A7371" w:rsidRDefault="001F370F" w:rsidP="009C7C12">
      <w:pPr>
        <w:tabs>
          <w:tab w:val="left" w:pos="540"/>
          <w:tab w:val="left" w:pos="569"/>
        </w:tabs>
        <w:jc w:val="both"/>
        <w:rPr>
          <w:bCs/>
          <w:sz w:val="22"/>
          <w:szCs w:val="22"/>
          <w:lang w:val="sr-Latn-ME"/>
        </w:rPr>
      </w:pPr>
    </w:p>
    <w:p w14:paraId="32D8EB01" w14:textId="7D800C51" w:rsidR="002F6500" w:rsidRPr="001A7371" w:rsidRDefault="001F370F" w:rsidP="001F370F">
      <w:pPr>
        <w:tabs>
          <w:tab w:val="left" w:pos="540"/>
          <w:tab w:val="left" w:pos="569"/>
        </w:tabs>
        <w:jc w:val="both"/>
        <w:rPr>
          <w:bCs/>
          <w:sz w:val="22"/>
          <w:szCs w:val="22"/>
          <w:lang w:val="sr-Latn-ME"/>
        </w:rPr>
      </w:pPr>
      <w:r w:rsidRPr="001A7371">
        <w:rPr>
          <w:bCs/>
          <w:sz w:val="22"/>
          <w:szCs w:val="22"/>
          <w:lang w:val="sr-Latn-ME"/>
        </w:rPr>
        <w:t xml:space="preserve">Paklitaksel u kombinaciji sa zračenjem pluća može, bez obzira na </w:t>
      </w:r>
      <w:r w:rsidR="00C46E3C" w:rsidRPr="001A7371">
        <w:rPr>
          <w:bCs/>
          <w:sz w:val="22"/>
          <w:szCs w:val="22"/>
          <w:lang w:val="sr-Latn-ME"/>
        </w:rPr>
        <w:t xml:space="preserve">redosljed </w:t>
      </w:r>
      <w:r w:rsidRPr="001A7371">
        <w:rPr>
          <w:bCs/>
          <w:sz w:val="22"/>
          <w:szCs w:val="22"/>
          <w:lang w:val="sr-Latn-ME"/>
        </w:rPr>
        <w:t xml:space="preserve">primjene, da doprinese razvoju </w:t>
      </w:r>
      <w:r w:rsidRPr="001A7371">
        <w:rPr>
          <w:b/>
          <w:bCs/>
          <w:sz w:val="22"/>
          <w:szCs w:val="22"/>
          <w:lang w:val="sr-Latn-ME"/>
        </w:rPr>
        <w:t>intersticijskog pneumonitisa</w:t>
      </w:r>
      <w:r w:rsidRPr="001A7371">
        <w:rPr>
          <w:bCs/>
          <w:sz w:val="22"/>
          <w:szCs w:val="22"/>
          <w:lang w:val="sr-Latn-ME"/>
        </w:rPr>
        <w:t>.</w:t>
      </w:r>
    </w:p>
    <w:p w14:paraId="46BC450D" w14:textId="77777777" w:rsidR="00E41844" w:rsidRPr="001A7371" w:rsidRDefault="00E41844" w:rsidP="001F370F">
      <w:pPr>
        <w:tabs>
          <w:tab w:val="left" w:pos="540"/>
          <w:tab w:val="left" w:pos="569"/>
        </w:tabs>
        <w:jc w:val="both"/>
        <w:rPr>
          <w:bCs/>
          <w:sz w:val="22"/>
          <w:szCs w:val="22"/>
          <w:lang w:val="sr-Latn-ME"/>
        </w:rPr>
      </w:pPr>
    </w:p>
    <w:p w14:paraId="3FB1ECB3" w14:textId="4F22D130" w:rsidR="00E41844" w:rsidRPr="001A7371" w:rsidRDefault="00E41844" w:rsidP="00E41844">
      <w:pPr>
        <w:tabs>
          <w:tab w:val="left" w:pos="540"/>
          <w:tab w:val="left" w:pos="569"/>
        </w:tabs>
        <w:jc w:val="both"/>
        <w:rPr>
          <w:bCs/>
          <w:sz w:val="22"/>
          <w:szCs w:val="22"/>
          <w:lang w:val="sr-Latn-ME"/>
        </w:rPr>
      </w:pPr>
      <w:r w:rsidRPr="001A7371">
        <w:rPr>
          <w:bCs/>
          <w:sz w:val="22"/>
          <w:szCs w:val="22"/>
          <w:lang w:val="sr-Latn-ME"/>
        </w:rPr>
        <w:t xml:space="preserve">Ovaj lijek sadrži </w:t>
      </w:r>
      <w:r w:rsidR="00031394" w:rsidRPr="001A7371">
        <w:rPr>
          <w:bCs/>
          <w:sz w:val="22"/>
          <w:szCs w:val="22"/>
          <w:lang w:val="sr-Latn-ME"/>
        </w:rPr>
        <w:t>etanol (385mg/ml)</w:t>
      </w:r>
      <w:r w:rsidRPr="001A7371">
        <w:rPr>
          <w:bCs/>
          <w:sz w:val="22"/>
          <w:szCs w:val="22"/>
          <w:lang w:val="sr-Latn-ME"/>
        </w:rPr>
        <w:t xml:space="preserve"> </w:t>
      </w:r>
      <w:r w:rsidR="00164656" w:rsidRPr="001A7371">
        <w:rPr>
          <w:bCs/>
          <w:sz w:val="22"/>
          <w:szCs w:val="22"/>
          <w:lang w:val="sr-Latn-ME"/>
        </w:rPr>
        <w:t>te je potrebno voditi računa o mogućim efektima na centralni nervni sistem i ostalim efektima.</w:t>
      </w:r>
    </w:p>
    <w:p w14:paraId="27D254DD" w14:textId="77777777" w:rsidR="00E41844" w:rsidRPr="001A7371" w:rsidRDefault="00E41844" w:rsidP="001F370F">
      <w:pPr>
        <w:tabs>
          <w:tab w:val="left" w:pos="540"/>
          <w:tab w:val="left" w:pos="569"/>
        </w:tabs>
        <w:jc w:val="both"/>
        <w:rPr>
          <w:bCs/>
          <w:sz w:val="22"/>
          <w:szCs w:val="22"/>
          <w:lang w:val="sr-Latn-ME"/>
        </w:rPr>
      </w:pPr>
    </w:p>
    <w:p w14:paraId="4B0E60DA" w14:textId="05C00132" w:rsidR="00E41844" w:rsidRPr="001A7371" w:rsidRDefault="00E41844" w:rsidP="001F370F">
      <w:pPr>
        <w:tabs>
          <w:tab w:val="left" w:pos="540"/>
          <w:tab w:val="left" w:pos="569"/>
        </w:tabs>
        <w:jc w:val="both"/>
        <w:rPr>
          <w:bCs/>
          <w:sz w:val="22"/>
          <w:szCs w:val="22"/>
          <w:lang w:val="sr-Latn-ME"/>
        </w:rPr>
      </w:pPr>
      <w:r w:rsidRPr="001A7371">
        <w:rPr>
          <w:bCs/>
          <w:sz w:val="22"/>
          <w:szCs w:val="22"/>
          <w:lang w:val="sr-Latn-ME"/>
        </w:rPr>
        <w:t>Makrogolglicerolricinoleat (</w:t>
      </w:r>
      <w:r w:rsidR="00164656" w:rsidRPr="001A7371">
        <w:rPr>
          <w:bCs/>
          <w:sz w:val="22"/>
          <w:szCs w:val="22"/>
          <w:lang w:val="sr-Latn-ME"/>
        </w:rPr>
        <w:t xml:space="preserve">polioksietilirano </w:t>
      </w:r>
      <w:r w:rsidRPr="001A7371">
        <w:rPr>
          <w:bCs/>
          <w:sz w:val="22"/>
          <w:szCs w:val="22"/>
          <w:lang w:val="sr-Latn-ME"/>
        </w:rPr>
        <w:t>ricinusovo ulje), pomoćna supstanca u ovom lijeku, može da izazove ozbiljne reakcije preosjetljivosti.</w:t>
      </w:r>
    </w:p>
    <w:p w14:paraId="01A65860" w14:textId="77777777" w:rsidR="00E41844" w:rsidRPr="001A7371" w:rsidRDefault="00E41844" w:rsidP="001F370F">
      <w:pPr>
        <w:tabs>
          <w:tab w:val="left" w:pos="540"/>
          <w:tab w:val="left" w:pos="569"/>
        </w:tabs>
        <w:jc w:val="both"/>
        <w:rPr>
          <w:bCs/>
          <w:sz w:val="22"/>
          <w:szCs w:val="22"/>
          <w:lang w:val="sr-Latn-ME"/>
        </w:rPr>
      </w:pPr>
    </w:p>
    <w:p w14:paraId="659911CC" w14:textId="7816AEA5" w:rsidR="00E41844" w:rsidRPr="001A7371" w:rsidRDefault="00E41844" w:rsidP="00E41844">
      <w:pPr>
        <w:tabs>
          <w:tab w:val="left" w:pos="540"/>
          <w:tab w:val="left" w:pos="569"/>
        </w:tabs>
        <w:jc w:val="both"/>
        <w:rPr>
          <w:bCs/>
          <w:sz w:val="22"/>
          <w:szCs w:val="22"/>
          <w:lang w:val="sr-Latn-ME"/>
        </w:rPr>
      </w:pPr>
      <w:r w:rsidRPr="001A7371">
        <w:rPr>
          <w:b/>
          <w:bCs/>
          <w:sz w:val="22"/>
          <w:szCs w:val="22"/>
          <w:lang w:val="sr-Latn-ME"/>
        </w:rPr>
        <w:t xml:space="preserve">Pseudomembranozni kolitis </w:t>
      </w:r>
      <w:r w:rsidRPr="001A7371">
        <w:rPr>
          <w:bCs/>
          <w:sz w:val="22"/>
          <w:szCs w:val="22"/>
          <w:lang w:val="sr-Latn-ME"/>
        </w:rPr>
        <w:t>zabilježen je rijetko, uključujući slučajeve pacijenata koji ni</w:t>
      </w:r>
      <w:r w:rsidR="00164656" w:rsidRPr="001A7371">
        <w:rPr>
          <w:bCs/>
          <w:sz w:val="22"/>
          <w:szCs w:val="22"/>
          <w:lang w:val="sr-Latn-ME"/>
        </w:rPr>
        <w:t>je</w:t>
      </w:r>
      <w:r w:rsidRPr="001A7371">
        <w:rPr>
          <w:bCs/>
          <w:sz w:val="22"/>
          <w:szCs w:val="22"/>
          <w:lang w:val="sr-Latn-ME"/>
        </w:rPr>
        <w:t>su istovremeno liječeni antibioticima. Ov</w:t>
      </w:r>
      <w:r w:rsidR="00164656" w:rsidRPr="001A7371">
        <w:rPr>
          <w:bCs/>
          <w:sz w:val="22"/>
          <w:szCs w:val="22"/>
          <w:lang w:val="sr-Latn-ME"/>
        </w:rPr>
        <w:t>u</w:t>
      </w:r>
      <w:r w:rsidRPr="001A7371">
        <w:rPr>
          <w:bCs/>
          <w:sz w:val="22"/>
          <w:szCs w:val="22"/>
          <w:lang w:val="sr-Latn-ME"/>
        </w:rPr>
        <w:t xml:space="preserve"> neželjen</w:t>
      </w:r>
      <w:r w:rsidR="00164656" w:rsidRPr="001A7371">
        <w:rPr>
          <w:bCs/>
          <w:sz w:val="22"/>
          <w:szCs w:val="22"/>
          <w:lang w:val="sr-Latn-ME"/>
        </w:rPr>
        <w:t>u reakciju</w:t>
      </w:r>
      <w:r w:rsidRPr="001A7371">
        <w:rPr>
          <w:bCs/>
          <w:sz w:val="22"/>
          <w:szCs w:val="22"/>
          <w:lang w:val="sr-Latn-ME"/>
        </w:rPr>
        <w:t xml:space="preserve"> treba imati na umu u slučaju teškog ili perzistirajućeg proliva koji se javlja tokom ili kratko posle liječenja paklitakselom.</w:t>
      </w:r>
    </w:p>
    <w:p w14:paraId="3C4C9E6B" w14:textId="77777777" w:rsidR="00E41844" w:rsidRPr="001A7371" w:rsidRDefault="00E41844" w:rsidP="00E41844">
      <w:pPr>
        <w:tabs>
          <w:tab w:val="left" w:pos="540"/>
          <w:tab w:val="left" w:pos="569"/>
        </w:tabs>
        <w:jc w:val="both"/>
        <w:rPr>
          <w:bCs/>
          <w:sz w:val="22"/>
          <w:szCs w:val="22"/>
          <w:lang w:val="sr-Latn-ME"/>
        </w:rPr>
      </w:pPr>
    </w:p>
    <w:p w14:paraId="626655F8" w14:textId="77777777" w:rsidR="00E41844" w:rsidRPr="001A7371" w:rsidRDefault="00E41844" w:rsidP="001F370F">
      <w:pPr>
        <w:tabs>
          <w:tab w:val="left" w:pos="540"/>
          <w:tab w:val="left" w:pos="569"/>
        </w:tabs>
        <w:jc w:val="both"/>
        <w:rPr>
          <w:bCs/>
          <w:sz w:val="22"/>
          <w:szCs w:val="22"/>
          <w:lang w:val="sr-Latn-ME"/>
        </w:rPr>
      </w:pPr>
      <w:r w:rsidRPr="001A7371">
        <w:rPr>
          <w:b/>
          <w:bCs/>
          <w:sz w:val="22"/>
          <w:szCs w:val="22"/>
          <w:lang w:val="sr-Latn-ME"/>
        </w:rPr>
        <w:t>Teški mukozitis</w:t>
      </w:r>
      <w:r w:rsidRPr="001A7371">
        <w:rPr>
          <w:bCs/>
          <w:sz w:val="22"/>
          <w:szCs w:val="22"/>
          <w:lang w:val="sr-Latn-ME"/>
        </w:rPr>
        <w:t xml:space="preserve"> kod pacijenata sa KS je rijedak. Ako se pojave ozbiljne reakcije potrebno je sniziti dozu paklitaksela za 25%.</w:t>
      </w:r>
    </w:p>
    <w:p w14:paraId="0AFD08E7" w14:textId="77777777" w:rsidR="00E41844" w:rsidRPr="001A7371" w:rsidRDefault="00E41844" w:rsidP="001F370F">
      <w:pPr>
        <w:tabs>
          <w:tab w:val="left" w:pos="540"/>
          <w:tab w:val="left" w:pos="569"/>
        </w:tabs>
        <w:jc w:val="both"/>
        <w:rPr>
          <w:bCs/>
          <w:sz w:val="22"/>
          <w:szCs w:val="22"/>
          <w:lang w:val="sr-Latn-ME"/>
        </w:rPr>
      </w:pPr>
    </w:p>
    <w:p w14:paraId="284B386C" w14:textId="6B1D9365" w:rsidR="00E41844" w:rsidRPr="001A7371" w:rsidRDefault="00E41844" w:rsidP="001F370F">
      <w:pPr>
        <w:tabs>
          <w:tab w:val="left" w:pos="540"/>
          <w:tab w:val="left" w:pos="569"/>
        </w:tabs>
        <w:jc w:val="both"/>
        <w:rPr>
          <w:bCs/>
          <w:sz w:val="22"/>
          <w:szCs w:val="22"/>
          <w:lang w:val="sr-Latn-ME"/>
        </w:rPr>
      </w:pPr>
      <w:r w:rsidRPr="001A7371">
        <w:rPr>
          <w:bCs/>
          <w:sz w:val="22"/>
          <w:szCs w:val="22"/>
          <w:lang w:val="sr-Latn-ME"/>
        </w:rPr>
        <w:lastRenderedPageBreak/>
        <w:t>Paklitaksel je pokazao teratogena, embriotoksična i mutagena svojstva u mnogim eksperimentalnim sistemima. Zbog toga je neophodno da muškarci i žene u reproduktivnom periodu koriste kontracepciju tokom i najmanje 6 mjeseci nakon liječenja paklitakselom (vidjeti dio 4.6.). Hormonska kontracepcija je kontraindikovana kod pacijenata sa tumorima sa pozitivnim hormonskim receptorima.</w:t>
      </w:r>
    </w:p>
    <w:p w14:paraId="68C04B0B" w14:textId="77777777" w:rsidR="002F6500" w:rsidRPr="001A7371" w:rsidRDefault="002F6500" w:rsidP="009C7C12">
      <w:pPr>
        <w:tabs>
          <w:tab w:val="left" w:pos="540"/>
          <w:tab w:val="left" w:pos="569"/>
        </w:tabs>
        <w:jc w:val="both"/>
        <w:rPr>
          <w:bCs/>
          <w:sz w:val="22"/>
          <w:szCs w:val="22"/>
          <w:lang w:val="sr-Latn-ME"/>
        </w:rPr>
      </w:pPr>
    </w:p>
    <w:p w14:paraId="340BCD99" w14:textId="3C3EAF8B" w:rsidR="00411B4B" w:rsidRPr="001A7371" w:rsidRDefault="00411B4B" w:rsidP="009C7C12">
      <w:pPr>
        <w:tabs>
          <w:tab w:val="left" w:pos="540"/>
          <w:tab w:val="left" w:pos="569"/>
        </w:tabs>
        <w:jc w:val="both"/>
        <w:rPr>
          <w:b/>
          <w:bCs/>
          <w:sz w:val="22"/>
          <w:szCs w:val="22"/>
          <w:lang w:val="sr-Latn-ME"/>
        </w:rPr>
      </w:pPr>
      <w:r w:rsidRPr="001A7371">
        <w:rPr>
          <w:b/>
          <w:bCs/>
          <w:sz w:val="22"/>
          <w:szCs w:val="22"/>
          <w:lang w:val="sr-Latn-ME"/>
        </w:rPr>
        <w:t>4.5.</w:t>
      </w:r>
      <w:r w:rsidR="0002069B" w:rsidRPr="001A7371">
        <w:rPr>
          <w:b/>
          <w:bCs/>
          <w:sz w:val="22"/>
          <w:szCs w:val="22"/>
          <w:lang w:val="sr-Latn-ME"/>
        </w:rPr>
        <w:t xml:space="preserve"> </w:t>
      </w:r>
      <w:r w:rsidR="00BD456C" w:rsidRPr="001A7371">
        <w:rPr>
          <w:b/>
          <w:bCs/>
          <w:sz w:val="22"/>
          <w:szCs w:val="22"/>
          <w:lang w:val="sr-Latn-ME"/>
        </w:rPr>
        <w:t xml:space="preserve"> </w:t>
      </w:r>
      <w:r w:rsidRPr="001A7371">
        <w:rPr>
          <w:b/>
          <w:bCs/>
          <w:sz w:val="22"/>
          <w:szCs w:val="22"/>
          <w:lang w:val="sr-Latn-ME"/>
        </w:rPr>
        <w:t>Interakcije sa drugim ljekovima i druge vrste interakcija</w:t>
      </w:r>
    </w:p>
    <w:p w14:paraId="43DB2FF0" w14:textId="77777777" w:rsidR="0002069B" w:rsidRPr="001A7371" w:rsidRDefault="0002069B" w:rsidP="009C7C12">
      <w:pPr>
        <w:tabs>
          <w:tab w:val="left" w:pos="540"/>
          <w:tab w:val="left" w:pos="569"/>
        </w:tabs>
        <w:jc w:val="both"/>
        <w:rPr>
          <w:b/>
          <w:bCs/>
          <w:sz w:val="22"/>
          <w:szCs w:val="22"/>
          <w:lang w:val="sr-Latn-ME"/>
        </w:rPr>
      </w:pPr>
    </w:p>
    <w:p w14:paraId="4ACADD5C" w14:textId="3A5334A2" w:rsidR="0002069B" w:rsidRPr="001A7371" w:rsidRDefault="0002069B" w:rsidP="0002069B">
      <w:pPr>
        <w:tabs>
          <w:tab w:val="left" w:pos="540"/>
          <w:tab w:val="left" w:pos="569"/>
        </w:tabs>
        <w:jc w:val="both"/>
        <w:rPr>
          <w:bCs/>
          <w:sz w:val="22"/>
          <w:szCs w:val="22"/>
          <w:lang w:val="sr-Latn-ME"/>
        </w:rPr>
      </w:pPr>
      <w:r w:rsidRPr="001A7371">
        <w:rPr>
          <w:bCs/>
          <w:sz w:val="22"/>
          <w:szCs w:val="22"/>
          <w:lang w:val="sr-Latn-ME"/>
        </w:rPr>
        <w:t xml:space="preserve">Preporučuje se da se paklitaksel primjenjuje prije cisplatina u prvoj liniji hemioterapije </w:t>
      </w:r>
      <w:r w:rsidR="00164656" w:rsidRPr="001A7371">
        <w:rPr>
          <w:bCs/>
          <w:sz w:val="22"/>
          <w:szCs w:val="22"/>
          <w:lang w:val="sr-Latn-ME"/>
        </w:rPr>
        <w:t xml:space="preserve">karcinoma </w:t>
      </w:r>
      <w:r w:rsidRPr="001A7371">
        <w:rPr>
          <w:bCs/>
          <w:sz w:val="22"/>
          <w:szCs w:val="22"/>
          <w:lang w:val="sr-Latn-ME"/>
        </w:rPr>
        <w:t>jajnika. Kada se paklitaksel primjenjuje prije cisplatina profil bezbjednosti je isti kao kada se primjenjuje paklitaksel kao monoterapija. Kada se paklitaksel primjenjivao nakon cisplatina, došlo je do pojave težeg oblika mijelosupresije i smanjenja klirensa paklitaksela za oko 20%. Pacijenti koji se liječe paklitakselom i cisplatinom mogu imati povećan rizik od nastanka bubrežne insuficijencije u poređenju sa primjenom cisplatina u monoterapiji kod ginekoloških karcinoma.</w:t>
      </w:r>
    </w:p>
    <w:p w14:paraId="639ADDB9" w14:textId="77777777" w:rsidR="0002069B" w:rsidRPr="001A7371" w:rsidRDefault="0002069B" w:rsidP="0002069B">
      <w:pPr>
        <w:tabs>
          <w:tab w:val="left" w:pos="540"/>
          <w:tab w:val="left" w:pos="569"/>
        </w:tabs>
        <w:jc w:val="both"/>
        <w:rPr>
          <w:bCs/>
          <w:sz w:val="22"/>
          <w:szCs w:val="22"/>
          <w:lang w:val="sr-Latn-ME"/>
        </w:rPr>
      </w:pPr>
      <w:r w:rsidRPr="001A7371">
        <w:rPr>
          <w:bCs/>
          <w:sz w:val="22"/>
          <w:szCs w:val="22"/>
          <w:lang w:val="sr-Latn-ME"/>
        </w:rPr>
        <w:t xml:space="preserve"> </w:t>
      </w:r>
    </w:p>
    <w:p w14:paraId="4738F11A" w14:textId="77777777" w:rsidR="0002069B" w:rsidRPr="001A7371" w:rsidRDefault="0002069B" w:rsidP="0002069B">
      <w:pPr>
        <w:tabs>
          <w:tab w:val="left" w:pos="540"/>
          <w:tab w:val="left" w:pos="569"/>
        </w:tabs>
        <w:jc w:val="both"/>
        <w:rPr>
          <w:bCs/>
          <w:sz w:val="22"/>
          <w:szCs w:val="22"/>
          <w:lang w:val="sr-Latn-ME"/>
        </w:rPr>
      </w:pPr>
      <w:r w:rsidRPr="001A7371">
        <w:rPr>
          <w:bCs/>
          <w:sz w:val="22"/>
          <w:szCs w:val="22"/>
          <w:lang w:val="sr-Latn-ME"/>
        </w:rPr>
        <w:t>Budući da može doći do smanjene eliminacije doksorubicina i njegovih aktivnih metabolita u                  slučaju kada se paklitaksel i doksorubicin daju u okviru kratkog vremenskog intervala, u prvoj liniji liječenja metastatskog karcinoma dojke, paklitaksel se mora davati 24 sata nakon doksorubicina (vidjeti dio 5.2).</w:t>
      </w:r>
    </w:p>
    <w:p w14:paraId="6E8645B0" w14:textId="77777777" w:rsidR="0002069B" w:rsidRPr="001A7371" w:rsidRDefault="0002069B" w:rsidP="0002069B">
      <w:pPr>
        <w:tabs>
          <w:tab w:val="left" w:pos="540"/>
          <w:tab w:val="left" w:pos="569"/>
        </w:tabs>
        <w:jc w:val="both"/>
        <w:rPr>
          <w:bCs/>
          <w:sz w:val="22"/>
          <w:szCs w:val="22"/>
          <w:lang w:val="sr-Latn-ME"/>
        </w:rPr>
      </w:pPr>
    </w:p>
    <w:p w14:paraId="302C6993" w14:textId="2516EE24" w:rsidR="0002069B" w:rsidRPr="001A7371" w:rsidRDefault="0002069B" w:rsidP="0002069B">
      <w:pPr>
        <w:tabs>
          <w:tab w:val="left" w:pos="540"/>
          <w:tab w:val="left" w:pos="569"/>
        </w:tabs>
        <w:jc w:val="both"/>
        <w:rPr>
          <w:bCs/>
          <w:sz w:val="22"/>
          <w:szCs w:val="22"/>
          <w:lang w:val="sr-Latn-ME"/>
        </w:rPr>
      </w:pPr>
      <w:r w:rsidRPr="001A7371">
        <w:rPr>
          <w:bCs/>
          <w:sz w:val="22"/>
          <w:szCs w:val="22"/>
          <w:lang w:val="sr-Latn-ME"/>
        </w:rPr>
        <w:t>Metabolizam paklitaksela dijelom kataliziraju izoenzimi citohroma P450 CYP2C8 i CYP3A4. U nedostatku farmakokinetičkih ispitivanja interakcija među ljekovima, potreban je povećan oprez kod primjene paklitaksela istovremeno sa ljekovima poznatim kao inhibitori CYP2C8 ili CYP3A4 (npr. ketokonazol i ostali imidazoli,</w:t>
      </w:r>
      <w:r w:rsidR="00A20F49" w:rsidRPr="001A7371">
        <w:rPr>
          <w:bCs/>
          <w:sz w:val="22"/>
          <w:szCs w:val="22"/>
          <w:lang w:val="sr-Latn-ME"/>
        </w:rPr>
        <w:t xml:space="preserve"> antimikotici,</w:t>
      </w:r>
      <w:r w:rsidRPr="001A7371">
        <w:rPr>
          <w:bCs/>
          <w:sz w:val="22"/>
          <w:szCs w:val="22"/>
          <w:lang w:val="sr-Latn-ME"/>
        </w:rPr>
        <w:t xml:space="preserve"> eritromicin, fluoksetin, gemfibrozil, klopidogrel, cimetidin, ritonavir, sakvinavir, indinavir i nelfinavir), zbog toga što toksičnost paklitaksela može biti povećana zbog povećane izloženosti. Primjena paklitaksela istovremeno sa ljekovima koji indukuju bilo CYP2C8 ili CYP3A4 enzime (kao što su rifampicin, karbamazepin, fenitoin, efavirenz, nevirapin) se ne preporučuje zbog smanjene efikasnosti paklitaksela, usljed smanjene izloženosti paklitakselu.</w:t>
      </w:r>
    </w:p>
    <w:p w14:paraId="32DAF0F6" w14:textId="77777777" w:rsidR="0002069B" w:rsidRPr="001A7371" w:rsidRDefault="0002069B" w:rsidP="0002069B">
      <w:pPr>
        <w:tabs>
          <w:tab w:val="left" w:pos="540"/>
          <w:tab w:val="left" w:pos="569"/>
        </w:tabs>
        <w:jc w:val="both"/>
        <w:rPr>
          <w:bCs/>
          <w:sz w:val="22"/>
          <w:szCs w:val="22"/>
          <w:lang w:val="sr-Latn-ME"/>
        </w:rPr>
      </w:pPr>
    </w:p>
    <w:p w14:paraId="145AEEED" w14:textId="77777777" w:rsidR="0002069B" w:rsidRPr="001A7371" w:rsidRDefault="0002069B" w:rsidP="0002069B">
      <w:pPr>
        <w:tabs>
          <w:tab w:val="left" w:pos="540"/>
          <w:tab w:val="left" w:pos="569"/>
        </w:tabs>
        <w:jc w:val="both"/>
        <w:rPr>
          <w:bCs/>
          <w:sz w:val="22"/>
          <w:szCs w:val="22"/>
          <w:lang w:val="sr-Latn-ME"/>
        </w:rPr>
      </w:pPr>
      <w:r w:rsidRPr="001A7371">
        <w:rPr>
          <w:bCs/>
          <w:sz w:val="22"/>
          <w:szCs w:val="22"/>
          <w:lang w:val="sr-Latn-ME"/>
        </w:rPr>
        <w:t>Ispitivanja kod pacijenata sa KS koji su istovremeno primali nekoliko ljekova, ukazuju da je sistemski klirens paklitaksela značajno niži u prisustvu nelfinavira i ritonavira, ali ne i indinavira. Nema dovoljno informacija o interakcijama sa drugim inhibitorima proteaze. Paklitaksel se zbog toga mora primjenjivati sa oprezom kod pacijenata koji istovremeno primaju inhibitore proteaze.</w:t>
      </w:r>
    </w:p>
    <w:p w14:paraId="7F8CC09A" w14:textId="77777777" w:rsidR="0072020E" w:rsidRPr="001A7371" w:rsidRDefault="0072020E" w:rsidP="00480FB1">
      <w:pPr>
        <w:tabs>
          <w:tab w:val="left" w:pos="540"/>
          <w:tab w:val="left" w:pos="569"/>
        </w:tabs>
        <w:rPr>
          <w:bCs/>
          <w:sz w:val="22"/>
          <w:szCs w:val="22"/>
          <w:lang w:val="sr-Latn-ME"/>
        </w:rPr>
      </w:pPr>
    </w:p>
    <w:p w14:paraId="55C5D139" w14:textId="77777777" w:rsidR="0072020E" w:rsidRPr="001A7371" w:rsidRDefault="0072020E" w:rsidP="00480FB1">
      <w:pPr>
        <w:tabs>
          <w:tab w:val="left" w:pos="540"/>
          <w:tab w:val="left" w:pos="569"/>
        </w:tabs>
        <w:rPr>
          <w:b/>
          <w:sz w:val="22"/>
          <w:szCs w:val="22"/>
          <w:lang w:val="sr-Latn-ME"/>
        </w:rPr>
      </w:pPr>
      <w:r w:rsidRPr="001A7371">
        <w:rPr>
          <w:b/>
          <w:bCs/>
          <w:sz w:val="22"/>
          <w:szCs w:val="22"/>
          <w:lang w:val="sr-Latn-ME"/>
        </w:rPr>
        <w:t xml:space="preserve">4.6. </w:t>
      </w:r>
      <w:r w:rsidR="00480FB1" w:rsidRPr="001A7371">
        <w:rPr>
          <w:b/>
          <w:bCs/>
          <w:sz w:val="22"/>
          <w:szCs w:val="22"/>
          <w:lang w:val="sr-Latn-ME"/>
        </w:rPr>
        <w:tab/>
      </w:r>
      <w:r w:rsidR="006D20A5" w:rsidRPr="001A7371">
        <w:rPr>
          <w:b/>
          <w:sz w:val="22"/>
          <w:szCs w:val="22"/>
          <w:lang w:val="sr-Latn-ME"/>
        </w:rPr>
        <w:t>Plodnost, trudnoća i dojenje</w:t>
      </w:r>
    </w:p>
    <w:p w14:paraId="20F86C86" w14:textId="77777777" w:rsidR="00A20F49" w:rsidRPr="001A7371" w:rsidRDefault="00A20F49" w:rsidP="00480FB1">
      <w:pPr>
        <w:tabs>
          <w:tab w:val="left" w:pos="540"/>
          <w:tab w:val="left" w:pos="569"/>
        </w:tabs>
        <w:rPr>
          <w:b/>
          <w:sz w:val="22"/>
          <w:szCs w:val="22"/>
          <w:lang w:val="sr-Latn-ME"/>
        </w:rPr>
      </w:pPr>
    </w:p>
    <w:p w14:paraId="75680AF9" w14:textId="77777777" w:rsidR="00A20F49" w:rsidRPr="001A7371" w:rsidRDefault="00A20F49" w:rsidP="00A20F49">
      <w:pPr>
        <w:tabs>
          <w:tab w:val="left" w:pos="540"/>
          <w:tab w:val="left" w:pos="569"/>
        </w:tabs>
        <w:jc w:val="both"/>
        <w:rPr>
          <w:bCs/>
          <w:sz w:val="22"/>
          <w:szCs w:val="22"/>
          <w:u w:val="single"/>
          <w:lang w:val="sr-Latn-ME"/>
        </w:rPr>
      </w:pPr>
      <w:r w:rsidRPr="001A7371">
        <w:rPr>
          <w:bCs/>
          <w:sz w:val="22"/>
          <w:szCs w:val="22"/>
          <w:u w:val="single"/>
          <w:lang w:val="sr-Latn-ME"/>
        </w:rPr>
        <w:t>Plodnost</w:t>
      </w:r>
    </w:p>
    <w:p w14:paraId="3379D86F" w14:textId="77777777" w:rsidR="00A20F49" w:rsidRPr="001A7371" w:rsidRDefault="00A20F49" w:rsidP="00A20F49">
      <w:pPr>
        <w:tabs>
          <w:tab w:val="left" w:pos="540"/>
          <w:tab w:val="left" w:pos="569"/>
        </w:tabs>
        <w:jc w:val="both"/>
        <w:rPr>
          <w:bCs/>
          <w:sz w:val="22"/>
          <w:szCs w:val="22"/>
          <w:lang w:val="sr-Latn-ME"/>
        </w:rPr>
      </w:pPr>
      <w:r w:rsidRPr="001A7371">
        <w:rPr>
          <w:bCs/>
          <w:sz w:val="22"/>
          <w:szCs w:val="22"/>
          <w:lang w:val="sr-Latn-ME"/>
        </w:rPr>
        <w:t>Paklitaksel smanjuje fertilitet kod mužjaka pacova (vidjeti dio 5.3.). Relevantnost za ljude je nepoznata.</w:t>
      </w:r>
    </w:p>
    <w:p w14:paraId="6470FC67" w14:textId="54734E06" w:rsidR="00A20F49" w:rsidRPr="001A7371" w:rsidRDefault="00A20F49" w:rsidP="00A20F49">
      <w:pPr>
        <w:tabs>
          <w:tab w:val="left" w:pos="540"/>
          <w:tab w:val="left" w:pos="569"/>
        </w:tabs>
        <w:jc w:val="both"/>
        <w:rPr>
          <w:bCs/>
          <w:sz w:val="22"/>
          <w:szCs w:val="22"/>
          <w:lang w:val="sr-Latn-ME"/>
        </w:rPr>
      </w:pPr>
      <w:r w:rsidRPr="001A7371">
        <w:rPr>
          <w:bCs/>
          <w:sz w:val="22"/>
          <w:szCs w:val="22"/>
          <w:lang w:val="sr-Latn-ME"/>
        </w:rPr>
        <w:t>Pacijenti muškog pola teba da potraže savjet u vezi kriokonzervacije sperme prije primjene paklitaksela, zbog moguće ireverzibilne neplodnosti zbog terapije paklitakselom.</w:t>
      </w:r>
    </w:p>
    <w:p w14:paraId="765EC3D2" w14:textId="77777777" w:rsidR="002031B3" w:rsidRPr="001A7371" w:rsidRDefault="002031B3" w:rsidP="00480FB1">
      <w:pPr>
        <w:tabs>
          <w:tab w:val="left" w:pos="540"/>
          <w:tab w:val="left" w:pos="569"/>
        </w:tabs>
        <w:rPr>
          <w:sz w:val="22"/>
          <w:szCs w:val="22"/>
          <w:u w:val="single"/>
          <w:lang w:val="sr-Latn-ME"/>
        </w:rPr>
      </w:pPr>
    </w:p>
    <w:p w14:paraId="2C8B46BA" w14:textId="77777777" w:rsidR="007A3ECB" w:rsidRPr="001A7371" w:rsidRDefault="007A3ECB" w:rsidP="00480FB1">
      <w:pPr>
        <w:tabs>
          <w:tab w:val="left" w:pos="540"/>
          <w:tab w:val="left" w:pos="569"/>
        </w:tabs>
        <w:rPr>
          <w:sz w:val="22"/>
          <w:szCs w:val="22"/>
          <w:u w:val="single"/>
          <w:lang w:val="sr-Latn-ME"/>
        </w:rPr>
      </w:pPr>
      <w:r w:rsidRPr="001A7371">
        <w:rPr>
          <w:sz w:val="22"/>
          <w:szCs w:val="22"/>
          <w:u w:val="single"/>
          <w:lang w:val="sr-Latn-ME"/>
        </w:rPr>
        <w:t>Trudnoća</w:t>
      </w:r>
    </w:p>
    <w:p w14:paraId="762515B9" w14:textId="43715F0A" w:rsidR="00F835B4" w:rsidRPr="001A7371" w:rsidRDefault="0002069B" w:rsidP="00F835B4">
      <w:pPr>
        <w:tabs>
          <w:tab w:val="left" w:pos="540"/>
          <w:tab w:val="left" w:pos="569"/>
        </w:tabs>
        <w:jc w:val="both"/>
        <w:rPr>
          <w:sz w:val="22"/>
          <w:szCs w:val="22"/>
          <w:lang w:val="sr-Latn-ME"/>
        </w:rPr>
      </w:pPr>
      <w:r w:rsidRPr="001A7371">
        <w:rPr>
          <w:sz w:val="22"/>
          <w:szCs w:val="22"/>
          <w:lang w:val="sr-Latn-ME"/>
        </w:rPr>
        <w:t>Podaci o upotrebi paklitaksela kod trudnica su ograničeni.</w:t>
      </w:r>
      <w:r w:rsidR="00F835B4" w:rsidRPr="001A7371">
        <w:rPr>
          <w:lang w:val="sr-Latn-ME"/>
        </w:rPr>
        <w:t xml:space="preserve"> </w:t>
      </w:r>
      <w:r w:rsidR="00F835B4" w:rsidRPr="001A7371">
        <w:rPr>
          <w:sz w:val="22"/>
          <w:szCs w:val="22"/>
          <w:lang w:val="sr-Latn-ME"/>
        </w:rPr>
        <w:t>Sumnja se da paklitaksel izaziva ozbiljne urođene defekte kada se primjenjuje tokom trudnoće.</w:t>
      </w:r>
      <w:r w:rsidRPr="001A7371">
        <w:rPr>
          <w:sz w:val="22"/>
          <w:szCs w:val="22"/>
          <w:lang w:val="sr-Latn-ME"/>
        </w:rPr>
        <w:t xml:space="preserve"> Pokazano je da paklitaksel ima i embriotoksično i fetotoksično dejstvo na kuniće, kao i da smanjuje plodnost kod pacova. Kao što je slučaj i sa drugim citotoksičnim ljekovima, ukoliko se primjenjuje kod trudnica, paklitaksel može dovesti do oštećenja fetusa.</w:t>
      </w:r>
      <w:r w:rsidR="00F835B4" w:rsidRPr="001A7371">
        <w:rPr>
          <w:sz w:val="22"/>
          <w:szCs w:val="22"/>
          <w:lang w:val="sr-Latn-ME"/>
        </w:rPr>
        <w:t xml:space="preserve"> Prema tome, paklitaksel, koncentrat za rastvor za infuziju ne treba </w:t>
      </w:r>
      <w:r w:rsidR="00A20F49" w:rsidRPr="001A7371">
        <w:rPr>
          <w:sz w:val="22"/>
          <w:szCs w:val="22"/>
          <w:lang w:val="sr-Latn-ME"/>
        </w:rPr>
        <w:t xml:space="preserve">primjenjivati </w:t>
      </w:r>
      <w:r w:rsidR="00F835B4" w:rsidRPr="001A7371">
        <w:rPr>
          <w:sz w:val="22"/>
          <w:szCs w:val="22"/>
          <w:lang w:val="sr-Latn-ME"/>
        </w:rPr>
        <w:t xml:space="preserve">tokom trudnoće, osim ukoliko </w:t>
      </w:r>
      <w:r w:rsidR="00A20F49" w:rsidRPr="001A7371">
        <w:rPr>
          <w:sz w:val="22"/>
          <w:szCs w:val="22"/>
          <w:lang w:val="sr-Latn-ME"/>
        </w:rPr>
        <w:t xml:space="preserve">nije nužno. Paklitaksel ne treba da se primjenjuje kod žena koje su u reproduktivnom periodu a ne koriste efikasne metode kontracepcije, osim kada kliničko stanje pacijentkinje zahtjeva primjenu paklitaksela. </w:t>
      </w:r>
    </w:p>
    <w:p w14:paraId="07BF5757" w14:textId="77777777" w:rsidR="00F835B4" w:rsidRPr="001A7371" w:rsidRDefault="00F835B4" w:rsidP="00F835B4">
      <w:pPr>
        <w:tabs>
          <w:tab w:val="left" w:pos="540"/>
          <w:tab w:val="left" w:pos="569"/>
        </w:tabs>
        <w:jc w:val="both"/>
        <w:rPr>
          <w:sz w:val="22"/>
          <w:szCs w:val="22"/>
          <w:lang w:val="sr-Latn-ME"/>
        </w:rPr>
      </w:pPr>
    </w:p>
    <w:p w14:paraId="52866545" w14:textId="6F57DD12" w:rsidR="00F835B4" w:rsidRPr="001A7371" w:rsidRDefault="00F835B4" w:rsidP="00F835B4">
      <w:pPr>
        <w:tabs>
          <w:tab w:val="left" w:pos="540"/>
          <w:tab w:val="left" w:pos="569"/>
        </w:tabs>
        <w:jc w:val="both"/>
        <w:rPr>
          <w:sz w:val="22"/>
          <w:szCs w:val="22"/>
          <w:lang w:val="sr-Latn-ME"/>
        </w:rPr>
      </w:pPr>
      <w:r w:rsidRPr="001A7371">
        <w:rPr>
          <w:sz w:val="22"/>
          <w:szCs w:val="22"/>
          <w:lang w:val="sr-Latn-ME"/>
        </w:rPr>
        <w:t xml:space="preserve">Žene koje mogu da zatrudne treba savjetovati da tokom liječenja ovim lijekom vode računa da ne ostanu u drugom stanju, a da ukoliko zatrudne o tome odmah obavijeste svog ljekara. Muškarci i žene koji su </w:t>
      </w:r>
      <w:r w:rsidRPr="001A7371">
        <w:rPr>
          <w:sz w:val="22"/>
          <w:szCs w:val="22"/>
          <w:lang w:val="sr-Latn-ME"/>
        </w:rPr>
        <w:lastRenderedPageBreak/>
        <w:t>u reproduktivnom periodu, kao i njihovi partneri, treba da koriste kontracepciju tokom, i najmanje 6 mjeseci posle završenog liječenja paklitakselom.</w:t>
      </w:r>
    </w:p>
    <w:p w14:paraId="08E7D88B" w14:textId="77777777" w:rsidR="0002069B" w:rsidRPr="001A7371" w:rsidRDefault="0002069B" w:rsidP="00480FB1">
      <w:pPr>
        <w:tabs>
          <w:tab w:val="left" w:pos="540"/>
          <w:tab w:val="left" w:pos="569"/>
        </w:tabs>
        <w:rPr>
          <w:sz w:val="22"/>
          <w:szCs w:val="22"/>
          <w:u w:val="single"/>
          <w:lang w:val="sr-Latn-ME"/>
        </w:rPr>
      </w:pPr>
    </w:p>
    <w:p w14:paraId="416B031E" w14:textId="77777777" w:rsidR="0072020E" w:rsidRPr="001A7371" w:rsidRDefault="007A3ECB" w:rsidP="00480FB1">
      <w:pPr>
        <w:tabs>
          <w:tab w:val="left" w:pos="540"/>
          <w:tab w:val="left" w:pos="569"/>
        </w:tabs>
        <w:rPr>
          <w:sz w:val="22"/>
          <w:szCs w:val="22"/>
          <w:u w:val="single"/>
          <w:lang w:val="sr-Latn-ME"/>
        </w:rPr>
      </w:pPr>
      <w:r w:rsidRPr="001A7371">
        <w:rPr>
          <w:sz w:val="22"/>
          <w:szCs w:val="22"/>
          <w:u w:val="single"/>
          <w:lang w:val="sr-Latn-ME"/>
        </w:rPr>
        <w:t xml:space="preserve">Dojenje </w:t>
      </w:r>
    </w:p>
    <w:p w14:paraId="41637FB3" w14:textId="18C8DE99" w:rsidR="00F835B4" w:rsidRPr="001A7371" w:rsidRDefault="00F835B4" w:rsidP="00F835B4">
      <w:pPr>
        <w:tabs>
          <w:tab w:val="left" w:pos="540"/>
          <w:tab w:val="left" w:pos="569"/>
        </w:tabs>
        <w:jc w:val="both"/>
        <w:rPr>
          <w:bCs/>
          <w:sz w:val="22"/>
          <w:szCs w:val="22"/>
          <w:lang w:val="sr-Latn-ME"/>
        </w:rPr>
      </w:pPr>
      <w:r w:rsidRPr="001A7371">
        <w:rPr>
          <w:bCs/>
          <w:sz w:val="22"/>
          <w:szCs w:val="22"/>
          <w:lang w:val="sr-Latn-ME"/>
        </w:rPr>
        <w:t>Primjena paklitaksela tokom dojenja je kontraindikovana (vidjeti dio 4.3.).</w:t>
      </w:r>
      <w:r w:rsidRPr="001A7371">
        <w:rPr>
          <w:lang w:val="sr-Latn-ME"/>
        </w:rPr>
        <w:t xml:space="preserve"> </w:t>
      </w:r>
      <w:r w:rsidRPr="001A7371">
        <w:rPr>
          <w:bCs/>
          <w:sz w:val="22"/>
          <w:szCs w:val="22"/>
          <w:lang w:val="sr-Latn-ME"/>
        </w:rPr>
        <w:t>Nije poznato da li se paklitaksel izlučuje u humano mlijeko. Studije na životinjama su pokazale prelazak paklitaksela u mlijeko (vidjeti dio 5.3).</w:t>
      </w:r>
      <w:r w:rsidRPr="001A7371">
        <w:rPr>
          <w:sz w:val="22"/>
          <w:szCs w:val="22"/>
          <w:lang w:val="sr-Latn-ME"/>
        </w:rPr>
        <w:t xml:space="preserve"> </w:t>
      </w:r>
      <w:r w:rsidRPr="001A7371">
        <w:rPr>
          <w:bCs/>
          <w:sz w:val="22"/>
          <w:szCs w:val="22"/>
          <w:lang w:val="sr-Latn-ME"/>
        </w:rPr>
        <w:t>Dok traje liječenje paklitakselom dojenje treba prekinuti.</w:t>
      </w:r>
    </w:p>
    <w:p w14:paraId="2126BBCA" w14:textId="77777777" w:rsidR="00F835B4" w:rsidRPr="001A7371" w:rsidRDefault="00F835B4" w:rsidP="00F835B4">
      <w:pPr>
        <w:tabs>
          <w:tab w:val="left" w:pos="540"/>
          <w:tab w:val="left" w:pos="569"/>
        </w:tabs>
        <w:jc w:val="both"/>
        <w:rPr>
          <w:bCs/>
          <w:sz w:val="22"/>
          <w:szCs w:val="22"/>
          <w:lang w:val="sr-Latn-ME"/>
        </w:rPr>
      </w:pPr>
    </w:p>
    <w:p w14:paraId="1904DE0D" w14:textId="77777777" w:rsidR="00227BDB" w:rsidRPr="001A7371" w:rsidRDefault="00227BDB" w:rsidP="00704537">
      <w:pPr>
        <w:tabs>
          <w:tab w:val="left" w:pos="540"/>
          <w:tab w:val="left" w:pos="569"/>
        </w:tabs>
        <w:rPr>
          <w:b/>
          <w:bCs/>
          <w:sz w:val="22"/>
          <w:szCs w:val="22"/>
          <w:lang w:val="sr-Latn-ME"/>
        </w:rPr>
      </w:pPr>
    </w:p>
    <w:p w14:paraId="6AC7629A" w14:textId="77777777" w:rsidR="0072020E" w:rsidRPr="001A7371" w:rsidRDefault="0072020E" w:rsidP="00396DFD">
      <w:pPr>
        <w:tabs>
          <w:tab w:val="left" w:pos="540"/>
          <w:tab w:val="left" w:pos="569"/>
        </w:tabs>
        <w:ind w:left="540" w:hanging="540"/>
        <w:rPr>
          <w:b/>
          <w:bCs/>
          <w:sz w:val="22"/>
          <w:szCs w:val="22"/>
          <w:lang w:val="sr-Latn-ME"/>
        </w:rPr>
      </w:pPr>
      <w:r w:rsidRPr="001A7371">
        <w:rPr>
          <w:b/>
          <w:bCs/>
          <w:sz w:val="22"/>
          <w:szCs w:val="22"/>
          <w:lang w:val="sr-Latn-ME"/>
        </w:rPr>
        <w:t xml:space="preserve">4.7. </w:t>
      </w:r>
      <w:r w:rsidR="00480FB1" w:rsidRPr="001A7371">
        <w:rPr>
          <w:b/>
          <w:bCs/>
          <w:sz w:val="22"/>
          <w:szCs w:val="22"/>
          <w:lang w:val="sr-Latn-ME"/>
        </w:rPr>
        <w:tab/>
      </w:r>
      <w:r w:rsidRPr="001A7371">
        <w:rPr>
          <w:b/>
          <w:bCs/>
          <w:sz w:val="22"/>
          <w:szCs w:val="22"/>
          <w:lang w:val="sr-Latn-ME"/>
        </w:rPr>
        <w:t xml:space="preserve">Uticaj na </w:t>
      </w:r>
      <w:r w:rsidR="002031B3" w:rsidRPr="001A7371">
        <w:rPr>
          <w:b/>
          <w:bCs/>
          <w:sz w:val="22"/>
          <w:szCs w:val="22"/>
          <w:lang w:val="sr-Latn-ME"/>
        </w:rPr>
        <w:t xml:space="preserve">sposobnost </w:t>
      </w:r>
      <w:r w:rsidR="00F34554" w:rsidRPr="001A7371">
        <w:rPr>
          <w:b/>
          <w:bCs/>
          <w:sz w:val="22"/>
          <w:szCs w:val="22"/>
          <w:lang w:val="sr-Latn-ME"/>
        </w:rPr>
        <w:t>upravljanja vozili</w:t>
      </w:r>
      <w:r w:rsidRPr="001A7371">
        <w:rPr>
          <w:b/>
          <w:bCs/>
          <w:sz w:val="22"/>
          <w:szCs w:val="22"/>
          <w:lang w:val="sr-Latn-ME"/>
        </w:rPr>
        <w:t>m</w:t>
      </w:r>
      <w:r w:rsidR="00F34554" w:rsidRPr="001A7371">
        <w:rPr>
          <w:b/>
          <w:bCs/>
          <w:sz w:val="22"/>
          <w:szCs w:val="22"/>
          <w:lang w:val="sr-Latn-ME"/>
        </w:rPr>
        <w:t>a</w:t>
      </w:r>
      <w:r w:rsidRPr="001A7371">
        <w:rPr>
          <w:b/>
          <w:bCs/>
          <w:sz w:val="22"/>
          <w:szCs w:val="22"/>
          <w:lang w:val="sr-Latn-ME"/>
        </w:rPr>
        <w:t xml:space="preserve"> i </w:t>
      </w:r>
      <w:r w:rsidR="000D3449" w:rsidRPr="001A7371">
        <w:rPr>
          <w:b/>
          <w:bCs/>
          <w:sz w:val="22"/>
          <w:szCs w:val="22"/>
          <w:lang w:val="sr-Latn-ME"/>
        </w:rPr>
        <w:t xml:space="preserve">rukovanje </w:t>
      </w:r>
      <w:r w:rsidRPr="001A7371">
        <w:rPr>
          <w:b/>
          <w:bCs/>
          <w:sz w:val="22"/>
          <w:szCs w:val="22"/>
          <w:lang w:val="sr-Latn-ME"/>
        </w:rPr>
        <w:t>mašinama</w:t>
      </w:r>
    </w:p>
    <w:p w14:paraId="7E1E8B87" w14:textId="77777777" w:rsidR="004E1B6E" w:rsidRPr="001A7371" w:rsidRDefault="004E1B6E" w:rsidP="00396DFD">
      <w:pPr>
        <w:tabs>
          <w:tab w:val="left" w:pos="540"/>
          <w:tab w:val="left" w:pos="569"/>
        </w:tabs>
        <w:ind w:left="540" w:hanging="540"/>
        <w:rPr>
          <w:b/>
          <w:bCs/>
          <w:sz w:val="22"/>
          <w:szCs w:val="22"/>
          <w:lang w:val="sr-Latn-ME"/>
        </w:rPr>
      </w:pPr>
    </w:p>
    <w:p w14:paraId="74DBB54C" w14:textId="15F78B5E" w:rsidR="004E1B6E" w:rsidRPr="001A7371" w:rsidRDefault="004E1B6E" w:rsidP="004E1B6E">
      <w:pPr>
        <w:tabs>
          <w:tab w:val="left" w:pos="0"/>
        </w:tabs>
        <w:jc w:val="both"/>
        <w:rPr>
          <w:bCs/>
          <w:sz w:val="22"/>
          <w:szCs w:val="22"/>
          <w:lang w:val="sr-Latn-ME"/>
        </w:rPr>
      </w:pPr>
      <w:r w:rsidRPr="001A7371">
        <w:rPr>
          <w:bCs/>
          <w:sz w:val="22"/>
          <w:szCs w:val="22"/>
          <w:lang w:val="sr-Latn-ME"/>
        </w:rPr>
        <w:t xml:space="preserve">Nije dokazano da sam paklitaksel ometa ovu sposobnost. Međutim, treba napomenuti da </w:t>
      </w:r>
      <w:r w:rsidR="00FD34DC" w:rsidRPr="001A7371">
        <w:rPr>
          <w:bCs/>
          <w:sz w:val="22"/>
          <w:szCs w:val="22"/>
          <w:lang w:val="sr-Latn-ME"/>
        </w:rPr>
        <w:t xml:space="preserve">lijek </w:t>
      </w:r>
      <w:r w:rsidRPr="001A7371">
        <w:rPr>
          <w:bCs/>
          <w:sz w:val="22"/>
          <w:szCs w:val="22"/>
          <w:lang w:val="sr-Latn-ME"/>
        </w:rPr>
        <w:t>sadrži alkohol (vid</w:t>
      </w:r>
      <w:r w:rsidR="00FD34DC" w:rsidRPr="001A7371">
        <w:rPr>
          <w:bCs/>
          <w:sz w:val="22"/>
          <w:szCs w:val="22"/>
          <w:lang w:val="sr-Latn-ME"/>
        </w:rPr>
        <w:t>j</w:t>
      </w:r>
      <w:r w:rsidRPr="001A7371">
        <w:rPr>
          <w:bCs/>
          <w:sz w:val="22"/>
          <w:szCs w:val="22"/>
          <w:lang w:val="sr-Latn-ME"/>
        </w:rPr>
        <w:t xml:space="preserve">eti djelove 4.4 i 6.1). </w:t>
      </w:r>
    </w:p>
    <w:p w14:paraId="2BC71D2C" w14:textId="77777777" w:rsidR="004E1B6E" w:rsidRPr="001A7371" w:rsidRDefault="004E1B6E" w:rsidP="004E1B6E">
      <w:pPr>
        <w:tabs>
          <w:tab w:val="left" w:pos="0"/>
        </w:tabs>
        <w:jc w:val="both"/>
        <w:rPr>
          <w:bCs/>
          <w:sz w:val="22"/>
          <w:szCs w:val="22"/>
          <w:lang w:val="sr-Latn-ME"/>
        </w:rPr>
      </w:pPr>
      <w:r w:rsidRPr="001A7371">
        <w:rPr>
          <w:bCs/>
          <w:sz w:val="22"/>
          <w:szCs w:val="22"/>
          <w:lang w:val="sr-Latn-ME"/>
        </w:rPr>
        <w:t>Lijek sadrži etanol, što može smanjiti sposobnost upravljanja vozilima ili rukovanje mašinama.</w:t>
      </w:r>
    </w:p>
    <w:p w14:paraId="10B6DE81" w14:textId="77777777" w:rsidR="0072020E" w:rsidRPr="001A7371" w:rsidRDefault="0072020E" w:rsidP="00480FB1">
      <w:pPr>
        <w:tabs>
          <w:tab w:val="left" w:pos="540"/>
          <w:tab w:val="left" w:pos="569"/>
        </w:tabs>
        <w:rPr>
          <w:b/>
          <w:bCs/>
          <w:sz w:val="22"/>
          <w:szCs w:val="22"/>
          <w:lang w:val="sr-Latn-ME"/>
        </w:rPr>
      </w:pPr>
    </w:p>
    <w:p w14:paraId="5282B335" w14:textId="77777777" w:rsidR="0072020E" w:rsidRPr="001A7371" w:rsidRDefault="0072020E" w:rsidP="00480FB1">
      <w:pPr>
        <w:tabs>
          <w:tab w:val="left" w:pos="540"/>
          <w:tab w:val="left" w:pos="569"/>
        </w:tabs>
        <w:rPr>
          <w:b/>
          <w:bCs/>
          <w:sz w:val="22"/>
          <w:szCs w:val="22"/>
          <w:lang w:val="sr-Latn-ME"/>
        </w:rPr>
      </w:pPr>
      <w:r w:rsidRPr="001A7371">
        <w:rPr>
          <w:b/>
          <w:bCs/>
          <w:sz w:val="22"/>
          <w:szCs w:val="22"/>
          <w:lang w:val="sr-Latn-ME"/>
        </w:rPr>
        <w:t xml:space="preserve">4.8. </w:t>
      </w:r>
      <w:r w:rsidR="00480FB1" w:rsidRPr="001A7371">
        <w:rPr>
          <w:b/>
          <w:bCs/>
          <w:sz w:val="22"/>
          <w:szCs w:val="22"/>
          <w:lang w:val="sr-Latn-ME"/>
        </w:rPr>
        <w:tab/>
      </w:r>
      <w:r w:rsidRPr="001A7371">
        <w:rPr>
          <w:b/>
          <w:bCs/>
          <w:sz w:val="22"/>
          <w:szCs w:val="22"/>
          <w:lang w:val="sr-Latn-ME"/>
        </w:rPr>
        <w:t>Neželjena dejstva</w:t>
      </w:r>
    </w:p>
    <w:p w14:paraId="7B21E8DE" w14:textId="77777777" w:rsidR="004E70AD" w:rsidRPr="001A7371" w:rsidRDefault="004E70AD" w:rsidP="00480FB1">
      <w:pPr>
        <w:tabs>
          <w:tab w:val="left" w:pos="540"/>
          <w:tab w:val="left" w:pos="569"/>
        </w:tabs>
        <w:rPr>
          <w:b/>
          <w:bCs/>
          <w:sz w:val="22"/>
          <w:szCs w:val="22"/>
          <w:lang w:val="sr-Latn-ME"/>
        </w:rPr>
      </w:pPr>
    </w:p>
    <w:p w14:paraId="5EEF8D13" w14:textId="77777777" w:rsidR="00CF72BF" w:rsidRPr="001A7371" w:rsidRDefault="00CF72BF" w:rsidP="00CF72BF">
      <w:pPr>
        <w:spacing w:after="200" w:line="276" w:lineRule="auto"/>
        <w:jc w:val="both"/>
        <w:rPr>
          <w:rFonts w:eastAsia="Calibri"/>
          <w:sz w:val="22"/>
          <w:szCs w:val="22"/>
          <w:lang w:val="sr-Latn-ME"/>
        </w:rPr>
      </w:pPr>
      <w:r w:rsidRPr="001A7371">
        <w:rPr>
          <w:rFonts w:eastAsia="Calibri"/>
          <w:sz w:val="22"/>
          <w:szCs w:val="22"/>
          <w:lang w:val="sr-Latn-ME"/>
        </w:rPr>
        <w:t xml:space="preserve">Ukoliko nije drugačije naznačeno, sljedeće razmatranje se odnosi na ukupnu bazu podataka o bezbjednosti za 812 pacijenata sa solidnim tumorima koji su u sklopu kliničkih studija liječeni monoterapijom paklitakselom. S obzirom da je populacija sa KS vrlo specifična, na kraju ovog </w:t>
      </w:r>
      <w:r w:rsidR="0087116F" w:rsidRPr="001A7371">
        <w:rPr>
          <w:rFonts w:eastAsia="Calibri"/>
          <w:sz w:val="22"/>
          <w:szCs w:val="22"/>
          <w:lang w:val="sr-Latn-ME"/>
        </w:rPr>
        <w:t>dijela</w:t>
      </w:r>
      <w:r w:rsidRPr="001A7371">
        <w:rPr>
          <w:rFonts w:eastAsia="Calibri"/>
          <w:sz w:val="22"/>
          <w:szCs w:val="22"/>
          <w:lang w:val="sr-Latn-ME"/>
        </w:rPr>
        <w:t xml:space="preserve"> predstavljeno je posebno poglavlje koje se zasniva na kliničkim studijama u koje je bilo uključeno 107 pacijenata.</w:t>
      </w:r>
    </w:p>
    <w:p w14:paraId="2703F8A2" w14:textId="77777777" w:rsidR="00CF72BF" w:rsidRPr="001A7371" w:rsidRDefault="00CF72BF" w:rsidP="00CF72BF">
      <w:pPr>
        <w:spacing w:after="200" w:line="276" w:lineRule="auto"/>
        <w:jc w:val="both"/>
        <w:rPr>
          <w:rFonts w:eastAsia="Calibri"/>
          <w:sz w:val="22"/>
          <w:szCs w:val="22"/>
          <w:lang w:val="sr-Latn-ME"/>
        </w:rPr>
      </w:pPr>
      <w:r w:rsidRPr="001A7371">
        <w:rPr>
          <w:rFonts w:eastAsia="Calibri"/>
          <w:sz w:val="22"/>
          <w:szCs w:val="22"/>
          <w:lang w:val="sr-Latn-ME"/>
        </w:rPr>
        <w:t>Učestalost pojave i ozbiljnost neželjenih dejstava, ukoliko drugačije nije navedeno, su generalno slične kod pacijenata koji primaju paklitaksel u terapiji karcinoma ovarijuma, dojke ili NSCLC. Starost pacijenata nije jasno uticala ni na jednu od uočenih toksičnosti.</w:t>
      </w:r>
    </w:p>
    <w:p w14:paraId="5E661373" w14:textId="27DB63D2" w:rsidR="00CF72BF" w:rsidRPr="001A7371" w:rsidRDefault="0087116F" w:rsidP="0087116F">
      <w:pPr>
        <w:spacing w:after="200" w:line="276" w:lineRule="auto"/>
        <w:jc w:val="both"/>
        <w:rPr>
          <w:rFonts w:eastAsia="Calibri"/>
          <w:sz w:val="22"/>
          <w:szCs w:val="22"/>
          <w:lang w:val="sr-Latn-ME"/>
        </w:rPr>
      </w:pPr>
      <w:r w:rsidRPr="001A7371">
        <w:rPr>
          <w:rFonts w:eastAsia="Calibri"/>
          <w:b/>
          <w:sz w:val="22"/>
          <w:szCs w:val="22"/>
          <w:lang w:val="sr-Latn-ME"/>
        </w:rPr>
        <w:t>Značajna reakcija preosjetljivosti</w:t>
      </w:r>
      <w:r w:rsidRPr="001A7371">
        <w:rPr>
          <w:rFonts w:eastAsia="Calibri"/>
          <w:sz w:val="22"/>
          <w:szCs w:val="22"/>
          <w:lang w:val="sr-Latn-ME"/>
        </w:rPr>
        <w:t xml:space="preserve"> sa mogućim fatalnim ishodom (definisana kao hipotenzija koju je potrebno liječiti, angioedem, respiratorni distres koji zahtjeva terapiju bronhodilatatorima ili generalizovana urtikarija) javili su se kod dva (&lt;1%) pacijenta. Trideset četiri % pacijenata (17% u svim ciklusima terapije) doživjelo je </w:t>
      </w:r>
      <w:r w:rsidR="00FD34DC" w:rsidRPr="001A7371">
        <w:rPr>
          <w:rFonts w:eastAsia="Calibri"/>
          <w:sz w:val="22"/>
          <w:szCs w:val="22"/>
          <w:lang w:val="sr-Latn-ME"/>
        </w:rPr>
        <w:t xml:space="preserve">blaže </w:t>
      </w:r>
      <w:r w:rsidRPr="001A7371">
        <w:rPr>
          <w:rFonts w:eastAsia="Calibri"/>
          <w:sz w:val="22"/>
          <w:szCs w:val="22"/>
          <w:lang w:val="sr-Latn-ME"/>
        </w:rPr>
        <w:t xml:space="preserve">reakcije preosjetljivosti. Ove </w:t>
      </w:r>
      <w:r w:rsidR="00FD34DC" w:rsidRPr="001A7371">
        <w:rPr>
          <w:rFonts w:eastAsia="Calibri"/>
          <w:sz w:val="22"/>
          <w:szCs w:val="22"/>
          <w:lang w:val="sr-Latn-ME"/>
        </w:rPr>
        <w:t xml:space="preserve">blaže </w:t>
      </w:r>
      <w:r w:rsidRPr="001A7371">
        <w:rPr>
          <w:rFonts w:eastAsia="Calibri"/>
          <w:sz w:val="22"/>
          <w:szCs w:val="22"/>
          <w:lang w:val="sr-Latn-ME"/>
        </w:rPr>
        <w:t>reakcije, uglavnom crvenilo lica i osip, ni</w:t>
      </w:r>
      <w:r w:rsidR="00FD34DC" w:rsidRPr="001A7371">
        <w:rPr>
          <w:rFonts w:eastAsia="Calibri"/>
          <w:sz w:val="22"/>
          <w:szCs w:val="22"/>
          <w:lang w:val="sr-Latn-ME"/>
        </w:rPr>
        <w:t>je</w:t>
      </w:r>
      <w:r w:rsidRPr="001A7371">
        <w:rPr>
          <w:rFonts w:eastAsia="Calibri"/>
          <w:sz w:val="22"/>
          <w:szCs w:val="22"/>
          <w:lang w:val="sr-Latn-ME"/>
        </w:rPr>
        <w:t>su zahtjevale terapijsku intervenciju niti su spriječile nastavak terapije paklitakselom.</w:t>
      </w:r>
    </w:p>
    <w:p w14:paraId="0D051040" w14:textId="3549A76C" w:rsidR="0087116F" w:rsidRPr="001A7371" w:rsidRDefault="0087116F" w:rsidP="0087116F">
      <w:pPr>
        <w:spacing w:after="200" w:line="276" w:lineRule="auto"/>
        <w:jc w:val="both"/>
        <w:rPr>
          <w:rFonts w:eastAsia="Calibri"/>
          <w:sz w:val="22"/>
          <w:szCs w:val="22"/>
          <w:lang w:val="sr-Latn-ME"/>
        </w:rPr>
      </w:pPr>
      <w:r w:rsidRPr="001A7371">
        <w:rPr>
          <w:rFonts w:eastAsia="Calibri"/>
          <w:sz w:val="22"/>
          <w:szCs w:val="22"/>
          <w:lang w:val="sr-Latn-ME"/>
        </w:rPr>
        <w:t xml:space="preserve">Najčešće značajno neželjeno dejstvo je bila </w:t>
      </w:r>
      <w:r w:rsidRPr="001A7371">
        <w:rPr>
          <w:rFonts w:eastAsia="Calibri"/>
          <w:b/>
          <w:sz w:val="22"/>
          <w:szCs w:val="22"/>
          <w:lang w:val="sr-Latn-ME"/>
        </w:rPr>
        <w:t>supresija ko</w:t>
      </w:r>
      <w:r w:rsidR="00FD34DC" w:rsidRPr="001A7371">
        <w:rPr>
          <w:rFonts w:eastAsia="Calibri"/>
          <w:b/>
          <w:sz w:val="22"/>
          <w:szCs w:val="22"/>
          <w:lang w:val="sr-Latn-ME"/>
        </w:rPr>
        <w:t>stne</w:t>
      </w:r>
      <w:r w:rsidRPr="001A7371">
        <w:rPr>
          <w:rFonts w:eastAsia="Calibri"/>
          <w:b/>
          <w:sz w:val="22"/>
          <w:szCs w:val="22"/>
          <w:lang w:val="sr-Latn-ME"/>
        </w:rPr>
        <w:t xml:space="preserve"> srži.</w:t>
      </w:r>
      <w:r w:rsidRPr="001A7371">
        <w:rPr>
          <w:rFonts w:eastAsia="Calibri"/>
          <w:sz w:val="22"/>
          <w:szCs w:val="22"/>
          <w:lang w:val="sr-Latn-ME"/>
        </w:rPr>
        <w:t xml:space="preserve"> Teška neutropenija (&lt;</w:t>
      </w:r>
      <w:r w:rsidR="00FD34DC" w:rsidRPr="001A7371">
        <w:rPr>
          <w:rFonts w:eastAsia="Calibri"/>
          <w:sz w:val="22"/>
          <w:szCs w:val="22"/>
          <w:lang w:val="sr-Latn-ME"/>
        </w:rPr>
        <w:t>500 ćelija</w:t>
      </w:r>
      <w:r w:rsidR="00622FC9" w:rsidRPr="001A7371">
        <w:rPr>
          <w:rFonts w:eastAsia="Calibri"/>
          <w:sz w:val="22"/>
          <w:szCs w:val="22"/>
          <w:lang w:val="sr-Latn-ME"/>
        </w:rPr>
        <w:t>/</w:t>
      </w:r>
      <w:r w:rsidR="00FD34DC" w:rsidRPr="001A7371">
        <w:rPr>
          <w:rFonts w:eastAsia="Calibri"/>
          <w:sz w:val="22"/>
          <w:szCs w:val="22"/>
          <w:lang w:val="sr-Latn-ME"/>
        </w:rPr>
        <w:t>mm</w:t>
      </w:r>
      <w:r w:rsidR="00FD34DC" w:rsidRPr="001A7371">
        <w:rPr>
          <w:rFonts w:eastAsia="Calibri"/>
          <w:sz w:val="22"/>
          <w:szCs w:val="22"/>
          <w:vertAlign w:val="superscript"/>
          <w:lang w:val="sr-Latn-ME"/>
        </w:rPr>
        <w:t>3</w:t>
      </w:r>
      <w:r w:rsidRPr="001A7371">
        <w:rPr>
          <w:rFonts w:eastAsia="Calibri"/>
          <w:sz w:val="22"/>
          <w:szCs w:val="22"/>
          <w:lang w:val="sr-Latn-ME"/>
        </w:rPr>
        <w:t>) se javila kod 28% pacijenata, ali nije bila udružena sa febrilnim epizodama. Samo 1% pacijenata je dobi</w:t>
      </w:r>
      <w:r w:rsidR="00FD34DC" w:rsidRPr="001A7371">
        <w:rPr>
          <w:rFonts w:eastAsia="Calibri"/>
          <w:sz w:val="22"/>
          <w:szCs w:val="22"/>
          <w:lang w:val="sr-Latn-ME"/>
        </w:rPr>
        <w:t>l</w:t>
      </w:r>
      <w:r w:rsidRPr="001A7371">
        <w:rPr>
          <w:rFonts w:eastAsia="Calibri"/>
          <w:sz w:val="22"/>
          <w:szCs w:val="22"/>
          <w:lang w:val="sr-Latn-ME"/>
        </w:rPr>
        <w:t xml:space="preserve">o tešku neutropeniju koja je trajala ≥ 7 dana. </w:t>
      </w:r>
    </w:p>
    <w:p w14:paraId="164D2931" w14:textId="48AA780B" w:rsidR="00CF72BF" w:rsidRPr="001A7371" w:rsidRDefault="0087116F" w:rsidP="0087116F">
      <w:pPr>
        <w:spacing w:after="200" w:line="276" w:lineRule="auto"/>
        <w:jc w:val="both"/>
        <w:rPr>
          <w:rFonts w:eastAsia="Calibri"/>
          <w:sz w:val="22"/>
          <w:szCs w:val="22"/>
          <w:lang w:val="sr-Latn-ME"/>
        </w:rPr>
      </w:pPr>
      <w:r w:rsidRPr="001A7371">
        <w:rPr>
          <w:rFonts w:eastAsia="Calibri"/>
          <w:b/>
          <w:sz w:val="22"/>
          <w:szCs w:val="22"/>
          <w:lang w:val="sr-Latn-ME"/>
        </w:rPr>
        <w:t>Trombocitopenija</w:t>
      </w:r>
      <w:r w:rsidRPr="001A7371">
        <w:rPr>
          <w:rFonts w:eastAsia="Calibri"/>
          <w:sz w:val="22"/>
          <w:szCs w:val="22"/>
          <w:lang w:val="sr-Latn-ME"/>
        </w:rPr>
        <w:t xml:space="preserve"> je prijavljena kod 11% pacijenata. Tri posto pacijenata je imalo najniži broj trombocita &lt;50</w:t>
      </w:r>
      <w:r w:rsidR="00FD34DC" w:rsidRPr="001A7371">
        <w:rPr>
          <w:rFonts w:eastAsia="Calibri"/>
          <w:sz w:val="22"/>
          <w:szCs w:val="22"/>
          <w:lang w:val="sr-Latn-ME"/>
        </w:rPr>
        <w:t>,000/mm</w:t>
      </w:r>
      <w:r w:rsidR="00FD34DC" w:rsidRPr="001A7371">
        <w:rPr>
          <w:rFonts w:eastAsia="Calibri"/>
          <w:sz w:val="22"/>
          <w:szCs w:val="22"/>
          <w:vertAlign w:val="superscript"/>
          <w:lang w:val="sr-Latn-ME"/>
        </w:rPr>
        <w:t>3</w:t>
      </w:r>
      <w:r w:rsidRPr="001A7371">
        <w:rPr>
          <w:rFonts w:eastAsia="Calibri"/>
          <w:sz w:val="22"/>
          <w:szCs w:val="22"/>
          <w:lang w:val="sr-Latn-ME"/>
        </w:rPr>
        <w:t xml:space="preserve"> bar jednom u toku učešća u ispitivanju. </w:t>
      </w:r>
      <w:r w:rsidRPr="001A7371">
        <w:rPr>
          <w:rFonts w:eastAsia="Calibri"/>
          <w:b/>
          <w:sz w:val="22"/>
          <w:szCs w:val="22"/>
          <w:lang w:val="sr-Latn-ME"/>
        </w:rPr>
        <w:t>Anemija</w:t>
      </w:r>
      <w:r w:rsidRPr="001A7371">
        <w:rPr>
          <w:rFonts w:eastAsia="Calibri"/>
          <w:sz w:val="22"/>
          <w:szCs w:val="22"/>
          <w:lang w:val="sr-Latn-ME"/>
        </w:rPr>
        <w:t xml:space="preserve"> je zapažena kod 64% pacijenata, ali je samo kod 6% pa</w:t>
      </w:r>
      <w:r w:rsidR="00622FC9" w:rsidRPr="001A7371">
        <w:rPr>
          <w:rFonts w:eastAsia="Calibri"/>
          <w:sz w:val="22"/>
          <w:szCs w:val="22"/>
          <w:lang w:val="sr-Latn-ME"/>
        </w:rPr>
        <w:t>cijenata bila teška (Hb&lt;5 mmol/l</w:t>
      </w:r>
      <w:r w:rsidRPr="001A7371">
        <w:rPr>
          <w:rFonts w:eastAsia="Calibri"/>
          <w:sz w:val="22"/>
          <w:szCs w:val="22"/>
          <w:lang w:val="sr-Latn-ME"/>
        </w:rPr>
        <w:t>). Incidenca i težina anemije zavise od početnih vrijednosti hemoglobina.</w:t>
      </w:r>
    </w:p>
    <w:p w14:paraId="2931EA49" w14:textId="77777777" w:rsidR="0087116F" w:rsidRPr="001A7371" w:rsidRDefault="0087116F" w:rsidP="00BD456C">
      <w:pPr>
        <w:spacing w:after="200" w:line="276" w:lineRule="auto"/>
        <w:jc w:val="both"/>
        <w:rPr>
          <w:rFonts w:eastAsia="Calibri"/>
          <w:sz w:val="22"/>
          <w:szCs w:val="22"/>
          <w:lang w:val="sr-Latn-ME"/>
        </w:rPr>
      </w:pPr>
      <w:r w:rsidRPr="001A7371">
        <w:rPr>
          <w:rFonts w:eastAsia="Calibri"/>
          <w:sz w:val="22"/>
          <w:szCs w:val="22"/>
          <w:lang w:val="sr-Latn-ME"/>
        </w:rPr>
        <w:t xml:space="preserve">Izgleda da je </w:t>
      </w:r>
      <w:r w:rsidRPr="001A7371">
        <w:rPr>
          <w:rFonts w:eastAsia="Calibri"/>
          <w:b/>
          <w:sz w:val="22"/>
          <w:szCs w:val="22"/>
          <w:lang w:val="sr-Latn-ME"/>
        </w:rPr>
        <w:t xml:space="preserve">neurotoksičnost, </w:t>
      </w:r>
      <w:r w:rsidRPr="001A7371">
        <w:rPr>
          <w:rFonts w:eastAsia="Calibri"/>
          <w:sz w:val="22"/>
          <w:szCs w:val="22"/>
          <w:lang w:val="sr-Latn-ME"/>
        </w:rPr>
        <w:t xml:space="preserve">uglavnom </w:t>
      </w:r>
      <w:r w:rsidRPr="001A7371">
        <w:rPr>
          <w:rFonts w:eastAsia="Calibri"/>
          <w:b/>
          <w:sz w:val="22"/>
          <w:szCs w:val="22"/>
          <w:lang w:val="sr-Latn-ME"/>
        </w:rPr>
        <w:t xml:space="preserve">periferna neuropatija, </w:t>
      </w:r>
      <w:r w:rsidRPr="001A7371">
        <w:rPr>
          <w:rFonts w:eastAsia="Calibri"/>
          <w:sz w:val="22"/>
          <w:szCs w:val="22"/>
          <w:lang w:val="sr-Latn-ME"/>
        </w:rPr>
        <w:t>bila češća i teža prilikom infuzije od 175 mg/m</w:t>
      </w:r>
      <w:r w:rsidRPr="001A7371">
        <w:rPr>
          <w:rFonts w:eastAsia="Calibri"/>
          <w:sz w:val="22"/>
          <w:szCs w:val="22"/>
          <w:vertAlign w:val="superscript"/>
          <w:lang w:val="sr-Latn-ME"/>
        </w:rPr>
        <w:t>2</w:t>
      </w:r>
      <w:r w:rsidRPr="001A7371">
        <w:rPr>
          <w:rFonts w:eastAsia="Calibri"/>
          <w:sz w:val="22"/>
          <w:szCs w:val="22"/>
          <w:lang w:val="sr-Latn-ME"/>
        </w:rPr>
        <w:t xml:space="preserve"> u trajanju od 3 časa (85% neurotoksičnost, kod 15% teška) nego kod infuzije od 135 mg/m</w:t>
      </w:r>
      <w:r w:rsidRPr="001A7371">
        <w:rPr>
          <w:rFonts w:eastAsia="Calibri"/>
          <w:sz w:val="22"/>
          <w:szCs w:val="22"/>
          <w:vertAlign w:val="superscript"/>
          <w:lang w:val="sr-Latn-ME"/>
        </w:rPr>
        <w:t>2</w:t>
      </w:r>
      <w:r w:rsidRPr="001A7371">
        <w:rPr>
          <w:rFonts w:eastAsia="Calibri"/>
          <w:sz w:val="22"/>
          <w:szCs w:val="22"/>
          <w:lang w:val="sr-Latn-ME"/>
        </w:rPr>
        <w:t xml:space="preserve"> u trajanju od 24 časa (25% periferna neuropatija, 3% teška) kada je paklitaksel kombinovan sa cisplatinom. Kod pacijenata sa NSCLC i kod pacijentkinja sa karcinomom jajnika koji su liječeni paklitakselom tokom 3 sata, nakon čega je slijedila primjena cisplatina, došlo je do očigledno veće incidence teške neurotoksičnosti. Periferna neuropatija može da se javi posle prvog ciklusa i može da se pogorša posle povećanog izlaganja paklitakselu. Periferna neuropatija je u nekoliko slučajeva bila razlog </w:t>
      </w:r>
      <w:r w:rsidRPr="001A7371">
        <w:rPr>
          <w:rFonts w:eastAsia="Calibri"/>
          <w:sz w:val="22"/>
          <w:szCs w:val="22"/>
          <w:lang w:val="sr-Latn-ME"/>
        </w:rPr>
        <w:lastRenderedPageBreak/>
        <w:t>prekidanja primjene paklitaksela. Senzorni simptomi obično su se poboljšavali ili su nestajali nekoliko mjeseci nakon prekida terapije paklitakselom. Već postojeće neuropatije, koje su posljedica prethodnih terapija ne predstavljaju kontraindikaciju za terapiju paklitakselom. Nadalje, pokazano je da periferne</w:t>
      </w:r>
      <w:r w:rsidR="00926831" w:rsidRPr="001A7371">
        <w:rPr>
          <w:rFonts w:eastAsia="Calibri"/>
          <w:sz w:val="22"/>
          <w:szCs w:val="22"/>
          <w:lang w:val="sr-Latn-ME"/>
        </w:rPr>
        <w:t xml:space="preserve"> neuropatije mogu da se zadrže</w:t>
      </w:r>
      <w:r w:rsidRPr="001A7371">
        <w:rPr>
          <w:rFonts w:eastAsia="Calibri"/>
          <w:sz w:val="22"/>
          <w:szCs w:val="22"/>
          <w:lang w:val="sr-Latn-ME"/>
        </w:rPr>
        <w:t xml:space="preserve"> i nakon 6 mjeseci od prekida primjene paklitaksela.</w:t>
      </w:r>
    </w:p>
    <w:p w14:paraId="7AF5AFCF" w14:textId="77777777" w:rsidR="0087116F" w:rsidRPr="001A7371" w:rsidRDefault="0087116F" w:rsidP="00BD456C">
      <w:pPr>
        <w:spacing w:after="200" w:line="276" w:lineRule="auto"/>
        <w:jc w:val="both"/>
        <w:rPr>
          <w:rFonts w:eastAsia="Calibri"/>
          <w:sz w:val="22"/>
          <w:szCs w:val="22"/>
          <w:lang w:val="sr-Latn-ME"/>
        </w:rPr>
      </w:pPr>
      <w:r w:rsidRPr="001A7371">
        <w:rPr>
          <w:rFonts w:eastAsia="Calibri"/>
          <w:b/>
          <w:sz w:val="22"/>
          <w:szCs w:val="22"/>
          <w:lang w:val="sr-Latn-ME"/>
        </w:rPr>
        <w:t xml:space="preserve">Artralgija ili mialgija </w:t>
      </w:r>
      <w:r w:rsidRPr="001A7371">
        <w:rPr>
          <w:rFonts w:eastAsia="Calibri"/>
          <w:sz w:val="22"/>
          <w:szCs w:val="22"/>
          <w:lang w:val="sr-Latn-ME"/>
        </w:rPr>
        <w:t>javile su se kod 60% pacijenata, a kod 13% bile su izražene u teškom obliku.</w:t>
      </w:r>
    </w:p>
    <w:p w14:paraId="3E66885E" w14:textId="77777777" w:rsidR="0011042E" w:rsidRPr="001A7371" w:rsidRDefault="0011042E" w:rsidP="00BD456C">
      <w:pPr>
        <w:spacing w:after="200" w:line="276" w:lineRule="auto"/>
        <w:jc w:val="both"/>
        <w:rPr>
          <w:rFonts w:eastAsia="Calibri"/>
          <w:sz w:val="22"/>
          <w:szCs w:val="22"/>
          <w:lang w:val="sr-Latn-ME"/>
        </w:rPr>
      </w:pPr>
      <w:r w:rsidRPr="001A7371">
        <w:rPr>
          <w:rFonts w:eastAsia="Calibri"/>
          <w:b/>
          <w:sz w:val="22"/>
          <w:szCs w:val="22"/>
          <w:lang w:val="sr-Latn-ME"/>
        </w:rPr>
        <w:t xml:space="preserve">Reakcije na mjestu injekcije </w:t>
      </w:r>
      <w:r w:rsidRPr="001A7371">
        <w:rPr>
          <w:rFonts w:eastAsia="Calibri"/>
          <w:sz w:val="22"/>
          <w:szCs w:val="22"/>
          <w:lang w:val="sr-Latn-ME"/>
        </w:rPr>
        <w:t>do kojih dolazi tokom intravenske primjene mogu dovesti do lokalizovanog edema, bola, eritema i induracije. U nekim slučajevima ekstravazacija može imati za posljedicu celulitis. Prijavljeno je odbacivanje i/ili ljuštenje kože, ponekad povezano sa ekstravazacijom. Takođe, može doći do promjene boje kože. Rijetko je opisana ponovna pojava kožnih reakcija na mjestu prethodne ekstravazacije posle davanja paklitaksela na drugom mjestu, odnosno tzv. "</w:t>
      </w:r>
      <w:r w:rsidRPr="001A7371">
        <w:rPr>
          <w:rFonts w:eastAsia="Calibri"/>
          <w:i/>
          <w:sz w:val="22"/>
          <w:szCs w:val="22"/>
          <w:lang w:val="sr-Latn-ME"/>
        </w:rPr>
        <w:t>recall</w:t>
      </w:r>
      <w:r w:rsidRPr="001A7371">
        <w:rPr>
          <w:rFonts w:eastAsia="Calibri"/>
          <w:sz w:val="22"/>
          <w:szCs w:val="22"/>
          <w:lang w:val="sr-Latn-ME"/>
        </w:rPr>
        <w:t xml:space="preserve">". U ovom trenutku nije poznata specifična terapija reakcija koje su posljedica ekstravazacije. </w:t>
      </w:r>
    </w:p>
    <w:p w14:paraId="7E8A54D6" w14:textId="77777777" w:rsidR="0011042E" w:rsidRPr="001A7371" w:rsidRDefault="0011042E" w:rsidP="00BD456C">
      <w:pPr>
        <w:spacing w:after="200" w:line="276" w:lineRule="auto"/>
        <w:jc w:val="both"/>
        <w:rPr>
          <w:rFonts w:eastAsia="Calibri"/>
          <w:sz w:val="22"/>
          <w:szCs w:val="22"/>
          <w:lang w:val="sr-Latn-ME"/>
        </w:rPr>
      </w:pPr>
      <w:r w:rsidRPr="001A7371">
        <w:rPr>
          <w:rFonts w:eastAsia="Calibri"/>
          <w:sz w:val="22"/>
          <w:szCs w:val="22"/>
          <w:lang w:val="sr-Latn-ME"/>
        </w:rPr>
        <w:t>U nekoliko slučajeva reakcija na mjestu primjene lijeka se javljala ili tokom duže infuzije ili čak nakon sedam do 10 dana od primjene infuzije.</w:t>
      </w:r>
    </w:p>
    <w:p w14:paraId="1BE59C04" w14:textId="77777777" w:rsidR="0011042E" w:rsidRPr="001A7371" w:rsidRDefault="0011042E" w:rsidP="00BD456C">
      <w:pPr>
        <w:spacing w:after="200" w:line="276" w:lineRule="auto"/>
        <w:jc w:val="both"/>
        <w:rPr>
          <w:rFonts w:eastAsia="Calibri"/>
          <w:sz w:val="22"/>
          <w:szCs w:val="22"/>
          <w:u w:val="single"/>
          <w:lang w:val="sr-Latn-ME"/>
        </w:rPr>
      </w:pPr>
      <w:r w:rsidRPr="001A7371">
        <w:rPr>
          <w:rFonts w:eastAsia="Calibri"/>
          <w:b/>
          <w:sz w:val="22"/>
          <w:szCs w:val="22"/>
          <w:u w:val="single"/>
          <w:lang w:val="sr-Latn-ME"/>
        </w:rPr>
        <w:t xml:space="preserve">Alopecija: </w:t>
      </w:r>
      <w:r w:rsidRPr="001A7371">
        <w:rPr>
          <w:rFonts w:eastAsia="Calibri"/>
          <w:sz w:val="22"/>
          <w:szCs w:val="22"/>
          <w:u w:val="single"/>
          <w:lang w:val="sr-Latn-ME"/>
        </w:rPr>
        <w:t>Alopecija se javljala naglo i kod 87% pacijenata</w:t>
      </w:r>
      <w:r w:rsidRPr="001A7371">
        <w:rPr>
          <w:rFonts w:eastAsia="Calibri"/>
          <w:b/>
          <w:sz w:val="22"/>
          <w:szCs w:val="22"/>
          <w:u w:val="single"/>
          <w:lang w:val="sr-Latn-ME"/>
        </w:rPr>
        <w:t xml:space="preserve">. </w:t>
      </w:r>
      <w:r w:rsidRPr="001A7371">
        <w:rPr>
          <w:rFonts w:eastAsia="Calibri"/>
          <w:sz w:val="22"/>
          <w:szCs w:val="22"/>
          <w:u w:val="single"/>
          <w:lang w:val="sr-Latn-ME"/>
        </w:rPr>
        <w:t>Kod većine pacijenata koji su iskusili gubitak kose, taj gubitak je iznosio ≥50%.</w:t>
      </w:r>
    </w:p>
    <w:p w14:paraId="529F0C1C" w14:textId="4ECC1F2D" w:rsidR="0087116F" w:rsidRPr="001A7371" w:rsidRDefault="0011042E" w:rsidP="00BD456C">
      <w:pPr>
        <w:spacing w:after="200" w:line="276" w:lineRule="auto"/>
        <w:jc w:val="both"/>
        <w:rPr>
          <w:rFonts w:eastAsia="Calibri"/>
          <w:sz w:val="22"/>
          <w:szCs w:val="22"/>
          <w:lang w:val="sr-Latn-ME"/>
        </w:rPr>
      </w:pPr>
      <w:r w:rsidRPr="001A7371">
        <w:rPr>
          <w:rFonts w:eastAsia="Calibri"/>
          <w:sz w:val="22"/>
          <w:szCs w:val="22"/>
          <w:lang w:val="sr-Latn-ME"/>
        </w:rPr>
        <w:t xml:space="preserve">Zabilježena je i </w:t>
      </w:r>
      <w:r w:rsidRPr="001A7371">
        <w:rPr>
          <w:rFonts w:eastAsia="Calibri"/>
          <w:b/>
          <w:sz w:val="22"/>
          <w:szCs w:val="22"/>
          <w:lang w:val="sr-Latn-ME"/>
        </w:rPr>
        <w:t>diseminovana intravaskularna koagulacija (DIK)</w:t>
      </w:r>
      <w:r w:rsidRPr="001A7371">
        <w:rPr>
          <w:rFonts w:eastAsia="Calibri"/>
          <w:sz w:val="22"/>
          <w:szCs w:val="22"/>
          <w:lang w:val="sr-Latn-ME"/>
        </w:rPr>
        <w:t>, često udružena sa sepsom i multisistemskim oštećenjem organa.</w:t>
      </w:r>
    </w:p>
    <w:p w14:paraId="3AA07307" w14:textId="77777777" w:rsidR="001E6EBD" w:rsidRPr="001A7371" w:rsidRDefault="001E6EBD" w:rsidP="00BD456C">
      <w:pPr>
        <w:spacing w:after="200" w:line="276" w:lineRule="auto"/>
        <w:jc w:val="both"/>
        <w:rPr>
          <w:rFonts w:eastAsia="Calibri"/>
          <w:sz w:val="22"/>
          <w:szCs w:val="22"/>
          <w:lang w:val="sr-Latn-ME"/>
        </w:rPr>
      </w:pPr>
      <w:r w:rsidRPr="001A7371">
        <w:rPr>
          <w:rFonts w:eastAsia="Calibri"/>
          <w:sz w:val="22"/>
          <w:szCs w:val="22"/>
          <w:lang w:val="sr-Latn-ME"/>
        </w:rPr>
        <w:t>U tabeli ispod su navedena neželjena dejstva bez obzira na stepen težine, koja su udružena sa primjenom monoterapije paklitakselom koja se daje u vidu tročasovne infuzije u metastatskoj terapiji, (812 pacijenata koji su liječeni u kliničkim studijama), i prema izvještajima iz postmarketinškog praćenja* paklitaksela. Ovi posljednji se mogu pripisati paklitakselu bez obzira na režim liječenja.</w:t>
      </w:r>
    </w:p>
    <w:p w14:paraId="386999C0" w14:textId="77777777" w:rsidR="0049639C" w:rsidRPr="001A7371" w:rsidRDefault="001E6EBD" w:rsidP="00BD456C">
      <w:pPr>
        <w:spacing w:after="200" w:line="276" w:lineRule="auto"/>
        <w:jc w:val="both"/>
        <w:rPr>
          <w:rFonts w:eastAsia="Calibri"/>
          <w:sz w:val="22"/>
          <w:szCs w:val="22"/>
          <w:lang w:val="sr-Latn-ME"/>
        </w:rPr>
      </w:pPr>
      <w:r w:rsidRPr="001A7371">
        <w:rPr>
          <w:rFonts w:eastAsia="Calibri"/>
          <w:sz w:val="22"/>
          <w:szCs w:val="22"/>
          <w:lang w:val="sr-Latn-ME"/>
        </w:rPr>
        <w:t>Učestalost neželjenih dejstava je definisana na sljedeći način: veoma često (≥1/10), često (≥1/100,&lt;1/10),   povremeno (≥1/1000, &lt;1/100), rijetko (≥1/10000, &lt;1/1000), veoma rijetko (&lt;1/10000), nepoznato (ne može se procijeniti na osnovu dostupnih podataka).</w:t>
      </w:r>
    </w:p>
    <w:p w14:paraId="463C3C28" w14:textId="436196A7" w:rsidR="0049639C" w:rsidRPr="001A7371" w:rsidRDefault="0049639C" w:rsidP="00BD456C">
      <w:pPr>
        <w:spacing w:after="200" w:line="276" w:lineRule="auto"/>
        <w:jc w:val="both"/>
        <w:rPr>
          <w:rFonts w:eastAsia="Calibri"/>
          <w:sz w:val="22"/>
          <w:szCs w:val="22"/>
          <w:lang w:val="sr-Latn-ME"/>
        </w:rPr>
      </w:pPr>
      <w:r w:rsidRPr="001A7371">
        <w:rPr>
          <w:rFonts w:eastAsia="Calibri"/>
          <w:sz w:val="22"/>
          <w:szCs w:val="22"/>
          <w:lang w:val="sr-Latn-ME"/>
        </w:rPr>
        <w:t>Unutar svake grupe učestalosti, neželjen</w:t>
      </w:r>
      <w:r w:rsidR="00997EBB" w:rsidRPr="001A7371">
        <w:rPr>
          <w:rFonts w:eastAsia="Calibri"/>
          <w:sz w:val="22"/>
          <w:szCs w:val="22"/>
          <w:lang w:val="sr-Latn-ME"/>
        </w:rPr>
        <w:t>a</w:t>
      </w:r>
      <w:r w:rsidRPr="001A7371">
        <w:rPr>
          <w:rFonts w:eastAsia="Calibri"/>
          <w:sz w:val="22"/>
          <w:szCs w:val="22"/>
          <w:lang w:val="sr-Latn-ME"/>
        </w:rPr>
        <w:t xml:space="preserve"> </w:t>
      </w:r>
      <w:r w:rsidR="00997EBB" w:rsidRPr="001A7371">
        <w:rPr>
          <w:rFonts w:eastAsia="Calibri"/>
          <w:sz w:val="22"/>
          <w:szCs w:val="22"/>
          <w:lang w:val="sr-Latn-ME"/>
        </w:rPr>
        <w:t>dejstva</w:t>
      </w:r>
      <w:r w:rsidRPr="001A7371">
        <w:rPr>
          <w:rFonts w:eastAsia="Calibri"/>
          <w:sz w:val="22"/>
          <w:szCs w:val="22"/>
          <w:lang w:val="sr-Latn-ME"/>
        </w:rPr>
        <w:t xml:space="preserve"> su prikazan</w:t>
      </w:r>
      <w:r w:rsidR="00997EBB" w:rsidRPr="001A7371">
        <w:rPr>
          <w:rFonts w:eastAsia="Calibri"/>
          <w:sz w:val="22"/>
          <w:szCs w:val="22"/>
          <w:lang w:val="sr-Latn-ME"/>
        </w:rPr>
        <w:t>a</w:t>
      </w:r>
      <w:r w:rsidRPr="001A7371">
        <w:rPr>
          <w:rFonts w:eastAsia="Calibri"/>
          <w:sz w:val="22"/>
          <w:szCs w:val="22"/>
          <w:lang w:val="sr-Latn-ME"/>
        </w:rPr>
        <w:t xml:space="preserve"> prema opadajućoj ozbiljnosti.</w:t>
      </w: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30"/>
        <w:gridCol w:w="3283"/>
        <w:gridCol w:w="3338"/>
      </w:tblGrid>
      <w:tr w:rsidR="001E6EBD" w:rsidRPr="001A7371" w14:paraId="5478F73E" w14:textId="77777777" w:rsidTr="0049639C">
        <w:trPr>
          <w:trHeight w:val="253"/>
          <w:jc w:val="center"/>
        </w:trPr>
        <w:tc>
          <w:tcPr>
            <w:tcW w:w="2730" w:type="dxa"/>
          </w:tcPr>
          <w:p w14:paraId="0FDCA978" w14:textId="77777777" w:rsidR="001E6EBD" w:rsidRPr="001A7371" w:rsidRDefault="001E6EBD" w:rsidP="001E6EBD">
            <w:pPr>
              <w:widowControl w:val="0"/>
              <w:autoSpaceDE w:val="0"/>
              <w:autoSpaceDN w:val="0"/>
              <w:spacing w:before="1" w:line="233" w:lineRule="exact"/>
              <w:jc w:val="center"/>
              <w:rPr>
                <w:b/>
                <w:sz w:val="22"/>
                <w:szCs w:val="22"/>
                <w:lang w:val="sr-Latn-ME"/>
              </w:rPr>
            </w:pPr>
            <w:r w:rsidRPr="001A7371">
              <w:rPr>
                <w:b/>
                <w:sz w:val="22"/>
                <w:szCs w:val="22"/>
                <w:lang w:val="sr-Latn-ME"/>
              </w:rPr>
              <w:t>Sistem</w:t>
            </w:r>
            <w:r w:rsidRPr="001A7371">
              <w:rPr>
                <w:b/>
                <w:spacing w:val="-12"/>
                <w:sz w:val="22"/>
                <w:szCs w:val="22"/>
                <w:lang w:val="sr-Latn-ME"/>
              </w:rPr>
              <w:t xml:space="preserve"> </w:t>
            </w:r>
            <w:r w:rsidRPr="001A7371">
              <w:rPr>
                <w:b/>
                <w:sz w:val="22"/>
                <w:szCs w:val="22"/>
                <w:lang w:val="sr-Latn-ME"/>
              </w:rPr>
              <w:t>organa</w:t>
            </w:r>
          </w:p>
        </w:tc>
        <w:tc>
          <w:tcPr>
            <w:tcW w:w="3283" w:type="dxa"/>
          </w:tcPr>
          <w:p w14:paraId="1F5E1964" w14:textId="77777777" w:rsidR="001E6EBD" w:rsidRPr="001A7371" w:rsidRDefault="001E6EBD" w:rsidP="001E6EBD">
            <w:pPr>
              <w:widowControl w:val="0"/>
              <w:autoSpaceDE w:val="0"/>
              <w:autoSpaceDN w:val="0"/>
              <w:spacing w:before="1" w:line="233" w:lineRule="exact"/>
              <w:ind w:left="1144" w:right="1134"/>
              <w:jc w:val="center"/>
              <w:rPr>
                <w:b/>
                <w:sz w:val="22"/>
                <w:szCs w:val="22"/>
                <w:lang w:val="sr-Latn-ME"/>
              </w:rPr>
            </w:pPr>
            <w:r w:rsidRPr="001A7371">
              <w:rPr>
                <w:b/>
                <w:sz w:val="22"/>
                <w:szCs w:val="22"/>
                <w:lang w:val="sr-Latn-ME"/>
              </w:rPr>
              <w:t>Učestalost</w:t>
            </w:r>
          </w:p>
        </w:tc>
        <w:tc>
          <w:tcPr>
            <w:tcW w:w="3338" w:type="dxa"/>
          </w:tcPr>
          <w:p w14:paraId="7800DF07" w14:textId="77777777" w:rsidR="001E6EBD" w:rsidRPr="001A7371" w:rsidRDefault="001E6EBD" w:rsidP="001E6EBD">
            <w:pPr>
              <w:widowControl w:val="0"/>
              <w:autoSpaceDE w:val="0"/>
              <w:autoSpaceDN w:val="0"/>
              <w:spacing w:before="1" w:line="233" w:lineRule="exact"/>
              <w:ind w:left="825"/>
              <w:rPr>
                <w:b/>
                <w:sz w:val="22"/>
                <w:szCs w:val="22"/>
                <w:lang w:val="sr-Latn-ME"/>
              </w:rPr>
            </w:pPr>
            <w:r w:rsidRPr="001A7371">
              <w:rPr>
                <w:b/>
                <w:sz w:val="22"/>
                <w:szCs w:val="22"/>
                <w:lang w:val="sr-Latn-ME"/>
              </w:rPr>
              <w:t>Neželjena</w:t>
            </w:r>
            <w:r w:rsidRPr="001A7371">
              <w:rPr>
                <w:b/>
                <w:spacing w:val="-5"/>
                <w:sz w:val="22"/>
                <w:szCs w:val="22"/>
                <w:lang w:val="sr-Latn-ME"/>
              </w:rPr>
              <w:t xml:space="preserve"> </w:t>
            </w:r>
            <w:r w:rsidRPr="001A7371">
              <w:rPr>
                <w:b/>
                <w:sz w:val="22"/>
                <w:szCs w:val="22"/>
                <w:lang w:val="sr-Latn-ME"/>
              </w:rPr>
              <w:t>dejstva</w:t>
            </w:r>
          </w:p>
        </w:tc>
      </w:tr>
      <w:tr w:rsidR="001E6EBD" w:rsidRPr="001A7371" w14:paraId="41091C56" w14:textId="77777777" w:rsidTr="0049639C">
        <w:trPr>
          <w:trHeight w:val="2783"/>
          <w:jc w:val="center"/>
        </w:trPr>
        <w:tc>
          <w:tcPr>
            <w:tcW w:w="2730" w:type="dxa"/>
            <w:vAlign w:val="center"/>
          </w:tcPr>
          <w:p w14:paraId="3FB1EE59" w14:textId="77777777" w:rsidR="001E6EBD" w:rsidRPr="001A7371" w:rsidRDefault="001E6EBD" w:rsidP="001E6EBD">
            <w:pPr>
              <w:widowControl w:val="0"/>
              <w:autoSpaceDE w:val="0"/>
              <w:autoSpaceDN w:val="0"/>
              <w:spacing w:line="249" w:lineRule="exact"/>
              <w:ind w:left="110"/>
              <w:rPr>
                <w:b/>
                <w:sz w:val="22"/>
                <w:szCs w:val="22"/>
                <w:lang w:val="sr-Latn-ME"/>
              </w:rPr>
            </w:pPr>
            <w:r w:rsidRPr="001A7371">
              <w:rPr>
                <w:b/>
                <w:sz w:val="22"/>
                <w:szCs w:val="22"/>
                <w:lang w:val="sr-Latn-ME"/>
              </w:rPr>
              <w:t>Infekcije</w:t>
            </w:r>
            <w:r w:rsidRPr="001A7371">
              <w:rPr>
                <w:b/>
                <w:spacing w:val="-5"/>
                <w:sz w:val="22"/>
                <w:szCs w:val="22"/>
                <w:lang w:val="sr-Latn-ME"/>
              </w:rPr>
              <w:t xml:space="preserve"> </w:t>
            </w:r>
            <w:r w:rsidRPr="001A7371">
              <w:rPr>
                <w:b/>
                <w:sz w:val="22"/>
                <w:szCs w:val="22"/>
                <w:lang w:val="sr-Latn-ME"/>
              </w:rPr>
              <w:t>i</w:t>
            </w:r>
            <w:r w:rsidRPr="001A7371">
              <w:rPr>
                <w:b/>
                <w:spacing w:val="-5"/>
                <w:sz w:val="22"/>
                <w:szCs w:val="22"/>
                <w:lang w:val="sr-Latn-ME"/>
              </w:rPr>
              <w:t xml:space="preserve"> </w:t>
            </w:r>
            <w:r w:rsidRPr="001A7371">
              <w:rPr>
                <w:b/>
                <w:sz w:val="22"/>
                <w:szCs w:val="22"/>
                <w:lang w:val="sr-Latn-ME"/>
              </w:rPr>
              <w:t>infestacije</w:t>
            </w:r>
          </w:p>
        </w:tc>
        <w:tc>
          <w:tcPr>
            <w:tcW w:w="3283" w:type="dxa"/>
          </w:tcPr>
          <w:p w14:paraId="2811AA98" w14:textId="77777777" w:rsidR="001E6EBD" w:rsidRPr="001A7371" w:rsidRDefault="001E6EBD" w:rsidP="001E6EBD">
            <w:pPr>
              <w:widowControl w:val="0"/>
              <w:autoSpaceDE w:val="0"/>
              <w:autoSpaceDN w:val="0"/>
              <w:spacing w:line="244" w:lineRule="exact"/>
              <w:ind w:left="110"/>
              <w:rPr>
                <w:i/>
                <w:sz w:val="22"/>
                <w:szCs w:val="22"/>
                <w:lang w:val="sr-Latn-ME"/>
              </w:rPr>
            </w:pPr>
            <w:r w:rsidRPr="001A7371">
              <w:rPr>
                <w:i/>
                <w:sz w:val="22"/>
                <w:szCs w:val="22"/>
                <w:lang w:val="sr-Latn-ME"/>
              </w:rPr>
              <w:t>veoma</w:t>
            </w:r>
            <w:r w:rsidRPr="001A7371">
              <w:rPr>
                <w:i/>
                <w:spacing w:val="-4"/>
                <w:sz w:val="22"/>
                <w:szCs w:val="22"/>
                <w:lang w:val="sr-Latn-ME"/>
              </w:rPr>
              <w:t xml:space="preserve"> </w:t>
            </w:r>
            <w:r w:rsidRPr="001A7371">
              <w:rPr>
                <w:i/>
                <w:sz w:val="22"/>
                <w:szCs w:val="22"/>
                <w:lang w:val="sr-Latn-ME"/>
              </w:rPr>
              <w:t>često:</w:t>
            </w:r>
          </w:p>
          <w:p w14:paraId="48CA5007" w14:textId="77777777" w:rsidR="001E6EBD" w:rsidRPr="001A7371" w:rsidRDefault="001E6EBD" w:rsidP="001E6EBD">
            <w:pPr>
              <w:widowControl w:val="0"/>
              <w:autoSpaceDE w:val="0"/>
              <w:autoSpaceDN w:val="0"/>
              <w:rPr>
                <w:szCs w:val="22"/>
                <w:lang w:val="sr-Latn-ME"/>
              </w:rPr>
            </w:pPr>
          </w:p>
          <w:p w14:paraId="146CE8F9" w14:textId="77777777" w:rsidR="001E6EBD" w:rsidRPr="001A7371" w:rsidRDefault="001E6EBD" w:rsidP="001E6EBD">
            <w:pPr>
              <w:widowControl w:val="0"/>
              <w:autoSpaceDE w:val="0"/>
              <w:autoSpaceDN w:val="0"/>
              <w:rPr>
                <w:szCs w:val="22"/>
                <w:lang w:val="sr-Latn-ME"/>
              </w:rPr>
            </w:pPr>
          </w:p>
          <w:p w14:paraId="3132566D" w14:textId="77777777" w:rsidR="001E6EBD" w:rsidRPr="001A7371" w:rsidRDefault="001E6EBD" w:rsidP="001E6EBD">
            <w:pPr>
              <w:widowControl w:val="0"/>
              <w:autoSpaceDE w:val="0"/>
              <w:autoSpaceDN w:val="0"/>
              <w:rPr>
                <w:szCs w:val="22"/>
                <w:lang w:val="sr-Latn-ME"/>
              </w:rPr>
            </w:pPr>
          </w:p>
          <w:p w14:paraId="732A4F63" w14:textId="77777777" w:rsidR="001E6EBD" w:rsidRPr="001A7371" w:rsidRDefault="001E6EBD" w:rsidP="001E6EBD">
            <w:pPr>
              <w:widowControl w:val="0"/>
              <w:autoSpaceDE w:val="0"/>
              <w:autoSpaceDN w:val="0"/>
              <w:rPr>
                <w:szCs w:val="22"/>
                <w:lang w:val="sr-Latn-ME"/>
              </w:rPr>
            </w:pPr>
          </w:p>
          <w:p w14:paraId="39348738" w14:textId="77777777" w:rsidR="001E6EBD" w:rsidRPr="001A7371" w:rsidRDefault="001E6EBD" w:rsidP="001E6EBD">
            <w:pPr>
              <w:widowControl w:val="0"/>
              <w:autoSpaceDE w:val="0"/>
              <w:autoSpaceDN w:val="0"/>
              <w:spacing w:before="164" w:line="477" w:lineRule="auto"/>
              <w:ind w:left="110" w:right="2102"/>
              <w:rPr>
                <w:i/>
                <w:sz w:val="22"/>
                <w:szCs w:val="22"/>
                <w:lang w:val="sr-Latn-ME"/>
              </w:rPr>
            </w:pPr>
            <w:r w:rsidRPr="001A7371">
              <w:rPr>
                <w:i/>
                <w:spacing w:val="-1"/>
                <w:sz w:val="22"/>
                <w:szCs w:val="22"/>
                <w:lang w:val="sr-Latn-ME"/>
              </w:rPr>
              <w:t>povremeno:</w:t>
            </w:r>
            <w:r w:rsidRPr="001A7371">
              <w:rPr>
                <w:i/>
                <w:spacing w:val="-52"/>
                <w:sz w:val="22"/>
                <w:szCs w:val="22"/>
                <w:lang w:val="sr-Latn-ME"/>
              </w:rPr>
              <w:t xml:space="preserve"> </w:t>
            </w:r>
            <w:r w:rsidRPr="001A7371">
              <w:rPr>
                <w:i/>
                <w:sz w:val="22"/>
                <w:szCs w:val="22"/>
                <w:lang w:val="sr-Latn-ME"/>
              </w:rPr>
              <w:t>rijetko*:</w:t>
            </w:r>
          </w:p>
          <w:p w14:paraId="2F344BBB" w14:textId="77777777" w:rsidR="001E6EBD" w:rsidRPr="001A7371" w:rsidRDefault="001E6EBD" w:rsidP="001E6EBD">
            <w:pPr>
              <w:widowControl w:val="0"/>
              <w:autoSpaceDE w:val="0"/>
              <w:autoSpaceDN w:val="0"/>
              <w:spacing w:before="2" w:line="243" w:lineRule="exact"/>
              <w:ind w:left="110"/>
              <w:rPr>
                <w:i/>
                <w:sz w:val="22"/>
                <w:szCs w:val="22"/>
                <w:lang w:val="sr-Latn-ME"/>
              </w:rPr>
            </w:pPr>
            <w:r w:rsidRPr="001A7371">
              <w:rPr>
                <w:i/>
                <w:sz w:val="22"/>
                <w:szCs w:val="22"/>
                <w:lang w:val="sr-Latn-ME"/>
              </w:rPr>
              <w:t>veoma</w:t>
            </w:r>
            <w:r w:rsidRPr="001A7371">
              <w:rPr>
                <w:i/>
                <w:spacing w:val="-4"/>
                <w:sz w:val="22"/>
                <w:szCs w:val="22"/>
                <w:lang w:val="sr-Latn-ME"/>
              </w:rPr>
              <w:t xml:space="preserve"> </w:t>
            </w:r>
            <w:r w:rsidRPr="001A7371">
              <w:rPr>
                <w:i/>
                <w:sz w:val="22"/>
                <w:szCs w:val="22"/>
                <w:lang w:val="sr-Latn-ME"/>
              </w:rPr>
              <w:t>rijetko*:</w:t>
            </w:r>
          </w:p>
        </w:tc>
        <w:tc>
          <w:tcPr>
            <w:tcW w:w="3338" w:type="dxa"/>
          </w:tcPr>
          <w:p w14:paraId="044A1D5A" w14:textId="77777777" w:rsidR="001E6EBD" w:rsidRPr="001A7371" w:rsidRDefault="001E6EBD" w:rsidP="001E6EBD">
            <w:pPr>
              <w:widowControl w:val="0"/>
              <w:autoSpaceDE w:val="0"/>
              <w:autoSpaceDN w:val="0"/>
              <w:ind w:left="110" w:right="208"/>
              <w:rPr>
                <w:sz w:val="22"/>
                <w:szCs w:val="22"/>
                <w:lang w:val="sr-Latn-ME"/>
              </w:rPr>
            </w:pPr>
            <w:r w:rsidRPr="001A7371">
              <w:rPr>
                <w:sz w:val="22"/>
                <w:szCs w:val="22"/>
                <w:lang w:val="sr-Latn-ME"/>
              </w:rPr>
              <w:t>infekcije (uglavnom urinarnog</w:t>
            </w:r>
            <w:r w:rsidRPr="001A7371">
              <w:rPr>
                <w:spacing w:val="1"/>
                <w:sz w:val="22"/>
                <w:szCs w:val="22"/>
                <w:lang w:val="sr-Latn-ME"/>
              </w:rPr>
              <w:t xml:space="preserve"> </w:t>
            </w:r>
            <w:r w:rsidRPr="001A7371">
              <w:rPr>
                <w:sz w:val="22"/>
                <w:szCs w:val="22"/>
                <w:lang w:val="sr-Latn-ME"/>
              </w:rPr>
              <w:t>trakta i infekcije gornjih</w:t>
            </w:r>
            <w:r w:rsidRPr="001A7371">
              <w:rPr>
                <w:spacing w:val="1"/>
                <w:sz w:val="22"/>
                <w:szCs w:val="22"/>
                <w:lang w:val="sr-Latn-ME"/>
              </w:rPr>
              <w:t xml:space="preserve"> </w:t>
            </w:r>
            <w:r w:rsidRPr="001A7371">
              <w:rPr>
                <w:sz w:val="22"/>
                <w:szCs w:val="22"/>
                <w:lang w:val="sr-Latn-ME"/>
              </w:rPr>
              <w:t>respiratornih puteva), sa</w:t>
            </w:r>
            <w:r w:rsidRPr="001A7371">
              <w:rPr>
                <w:spacing w:val="1"/>
                <w:sz w:val="22"/>
                <w:szCs w:val="22"/>
                <w:lang w:val="sr-Latn-ME"/>
              </w:rPr>
              <w:t xml:space="preserve"> </w:t>
            </w:r>
            <w:r w:rsidRPr="001A7371">
              <w:rPr>
                <w:sz w:val="22"/>
                <w:szCs w:val="22"/>
                <w:lang w:val="sr-Latn-ME"/>
              </w:rPr>
              <w:t>prijavljenim</w:t>
            </w:r>
            <w:r w:rsidRPr="001A7371">
              <w:rPr>
                <w:spacing w:val="-9"/>
                <w:sz w:val="22"/>
                <w:szCs w:val="22"/>
                <w:lang w:val="sr-Latn-ME"/>
              </w:rPr>
              <w:t xml:space="preserve"> </w:t>
            </w:r>
            <w:r w:rsidRPr="001A7371">
              <w:rPr>
                <w:sz w:val="22"/>
                <w:szCs w:val="22"/>
                <w:lang w:val="sr-Latn-ME"/>
              </w:rPr>
              <w:t>slučajevima</w:t>
            </w:r>
            <w:r w:rsidRPr="001A7371">
              <w:rPr>
                <w:spacing w:val="-9"/>
                <w:sz w:val="22"/>
                <w:szCs w:val="22"/>
                <w:lang w:val="sr-Latn-ME"/>
              </w:rPr>
              <w:t xml:space="preserve"> </w:t>
            </w:r>
            <w:r w:rsidRPr="001A7371">
              <w:rPr>
                <w:sz w:val="22"/>
                <w:szCs w:val="22"/>
                <w:lang w:val="sr-Latn-ME"/>
              </w:rPr>
              <w:t xml:space="preserve">smrtnog </w:t>
            </w:r>
            <w:r w:rsidRPr="001A7371">
              <w:rPr>
                <w:spacing w:val="-52"/>
                <w:sz w:val="22"/>
                <w:szCs w:val="22"/>
                <w:lang w:val="sr-Latn-ME"/>
              </w:rPr>
              <w:t xml:space="preserve"> </w:t>
            </w:r>
            <w:r w:rsidRPr="001A7371">
              <w:rPr>
                <w:sz w:val="22"/>
                <w:szCs w:val="22"/>
                <w:lang w:val="sr-Latn-ME"/>
              </w:rPr>
              <w:t>ishoda</w:t>
            </w:r>
          </w:p>
          <w:p w14:paraId="2A54C60F" w14:textId="77777777" w:rsidR="001E6EBD" w:rsidRPr="001A7371" w:rsidRDefault="001E6EBD" w:rsidP="001E6EBD">
            <w:pPr>
              <w:widowControl w:val="0"/>
              <w:autoSpaceDE w:val="0"/>
              <w:autoSpaceDN w:val="0"/>
              <w:spacing w:before="6"/>
              <w:rPr>
                <w:sz w:val="21"/>
                <w:szCs w:val="22"/>
                <w:lang w:val="sr-Latn-ME"/>
              </w:rPr>
            </w:pPr>
          </w:p>
          <w:p w14:paraId="113F086A" w14:textId="77777777" w:rsidR="001E6EBD" w:rsidRPr="001A7371" w:rsidRDefault="001E6EBD" w:rsidP="001E6EBD">
            <w:pPr>
              <w:widowControl w:val="0"/>
              <w:autoSpaceDE w:val="0"/>
              <w:autoSpaceDN w:val="0"/>
              <w:ind w:left="110"/>
              <w:rPr>
                <w:sz w:val="22"/>
                <w:szCs w:val="22"/>
                <w:lang w:val="sr-Latn-ME"/>
              </w:rPr>
            </w:pPr>
            <w:r w:rsidRPr="001A7371">
              <w:rPr>
                <w:sz w:val="22"/>
                <w:szCs w:val="22"/>
                <w:lang w:val="sr-Latn-ME"/>
              </w:rPr>
              <w:t>septički</w:t>
            </w:r>
            <w:r w:rsidRPr="001A7371">
              <w:rPr>
                <w:spacing w:val="-4"/>
                <w:sz w:val="22"/>
                <w:szCs w:val="22"/>
                <w:lang w:val="sr-Latn-ME"/>
              </w:rPr>
              <w:t xml:space="preserve"> </w:t>
            </w:r>
            <w:r w:rsidRPr="001A7371">
              <w:rPr>
                <w:sz w:val="22"/>
                <w:szCs w:val="22"/>
                <w:lang w:val="sr-Latn-ME"/>
              </w:rPr>
              <w:t>šok</w:t>
            </w:r>
          </w:p>
          <w:p w14:paraId="3A32919E" w14:textId="77777777" w:rsidR="001E6EBD" w:rsidRPr="001A7371" w:rsidRDefault="001E6EBD" w:rsidP="001E6EBD">
            <w:pPr>
              <w:widowControl w:val="0"/>
              <w:autoSpaceDE w:val="0"/>
              <w:autoSpaceDN w:val="0"/>
              <w:spacing w:line="500" w:lineRule="atLeast"/>
              <w:ind w:left="110" w:right="537"/>
              <w:rPr>
                <w:sz w:val="22"/>
                <w:szCs w:val="22"/>
                <w:lang w:val="sr-Latn-ME"/>
              </w:rPr>
            </w:pPr>
            <w:r w:rsidRPr="001A7371">
              <w:rPr>
                <w:sz w:val="22"/>
                <w:szCs w:val="22"/>
                <w:lang w:val="sr-Latn-ME"/>
              </w:rPr>
              <w:t>pneumonija,</w:t>
            </w:r>
            <w:r w:rsidRPr="001A7371">
              <w:rPr>
                <w:spacing w:val="-9"/>
                <w:sz w:val="22"/>
                <w:szCs w:val="22"/>
                <w:lang w:val="sr-Latn-ME"/>
              </w:rPr>
              <w:t xml:space="preserve"> </w:t>
            </w:r>
            <w:r w:rsidRPr="001A7371">
              <w:rPr>
                <w:sz w:val="22"/>
                <w:szCs w:val="22"/>
                <w:lang w:val="sr-Latn-ME"/>
              </w:rPr>
              <w:t>peritonitis,</w:t>
            </w:r>
            <w:r w:rsidR="0049639C" w:rsidRPr="001A7371">
              <w:rPr>
                <w:sz w:val="22"/>
                <w:szCs w:val="22"/>
                <w:lang w:val="sr-Latn-ME"/>
              </w:rPr>
              <w:t xml:space="preserve"> sepsa</w:t>
            </w:r>
            <w:r w:rsidRPr="001A7371">
              <w:rPr>
                <w:spacing w:val="-8"/>
                <w:sz w:val="22"/>
                <w:szCs w:val="22"/>
                <w:lang w:val="sr-Latn-ME"/>
              </w:rPr>
              <w:t xml:space="preserve"> </w:t>
            </w:r>
            <w:r w:rsidRPr="001A7371">
              <w:rPr>
                <w:sz w:val="22"/>
                <w:szCs w:val="22"/>
                <w:lang w:val="sr-Latn-ME"/>
              </w:rPr>
              <w:t>pseudomembranozni</w:t>
            </w:r>
            <w:r w:rsidRPr="001A7371">
              <w:rPr>
                <w:spacing w:val="-5"/>
                <w:sz w:val="22"/>
                <w:szCs w:val="22"/>
                <w:lang w:val="sr-Latn-ME"/>
              </w:rPr>
              <w:t xml:space="preserve"> </w:t>
            </w:r>
            <w:r w:rsidRPr="001A7371">
              <w:rPr>
                <w:sz w:val="22"/>
                <w:szCs w:val="22"/>
                <w:lang w:val="sr-Latn-ME"/>
              </w:rPr>
              <w:t>kolitis</w:t>
            </w:r>
          </w:p>
        </w:tc>
      </w:tr>
      <w:tr w:rsidR="001E6EBD" w:rsidRPr="001A7371" w14:paraId="15B9F151" w14:textId="77777777" w:rsidTr="00EF4064">
        <w:trPr>
          <w:trHeight w:val="3037"/>
          <w:jc w:val="center"/>
        </w:trPr>
        <w:tc>
          <w:tcPr>
            <w:tcW w:w="2730" w:type="dxa"/>
            <w:vAlign w:val="center"/>
          </w:tcPr>
          <w:p w14:paraId="1590E317" w14:textId="77777777" w:rsidR="001E6EBD" w:rsidRPr="001A7371" w:rsidRDefault="001E6EBD" w:rsidP="001E6EBD">
            <w:pPr>
              <w:widowControl w:val="0"/>
              <w:autoSpaceDE w:val="0"/>
              <w:autoSpaceDN w:val="0"/>
              <w:spacing w:line="242" w:lineRule="auto"/>
              <w:ind w:left="110" w:right="762"/>
              <w:rPr>
                <w:b/>
                <w:sz w:val="22"/>
                <w:szCs w:val="22"/>
                <w:lang w:val="sr-Latn-ME"/>
              </w:rPr>
            </w:pPr>
            <w:r w:rsidRPr="001A7371">
              <w:rPr>
                <w:b/>
                <w:sz w:val="22"/>
                <w:szCs w:val="22"/>
                <w:lang w:val="sr-Latn-ME"/>
              </w:rPr>
              <w:lastRenderedPageBreak/>
              <w:t>Poremećaji</w:t>
            </w:r>
            <w:r w:rsidRPr="001A7371">
              <w:rPr>
                <w:b/>
                <w:spacing w:val="-5"/>
                <w:sz w:val="22"/>
                <w:szCs w:val="22"/>
                <w:lang w:val="sr-Latn-ME"/>
              </w:rPr>
              <w:t xml:space="preserve"> </w:t>
            </w:r>
            <w:r w:rsidRPr="001A7371">
              <w:rPr>
                <w:b/>
                <w:sz w:val="22"/>
                <w:szCs w:val="22"/>
                <w:lang w:val="sr-Latn-ME"/>
              </w:rPr>
              <w:t>krvi</w:t>
            </w:r>
            <w:r w:rsidRPr="001A7371">
              <w:rPr>
                <w:b/>
                <w:spacing w:val="-5"/>
                <w:sz w:val="22"/>
                <w:szCs w:val="22"/>
                <w:lang w:val="sr-Latn-ME"/>
              </w:rPr>
              <w:t xml:space="preserve"> </w:t>
            </w:r>
            <w:r w:rsidRPr="001A7371">
              <w:rPr>
                <w:b/>
                <w:sz w:val="22"/>
                <w:szCs w:val="22"/>
                <w:lang w:val="sr-Latn-ME"/>
              </w:rPr>
              <w:t>i</w:t>
            </w:r>
            <w:r w:rsidRPr="001A7371">
              <w:rPr>
                <w:b/>
                <w:spacing w:val="-5"/>
                <w:sz w:val="22"/>
                <w:szCs w:val="22"/>
                <w:lang w:val="sr-Latn-ME"/>
              </w:rPr>
              <w:t xml:space="preserve"> </w:t>
            </w:r>
            <w:r w:rsidRPr="001A7371">
              <w:rPr>
                <w:b/>
                <w:sz w:val="22"/>
                <w:szCs w:val="22"/>
                <w:lang w:val="sr-Latn-ME"/>
              </w:rPr>
              <w:t>limfnog</w:t>
            </w:r>
            <w:r w:rsidR="0049639C" w:rsidRPr="001A7371">
              <w:rPr>
                <w:b/>
                <w:sz w:val="22"/>
                <w:szCs w:val="22"/>
                <w:lang w:val="sr-Latn-ME"/>
              </w:rPr>
              <w:t xml:space="preserve"> </w:t>
            </w:r>
            <w:r w:rsidRPr="001A7371">
              <w:rPr>
                <w:b/>
                <w:spacing w:val="-52"/>
                <w:sz w:val="22"/>
                <w:szCs w:val="22"/>
                <w:lang w:val="sr-Latn-ME"/>
              </w:rPr>
              <w:t xml:space="preserve"> </w:t>
            </w:r>
            <w:r w:rsidRPr="001A7371">
              <w:rPr>
                <w:b/>
                <w:sz w:val="22"/>
                <w:szCs w:val="22"/>
                <w:lang w:val="sr-Latn-ME"/>
              </w:rPr>
              <w:t>sistema</w:t>
            </w:r>
          </w:p>
        </w:tc>
        <w:tc>
          <w:tcPr>
            <w:tcW w:w="3283" w:type="dxa"/>
            <w:tcBorders>
              <w:bottom w:val="single" w:sz="4" w:space="0" w:color="auto"/>
            </w:tcBorders>
          </w:tcPr>
          <w:p w14:paraId="7264A6A5" w14:textId="77777777" w:rsidR="001E6EBD" w:rsidRPr="001A7371" w:rsidRDefault="001E6EBD" w:rsidP="001E6EBD">
            <w:pPr>
              <w:widowControl w:val="0"/>
              <w:autoSpaceDE w:val="0"/>
              <w:autoSpaceDN w:val="0"/>
              <w:spacing w:line="244" w:lineRule="exact"/>
              <w:ind w:left="110"/>
              <w:rPr>
                <w:i/>
                <w:sz w:val="22"/>
                <w:szCs w:val="22"/>
                <w:lang w:val="sr-Latn-ME"/>
              </w:rPr>
            </w:pPr>
            <w:r w:rsidRPr="001A7371">
              <w:rPr>
                <w:i/>
                <w:sz w:val="22"/>
                <w:szCs w:val="22"/>
                <w:lang w:val="sr-Latn-ME"/>
              </w:rPr>
              <w:t>veoma</w:t>
            </w:r>
            <w:r w:rsidRPr="001A7371">
              <w:rPr>
                <w:i/>
                <w:spacing w:val="-4"/>
                <w:sz w:val="22"/>
                <w:szCs w:val="22"/>
                <w:lang w:val="sr-Latn-ME"/>
              </w:rPr>
              <w:t xml:space="preserve"> </w:t>
            </w:r>
            <w:r w:rsidRPr="001A7371">
              <w:rPr>
                <w:i/>
                <w:sz w:val="22"/>
                <w:szCs w:val="22"/>
                <w:lang w:val="sr-Latn-ME"/>
              </w:rPr>
              <w:t>često:</w:t>
            </w:r>
          </w:p>
          <w:p w14:paraId="1A59F81D" w14:textId="77777777" w:rsidR="001E6EBD" w:rsidRPr="001A7371" w:rsidRDefault="001E6EBD" w:rsidP="001E6EBD">
            <w:pPr>
              <w:widowControl w:val="0"/>
              <w:autoSpaceDE w:val="0"/>
              <w:autoSpaceDN w:val="0"/>
              <w:rPr>
                <w:szCs w:val="22"/>
                <w:lang w:val="sr-Latn-ME"/>
              </w:rPr>
            </w:pPr>
          </w:p>
          <w:p w14:paraId="089020DE" w14:textId="77777777" w:rsidR="001E6EBD" w:rsidRPr="001A7371" w:rsidRDefault="001E6EBD" w:rsidP="001E6EBD">
            <w:pPr>
              <w:widowControl w:val="0"/>
              <w:autoSpaceDE w:val="0"/>
              <w:autoSpaceDN w:val="0"/>
              <w:rPr>
                <w:szCs w:val="22"/>
                <w:lang w:val="sr-Latn-ME"/>
              </w:rPr>
            </w:pPr>
          </w:p>
          <w:p w14:paraId="1C499E32" w14:textId="77777777" w:rsidR="001E6EBD" w:rsidRPr="001A7371" w:rsidRDefault="001E6EBD" w:rsidP="001E6EBD">
            <w:pPr>
              <w:widowControl w:val="0"/>
              <w:autoSpaceDE w:val="0"/>
              <w:autoSpaceDN w:val="0"/>
              <w:spacing w:before="186" w:line="477" w:lineRule="auto"/>
              <w:ind w:left="110" w:right="912"/>
              <w:rPr>
                <w:i/>
                <w:spacing w:val="7"/>
                <w:sz w:val="22"/>
                <w:szCs w:val="22"/>
                <w:lang w:val="sr-Latn-ME"/>
              </w:rPr>
            </w:pPr>
            <w:r w:rsidRPr="001A7371">
              <w:rPr>
                <w:i/>
                <w:sz w:val="22"/>
                <w:szCs w:val="22"/>
                <w:lang w:val="sr-Latn-ME"/>
              </w:rPr>
              <w:t>rijetko*:</w:t>
            </w:r>
            <w:r w:rsidRPr="001A7371">
              <w:rPr>
                <w:i/>
                <w:spacing w:val="7"/>
                <w:sz w:val="22"/>
                <w:szCs w:val="22"/>
                <w:lang w:val="sr-Latn-ME"/>
              </w:rPr>
              <w:t xml:space="preserve"> </w:t>
            </w:r>
          </w:p>
          <w:p w14:paraId="4F46AAD2" w14:textId="77777777" w:rsidR="001E6EBD" w:rsidRPr="001A7371" w:rsidRDefault="001E6EBD" w:rsidP="001E6EBD">
            <w:pPr>
              <w:widowControl w:val="0"/>
              <w:autoSpaceDE w:val="0"/>
              <w:autoSpaceDN w:val="0"/>
              <w:spacing w:before="186" w:line="477" w:lineRule="auto"/>
              <w:ind w:left="110" w:right="912"/>
              <w:rPr>
                <w:i/>
                <w:sz w:val="22"/>
                <w:szCs w:val="22"/>
                <w:lang w:val="sr-Latn-ME"/>
              </w:rPr>
            </w:pPr>
            <w:r w:rsidRPr="001A7371">
              <w:rPr>
                <w:i/>
                <w:spacing w:val="-1"/>
                <w:sz w:val="22"/>
                <w:szCs w:val="22"/>
                <w:lang w:val="sr-Latn-ME"/>
              </w:rPr>
              <w:t>veoma</w:t>
            </w:r>
            <w:r w:rsidRPr="001A7371">
              <w:rPr>
                <w:i/>
                <w:spacing w:val="-11"/>
                <w:sz w:val="22"/>
                <w:szCs w:val="22"/>
                <w:lang w:val="sr-Latn-ME"/>
              </w:rPr>
              <w:t xml:space="preserve"> </w:t>
            </w:r>
            <w:r w:rsidRPr="001A7371">
              <w:rPr>
                <w:i/>
                <w:sz w:val="22"/>
                <w:szCs w:val="22"/>
                <w:lang w:val="sr-Latn-ME"/>
              </w:rPr>
              <w:t>rijetko*:</w:t>
            </w:r>
          </w:p>
          <w:p w14:paraId="65141F24" w14:textId="77777777" w:rsidR="001E6EBD" w:rsidRPr="001A7371" w:rsidRDefault="001E6EBD" w:rsidP="001E6EBD">
            <w:pPr>
              <w:widowControl w:val="0"/>
              <w:autoSpaceDE w:val="0"/>
              <w:autoSpaceDN w:val="0"/>
              <w:spacing w:before="2"/>
              <w:rPr>
                <w:sz w:val="22"/>
                <w:szCs w:val="22"/>
                <w:lang w:val="sr-Latn-ME"/>
              </w:rPr>
            </w:pPr>
          </w:p>
          <w:p w14:paraId="4FFB94A6" w14:textId="77777777" w:rsidR="001E6EBD" w:rsidRPr="001A7371" w:rsidRDefault="001E6EBD" w:rsidP="001E6EBD">
            <w:pPr>
              <w:widowControl w:val="0"/>
              <w:autoSpaceDE w:val="0"/>
              <w:autoSpaceDN w:val="0"/>
              <w:spacing w:before="1"/>
              <w:ind w:left="110"/>
              <w:rPr>
                <w:i/>
                <w:sz w:val="22"/>
                <w:szCs w:val="22"/>
                <w:lang w:val="sr-Latn-ME"/>
              </w:rPr>
            </w:pPr>
            <w:r w:rsidRPr="001A7371">
              <w:rPr>
                <w:i/>
                <w:sz w:val="22"/>
                <w:szCs w:val="22"/>
                <w:lang w:val="sr-Latn-ME"/>
              </w:rPr>
              <w:t>nepoznato:</w:t>
            </w:r>
          </w:p>
        </w:tc>
        <w:tc>
          <w:tcPr>
            <w:tcW w:w="3338" w:type="dxa"/>
          </w:tcPr>
          <w:p w14:paraId="018285B7" w14:textId="77777777" w:rsidR="001E6EBD" w:rsidRPr="001A7371" w:rsidRDefault="0049639C" w:rsidP="001E6EBD">
            <w:pPr>
              <w:widowControl w:val="0"/>
              <w:autoSpaceDE w:val="0"/>
              <w:autoSpaceDN w:val="0"/>
              <w:spacing w:line="242" w:lineRule="auto"/>
              <w:ind w:left="110"/>
              <w:rPr>
                <w:sz w:val="22"/>
                <w:szCs w:val="22"/>
                <w:lang w:val="sr-Latn-ME"/>
              </w:rPr>
            </w:pPr>
            <w:r w:rsidRPr="001A7371">
              <w:rPr>
                <w:spacing w:val="-1"/>
                <w:sz w:val="22"/>
                <w:szCs w:val="22"/>
                <w:lang w:val="sr-Latn-ME"/>
              </w:rPr>
              <w:t>m</w:t>
            </w:r>
            <w:r w:rsidR="001E6EBD" w:rsidRPr="001A7371">
              <w:rPr>
                <w:spacing w:val="-1"/>
                <w:sz w:val="22"/>
                <w:szCs w:val="22"/>
                <w:lang w:val="sr-Latn-ME"/>
              </w:rPr>
              <w:t xml:space="preserve">ijelosupresija, </w:t>
            </w:r>
            <w:r w:rsidR="001E6EBD" w:rsidRPr="001A7371">
              <w:rPr>
                <w:sz w:val="22"/>
                <w:szCs w:val="22"/>
                <w:lang w:val="sr-Latn-ME"/>
              </w:rPr>
              <w:t>neutropenija,</w:t>
            </w:r>
            <w:r w:rsidR="001E6EBD" w:rsidRPr="001A7371">
              <w:rPr>
                <w:spacing w:val="-52"/>
                <w:sz w:val="22"/>
                <w:szCs w:val="22"/>
                <w:lang w:val="sr-Latn-ME"/>
              </w:rPr>
              <w:t xml:space="preserve"> </w:t>
            </w:r>
            <w:r w:rsidR="001E6EBD" w:rsidRPr="001A7371">
              <w:rPr>
                <w:sz w:val="22"/>
                <w:szCs w:val="22"/>
                <w:lang w:val="sr-Latn-ME"/>
              </w:rPr>
              <w:t>anemija, trombocitopenija,</w:t>
            </w:r>
            <w:r w:rsidR="001E6EBD" w:rsidRPr="001A7371">
              <w:rPr>
                <w:spacing w:val="1"/>
                <w:sz w:val="22"/>
                <w:szCs w:val="22"/>
                <w:lang w:val="sr-Latn-ME"/>
              </w:rPr>
              <w:t xml:space="preserve"> </w:t>
            </w:r>
            <w:r w:rsidR="001E6EBD" w:rsidRPr="001A7371">
              <w:rPr>
                <w:sz w:val="22"/>
                <w:szCs w:val="22"/>
                <w:lang w:val="sr-Latn-ME"/>
              </w:rPr>
              <w:t>leukopenija,</w:t>
            </w:r>
            <w:r w:rsidR="001E6EBD" w:rsidRPr="001A7371">
              <w:rPr>
                <w:spacing w:val="-3"/>
                <w:sz w:val="22"/>
                <w:szCs w:val="22"/>
                <w:lang w:val="sr-Latn-ME"/>
              </w:rPr>
              <w:t xml:space="preserve"> </w:t>
            </w:r>
            <w:r w:rsidR="001E6EBD" w:rsidRPr="001A7371">
              <w:rPr>
                <w:sz w:val="22"/>
                <w:szCs w:val="22"/>
                <w:lang w:val="sr-Latn-ME"/>
              </w:rPr>
              <w:t>krvarenje</w:t>
            </w:r>
          </w:p>
          <w:p w14:paraId="0750760E" w14:textId="77777777" w:rsidR="001E6EBD" w:rsidRPr="001A7371" w:rsidRDefault="001E6EBD" w:rsidP="001E6EBD">
            <w:pPr>
              <w:widowControl w:val="0"/>
              <w:autoSpaceDE w:val="0"/>
              <w:autoSpaceDN w:val="0"/>
              <w:spacing w:before="7"/>
              <w:rPr>
                <w:sz w:val="20"/>
                <w:szCs w:val="22"/>
                <w:lang w:val="sr-Latn-ME"/>
              </w:rPr>
            </w:pPr>
          </w:p>
          <w:p w14:paraId="34CDAFE2" w14:textId="77777777" w:rsidR="001E6EBD" w:rsidRPr="001A7371" w:rsidRDefault="001E6EBD" w:rsidP="001E6EBD">
            <w:pPr>
              <w:widowControl w:val="0"/>
              <w:autoSpaceDE w:val="0"/>
              <w:autoSpaceDN w:val="0"/>
              <w:ind w:left="110"/>
              <w:rPr>
                <w:sz w:val="22"/>
                <w:szCs w:val="22"/>
                <w:lang w:val="sr-Latn-ME"/>
              </w:rPr>
            </w:pPr>
            <w:r w:rsidRPr="001A7371">
              <w:rPr>
                <w:sz w:val="22"/>
                <w:szCs w:val="22"/>
                <w:lang w:val="sr-Latn-ME"/>
              </w:rPr>
              <w:t>febrilna</w:t>
            </w:r>
            <w:r w:rsidRPr="001A7371">
              <w:rPr>
                <w:spacing w:val="-8"/>
                <w:sz w:val="22"/>
                <w:szCs w:val="22"/>
                <w:lang w:val="sr-Latn-ME"/>
              </w:rPr>
              <w:t xml:space="preserve"> </w:t>
            </w:r>
            <w:r w:rsidRPr="001A7371">
              <w:rPr>
                <w:sz w:val="22"/>
                <w:szCs w:val="22"/>
                <w:lang w:val="sr-Latn-ME"/>
              </w:rPr>
              <w:t>neutropenija</w:t>
            </w:r>
          </w:p>
          <w:p w14:paraId="51E14A4E" w14:textId="77777777" w:rsidR="001E6EBD" w:rsidRPr="001A7371" w:rsidRDefault="001E6EBD" w:rsidP="001E6EBD">
            <w:pPr>
              <w:widowControl w:val="0"/>
              <w:autoSpaceDE w:val="0"/>
              <w:autoSpaceDN w:val="0"/>
              <w:spacing w:before="10"/>
              <w:rPr>
                <w:sz w:val="21"/>
                <w:szCs w:val="22"/>
                <w:lang w:val="sr-Latn-ME"/>
              </w:rPr>
            </w:pPr>
          </w:p>
          <w:p w14:paraId="4AEC6252" w14:textId="77777777" w:rsidR="001E6EBD" w:rsidRPr="001A7371" w:rsidRDefault="001E6EBD" w:rsidP="001E6EBD">
            <w:pPr>
              <w:widowControl w:val="0"/>
              <w:autoSpaceDE w:val="0"/>
              <w:autoSpaceDN w:val="0"/>
              <w:ind w:left="110" w:right="588"/>
              <w:rPr>
                <w:sz w:val="22"/>
                <w:szCs w:val="22"/>
                <w:lang w:val="sr-Latn-ME"/>
              </w:rPr>
            </w:pPr>
            <w:r w:rsidRPr="001A7371">
              <w:rPr>
                <w:sz w:val="22"/>
                <w:szCs w:val="22"/>
                <w:lang w:val="sr-Latn-ME"/>
              </w:rPr>
              <w:t>akutna mijeloidna leukemija,</w:t>
            </w:r>
            <w:r w:rsidRPr="001A7371">
              <w:rPr>
                <w:spacing w:val="-52"/>
                <w:sz w:val="22"/>
                <w:szCs w:val="22"/>
                <w:lang w:val="sr-Latn-ME"/>
              </w:rPr>
              <w:t xml:space="preserve"> </w:t>
            </w:r>
            <w:r w:rsidRPr="001A7371">
              <w:rPr>
                <w:sz w:val="22"/>
                <w:szCs w:val="22"/>
                <w:lang w:val="sr-Latn-ME"/>
              </w:rPr>
              <w:t>mijelodisplastični</w:t>
            </w:r>
            <w:r w:rsidRPr="001A7371">
              <w:rPr>
                <w:spacing w:val="-4"/>
                <w:sz w:val="22"/>
                <w:szCs w:val="22"/>
                <w:lang w:val="sr-Latn-ME"/>
              </w:rPr>
              <w:t xml:space="preserve"> </w:t>
            </w:r>
            <w:r w:rsidRPr="001A7371">
              <w:rPr>
                <w:sz w:val="22"/>
                <w:szCs w:val="22"/>
                <w:lang w:val="sr-Latn-ME"/>
              </w:rPr>
              <w:t>sindrom</w:t>
            </w:r>
          </w:p>
          <w:p w14:paraId="6984CCFC" w14:textId="77777777" w:rsidR="001E6EBD" w:rsidRPr="001A7371" w:rsidRDefault="001E6EBD" w:rsidP="001E6EBD">
            <w:pPr>
              <w:widowControl w:val="0"/>
              <w:autoSpaceDE w:val="0"/>
              <w:autoSpaceDN w:val="0"/>
              <w:spacing w:before="3"/>
              <w:rPr>
                <w:szCs w:val="22"/>
                <w:lang w:val="sr-Latn-ME"/>
              </w:rPr>
            </w:pPr>
          </w:p>
          <w:p w14:paraId="26B8E0A6" w14:textId="77777777" w:rsidR="0049639C" w:rsidRPr="001A7371" w:rsidRDefault="0049639C" w:rsidP="001E6EBD">
            <w:pPr>
              <w:widowControl w:val="0"/>
              <w:autoSpaceDE w:val="0"/>
              <w:autoSpaceDN w:val="0"/>
              <w:spacing w:before="3"/>
              <w:rPr>
                <w:sz w:val="19"/>
                <w:szCs w:val="22"/>
                <w:lang w:val="sr-Latn-ME"/>
              </w:rPr>
            </w:pPr>
          </w:p>
          <w:p w14:paraId="1D8F18DF" w14:textId="77777777" w:rsidR="001E6EBD" w:rsidRPr="001A7371" w:rsidRDefault="0049639C" w:rsidP="001E6EBD">
            <w:pPr>
              <w:widowControl w:val="0"/>
              <w:autoSpaceDE w:val="0"/>
              <w:autoSpaceDN w:val="0"/>
              <w:spacing w:line="250" w:lineRule="atLeast"/>
              <w:ind w:left="110" w:right="466"/>
              <w:rPr>
                <w:sz w:val="22"/>
                <w:szCs w:val="22"/>
                <w:lang w:val="sr-Latn-ME"/>
              </w:rPr>
            </w:pPr>
            <w:r w:rsidRPr="001A7371">
              <w:rPr>
                <w:sz w:val="22"/>
                <w:szCs w:val="22"/>
                <w:lang w:val="sr-Latn-ME"/>
              </w:rPr>
              <w:t>d</w:t>
            </w:r>
            <w:r w:rsidR="001E6EBD" w:rsidRPr="001A7371">
              <w:rPr>
                <w:sz w:val="22"/>
                <w:szCs w:val="22"/>
                <w:lang w:val="sr-Latn-ME"/>
              </w:rPr>
              <w:t>iseminovana intravaskularna</w:t>
            </w:r>
            <w:r w:rsidR="001E6EBD" w:rsidRPr="001A7371">
              <w:rPr>
                <w:spacing w:val="-52"/>
                <w:sz w:val="22"/>
                <w:szCs w:val="22"/>
                <w:lang w:val="sr-Latn-ME"/>
              </w:rPr>
              <w:t xml:space="preserve"> </w:t>
            </w:r>
            <w:r w:rsidR="001E6EBD" w:rsidRPr="001A7371">
              <w:rPr>
                <w:sz w:val="22"/>
                <w:szCs w:val="22"/>
                <w:lang w:val="sr-Latn-ME"/>
              </w:rPr>
              <w:t>koagulacija</w:t>
            </w:r>
            <w:r w:rsidR="001E6EBD" w:rsidRPr="001A7371">
              <w:rPr>
                <w:spacing w:val="-2"/>
                <w:sz w:val="22"/>
                <w:szCs w:val="22"/>
                <w:lang w:val="sr-Latn-ME"/>
              </w:rPr>
              <w:t xml:space="preserve"> </w:t>
            </w:r>
            <w:r w:rsidR="001E6EBD" w:rsidRPr="001A7371">
              <w:rPr>
                <w:sz w:val="22"/>
                <w:szCs w:val="22"/>
                <w:lang w:val="sr-Latn-ME"/>
              </w:rPr>
              <w:t>(DIK)</w:t>
            </w:r>
          </w:p>
        </w:tc>
      </w:tr>
      <w:tr w:rsidR="0049639C" w:rsidRPr="001A7371" w14:paraId="2D65E3DA" w14:textId="77777777" w:rsidTr="00EF4064">
        <w:trPr>
          <w:trHeight w:val="750"/>
          <w:jc w:val="center"/>
        </w:trPr>
        <w:tc>
          <w:tcPr>
            <w:tcW w:w="2730" w:type="dxa"/>
            <w:vMerge w:val="restart"/>
            <w:tcBorders>
              <w:right w:val="single" w:sz="4" w:space="0" w:color="auto"/>
            </w:tcBorders>
            <w:vAlign w:val="center"/>
          </w:tcPr>
          <w:p w14:paraId="196B5CC9" w14:textId="77777777" w:rsidR="0049639C" w:rsidRPr="001A7371" w:rsidRDefault="0049639C" w:rsidP="001E6EBD">
            <w:pPr>
              <w:widowControl w:val="0"/>
              <w:autoSpaceDE w:val="0"/>
              <w:autoSpaceDN w:val="0"/>
              <w:spacing w:line="249" w:lineRule="exact"/>
              <w:ind w:left="110"/>
              <w:rPr>
                <w:b/>
                <w:sz w:val="22"/>
                <w:szCs w:val="22"/>
                <w:lang w:val="sr-Latn-ME"/>
              </w:rPr>
            </w:pPr>
            <w:r w:rsidRPr="001A7371">
              <w:rPr>
                <w:b/>
                <w:sz w:val="22"/>
                <w:szCs w:val="22"/>
                <w:lang w:val="sr-Latn-ME"/>
              </w:rPr>
              <w:t>Poremećaji</w:t>
            </w:r>
            <w:r w:rsidRPr="001A7371">
              <w:rPr>
                <w:b/>
                <w:spacing w:val="-6"/>
                <w:sz w:val="22"/>
                <w:szCs w:val="22"/>
                <w:lang w:val="sr-Latn-ME"/>
              </w:rPr>
              <w:t xml:space="preserve"> </w:t>
            </w:r>
            <w:r w:rsidRPr="001A7371">
              <w:rPr>
                <w:b/>
                <w:sz w:val="22"/>
                <w:szCs w:val="22"/>
                <w:lang w:val="sr-Latn-ME"/>
              </w:rPr>
              <w:t>imunskog</w:t>
            </w:r>
            <w:r w:rsidRPr="001A7371">
              <w:rPr>
                <w:b/>
                <w:spacing w:val="-6"/>
                <w:sz w:val="22"/>
                <w:szCs w:val="22"/>
                <w:lang w:val="sr-Latn-ME"/>
              </w:rPr>
              <w:t xml:space="preserve"> </w:t>
            </w:r>
            <w:r w:rsidRPr="001A7371">
              <w:rPr>
                <w:b/>
                <w:sz w:val="22"/>
                <w:szCs w:val="22"/>
                <w:lang w:val="sr-Latn-ME"/>
              </w:rPr>
              <w:t>sistema</w:t>
            </w:r>
          </w:p>
        </w:tc>
        <w:tc>
          <w:tcPr>
            <w:tcW w:w="3283" w:type="dxa"/>
            <w:tcBorders>
              <w:top w:val="single" w:sz="4" w:space="0" w:color="auto"/>
              <w:left w:val="single" w:sz="4" w:space="0" w:color="auto"/>
              <w:bottom w:val="nil"/>
              <w:right w:val="single" w:sz="4" w:space="0" w:color="auto"/>
            </w:tcBorders>
          </w:tcPr>
          <w:p w14:paraId="46D352E0" w14:textId="77777777" w:rsidR="0049639C" w:rsidRPr="001A7371" w:rsidRDefault="0049639C" w:rsidP="001E6EBD">
            <w:pPr>
              <w:widowControl w:val="0"/>
              <w:autoSpaceDE w:val="0"/>
              <w:autoSpaceDN w:val="0"/>
              <w:spacing w:line="244" w:lineRule="exact"/>
              <w:ind w:left="110"/>
              <w:rPr>
                <w:i/>
                <w:sz w:val="22"/>
                <w:szCs w:val="22"/>
                <w:lang w:val="sr-Latn-ME"/>
              </w:rPr>
            </w:pPr>
            <w:r w:rsidRPr="001A7371">
              <w:rPr>
                <w:i/>
                <w:sz w:val="22"/>
                <w:szCs w:val="22"/>
                <w:lang w:val="sr-Latn-ME"/>
              </w:rPr>
              <w:t>veoma</w:t>
            </w:r>
            <w:r w:rsidRPr="001A7371">
              <w:rPr>
                <w:i/>
                <w:spacing w:val="50"/>
                <w:sz w:val="22"/>
                <w:szCs w:val="22"/>
                <w:lang w:val="sr-Latn-ME"/>
              </w:rPr>
              <w:t xml:space="preserve"> </w:t>
            </w:r>
            <w:r w:rsidRPr="001A7371">
              <w:rPr>
                <w:i/>
                <w:sz w:val="22"/>
                <w:szCs w:val="22"/>
                <w:lang w:val="sr-Latn-ME"/>
              </w:rPr>
              <w:t>često:</w:t>
            </w:r>
          </w:p>
        </w:tc>
        <w:tc>
          <w:tcPr>
            <w:tcW w:w="3338" w:type="dxa"/>
            <w:tcBorders>
              <w:left w:val="single" w:sz="4" w:space="0" w:color="auto"/>
              <w:bottom w:val="nil"/>
            </w:tcBorders>
          </w:tcPr>
          <w:p w14:paraId="341F3CA2" w14:textId="77777777" w:rsidR="0049639C" w:rsidRPr="001A7371" w:rsidRDefault="0049639C" w:rsidP="001E6EBD">
            <w:pPr>
              <w:widowControl w:val="0"/>
              <w:autoSpaceDE w:val="0"/>
              <w:autoSpaceDN w:val="0"/>
              <w:spacing w:line="237" w:lineRule="auto"/>
              <w:ind w:left="110" w:right="479"/>
              <w:rPr>
                <w:sz w:val="22"/>
                <w:szCs w:val="22"/>
                <w:lang w:val="sr-Latn-ME"/>
              </w:rPr>
            </w:pPr>
            <w:r w:rsidRPr="001A7371">
              <w:rPr>
                <w:sz w:val="22"/>
                <w:szCs w:val="22"/>
                <w:lang w:val="sr-Latn-ME"/>
              </w:rPr>
              <w:t>manje</w:t>
            </w:r>
            <w:r w:rsidRPr="001A7371">
              <w:rPr>
                <w:spacing w:val="-10"/>
                <w:sz w:val="22"/>
                <w:szCs w:val="22"/>
                <w:lang w:val="sr-Latn-ME"/>
              </w:rPr>
              <w:t xml:space="preserve"> </w:t>
            </w:r>
            <w:r w:rsidRPr="001A7371">
              <w:rPr>
                <w:sz w:val="22"/>
                <w:szCs w:val="22"/>
                <w:lang w:val="sr-Latn-ME"/>
              </w:rPr>
              <w:t>hipersenzitivne</w:t>
            </w:r>
            <w:r w:rsidRPr="001A7371">
              <w:rPr>
                <w:spacing w:val="-9"/>
                <w:sz w:val="22"/>
                <w:szCs w:val="22"/>
                <w:lang w:val="sr-Latn-ME"/>
              </w:rPr>
              <w:t xml:space="preserve"> </w:t>
            </w:r>
            <w:r w:rsidRPr="001A7371">
              <w:rPr>
                <w:sz w:val="22"/>
                <w:szCs w:val="22"/>
                <w:lang w:val="sr-Latn-ME"/>
              </w:rPr>
              <w:t>reakcije</w:t>
            </w:r>
            <w:r w:rsidRPr="001A7371">
              <w:rPr>
                <w:spacing w:val="-52"/>
                <w:sz w:val="22"/>
                <w:szCs w:val="22"/>
                <w:lang w:val="sr-Latn-ME"/>
              </w:rPr>
              <w:t xml:space="preserve"> </w:t>
            </w:r>
            <w:r w:rsidRPr="001A7371">
              <w:rPr>
                <w:sz w:val="22"/>
                <w:szCs w:val="22"/>
                <w:lang w:val="sr-Latn-ME"/>
              </w:rPr>
              <w:t>(uglavnom</w:t>
            </w:r>
            <w:r w:rsidRPr="001A7371">
              <w:rPr>
                <w:spacing w:val="-3"/>
                <w:sz w:val="22"/>
                <w:szCs w:val="22"/>
                <w:lang w:val="sr-Latn-ME"/>
              </w:rPr>
              <w:t xml:space="preserve"> </w:t>
            </w:r>
            <w:r w:rsidRPr="001A7371">
              <w:rPr>
                <w:sz w:val="22"/>
                <w:szCs w:val="22"/>
                <w:lang w:val="sr-Latn-ME"/>
              </w:rPr>
              <w:t>crvenilo</w:t>
            </w:r>
            <w:r w:rsidRPr="001A7371">
              <w:rPr>
                <w:spacing w:val="-2"/>
                <w:sz w:val="22"/>
                <w:szCs w:val="22"/>
                <w:lang w:val="sr-Latn-ME"/>
              </w:rPr>
              <w:t xml:space="preserve"> </w:t>
            </w:r>
            <w:r w:rsidRPr="001A7371">
              <w:rPr>
                <w:sz w:val="22"/>
                <w:szCs w:val="22"/>
                <w:lang w:val="sr-Latn-ME"/>
              </w:rPr>
              <w:t>i</w:t>
            </w:r>
            <w:r w:rsidRPr="001A7371">
              <w:rPr>
                <w:spacing w:val="-2"/>
                <w:sz w:val="22"/>
                <w:szCs w:val="22"/>
                <w:lang w:val="sr-Latn-ME"/>
              </w:rPr>
              <w:t xml:space="preserve"> </w:t>
            </w:r>
            <w:r w:rsidRPr="001A7371">
              <w:rPr>
                <w:sz w:val="22"/>
                <w:szCs w:val="22"/>
                <w:lang w:val="sr-Latn-ME"/>
              </w:rPr>
              <w:t>osip)</w:t>
            </w:r>
          </w:p>
        </w:tc>
      </w:tr>
      <w:tr w:rsidR="0049639C" w:rsidRPr="001A7371" w14:paraId="10083717" w14:textId="77777777" w:rsidTr="00EF4064">
        <w:trPr>
          <w:trHeight w:val="2656"/>
          <w:jc w:val="center"/>
        </w:trPr>
        <w:tc>
          <w:tcPr>
            <w:tcW w:w="2730" w:type="dxa"/>
            <w:vMerge/>
            <w:tcBorders>
              <w:right w:val="single" w:sz="4" w:space="0" w:color="auto"/>
            </w:tcBorders>
          </w:tcPr>
          <w:p w14:paraId="38E2E33C" w14:textId="77777777" w:rsidR="0049639C" w:rsidRPr="001A7371" w:rsidRDefault="0049639C" w:rsidP="001E6EBD">
            <w:pPr>
              <w:widowControl w:val="0"/>
              <w:autoSpaceDE w:val="0"/>
              <w:autoSpaceDN w:val="0"/>
              <w:rPr>
                <w:sz w:val="22"/>
                <w:szCs w:val="22"/>
                <w:lang w:val="sr-Latn-ME"/>
              </w:rPr>
            </w:pPr>
          </w:p>
        </w:tc>
        <w:tc>
          <w:tcPr>
            <w:tcW w:w="3283" w:type="dxa"/>
            <w:tcBorders>
              <w:top w:val="nil"/>
              <w:left w:val="single" w:sz="4" w:space="0" w:color="auto"/>
              <w:bottom w:val="nil"/>
              <w:right w:val="single" w:sz="4" w:space="0" w:color="auto"/>
            </w:tcBorders>
          </w:tcPr>
          <w:p w14:paraId="733441BF" w14:textId="77777777" w:rsidR="0049639C" w:rsidRPr="001A7371" w:rsidRDefault="0049639C" w:rsidP="001E6EBD">
            <w:pPr>
              <w:widowControl w:val="0"/>
              <w:autoSpaceDE w:val="0"/>
              <w:autoSpaceDN w:val="0"/>
              <w:spacing w:before="6"/>
              <w:rPr>
                <w:sz w:val="21"/>
                <w:szCs w:val="22"/>
                <w:lang w:val="sr-Latn-ME"/>
              </w:rPr>
            </w:pPr>
          </w:p>
          <w:p w14:paraId="36CB2B22" w14:textId="77777777" w:rsidR="0049639C" w:rsidRPr="001A7371" w:rsidRDefault="0049639C" w:rsidP="001E6EBD">
            <w:pPr>
              <w:widowControl w:val="0"/>
              <w:autoSpaceDE w:val="0"/>
              <w:autoSpaceDN w:val="0"/>
              <w:spacing w:before="1"/>
              <w:ind w:left="110"/>
              <w:rPr>
                <w:i/>
                <w:sz w:val="22"/>
                <w:szCs w:val="22"/>
                <w:lang w:val="sr-Latn-ME"/>
              </w:rPr>
            </w:pPr>
            <w:r w:rsidRPr="001A7371">
              <w:rPr>
                <w:i/>
                <w:sz w:val="22"/>
                <w:szCs w:val="22"/>
                <w:lang w:val="sr-Latn-ME"/>
              </w:rPr>
              <w:t>povremeno:</w:t>
            </w:r>
          </w:p>
        </w:tc>
        <w:tc>
          <w:tcPr>
            <w:tcW w:w="3338" w:type="dxa"/>
            <w:tcBorders>
              <w:top w:val="nil"/>
              <w:left w:val="single" w:sz="4" w:space="0" w:color="auto"/>
              <w:bottom w:val="nil"/>
            </w:tcBorders>
          </w:tcPr>
          <w:p w14:paraId="2B427CD0" w14:textId="77777777" w:rsidR="0049639C" w:rsidRPr="001A7371" w:rsidRDefault="0049639C" w:rsidP="001E6EBD">
            <w:pPr>
              <w:widowControl w:val="0"/>
              <w:autoSpaceDE w:val="0"/>
              <w:autoSpaceDN w:val="0"/>
              <w:spacing w:before="6"/>
              <w:rPr>
                <w:sz w:val="21"/>
                <w:szCs w:val="22"/>
                <w:lang w:val="sr-Latn-ME"/>
              </w:rPr>
            </w:pPr>
          </w:p>
          <w:p w14:paraId="30BAF9A7" w14:textId="77777777" w:rsidR="0049639C" w:rsidRPr="001A7371" w:rsidRDefault="0049639C" w:rsidP="001E6EBD">
            <w:pPr>
              <w:widowControl w:val="0"/>
              <w:autoSpaceDE w:val="0"/>
              <w:autoSpaceDN w:val="0"/>
              <w:spacing w:before="1"/>
              <w:ind w:left="110" w:right="138"/>
              <w:rPr>
                <w:sz w:val="22"/>
                <w:szCs w:val="22"/>
                <w:lang w:val="sr-Latn-ME"/>
              </w:rPr>
            </w:pPr>
            <w:r w:rsidRPr="001A7371">
              <w:rPr>
                <w:sz w:val="22"/>
                <w:szCs w:val="22"/>
                <w:lang w:val="sr-Latn-ME"/>
              </w:rPr>
              <w:t>značajne hipersenzitivne reakcije</w:t>
            </w:r>
            <w:r w:rsidRPr="001A7371">
              <w:rPr>
                <w:spacing w:val="1"/>
                <w:sz w:val="22"/>
                <w:szCs w:val="22"/>
                <w:lang w:val="sr-Latn-ME"/>
              </w:rPr>
              <w:t xml:space="preserve"> </w:t>
            </w:r>
            <w:r w:rsidRPr="001A7371">
              <w:rPr>
                <w:sz w:val="22"/>
                <w:szCs w:val="22"/>
                <w:lang w:val="sr-Latn-ME"/>
              </w:rPr>
              <w:t>koje zahtjevaju liječenje (npr.</w:t>
            </w:r>
            <w:r w:rsidRPr="001A7371">
              <w:rPr>
                <w:spacing w:val="1"/>
                <w:sz w:val="22"/>
                <w:szCs w:val="22"/>
                <w:lang w:val="sr-Latn-ME"/>
              </w:rPr>
              <w:t xml:space="preserve"> </w:t>
            </w:r>
            <w:r w:rsidRPr="001A7371">
              <w:rPr>
                <w:sz w:val="22"/>
                <w:szCs w:val="22"/>
                <w:lang w:val="sr-Latn-ME"/>
              </w:rPr>
              <w:t>hipotenzija, angioneurotski edem,</w:t>
            </w:r>
            <w:r w:rsidRPr="001A7371">
              <w:rPr>
                <w:spacing w:val="-52"/>
                <w:sz w:val="22"/>
                <w:szCs w:val="22"/>
                <w:lang w:val="sr-Latn-ME"/>
              </w:rPr>
              <w:t xml:space="preserve"> </w:t>
            </w:r>
            <w:r w:rsidRPr="001A7371">
              <w:rPr>
                <w:sz w:val="22"/>
                <w:szCs w:val="22"/>
                <w:lang w:val="sr-Latn-ME"/>
              </w:rPr>
              <w:t>respiratorni distres,</w:t>
            </w:r>
            <w:r w:rsidRPr="001A7371">
              <w:rPr>
                <w:spacing w:val="1"/>
                <w:sz w:val="22"/>
                <w:szCs w:val="22"/>
                <w:lang w:val="sr-Latn-ME"/>
              </w:rPr>
              <w:t xml:space="preserve"> </w:t>
            </w:r>
            <w:r w:rsidRPr="001A7371">
              <w:rPr>
                <w:sz w:val="22"/>
                <w:szCs w:val="22"/>
                <w:lang w:val="sr-Latn-ME"/>
              </w:rPr>
              <w:t>generalizovana urtikarija,</w:t>
            </w:r>
            <w:r w:rsidRPr="001A7371">
              <w:rPr>
                <w:spacing w:val="1"/>
                <w:sz w:val="22"/>
                <w:szCs w:val="22"/>
                <w:lang w:val="sr-Latn-ME"/>
              </w:rPr>
              <w:t xml:space="preserve"> </w:t>
            </w:r>
            <w:r w:rsidRPr="001A7371">
              <w:rPr>
                <w:sz w:val="22"/>
                <w:szCs w:val="22"/>
                <w:lang w:val="sr-Latn-ME"/>
              </w:rPr>
              <w:t>groznica, bol u leđima, bol u</w:t>
            </w:r>
            <w:r w:rsidRPr="001A7371">
              <w:rPr>
                <w:spacing w:val="1"/>
                <w:sz w:val="22"/>
                <w:szCs w:val="22"/>
                <w:lang w:val="sr-Latn-ME"/>
              </w:rPr>
              <w:t xml:space="preserve"> </w:t>
            </w:r>
            <w:r w:rsidRPr="001A7371">
              <w:rPr>
                <w:sz w:val="22"/>
                <w:szCs w:val="22"/>
                <w:lang w:val="sr-Latn-ME"/>
              </w:rPr>
              <w:t>grudima, tahikardija, bol u trbuhu,</w:t>
            </w:r>
            <w:r w:rsidRPr="001A7371">
              <w:rPr>
                <w:spacing w:val="-52"/>
                <w:sz w:val="22"/>
                <w:szCs w:val="22"/>
                <w:lang w:val="sr-Latn-ME"/>
              </w:rPr>
              <w:t xml:space="preserve"> </w:t>
            </w:r>
            <w:r w:rsidRPr="001A7371">
              <w:rPr>
                <w:sz w:val="22"/>
                <w:szCs w:val="22"/>
                <w:lang w:val="sr-Latn-ME"/>
              </w:rPr>
              <w:t>bol u ekstremitetima, dijaforeza i</w:t>
            </w:r>
            <w:r w:rsidRPr="001A7371">
              <w:rPr>
                <w:spacing w:val="1"/>
                <w:sz w:val="22"/>
                <w:szCs w:val="22"/>
                <w:lang w:val="sr-Latn-ME"/>
              </w:rPr>
              <w:t xml:space="preserve"> </w:t>
            </w:r>
            <w:r w:rsidRPr="001A7371">
              <w:rPr>
                <w:sz w:val="22"/>
                <w:szCs w:val="22"/>
                <w:lang w:val="sr-Latn-ME"/>
              </w:rPr>
              <w:t>hipertenzija)</w:t>
            </w:r>
          </w:p>
        </w:tc>
      </w:tr>
      <w:tr w:rsidR="0049639C" w:rsidRPr="001A7371" w14:paraId="2FB3DC05" w14:textId="77777777" w:rsidTr="00EF4064">
        <w:trPr>
          <w:trHeight w:val="506"/>
          <w:jc w:val="center"/>
        </w:trPr>
        <w:tc>
          <w:tcPr>
            <w:tcW w:w="2730" w:type="dxa"/>
            <w:vMerge/>
            <w:tcBorders>
              <w:right w:val="single" w:sz="4" w:space="0" w:color="auto"/>
            </w:tcBorders>
          </w:tcPr>
          <w:p w14:paraId="26362268" w14:textId="77777777" w:rsidR="0049639C" w:rsidRPr="001A7371" w:rsidRDefault="0049639C" w:rsidP="001E6EBD">
            <w:pPr>
              <w:widowControl w:val="0"/>
              <w:autoSpaceDE w:val="0"/>
              <w:autoSpaceDN w:val="0"/>
              <w:rPr>
                <w:sz w:val="22"/>
                <w:szCs w:val="22"/>
                <w:lang w:val="sr-Latn-ME"/>
              </w:rPr>
            </w:pPr>
          </w:p>
        </w:tc>
        <w:tc>
          <w:tcPr>
            <w:tcW w:w="3283" w:type="dxa"/>
            <w:tcBorders>
              <w:top w:val="nil"/>
              <w:left w:val="single" w:sz="4" w:space="0" w:color="auto"/>
              <w:bottom w:val="nil"/>
              <w:right w:val="single" w:sz="4" w:space="0" w:color="auto"/>
            </w:tcBorders>
          </w:tcPr>
          <w:p w14:paraId="05D2BA57" w14:textId="77777777" w:rsidR="0049639C" w:rsidRPr="001A7371" w:rsidRDefault="0049639C" w:rsidP="001E6EBD">
            <w:pPr>
              <w:widowControl w:val="0"/>
              <w:autoSpaceDE w:val="0"/>
              <w:autoSpaceDN w:val="0"/>
              <w:spacing w:before="121"/>
              <w:ind w:left="110"/>
              <w:rPr>
                <w:i/>
                <w:sz w:val="22"/>
                <w:szCs w:val="22"/>
                <w:lang w:val="sr-Latn-ME"/>
              </w:rPr>
            </w:pPr>
            <w:r w:rsidRPr="001A7371">
              <w:rPr>
                <w:i/>
                <w:sz w:val="22"/>
                <w:szCs w:val="22"/>
                <w:lang w:val="sr-Latn-ME"/>
              </w:rPr>
              <w:t>rijetko*:</w:t>
            </w:r>
          </w:p>
        </w:tc>
        <w:tc>
          <w:tcPr>
            <w:tcW w:w="3338" w:type="dxa"/>
            <w:tcBorders>
              <w:top w:val="nil"/>
              <w:left w:val="single" w:sz="4" w:space="0" w:color="auto"/>
              <w:bottom w:val="nil"/>
            </w:tcBorders>
          </w:tcPr>
          <w:p w14:paraId="004344D2" w14:textId="77777777" w:rsidR="0049639C" w:rsidRPr="001A7371" w:rsidRDefault="0049639C" w:rsidP="001E6EBD">
            <w:pPr>
              <w:widowControl w:val="0"/>
              <w:autoSpaceDE w:val="0"/>
              <w:autoSpaceDN w:val="0"/>
              <w:spacing w:before="121"/>
              <w:ind w:left="110"/>
              <w:rPr>
                <w:sz w:val="22"/>
                <w:szCs w:val="22"/>
                <w:lang w:val="sr-Latn-ME"/>
              </w:rPr>
            </w:pPr>
            <w:r w:rsidRPr="001A7371">
              <w:rPr>
                <w:sz w:val="22"/>
                <w:szCs w:val="22"/>
                <w:lang w:val="sr-Latn-ME"/>
              </w:rPr>
              <w:t>anafilaktičke</w:t>
            </w:r>
            <w:r w:rsidRPr="001A7371">
              <w:rPr>
                <w:spacing w:val="-7"/>
                <w:sz w:val="22"/>
                <w:szCs w:val="22"/>
                <w:lang w:val="sr-Latn-ME"/>
              </w:rPr>
              <w:t xml:space="preserve"> </w:t>
            </w:r>
            <w:r w:rsidRPr="001A7371">
              <w:rPr>
                <w:sz w:val="22"/>
                <w:szCs w:val="22"/>
                <w:lang w:val="sr-Latn-ME"/>
              </w:rPr>
              <w:t>reakcije</w:t>
            </w:r>
          </w:p>
        </w:tc>
      </w:tr>
      <w:tr w:rsidR="0049639C" w:rsidRPr="001A7371" w14:paraId="151B3446" w14:textId="77777777" w:rsidTr="00EF4064">
        <w:trPr>
          <w:trHeight w:val="506"/>
          <w:jc w:val="center"/>
        </w:trPr>
        <w:tc>
          <w:tcPr>
            <w:tcW w:w="2730" w:type="dxa"/>
            <w:vMerge/>
            <w:tcBorders>
              <w:right w:val="single" w:sz="4" w:space="0" w:color="auto"/>
            </w:tcBorders>
          </w:tcPr>
          <w:p w14:paraId="220C7A58" w14:textId="77777777" w:rsidR="0049639C" w:rsidRPr="001A7371" w:rsidRDefault="0049639C" w:rsidP="001E6EBD">
            <w:pPr>
              <w:widowControl w:val="0"/>
              <w:autoSpaceDE w:val="0"/>
              <w:autoSpaceDN w:val="0"/>
              <w:rPr>
                <w:sz w:val="22"/>
                <w:szCs w:val="22"/>
                <w:lang w:val="sr-Latn-ME"/>
              </w:rPr>
            </w:pPr>
          </w:p>
        </w:tc>
        <w:tc>
          <w:tcPr>
            <w:tcW w:w="3283" w:type="dxa"/>
            <w:tcBorders>
              <w:top w:val="nil"/>
              <w:left w:val="single" w:sz="4" w:space="0" w:color="auto"/>
              <w:bottom w:val="nil"/>
              <w:right w:val="single" w:sz="4" w:space="0" w:color="auto"/>
            </w:tcBorders>
          </w:tcPr>
          <w:p w14:paraId="53BE519E" w14:textId="77777777" w:rsidR="0049639C" w:rsidRPr="001A7371" w:rsidRDefault="0049639C" w:rsidP="001E6EBD">
            <w:pPr>
              <w:widowControl w:val="0"/>
              <w:autoSpaceDE w:val="0"/>
              <w:autoSpaceDN w:val="0"/>
              <w:spacing w:before="123"/>
              <w:ind w:left="110"/>
              <w:rPr>
                <w:i/>
                <w:sz w:val="22"/>
                <w:szCs w:val="22"/>
                <w:lang w:val="sr-Latn-ME"/>
              </w:rPr>
            </w:pPr>
            <w:r w:rsidRPr="001A7371">
              <w:rPr>
                <w:i/>
                <w:sz w:val="22"/>
                <w:szCs w:val="22"/>
                <w:lang w:val="sr-Latn-ME"/>
              </w:rPr>
              <w:t>veoma</w:t>
            </w:r>
            <w:r w:rsidRPr="001A7371">
              <w:rPr>
                <w:i/>
                <w:spacing w:val="-4"/>
                <w:sz w:val="22"/>
                <w:szCs w:val="22"/>
                <w:lang w:val="sr-Latn-ME"/>
              </w:rPr>
              <w:t xml:space="preserve"> </w:t>
            </w:r>
            <w:r w:rsidRPr="001A7371">
              <w:rPr>
                <w:i/>
                <w:sz w:val="22"/>
                <w:szCs w:val="22"/>
                <w:lang w:val="sr-Latn-ME"/>
              </w:rPr>
              <w:t>rijetko*:</w:t>
            </w:r>
          </w:p>
        </w:tc>
        <w:tc>
          <w:tcPr>
            <w:tcW w:w="3338" w:type="dxa"/>
            <w:tcBorders>
              <w:top w:val="nil"/>
              <w:left w:val="single" w:sz="4" w:space="0" w:color="auto"/>
              <w:bottom w:val="nil"/>
            </w:tcBorders>
          </w:tcPr>
          <w:p w14:paraId="474DF776" w14:textId="77777777" w:rsidR="0049639C" w:rsidRPr="001A7371" w:rsidRDefault="0049639C" w:rsidP="001E6EBD">
            <w:pPr>
              <w:widowControl w:val="0"/>
              <w:autoSpaceDE w:val="0"/>
              <w:autoSpaceDN w:val="0"/>
              <w:spacing w:before="123"/>
              <w:ind w:left="110"/>
              <w:rPr>
                <w:sz w:val="22"/>
                <w:szCs w:val="22"/>
                <w:lang w:val="sr-Latn-ME"/>
              </w:rPr>
            </w:pPr>
            <w:r w:rsidRPr="001A7371">
              <w:rPr>
                <w:sz w:val="22"/>
                <w:szCs w:val="22"/>
                <w:lang w:val="sr-Latn-ME"/>
              </w:rPr>
              <w:t>anafilaktički</w:t>
            </w:r>
            <w:r w:rsidRPr="001A7371">
              <w:rPr>
                <w:spacing w:val="-6"/>
                <w:sz w:val="22"/>
                <w:szCs w:val="22"/>
                <w:lang w:val="sr-Latn-ME"/>
              </w:rPr>
              <w:t xml:space="preserve"> </w:t>
            </w:r>
            <w:r w:rsidRPr="001A7371">
              <w:rPr>
                <w:sz w:val="22"/>
                <w:szCs w:val="22"/>
                <w:lang w:val="sr-Latn-ME"/>
              </w:rPr>
              <w:t>šok</w:t>
            </w:r>
          </w:p>
        </w:tc>
      </w:tr>
      <w:tr w:rsidR="0049639C" w:rsidRPr="001A7371" w14:paraId="47871A74" w14:textId="77777777" w:rsidTr="00EF4064">
        <w:trPr>
          <w:trHeight w:val="383"/>
          <w:jc w:val="center"/>
        </w:trPr>
        <w:tc>
          <w:tcPr>
            <w:tcW w:w="2730" w:type="dxa"/>
            <w:vMerge/>
            <w:tcBorders>
              <w:right w:val="single" w:sz="4" w:space="0" w:color="auto"/>
            </w:tcBorders>
          </w:tcPr>
          <w:p w14:paraId="4FB12311" w14:textId="77777777" w:rsidR="0049639C" w:rsidRPr="001A7371" w:rsidRDefault="0049639C" w:rsidP="001E6EBD">
            <w:pPr>
              <w:widowControl w:val="0"/>
              <w:autoSpaceDE w:val="0"/>
              <w:autoSpaceDN w:val="0"/>
              <w:rPr>
                <w:sz w:val="22"/>
                <w:szCs w:val="22"/>
                <w:lang w:val="sr-Latn-ME"/>
              </w:rPr>
            </w:pPr>
          </w:p>
        </w:tc>
        <w:tc>
          <w:tcPr>
            <w:tcW w:w="3283" w:type="dxa"/>
            <w:tcBorders>
              <w:top w:val="nil"/>
              <w:left w:val="single" w:sz="4" w:space="0" w:color="auto"/>
              <w:bottom w:val="single" w:sz="4" w:space="0" w:color="auto"/>
              <w:right w:val="single" w:sz="4" w:space="0" w:color="auto"/>
            </w:tcBorders>
          </w:tcPr>
          <w:p w14:paraId="599B2182" w14:textId="77777777" w:rsidR="0049639C" w:rsidRPr="001A7371" w:rsidRDefault="0049639C" w:rsidP="001E6EBD">
            <w:pPr>
              <w:widowControl w:val="0"/>
              <w:autoSpaceDE w:val="0"/>
              <w:autoSpaceDN w:val="0"/>
              <w:spacing w:before="121" w:line="243" w:lineRule="exact"/>
              <w:ind w:left="110"/>
              <w:rPr>
                <w:i/>
                <w:sz w:val="22"/>
                <w:szCs w:val="22"/>
                <w:lang w:val="sr-Latn-ME"/>
              </w:rPr>
            </w:pPr>
            <w:r w:rsidRPr="001A7371">
              <w:rPr>
                <w:i/>
                <w:sz w:val="22"/>
                <w:szCs w:val="22"/>
                <w:lang w:val="sr-Latn-ME"/>
              </w:rPr>
              <w:t>nepoznato</w:t>
            </w:r>
            <w:r w:rsidR="00A6688E" w:rsidRPr="001A7371">
              <w:rPr>
                <w:i/>
                <w:sz w:val="22"/>
                <w:szCs w:val="22"/>
                <w:lang w:val="sr-Latn-ME"/>
              </w:rPr>
              <w:t>*</w:t>
            </w:r>
            <w:r w:rsidRPr="001A7371">
              <w:rPr>
                <w:i/>
                <w:sz w:val="22"/>
                <w:szCs w:val="22"/>
                <w:lang w:val="sr-Latn-ME"/>
              </w:rPr>
              <w:t>:</w:t>
            </w:r>
          </w:p>
        </w:tc>
        <w:tc>
          <w:tcPr>
            <w:tcW w:w="3338" w:type="dxa"/>
            <w:tcBorders>
              <w:top w:val="nil"/>
              <w:left w:val="single" w:sz="4" w:space="0" w:color="auto"/>
            </w:tcBorders>
          </w:tcPr>
          <w:p w14:paraId="2F616C5E" w14:textId="77777777" w:rsidR="0049639C" w:rsidRPr="001A7371" w:rsidRDefault="0049639C" w:rsidP="001E6EBD">
            <w:pPr>
              <w:widowControl w:val="0"/>
              <w:autoSpaceDE w:val="0"/>
              <w:autoSpaceDN w:val="0"/>
              <w:spacing w:before="121" w:line="243" w:lineRule="exact"/>
              <w:ind w:left="110"/>
              <w:rPr>
                <w:sz w:val="22"/>
                <w:szCs w:val="22"/>
                <w:lang w:val="sr-Latn-ME"/>
              </w:rPr>
            </w:pPr>
            <w:r w:rsidRPr="001A7371">
              <w:rPr>
                <w:sz w:val="22"/>
                <w:szCs w:val="22"/>
                <w:lang w:val="sr-Latn-ME"/>
              </w:rPr>
              <w:t>bronhospazam</w:t>
            </w:r>
          </w:p>
        </w:tc>
      </w:tr>
      <w:tr w:rsidR="001E6EBD" w:rsidRPr="001A7371" w14:paraId="71401FAD" w14:textId="77777777" w:rsidTr="00EF4064">
        <w:trPr>
          <w:trHeight w:val="757"/>
          <w:jc w:val="center"/>
        </w:trPr>
        <w:tc>
          <w:tcPr>
            <w:tcW w:w="2730" w:type="dxa"/>
          </w:tcPr>
          <w:p w14:paraId="250EB8D9" w14:textId="77777777" w:rsidR="001E6EBD" w:rsidRPr="001A7371" w:rsidRDefault="001E6EBD" w:rsidP="001E6EBD">
            <w:pPr>
              <w:widowControl w:val="0"/>
              <w:autoSpaceDE w:val="0"/>
              <w:autoSpaceDN w:val="0"/>
              <w:spacing w:line="242" w:lineRule="auto"/>
              <w:ind w:left="110" w:right="777"/>
              <w:rPr>
                <w:b/>
                <w:sz w:val="22"/>
                <w:szCs w:val="22"/>
                <w:lang w:val="sr-Latn-ME"/>
              </w:rPr>
            </w:pPr>
            <w:r w:rsidRPr="001A7371">
              <w:rPr>
                <w:b/>
                <w:sz w:val="22"/>
                <w:szCs w:val="22"/>
                <w:lang w:val="sr-Latn-ME"/>
              </w:rPr>
              <w:t>Poremećaj</w:t>
            </w:r>
            <w:r w:rsidR="0049639C" w:rsidRPr="001A7371">
              <w:rPr>
                <w:b/>
                <w:spacing w:val="-6"/>
                <w:sz w:val="22"/>
                <w:szCs w:val="22"/>
                <w:lang w:val="sr-Latn-ME"/>
              </w:rPr>
              <w:t xml:space="preserve">i </w:t>
            </w:r>
            <w:r w:rsidRPr="001A7371">
              <w:rPr>
                <w:b/>
                <w:sz w:val="22"/>
                <w:szCs w:val="22"/>
                <w:lang w:val="sr-Latn-ME"/>
              </w:rPr>
              <w:t>metabolizma</w:t>
            </w:r>
            <w:r w:rsidRPr="001A7371">
              <w:rPr>
                <w:b/>
                <w:spacing w:val="-6"/>
                <w:sz w:val="22"/>
                <w:szCs w:val="22"/>
                <w:lang w:val="sr-Latn-ME"/>
              </w:rPr>
              <w:t xml:space="preserve"> </w:t>
            </w:r>
            <w:r w:rsidRPr="001A7371">
              <w:rPr>
                <w:b/>
                <w:sz w:val="22"/>
                <w:szCs w:val="22"/>
                <w:lang w:val="sr-Latn-ME"/>
              </w:rPr>
              <w:t>i</w:t>
            </w:r>
            <w:r w:rsidRPr="001A7371">
              <w:rPr>
                <w:b/>
                <w:spacing w:val="-52"/>
                <w:sz w:val="22"/>
                <w:szCs w:val="22"/>
                <w:lang w:val="sr-Latn-ME"/>
              </w:rPr>
              <w:t xml:space="preserve"> </w:t>
            </w:r>
            <w:r w:rsidRPr="001A7371">
              <w:rPr>
                <w:b/>
                <w:sz w:val="22"/>
                <w:szCs w:val="22"/>
                <w:lang w:val="sr-Latn-ME"/>
              </w:rPr>
              <w:t>ishrane</w:t>
            </w:r>
          </w:p>
        </w:tc>
        <w:tc>
          <w:tcPr>
            <w:tcW w:w="3283" w:type="dxa"/>
            <w:tcBorders>
              <w:top w:val="single" w:sz="4" w:space="0" w:color="auto"/>
            </w:tcBorders>
          </w:tcPr>
          <w:p w14:paraId="40D6151A" w14:textId="77777777" w:rsidR="001E6EBD" w:rsidRPr="001A7371" w:rsidRDefault="0049639C" w:rsidP="001E6EBD">
            <w:pPr>
              <w:widowControl w:val="0"/>
              <w:autoSpaceDE w:val="0"/>
              <w:autoSpaceDN w:val="0"/>
              <w:spacing w:line="244" w:lineRule="exact"/>
              <w:ind w:left="110"/>
              <w:rPr>
                <w:i/>
                <w:sz w:val="22"/>
                <w:szCs w:val="22"/>
                <w:lang w:val="sr-Latn-ME"/>
              </w:rPr>
            </w:pPr>
            <w:r w:rsidRPr="001A7371">
              <w:rPr>
                <w:i/>
                <w:sz w:val="22"/>
                <w:szCs w:val="22"/>
                <w:lang w:val="sr-Latn-ME"/>
              </w:rPr>
              <w:t>rijetko</w:t>
            </w:r>
            <w:r w:rsidR="001E6EBD" w:rsidRPr="001A7371">
              <w:rPr>
                <w:i/>
                <w:sz w:val="22"/>
                <w:szCs w:val="22"/>
                <w:lang w:val="sr-Latn-ME"/>
              </w:rPr>
              <w:t>*</w:t>
            </w:r>
          </w:p>
          <w:p w14:paraId="6FF47017" w14:textId="77777777" w:rsidR="001E6EBD" w:rsidRPr="001A7371" w:rsidRDefault="001E6EBD" w:rsidP="001E6EBD">
            <w:pPr>
              <w:widowControl w:val="0"/>
              <w:autoSpaceDE w:val="0"/>
              <w:autoSpaceDN w:val="0"/>
              <w:spacing w:line="250" w:lineRule="atLeast"/>
              <w:ind w:left="110" w:right="939"/>
              <w:rPr>
                <w:i/>
                <w:sz w:val="22"/>
                <w:szCs w:val="22"/>
                <w:lang w:val="sr-Latn-ME"/>
              </w:rPr>
            </w:pPr>
            <w:r w:rsidRPr="001A7371">
              <w:rPr>
                <w:i/>
                <w:sz w:val="22"/>
                <w:szCs w:val="22"/>
                <w:lang w:val="sr-Latn-ME"/>
              </w:rPr>
              <w:t>veoma</w:t>
            </w:r>
            <w:r w:rsidRPr="001A7371">
              <w:rPr>
                <w:i/>
                <w:spacing w:val="1"/>
                <w:sz w:val="22"/>
                <w:szCs w:val="22"/>
                <w:lang w:val="sr-Latn-ME"/>
              </w:rPr>
              <w:t xml:space="preserve"> </w:t>
            </w:r>
            <w:r w:rsidR="0049639C" w:rsidRPr="001A7371">
              <w:rPr>
                <w:i/>
                <w:sz w:val="22"/>
                <w:szCs w:val="22"/>
                <w:lang w:val="sr-Latn-ME"/>
              </w:rPr>
              <w:t>rijetko</w:t>
            </w:r>
            <w:r w:rsidRPr="001A7371">
              <w:rPr>
                <w:i/>
                <w:sz w:val="22"/>
                <w:szCs w:val="22"/>
                <w:lang w:val="sr-Latn-ME"/>
              </w:rPr>
              <w:t>*:</w:t>
            </w:r>
            <w:r w:rsidRPr="001A7371">
              <w:rPr>
                <w:i/>
                <w:spacing w:val="-52"/>
                <w:sz w:val="22"/>
                <w:szCs w:val="22"/>
                <w:lang w:val="sr-Latn-ME"/>
              </w:rPr>
              <w:t xml:space="preserve"> </w:t>
            </w:r>
            <w:r w:rsidR="0049639C" w:rsidRPr="001A7371">
              <w:rPr>
                <w:i/>
                <w:sz w:val="22"/>
                <w:szCs w:val="22"/>
                <w:lang w:val="sr-Latn-ME"/>
              </w:rPr>
              <w:t>nepoznato</w:t>
            </w:r>
            <w:r w:rsidR="00A6688E" w:rsidRPr="001A7371">
              <w:rPr>
                <w:i/>
                <w:sz w:val="22"/>
                <w:szCs w:val="22"/>
                <w:lang w:val="sr-Latn-ME"/>
              </w:rPr>
              <w:t>*</w:t>
            </w:r>
            <w:r w:rsidRPr="001A7371">
              <w:rPr>
                <w:i/>
                <w:sz w:val="22"/>
                <w:szCs w:val="22"/>
                <w:lang w:val="sr-Latn-ME"/>
              </w:rPr>
              <w:t>:</w:t>
            </w:r>
          </w:p>
        </w:tc>
        <w:tc>
          <w:tcPr>
            <w:tcW w:w="3338" w:type="dxa"/>
          </w:tcPr>
          <w:p w14:paraId="0F7D26E8" w14:textId="77777777" w:rsidR="001E6EBD" w:rsidRPr="001A7371" w:rsidRDefault="001E6EBD" w:rsidP="001E6EBD">
            <w:pPr>
              <w:widowControl w:val="0"/>
              <w:autoSpaceDE w:val="0"/>
              <w:autoSpaceDN w:val="0"/>
              <w:spacing w:line="242" w:lineRule="auto"/>
              <w:ind w:left="110" w:right="2025"/>
              <w:rPr>
                <w:sz w:val="22"/>
                <w:szCs w:val="22"/>
                <w:lang w:val="sr-Latn-ME"/>
              </w:rPr>
            </w:pPr>
            <w:r w:rsidRPr="001A7371">
              <w:rPr>
                <w:spacing w:val="-1"/>
                <w:sz w:val="22"/>
                <w:szCs w:val="22"/>
                <w:lang w:val="sr-Latn-ME"/>
              </w:rPr>
              <w:t>dehidratacija</w:t>
            </w:r>
            <w:r w:rsidRPr="001A7371">
              <w:rPr>
                <w:spacing w:val="-52"/>
                <w:sz w:val="22"/>
                <w:szCs w:val="22"/>
                <w:lang w:val="sr-Latn-ME"/>
              </w:rPr>
              <w:t xml:space="preserve"> </w:t>
            </w:r>
            <w:r w:rsidRPr="001A7371">
              <w:rPr>
                <w:sz w:val="22"/>
                <w:szCs w:val="22"/>
                <w:lang w:val="sr-Latn-ME"/>
              </w:rPr>
              <w:t>anoreksija</w:t>
            </w:r>
          </w:p>
          <w:p w14:paraId="4F4A5232" w14:textId="77777777" w:rsidR="001E6EBD" w:rsidRPr="001A7371" w:rsidRDefault="001E6EBD" w:rsidP="001E6EBD">
            <w:pPr>
              <w:widowControl w:val="0"/>
              <w:autoSpaceDE w:val="0"/>
              <w:autoSpaceDN w:val="0"/>
              <w:spacing w:line="236" w:lineRule="exact"/>
              <w:ind w:left="110"/>
              <w:rPr>
                <w:sz w:val="22"/>
                <w:szCs w:val="22"/>
                <w:lang w:val="sr-Latn-ME"/>
              </w:rPr>
            </w:pPr>
            <w:r w:rsidRPr="001A7371">
              <w:rPr>
                <w:sz w:val="22"/>
                <w:szCs w:val="22"/>
                <w:lang w:val="sr-Latn-ME"/>
              </w:rPr>
              <w:t>sindrom</w:t>
            </w:r>
            <w:r w:rsidRPr="001A7371">
              <w:rPr>
                <w:spacing w:val="-5"/>
                <w:sz w:val="22"/>
                <w:szCs w:val="22"/>
                <w:lang w:val="sr-Latn-ME"/>
              </w:rPr>
              <w:t xml:space="preserve"> </w:t>
            </w:r>
            <w:r w:rsidRPr="001A7371">
              <w:rPr>
                <w:sz w:val="22"/>
                <w:szCs w:val="22"/>
                <w:lang w:val="sr-Latn-ME"/>
              </w:rPr>
              <w:t>lize</w:t>
            </w:r>
            <w:r w:rsidRPr="001A7371">
              <w:rPr>
                <w:spacing w:val="-4"/>
                <w:sz w:val="22"/>
                <w:szCs w:val="22"/>
                <w:lang w:val="sr-Latn-ME"/>
              </w:rPr>
              <w:t xml:space="preserve"> </w:t>
            </w:r>
            <w:r w:rsidRPr="001A7371">
              <w:rPr>
                <w:sz w:val="22"/>
                <w:szCs w:val="22"/>
                <w:lang w:val="sr-Latn-ME"/>
              </w:rPr>
              <w:t>tumora</w:t>
            </w:r>
          </w:p>
        </w:tc>
      </w:tr>
      <w:tr w:rsidR="001E6EBD" w:rsidRPr="001A7371" w14:paraId="5CCACDF7" w14:textId="77777777" w:rsidTr="0049639C">
        <w:trPr>
          <w:trHeight w:val="253"/>
          <w:jc w:val="center"/>
        </w:trPr>
        <w:tc>
          <w:tcPr>
            <w:tcW w:w="2730" w:type="dxa"/>
          </w:tcPr>
          <w:p w14:paraId="440C360B" w14:textId="77777777" w:rsidR="001E6EBD" w:rsidRPr="001A7371" w:rsidRDefault="001E6EBD" w:rsidP="001E6EBD">
            <w:pPr>
              <w:widowControl w:val="0"/>
              <w:autoSpaceDE w:val="0"/>
              <w:autoSpaceDN w:val="0"/>
              <w:spacing w:line="234" w:lineRule="exact"/>
              <w:ind w:left="110"/>
              <w:rPr>
                <w:b/>
                <w:sz w:val="22"/>
                <w:szCs w:val="22"/>
                <w:lang w:val="sr-Latn-ME"/>
              </w:rPr>
            </w:pPr>
            <w:r w:rsidRPr="001A7371">
              <w:rPr>
                <w:b/>
                <w:sz w:val="22"/>
                <w:szCs w:val="22"/>
                <w:lang w:val="sr-Latn-ME"/>
              </w:rPr>
              <w:t>Psihijatrijski</w:t>
            </w:r>
            <w:r w:rsidRPr="001A7371">
              <w:rPr>
                <w:b/>
                <w:spacing w:val="-7"/>
                <w:sz w:val="22"/>
                <w:szCs w:val="22"/>
                <w:lang w:val="sr-Latn-ME"/>
              </w:rPr>
              <w:t xml:space="preserve"> </w:t>
            </w:r>
            <w:r w:rsidRPr="001A7371">
              <w:rPr>
                <w:b/>
                <w:sz w:val="22"/>
                <w:szCs w:val="22"/>
                <w:lang w:val="sr-Latn-ME"/>
              </w:rPr>
              <w:t>poremećaji</w:t>
            </w:r>
          </w:p>
        </w:tc>
        <w:tc>
          <w:tcPr>
            <w:tcW w:w="3283" w:type="dxa"/>
          </w:tcPr>
          <w:p w14:paraId="23822A20" w14:textId="77777777" w:rsidR="001E6EBD" w:rsidRPr="001A7371" w:rsidRDefault="001E6EBD" w:rsidP="001E6EBD">
            <w:pPr>
              <w:widowControl w:val="0"/>
              <w:autoSpaceDE w:val="0"/>
              <w:autoSpaceDN w:val="0"/>
              <w:spacing w:line="234" w:lineRule="exact"/>
              <w:ind w:left="110"/>
              <w:rPr>
                <w:i/>
                <w:sz w:val="22"/>
                <w:szCs w:val="22"/>
                <w:lang w:val="sr-Latn-ME"/>
              </w:rPr>
            </w:pPr>
            <w:r w:rsidRPr="001A7371">
              <w:rPr>
                <w:i/>
                <w:sz w:val="22"/>
                <w:szCs w:val="22"/>
                <w:lang w:val="sr-Latn-ME"/>
              </w:rPr>
              <w:t>veoma</w:t>
            </w:r>
            <w:r w:rsidRPr="001A7371">
              <w:rPr>
                <w:i/>
                <w:spacing w:val="-4"/>
                <w:sz w:val="22"/>
                <w:szCs w:val="22"/>
                <w:lang w:val="sr-Latn-ME"/>
              </w:rPr>
              <w:t xml:space="preserve"> </w:t>
            </w:r>
            <w:r w:rsidR="0049639C" w:rsidRPr="001A7371">
              <w:rPr>
                <w:i/>
                <w:sz w:val="22"/>
                <w:szCs w:val="22"/>
                <w:lang w:val="sr-Latn-ME"/>
              </w:rPr>
              <w:t>rijetko</w:t>
            </w:r>
            <w:r w:rsidRPr="001A7371">
              <w:rPr>
                <w:i/>
                <w:sz w:val="22"/>
                <w:szCs w:val="22"/>
                <w:lang w:val="sr-Latn-ME"/>
              </w:rPr>
              <w:t>*:</w:t>
            </w:r>
          </w:p>
        </w:tc>
        <w:tc>
          <w:tcPr>
            <w:tcW w:w="3338" w:type="dxa"/>
          </w:tcPr>
          <w:p w14:paraId="5396D734" w14:textId="77777777" w:rsidR="001E6EBD" w:rsidRPr="001A7371" w:rsidRDefault="001E6EBD" w:rsidP="001E6EBD">
            <w:pPr>
              <w:widowControl w:val="0"/>
              <w:autoSpaceDE w:val="0"/>
              <w:autoSpaceDN w:val="0"/>
              <w:spacing w:line="234" w:lineRule="exact"/>
              <w:ind w:left="110"/>
              <w:rPr>
                <w:sz w:val="22"/>
                <w:szCs w:val="22"/>
                <w:lang w:val="sr-Latn-ME"/>
              </w:rPr>
            </w:pPr>
            <w:r w:rsidRPr="001A7371">
              <w:rPr>
                <w:sz w:val="22"/>
                <w:szCs w:val="22"/>
                <w:lang w:val="sr-Latn-ME"/>
              </w:rPr>
              <w:t>stanje</w:t>
            </w:r>
            <w:r w:rsidRPr="001A7371">
              <w:rPr>
                <w:spacing w:val="-5"/>
                <w:sz w:val="22"/>
                <w:szCs w:val="22"/>
                <w:lang w:val="sr-Latn-ME"/>
              </w:rPr>
              <w:t xml:space="preserve"> </w:t>
            </w:r>
            <w:r w:rsidRPr="001A7371">
              <w:rPr>
                <w:sz w:val="22"/>
                <w:szCs w:val="22"/>
                <w:lang w:val="sr-Latn-ME"/>
              </w:rPr>
              <w:t>konfuzije</w:t>
            </w:r>
          </w:p>
        </w:tc>
      </w:tr>
      <w:tr w:rsidR="001E6EBD" w:rsidRPr="001A7371" w14:paraId="00B27824" w14:textId="77777777" w:rsidTr="0049639C">
        <w:trPr>
          <w:trHeight w:val="2025"/>
          <w:jc w:val="center"/>
        </w:trPr>
        <w:tc>
          <w:tcPr>
            <w:tcW w:w="2730" w:type="dxa"/>
            <w:vAlign w:val="center"/>
          </w:tcPr>
          <w:p w14:paraId="6B4C6208" w14:textId="77777777" w:rsidR="001E6EBD" w:rsidRPr="001A7371" w:rsidRDefault="001E6EBD" w:rsidP="001E6EBD">
            <w:pPr>
              <w:widowControl w:val="0"/>
              <w:autoSpaceDE w:val="0"/>
              <w:autoSpaceDN w:val="0"/>
              <w:spacing w:line="249" w:lineRule="exact"/>
              <w:ind w:left="110"/>
              <w:rPr>
                <w:b/>
                <w:sz w:val="22"/>
                <w:szCs w:val="22"/>
                <w:lang w:val="sr-Latn-ME"/>
              </w:rPr>
            </w:pPr>
            <w:r w:rsidRPr="001A7371">
              <w:rPr>
                <w:b/>
                <w:sz w:val="22"/>
                <w:szCs w:val="22"/>
                <w:lang w:val="sr-Latn-ME"/>
              </w:rPr>
              <w:t>Poremećaji</w:t>
            </w:r>
            <w:r w:rsidRPr="001A7371">
              <w:rPr>
                <w:b/>
                <w:spacing w:val="-5"/>
                <w:sz w:val="22"/>
                <w:szCs w:val="22"/>
                <w:lang w:val="sr-Latn-ME"/>
              </w:rPr>
              <w:t xml:space="preserve"> </w:t>
            </w:r>
            <w:r w:rsidRPr="001A7371">
              <w:rPr>
                <w:b/>
                <w:sz w:val="22"/>
                <w:szCs w:val="22"/>
                <w:lang w:val="sr-Latn-ME"/>
              </w:rPr>
              <w:t>nervnog</w:t>
            </w:r>
            <w:r w:rsidRPr="001A7371">
              <w:rPr>
                <w:b/>
                <w:spacing w:val="-5"/>
                <w:sz w:val="22"/>
                <w:szCs w:val="22"/>
                <w:lang w:val="sr-Latn-ME"/>
              </w:rPr>
              <w:t xml:space="preserve"> </w:t>
            </w:r>
            <w:r w:rsidRPr="001A7371">
              <w:rPr>
                <w:b/>
                <w:sz w:val="22"/>
                <w:szCs w:val="22"/>
                <w:lang w:val="sr-Latn-ME"/>
              </w:rPr>
              <w:t>sistema</w:t>
            </w:r>
          </w:p>
        </w:tc>
        <w:tc>
          <w:tcPr>
            <w:tcW w:w="3283" w:type="dxa"/>
          </w:tcPr>
          <w:p w14:paraId="6C59BCEC" w14:textId="77777777" w:rsidR="0049639C" w:rsidRPr="001A7371" w:rsidRDefault="001E6EBD" w:rsidP="009E2220">
            <w:pPr>
              <w:widowControl w:val="0"/>
              <w:autoSpaceDE w:val="0"/>
              <w:autoSpaceDN w:val="0"/>
              <w:spacing w:line="720" w:lineRule="auto"/>
              <w:ind w:left="110" w:right="1897"/>
              <w:rPr>
                <w:i/>
                <w:sz w:val="22"/>
                <w:szCs w:val="22"/>
                <w:lang w:val="sr-Latn-ME"/>
              </w:rPr>
            </w:pPr>
            <w:r w:rsidRPr="001A7371">
              <w:rPr>
                <w:i/>
                <w:sz w:val="22"/>
                <w:szCs w:val="22"/>
                <w:lang w:val="sr-Latn-ME"/>
              </w:rPr>
              <w:t>veoma</w:t>
            </w:r>
            <w:r w:rsidRPr="001A7371">
              <w:rPr>
                <w:i/>
                <w:spacing w:val="1"/>
                <w:sz w:val="22"/>
                <w:szCs w:val="22"/>
                <w:lang w:val="sr-Latn-ME"/>
              </w:rPr>
              <w:t xml:space="preserve"> </w:t>
            </w:r>
            <w:r w:rsidR="0049639C" w:rsidRPr="001A7371">
              <w:rPr>
                <w:i/>
                <w:sz w:val="22"/>
                <w:szCs w:val="22"/>
                <w:lang w:val="sr-Latn-ME"/>
              </w:rPr>
              <w:t>često</w:t>
            </w:r>
            <w:r w:rsidRPr="001A7371">
              <w:rPr>
                <w:i/>
                <w:sz w:val="22"/>
                <w:szCs w:val="22"/>
                <w:lang w:val="sr-Latn-ME"/>
              </w:rPr>
              <w:t>:</w:t>
            </w:r>
            <w:r w:rsidRPr="001A7371">
              <w:rPr>
                <w:i/>
                <w:spacing w:val="-52"/>
                <w:sz w:val="22"/>
                <w:szCs w:val="22"/>
                <w:lang w:val="sr-Latn-ME"/>
              </w:rPr>
              <w:t xml:space="preserve"> </w:t>
            </w:r>
            <w:r w:rsidR="0049639C" w:rsidRPr="001A7371">
              <w:rPr>
                <w:i/>
                <w:sz w:val="22"/>
                <w:szCs w:val="22"/>
                <w:lang w:val="sr-Latn-ME"/>
              </w:rPr>
              <w:t>rijetko</w:t>
            </w:r>
            <w:r w:rsidRPr="001A7371">
              <w:rPr>
                <w:i/>
                <w:sz w:val="22"/>
                <w:szCs w:val="22"/>
                <w:lang w:val="sr-Latn-ME"/>
              </w:rPr>
              <w:t>*:</w:t>
            </w:r>
          </w:p>
          <w:p w14:paraId="49B198DA" w14:textId="77777777" w:rsidR="009E2220" w:rsidRPr="001A7371" w:rsidRDefault="009E2220" w:rsidP="0049639C">
            <w:pPr>
              <w:widowControl w:val="0"/>
              <w:autoSpaceDE w:val="0"/>
              <w:autoSpaceDN w:val="0"/>
              <w:spacing w:line="720" w:lineRule="auto"/>
              <w:ind w:left="110" w:right="1762"/>
              <w:rPr>
                <w:i/>
                <w:sz w:val="22"/>
                <w:szCs w:val="22"/>
                <w:lang w:val="sr-Latn-ME"/>
              </w:rPr>
            </w:pPr>
          </w:p>
          <w:p w14:paraId="3D41CB6C" w14:textId="77777777" w:rsidR="0049639C" w:rsidRPr="001A7371" w:rsidRDefault="0049639C" w:rsidP="0049639C">
            <w:pPr>
              <w:widowControl w:val="0"/>
              <w:autoSpaceDE w:val="0"/>
              <w:autoSpaceDN w:val="0"/>
              <w:spacing w:line="720" w:lineRule="auto"/>
              <w:ind w:left="110" w:right="1762"/>
              <w:rPr>
                <w:i/>
                <w:sz w:val="22"/>
                <w:szCs w:val="22"/>
                <w:lang w:val="sr-Latn-ME"/>
              </w:rPr>
            </w:pPr>
            <w:r w:rsidRPr="001A7371">
              <w:rPr>
                <w:i/>
                <w:sz w:val="22"/>
                <w:szCs w:val="22"/>
                <w:lang w:val="sr-Latn-ME"/>
              </w:rPr>
              <w:t>veoma rijetko</w:t>
            </w:r>
            <w:r w:rsidR="00A6688E" w:rsidRPr="001A7371">
              <w:rPr>
                <w:i/>
                <w:sz w:val="22"/>
                <w:szCs w:val="22"/>
                <w:lang w:val="sr-Latn-ME"/>
              </w:rPr>
              <w:t>*</w:t>
            </w:r>
            <w:r w:rsidRPr="001A7371">
              <w:rPr>
                <w:i/>
                <w:sz w:val="22"/>
                <w:szCs w:val="22"/>
                <w:lang w:val="sr-Latn-ME"/>
              </w:rPr>
              <w:t>:</w:t>
            </w:r>
          </w:p>
        </w:tc>
        <w:tc>
          <w:tcPr>
            <w:tcW w:w="3338" w:type="dxa"/>
          </w:tcPr>
          <w:p w14:paraId="2025BB1D" w14:textId="77777777" w:rsidR="001E6EBD" w:rsidRPr="001A7371" w:rsidRDefault="001E6EBD" w:rsidP="001E6EBD">
            <w:pPr>
              <w:widowControl w:val="0"/>
              <w:autoSpaceDE w:val="0"/>
              <w:autoSpaceDN w:val="0"/>
              <w:spacing w:line="242" w:lineRule="auto"/>
              <w:ind w:left="110" w:right="759"/>
              <w:rPr>
                <w:sz w:val="22"/>
                <w:szCs w:val="22"/>
                <w:lang w:val="sr-Latn-ME"/>
              </w:rPr>
            </w:pPr>
            <w:r w:rsidRPr="001A7371">
              <w:rPr>
                <w:sz w:val="22"/>
                <w:szCs w:val="22"/>
                <w:lang w:val="sr-Latn-ME"/>
              </w:rPr>
              <w:t>neurotoksičnost</w:t>
            </w:r>
            <w:r w:rsidRPr="001A7371">
              <w:rPr>
                <w:spacing w:val="-13"/>
                <w:sz w:val="22"/>
                <w:szCs w:val="22"/>
                <w:lang w:val="sr-Latn-ME"/>
              </w:rPr>
              <w:t xml:space="preserve"> </w:t>
            </w:r>
            <w:r w:rsidRPr="001A7371">
              <w:rPr>
                <w:sz w:val="22"/>
                <w:szCs w:val="22"/>
                <w:lang w:val="sr-Latn-ME"/>
              </w:rPr>
              <w:t>(uglavnom</w:t>
            </w:r>
            <w:r w:rsidRPr="001A7371">
              <w:rPr>
                <w:spacing w:val="-52"/>
                <w:sz w:val="22"/>
                <w:szCs w:val="22"/>
                <w:lang w:val="sr-Latn-ME"/>
              </w:rPr>
              <w:t xml:space="preserve"> </w:t>
            </w:r>
            <w:r w:rsidRPr="001A7371">
              <w:rPr>
                <w:sz w:val="22"/>
                <w:szCs w:val="22"/>
                <w:lang w:val="sr-Latn-ME"/>
              </w:rPr>
              <w:t>periferna</w:t>
            </w:r>
            <w:r w:rsidRPr="001A7371">
              <w:rPr>
                <w:spacing w:val="-3"/>
                <w:sz w:val="22"/>
                <w:szCs w:val="22"/>
                <w:lang w:val="sr-Latn-ME"/>
              </w:rPr>
              <w:t xml:space="preserve"> </w:t>
            </w:r>
            <w:r w:rsidRPr="001A7371">
              <w:rPr>
                <w:sz w:val="22"/>
                <w:szCs w:val="22"/>
                <w:lang w:val="sr-Latn-ME"/>
              </w:rPr>
              <w:t>neuropatija</w:t>
            </w:r>
            <w:r w:rsidR="0049639C" w:rsidRPr="001A7371">
              <w:rPr>
                <w:sz w:val="22"/>
                <w:szCs w:val="22"/>
                <w:lang w:val="sr-Latn-ME"/>
              </w:rPr>
              <w:t>**</w:t>
            </w:r>
            <w:r w:rsidRPr="001A7371">
              <w:rPr>
                <w:sz w:val="22"/>
                <w:szCs w:val="22"/>
                <w:lang w:val="sr-Latn-ME"/>
              </w:rPr>
              <w:t>)</w:t>
            </w:r>
          </w:p>
          <w:p w14:paraId="628808F2" w14:textId="77777777" w:rsidR="001E6EBD" w:rsidRPr="001A7371" w:rsidRDefault="001E6EBD" w:rsidP="001E6EBD">
            <w:pPr>
              <w:widowControl w:val="0"/>
              <w:autoSpaceDE w:val="0"/>
              <w:autoSpaceDN w:val="0"/>
              <w:spacing w:before="8"/>
              <w:rPr>
                <w:sz w:val="20"/>
                <w:szCs w:val="22"/>
                <w:lang w:val="sr-Latn-ME"/>
              </w:rPr>
            </w:pPr>
          </w:p>
          <w:p w14:paraId="17CC1BB6" w14:textId="77777777" w:rsidR="001E6EBD" w:rsidRPr="001A7371" w:rsidRDefault="001E6EBD" w:rsidP="001E6EBD">
            <w:pPr>
              <w:widowControl w:val="0"/>
              <w:autoSpaceDE w:val="0"/>
              <w:autoSpaceDN w:val="0"/>
              <w:ind w:left="110" w:right="341"/>
              <w:rPr>
                <w:sz w:val="22"/>
                <w:szCs w:val="22"/>
                <w:lang w:val="sr-Latn-ME"/>
              </w:rPr>
            </w:pPr>
            <w:r w:rsidRPr="001A7371">
              <w:rPr>
                <w:sz w:val="22"/>
                <w:szCs w:val="22"/>
                <w:lang w:val="sr-Latn-ME"/>
              </w:rPr>
              <w:t>motorna neuropatija</w:t>
            </w:r>
            <w:r w:rsidR="0049639C" w:rsidRPr="001A7371">
              <w:rPr>
                <w:sz w:val="22"/>
                <w:szCs w:val="22"/>
                <w:lang w:val="sr-Latn-ME"/>
              </w:rPr>
              <w:t>**</w:t>
            </w:r>
            <w:r w:rsidRPr="001A7371">
              <w:rPr>
                <w:sz w:val="22"/>
                <w:szCs w:val="22"/>
                <w:lang w:val="sr-Latn-ME"/>
              </w:rPr>
              <w:t xml:space="preserve"> ( sa</w:t>
            </w:r>
            <w:r w:rsidRPr="001A7371">
              <w:rPr>
                <w:spacing w:val="1"/>
                <w:sz w:val="22"/>
                <w:szCs w:val="22"/>
                <w:lang w:val="sr-Latn-ME"/>
              </w:rPr>
              <w:t xml:space="preserve"> </w:t>
            </w:r>
            <w:r w:rsidRPr="001A7371">
              <w:rPr>
                <w:sz w:val="22"/>
                <w:szCs w:val="22"/>
                <w:lang w:val="sr-Latn-ME"/>
              </w:rPr>
              <w:t>posl</w:t>
            </w:r>
            <w:r w:rsidR="0049639C" w:rsidRPr="001A7371">
              <w:rPr>
                <w:sz w:val="22"/>
                <w:szCs w:val="22"/>
                <w:lang w:val="sr-Latn-ME"/>
              </w:rPr>
              <w:t>j</w:t>
            </w:r>
            <w:r w:rsidRPr="001A7371">
              <w:rPr>
                <w:sz w:val="22"/>
                <w:szCs w:val="22"/>
                <w:lang w:val="sr-Latn-ME"/>
              </w:rPr>
              <w:t>edičnom</w:t>
            </w:r>
            <w:r w:rsidRPr="001A7371">
              <w:rPr>
                <w:spacing w:val="-9"/>
                <w:sz w:val="22"/>
                <w:szCs w:val="22"/>
                <w:lang w:val="sr-Latn-ME"/>
              </w:rPr>
              <w:t xml:space="preserve"> </w:t>
            </w:r>
            <w:r w:rsidRPr="001A7371">
              <w:rPr>
                <w:sz w:val="22"/>
                <w:szCs w:val="22"/>
                <w:lang w:val="sr-Latn-ME"/>
              </w:rPr>
              <w:t>manjom</w:t>
            </w:r>
            <w:r w:rsidRPr="001A7371">
              <w:rPr>
                <w:spacing w:val="-8"/>
                <w:sz w:val="22"/>
                <w:szCs w:val="22"/>
                <w:lang w:val="sr-Latn-ME"/>
              </w:rPr>
              <w:t xml:space="preserve"> </w:t>
            </w:r>
            <w:r w:rsidRPr="001A7371">
              <w:rPr>
                <w:sz w:val="22"/>
                <w:szCs w:val="22"/>
                <w:lang w:val="sr-Latn-ME"/>
              </w:rPr>
              <w:t>distalnom</w:t>
            </w:r>
            <w:r w:rsidRPr="001A7371">
              <w:rPr>
                <w:spacing w:val="-52"/>
                <w:sz w:val="22"/>
                <w:szCs w:val="22"/>
                <w:lang w:val="sr-Latn-ME"/>
              </w:rPr>
              <w:t xml:space="preserve"> </w:t>
            </w:r>
            <w:r w:rsidRPr="001A7371">
              <w:rPr>
                <w:sz w:val="22"/>
                <w:szCs w:val="22"/>
                <w:lang w:val="sr-Latn-ME"/>
              </w:rPr>
              <w:t>slabošću)</w:t>
            </w:r>
          </w:p>
          <w:p w14:paraId="0C4FC8E5" w14:textId="77777777" w:rsidR="0049639C" w:rsidRPr="001A7371" w:rsidRDefault="0049639C" w:rsidP="001E6EBD">
            <w:pPr>
              <w:widowControl w:val="0"/>
              <w:autoSpaceDE w:val="0"/>
              <w:autoSpaceDN w:val="0"/>
              <w:ind w:left="110" w:right="341"/>
              <w:rPr>
                <w:sz w:val="22"/>
                <w:szCs w:val="22"/>
                <w:lang w:val="sr-Latn-ME"/>
              </w:rPr>
            </w:pPr>
          </w:p>
          <w:p w14:paraId="6BDAC05F" w14:textId="77777777" w:rsidR="0049639C" w:rsidRPr="001A7371" w:rsidRDefault="0049639C" w:rsidP="009E2220">
            <w:pPr>
              <w:widowControl w:val="0"/>
              <w:autoSpaceDE w:val="0"/>
              <w:autoSpaceDN w:val="0"/>
              <w:ind w:right="341"/>
              <w:rPr>
                <w:sz w:val="22"/>
                <w:szCs w:val="22"/>
                <w:lang w:val="sr-Latn-ME"/>
              </w:rPr>
            </w:pPr>
          </w:p>
          <w:p w14:paraId="4212EBC8" w14:textId="77777777" w:rsidR="009E2220" w:rsidRPr="001A7371" w:rsidRDefault="009E2220" w:rsidP="001E6EBD">
            <w:pPr>
              <w:widowControl w:val="0"/>
              <w:autoSpaceDE w:val="0"/>
              <w:autoSpaceDN w:val="0"/>
              <w:ind w:left="110" w:right="341"/>
              <w:rPr>
                <w:sz w:val="22"/>
                <w:szCs w:val="22"/>
                <w:lang w:val="sr-Latn-ME"/>
              </w:rPr>
            </w:pPr>
          </w:p>
          <w:p w14:paraId="6AEC2774" w14:textId="11DD5093" w:rsidR="0049639C" w:rsidRPr="001A7371" w:rsidRDefault="009363CD" w:rsidP="001E6EBD">
            <w:pPr>
              <w:widowControl w:val="0"/>
              <w:autoSpaceDE w:val="0"/>
              <w:autoSpaceDN w:val="0"/>
              <w:ind w:left="110" w:right="341"/>
              <w:rPr>
                <w:sz w:val="22"/>
                <w:szCs w:val="22"/>
                <w:lang w:val="sr-Latn-ME"/>
              </w:rPr>
            </w:pPr>
            <w:r w:rsidRPr="001A7371">
              <w:rPr>
                <w:sz w:val="22"/>
                <w:szCs w:val="22"/>
                <w:lang w:val="sr-Latn-ME"/>
              </w:rPr>
              <w:t>grand mal napadi, autonomna neuropatija** (rezultira  paralizom ileusa i ortostatskom hipotenzijom), encefalopatija, konvulzije, nesvjestica, glavobolja, ataksija</w:t>
            </w:r>
          </w:p>
        </w:tc>
      </w:tr>
      <w:tr w:rsidR="009E2220" w:rsidRPr="001A7371" w14:paraId="765A90F0" w14:textId="77777777" w:rsidTr="009E2220">
        <w:trPr>
          <w:trHeight w:val="2807"/>
          <w:jc w:val="center"/>
        </w:trPr>
        <w:tc>
          <w:tcPr>
            <w:tcW w:w="2730" w:type="dxa"/>
            <w:tcBorders>
              <w:top w:val="single" w:sz="4" w:space="0" w:color="000000"/>
              <w:left w:val="single" w:sz="4" w:space="0" w:color="000000"/>
              <w:bottom w:val="single" w:sz="4" w:space="0" w:color="000000"/>
              <w:right w:val="single" w:sz="4" w:space="0" w:color="000000"/>
            </w:tcBorders>
            <w:vAlign w:val="center"/>
          </w:tcPr>
          <w:p w14:paraId="59B7BF3D" w14:textId="77777777" w:rsidR="009E2220" w:rsidRPr="001A7371" w:rsidRDefault="009E2220" w:rsidP="00EF4064">
            <w:pPr>
              <w:ind w:left="142"/>
              <w:rPr>
                <w:b/>
                <w:sz w:val="22"/>
                <w:szCs w:val="22"/>
                <w:lang w:val="sr-Latn-ME"/>
              </w:rPr>
            </w:pPr>
            <w:r w:rsidRPr="001A7371">
              <w:rPr>
                <w:b/>
                <w:sz w:val="22"/>
                <w:szCs w:val="22"/>
                <w:lang w:val="sr-Latn-ME"/>
              </w:rPr>
              <w:lastRenderedPageBreak/>
              <w:t>Poremećaji oka</w:t>
            </w:r>
          </w:p>
        </w:tc>
        <w:tc>
          <w:tcPr>
            <w:tcW w:w="3283" w:type="dxa"/>
            <w:tcBorders>
              <w:top w:val="single" w:sz="4" w:space="0" w:color="000000"/>
              <w:left w:val="single" w:sz="4" w:space="0" w:color="000000"/>
              <w:bottom w:val="single" w:sz="4" w:space="0" w:color="000000"/>
              <w:right w:val="single" w:sz="4" w:space="0" w:color="000000"/>
            </w:tcBorders>
          </w:tcPr>
          <w:p w14:paraId="79306FE8" w14:textId="77777777" w:rsidR="009E2220" w:rsidRPr="001A7371" w:rsidRDefault="009E2220" w:rsidP="009E2220">
            <w:pPr>
              <w:spacing w:line="720" w:lineRule="auto"/>
              <w:ind w:left="105" w:right="1762"/>
              <w:rPr>
                <w:i/>
                <w:sz w:val="22"/>
                <w:szCs w:val="22"/>
                <w:lang w:val="sr-Latn-ME"/>
              </w:rPr>
            </w:pPr>
            <w:r w:rsidRPr="001A7371">
              <w:rPr>
                <w:i/>
                <w:sz w:val="22"/>
                <w:szCs w:val="22"/>
                <w:lang w:val="sr-Latn-ME"/>
              </w:rPr>
              <w:t>veoma rijetko*:</w:t>
            </w:r>
          </w:p>
          <w:p w14:paraId="52422066" w14:textId="77777777" w:rsidR="009E2220" w:rsidRPr="001A7371" w:rsidRDefault="009E2220" w:rsidP="009E2220">
            <w:pPr>
              <w:spacing w:line="720" w:lineRule="auto"/>
              <w:ind w:left="110" w:right="1897"/>
              <w:rPr>
                <w:i/>
                <w:sz w:val="22"/>
                <w:szCs w:val="22"/>
                <w:lang w:val="sr-Latn-ME"/>
              </w:rPr>
            </w:pPr>
          </w:p>
          <w:p w14:paraId="4DE1D27A" w14:textId="77777777" w:rsidR="009E2220" w:rsidRPr="001A7371" w:rsidRDefault="009E2220" w:rsidP="009E2220">
            <w:pPr>
              <w:spacing w:line="720" w:lineRule="auto"/>
              <w:ind w:left="110" w:right="1897"/>
              <w:rPr>
                <w:i/>
                <w:sz w:val="22"/>
                <w:szCs w:val="22"/>
                <w:lang w:val="sr-Latn-ME"/>
              </w:rPr>
            </w:pPr>
          </w:p>
          <w:p w14:paraId="6B5481F6" w14:textId="77777777" w:rsidR="009E2220" w:rsidRPr="001A7371" w:rsidRDefault="009E2220" w:rsidP="009E2220">
            <w:pPr>
              <w:spacing w:line="720" w:lineRule="auto"/>
              <w:ind w:left="105" w:right="1897"/>
              <w:rPr>
                <w:i/>
                <w:sz w:val="22"/>
                <w:szCs w:val="22"/>
                <w:lang w:val="sr-Latn-ME"/>
              </w:rPr>
            </w:pPr>
            <w:r w:rsidRPr="001A7371">
              <w:rPr>
                <w:i/>
                <w:sz w:val="22"/>
                <w:szCs w:val="22"/>
                <w:lang w:val="sr-Latn-ME"/>
              </w:rPr>
              <w:t>nepoznata*:</w:t>
            </w:r>
          </w:p>
        </w:tc>
        <w:tc>
          <w:tcPr>
            <w:tcW w:w="3338" w:type="dxa"/>
            <w:tcBorders>
              <w:top w:val="single" w:sz="4" w:space="0" w:color="000000"/>
              <w:left w:val="single" w:sz="4" w:space="0" w:color="000000"/>
              <w:bottom w:val="single" w:sz="4" w:space="0" w:color="000000"/>
              <w:right w:val="single" w:sz="4" w:space="0" w:color="000000"/>
            </w:tcBorders>
          </w:tcPr>
          <w:p w14:paraId="240AACEF" w14:textId="77777777" w:rsidR="009E2220" w:rsidRPr="001A7371" w:rsidRDefault="009E2220" w:rsidP="009E2220">
            <w:pPr>
              <w:spacing w:line="242" w:lineRule="auto"/>
              <w:ind w:left="81" w:right="759"/>
              <w:rPr>
                <w:sz w:val="22"/>
                <w:szCs w:val="22"/>
                <w:lang w:val="sr-Latn-ME"/>
              </w:rPr>
            </w:pPr>
            <w:r w:rsidRPr="001A7371">
              <w:rPr>
                <w:sz w:val="22"/>
                <w:szCs w:val="22"/>
                <w:lang w:val="sr-Latn-ME"/>
              </w:rPr>
              <w:t>poremećaji na nivou optičkog nerva i/ili poremećaji vida (scintilirajući skotom), uglavnom kod pacijenata koji uzimaju veće doze od preporučenih</w:t>
            </w:r>
          </w:p>
          <w:p w14:paraId="48991C53" w14:textId="77777777" w:rsidR="009E2220" w:rsidRPr="001A7371" w:rsidRDefault="009E2220" w:rsidP="009E2220">
            <w:pPr>
              <w:spacing w:line="242" w:lineRule="auto"/>
              <w:ind w:left="110" w:right="759"/>
              <w:rPr>
                <w:sz w:val="22"/>
                <w:szCs w:val="22"/>
                <w:lang w:val="sr-Latn-ME"/>
              </w:rPr>
            </w:pPr>
          </w:p>
          <w:p w14:paraId="34E06B47" w14:textId="77777777" w:rsidR="009E2220" w:rsidRPr="001A7371" w:rsidRDefault="009E2220" w:rsidP="009E2220">
            <w:pPr>
              <w:spacing w:line="242" w:lineRule="auto"/>
              <w:ind w:left="81" w:right="759"/>
              <w:rPr>
                <w:sz w:val="22"/>
                <w:szCs w:val="22"/>
                <w:lang w:val="sr-Latn-ME"/>
              </w:rPr>
            </w:pPr>
          </w:p>
          <w:p w14:paraId="20805571" w14:textId="77777777" w:rsidR="009E2220" w:rsidRPr="001A7371" w:rsidRDefault="009E2220" w:rsidP="009E2220">
            <w:pPr>
              <w:spacing w:line="242" w:lineRule="auto"/>
              <w:ind w:left="81" w:right="759"/>
              <w:rPr>
                <w:sz w:val="22"/>
                <w:szCs w:val="22"/>
                <w:lang w:val="sr-Latn-ME"/>
              </w:rPr>
            </w:pPr>
            <w:r w:rsidRPr="001A7371">
              <w:rPr>
                <w:sz w:val="22"/>
                <w:szCs w:val="22"/>
                <w:lang w:val="sr-Latn-ME"/>
              </w:rPr>
              <w:t>makularni edem, fotopsija, mrlje u vidnom polju</w:t>
            </w:r>
          </w:p>
        </w:tc>
      </w:tr>
      <w:tr w:rsidR="009E2220" w:rsidRPr="001A7371" w14:paraId="184201DB" w14:textId="77777777" w:rsidTr="009E2220">
        <w:trPr>
          <w:trHeight w:val="469"/>
          <w:jc w:val="center"/>
        </w:trPr>
        <w:tc>
          <w:tcPr>
            <w:tcW w:w="2730" w:type="dxa"/>
            <w:tcBorders>
              <w:top w:val="single" w:sz="4" w:space="0" w:color="000000"/>
              <w:left w:val="single" w:sz="4" w:space="0" w:color="000000"/>
              <w:bottom w:val="single" w:sz="4" w:space="0" w:color="000000"/>
              <w:right w:val="single" w:sz="4" w:space="0" w:color="000000"/>
            </w:tcBorders>
            <w:vAlign w:val="center"/>
          </w:tcPr>
          <w:p w14:paraId="0B772C92" w14:textId="77777777" w:rsidR="009E2220" w:rsidRPr="001A7371" w:rsidRDefault="009E2220" w:rsidP="00EF4064">
            <w:pPr>
              <w:spacing w:line="249" w:lineRule="exact"/>
              <w:ind w:left="142"/>
              <w:rPr>
                <w:b/>
                <w:sz w:val="22"/>
                <w:szCs w:val="22"/>
                <w:lang w:val="sr-Latn-ME"/>
              </w:rPr>
            </w:pPr>
            <w:r w:rsidRPr="001A7371">
              <w:rPr>
                <w:b/>
                <w:sz w:val="22"/>
                <w:szCs w:val="22"/>
                <w:lang w:val="sr-Latn-ME"/>
              </w:rPr>
              <w:t>Poremećaji uha i labirinta</w:t>
            </w:r>
          </w:p>
        </w:tc>
        <w:tc>
          <w:tcPr>
            <w:tcW w:w="3283" w:type="dxa"/>
            <w:tcBorders>
              <w:top w:val="single" w:sz="4" w:space="0" w:color="000000"/>
              <w:left w:val="single" w:sz="4" w:space="0" w:color="000000"/>
              <w:bottom w:val="single" w:sz="4" w:space="0" w:color="000000"/>
              <w:right w:val="single" w:sz="4" w:space="0" w:color="000000"/>
            </w:tcBorders>
            <w:vAlign w:val="center"/>
          </w:tcPr>
          <w:p w14:paraId="75F5875F" w14:textId="77777777" w:rsidR="009E2220" w:rsidRPr="001A7371" w:rsidRDefault="009E2220" w:rsidP="009E2220">
            <w:pPr>
              <w:ind w:left="105" w:right="1762"/>
              <w:rPr>
                <w:i/>
                <w:sz w:val="22"/>
                <w:szCs w:val="22"/>
                <w:lang w:val="sr-Latn-ME"/>
              </w:rPr>
            </w:pPr>
            <w:r w:rsidRPr="001A7371">
              <w:rPr>
                <w:i/>
                <w:sz w:val="22"/>
                <w:szCs w:val="22"/>
                <w:lang w:val="sr-Latn-ME"/>
              </w:rPr>
              <w:t>veoma rijetko*:</w:t>
            </w:r>
          </w:p>
        </w:tc>
        <w:tc>
          <w:tcPr>
            <w:tcW w:w="3338" w:type="dxa"/>
            <w:tcBorders>
              <w:top w:val="single" w:sz="4" w:space="0" w:color="000000"/>
              <w:left w:val="single" w:sz="4" w:space="0" w:color="000000"/>
              <w:bottom w:val="single" w:sz="4" w:space="0" w:color="000000"/>
              <w:right w:val="single" w:sz="4" w:space="0" w:color="000000"/>
            </w:tcBorders>
            <w:vAlign w:val="center"/>
          </w:tcPr>
          <w:p w14:paraId="67573967" w14:textId="77777777" w:rsidR="009E2220" w:rsidRPr="001A7371" w:rsidRDefault="009E2220" w:rsidP="009E2220">
            <w:pPr>
              <w:spacing w:line="242" w:lineRule="auto"/>
              <w:ind w:left="81" w:right="759"/>
              <w:rPr>
                <w:sz w:val="22"/>
                <w:szCs w:val="22"/>
                <w:lang w:val="sr-Latn-ME"/>
              </w:rPr>
            </w:pPr>
            <w:r w:rsidRPr="001A7371">
              <w:rPr>
                <w:sz w:val="22"/>
                <w:szCs w:val="22"/>
                <w:lang w:val="sr-Latn-ME"/>
              </w:rPr>
              <w:t>ototoksičnost, gubitak sluha, tinitus, vrtoglavica</w:t>
            </w:r>
          </w:p>
        </w:tc>
      </w:tr>
      <w:tr w:rsidR="009E2220" w:rsidRPr="001A7371" w14:paraId="3D2A3DDF" w14:textId="77777777" w:rsidTr="009E2220">
        <w:trPr>
          <w:trHeight w:val="2025"/>
          <w:jc w:val="center"/>
        </w:trPr>
        <w:tc>
          <w:tcPr>
            <w:tcW w:w="2730" w:type="dxa"/>
            <w:tcBorders>
              <w:top w:val="single" w:sz="4" w:space="0" w:color="000000"/>
              <w:left w:val="single" w:sz="4" w:space="0" w:color="000000"/>
              <w:bottom w:val="single" w:sz="4" w:space="0" w:color="000000"/>
              <w:right w:val="single" w:sz="4" w:space="0" w:color="000000"/>
            </w:tcBorders>
            <w:vAlign w:val="center"/>
          </w:tcPr>
          <w:p w14:paraId="374DF571" w14:textId="77777777" w:rsidR="009E2220" w:rsidRPr="001A7371" w:rsidRDefault="009E2220" w:rsidP="00EF4064">
            <w:pPr>
              <w:ind w:left="142"/>
              <w:rPr>
                <w:b/>
                <w:sz w:val="22"/>
                <w:szCs w:val="22"/>
                <w:lang w:val="sr-Latn-ME"/>
              </w:rPr>
            </w:pPr>
            <w:r w:rsidRPr="001A7371">
              <w:rPr>
                <w:b/>
                <w:sz w:val="22"/>
                <w:szCs w:val="22"/>
                <w:lang w:val="sr-Latn-ME"/>
              </w:rPr>
              <w:t>Kardiološki poremećaji</w:t>
            </w:r>
          </w:p>
        </w:tc>
        <w:tc>
          <w:tcPr>
            <w:tcW w:w="3283" w:type="dxa"/>
            <w:tcBorders>
              <w:top w:val="single" w:sz="4" w:space="0" w:color="000000"/>
              <w:left w:val="single" w:sz="4" w:space="0" w:color="000000"/>
              <w:bottom w:val="single" w:sz="4" w:space="0" w:color="000000"/>
              <w:right w:val="single" w:sz="4" w:space="0" w:color="000000"/>
            </w:tcBorders>
          </w:tcPr>
          <w:p w14:paraId="44CDC372" w14:textId="77777777" w:rsidR="009E2220" w:rsidRPr="001A7371" w:rsidRDefault="009E2220" w:rsidP="009E2220">
            <w:pPr>
              <w:ind w:left="105" w:right="1897"/>
              <w:rPr>
                <w:i/>
                <w:sz w:val="22"/>
                <w:szCs w:val="22"/>
                <w:lang w:val="sr-Latn-ME"/>
              </w:rPr>
            </w:pPr>
            <w:r w:rsidRPr="001A7371">
              <w:rPr>
                <w:i/>
                <w:sz w:val="22"/>
                <w:szCs w:val="22"/>
                <w:lang w:val="sr-Latn-ME"/>
              </w:rPr>
              <w:t>često:</w:t>
            </w:r>
          </w:p>
          <w:p w14:paraId="24CFCCA0" w14:textId="77777777" w:rsidR="009E2220" w:rsidRPr="001A7371" w:rsidRDefault="009E2220" w:rsidP="009E2220">
            <w:pPr>
              <w:ind w:left="105" w:right="1897"/>
              <w:rPr>
                <w:i/>
                <w:sz w:val="22"/>
                <w:szCs w:val="22"/>
                <w:lang w:val="sr-Latn-ME"/>
              </w:rPr>
            </w:pPr>
          </w:p>
          <w:p w14:paraId="52E9D24B" w14:textId="77777777" w:rsidR="009E2220" w:rsidRPr="001A7371" w:rsidRDefault="009E2220" w:rsidP="009E2220">
            <w:pPr>
              <w:ind w:left="105" w:right="1897"/>
              <w:rPr>
                <w:i/>
                <w:sz w:val="22"/>
                <w:szCs w:val="22"/>
                <w:lang w:val="sr-Latn-ME"/>
              </w:rPr>
            </w:pPr>
            <w:r w:rsidRPr="001A7371">
              <w:rPr>
                <w:i/>
                <w:sz w:val="22"/>
                <w:szCs w:val="22"/>
                <w:lang w:val="sr-Latn-ME"/>
              </w:rPr>
              <w:t>povremeno:</w:t>
            </w:r>
          </w:p>
          <w:p w14:paraId="6F355B9D" w14:textId="77777777" w:rsidR="009E2220" w:rsidRPr="001A7371" w:rsidRDefault="009E2220" w:rsidP="009E2220">
            <w:pPr>
              <w:spacing w:line="720" w:lineRule="auto"/>
              <w:ind w:left="110" w:right="1897"/>
              <w:rPr>
                <w:i/>
                <w:sz w:val="22"/>
                <w:szCs w:val="22"/>
                <w:lang w:val="sr-Latn-ME"/>
              </w:rPr>
            </w:pPr>
          </w:p>
          <w:p w14:paraId="6D08841A" w14:textId="77777777" w:rsidR="009E2220" w:rsidRPr="001A7371" w:rsidRDefault="009E2220" w:rsidP="00EF4064">
            <w:pPr>
              <w:spacing w:line="720" w:lineRule="auto"/>
              <w:ind w:right="1897"/>
              <w:rPr>
                <w:i/>
                <w:sz w:val="22"/>
                <w:szCs w:val="22"/>
                <w:lang w:val="sr-Latn-ME"/>
              </w:rPr>
            </w:pPr>
          </w:p>
          <w:p w14:paraId="7AC0D333" w14:textId="77777777" w:rsidR="00EF4064" w:rsidRPr="001A7371" w:rsidRDefault="00EF4064" w:rsidP="00FD2972">
            <w:pPr>
              <w:spacing w:line="720" w:lineRule="auto"/>
              <w:ind w:left="105" w:right="1762"/>
              <w:rPr>
                <w:i/>
                <w:sz w:val="22"/>
                <w:szCs w:val="22"/>
                <w:lang w:val="sr-Latn-ME"/>
              </w:rPr>
            </w:pPr>
            <w:r w:rsidRPr="001A7371">
              <w:rPr>
                <w:i/>
                <w:sz w:val="22"/>
                <w:szCs w:val="22"/>
                <w:lang w:val="sr-Latn-ME"/>
              </w:rPr>
              <w:t>rijetko:</w:t>
            </w:r>
          </w:p>
          <w:p w14:paraId="5273522C" w14:textId="77777777" w:rsidR="009E2220" w:rsidRPr="001A7371" w:rsidRDefault="00FD2972" w:rsidP="00EF4064">
            <w:pPr>
              <w:spacing w:line="720" w:lineRule="auto"/>
              <w:ind w:left="105" w:right="1762"/>
              <w:rPr>
                <w:i/>
                <w:sz w:val="22"/>
                <w:szCs w:val="22"/>
                <w:lang w:val="sr-Latn-ME"/>
              </w:rPr>
            </w:pPr>
            <w:r w:rsidRPr="001A7371">
              <w:rPr>
                <w:i/>
                <w:sz w:val="22"/>
                <w:szCs w:val="22"/>
                <w:lang w:val="sr-Latn-ME"/>
              </w:rPr>
              <w:t>veoma rijetko*:</w:t>
            </w:r>
          </w:p>
        </w:tc>
        <w:tc>
          <w:tcPr>
            <w:tcW w:w="3338" w:type="dxa"/>
            <w:tcBorders>
              <w:top w:val="single" w:sz="4" w:space="0" w:color="000000"/>
              <w:left w:val="single" w:sz="4" w:space="0" w:color="000000"/>
              <w:bottom w:val="single" w:sz="4" w:space="0" w:color="000000"/>
              <w:right w:val="single" w:sz="4" w:space="0" w:color="000000"/>
            </w:tcBorders>
          </w:tcPr>
          <w:p w14:paraId="2D244B8F" w14:textId="77777777" w:rsidR="009E2220" w:rsidRPr="001A7371" w:rsidRDefault="009E2220" w:rsidP="00EF4064">
            <w:pPr>
              <w:spacing w:line="242" w:lineRule="auto"/>
              <w:ind w:left="219" w:right="759" w:hanging="141"/>
              <w:rPr>
                <w:sz w:val="22"/>
                <w:szCs w:val="22"/>
                <w:lang w:val="sr-Latn-ME"/>
              </w:rPr>
            </w:pPr>
            <w:r w:rsidRPr="001A7371">
              <w:rPr>
                <w:sz w:val="22"/>
                <w:szCs w:val="22"/>
                <w:lang w:val="sr-Latn-ME"/>
              </w:rPr>
              <w:t>bradikardija</w:t>
            </w:r>
          </w:p>
          <w:p w14:paraId="6473842A" w14:textId="77777777" w:rsidR="009E2220" w:rsidRPr="001A7371" w:rsidRDefault="009E2220" w:rsidP="009E2220">
            <w:pPr>
              <w:spacing w:line="242" w:lineRule="auto"/>
              <w:ind w:right="759"/>
              <w:rPr>
                <w:sz w:val="22"/>
                <w:szCs w:val="22"/>
                <w:lang w:val="sr-Latn-ME"/>
              </w:rPr>
            </w:pPr>
          </w:p>
          <w:p w14:paraId="3EA22995" w14:textId="7268CAF3" w:rsidR="00EF4064" w:rsidRPr="001A7371" w:rsidRDefault="009E2220" w:rsidP="00EF4064">
            <w:pPr>
              <w:spacing w:line="242" w:lineRule="auto"/>
              <w:ind w:left="78" w:right="759"/>
              <w:rPr>
                <w:sz w:val="22"/>
                <w:szCs w:val="22"/>
                <w:lang w:val="sr-Latn-ME"/>
              </w:rPr>
            </w:pPr>
            <w:r w:rsidRPr="001A7371">
              <w:rPr>
                <w:sz w:val="22"/>
                <w:szCs w:val="22"/>
                <w:lang w:val="sr-Latn-ME"/>
              </w:rPr>
              <w:t>kardiomiopatija, asimptomatska ventrikularna tahikardija, tahikardija sa bigeminijom, AV blok i sinkop</w:t>
            </w:r>
            <w:r w:rsidR="00A6688E" w:rsidRPr="001A7371">
              <w:rPr>
                <w:sz w:val="22"/>
                <w:szCs w:val="22"/>
                <w:lang w:val="sr-Latn-ME"/>
              </w:rPr>
              <w:t>a</w:t>
            </w:r>
            <w:r w:rsidRPr="001A7371">
              <w:rPr>
                <w:sz w:val="22"/>
                <w:szCs w:val="22"/>
                <w:lang w:val="sr-Latn-ME"/>
              </w:rPr>
              <w:t>, infarkt miokarda</w:t>
            </w:r>
          </w:p>
          <w:p w14:paraId="6E22094D" w14:textId="77777777" w:rsidR="00EF4064" w:rsidRPr="001A7371" w:rsidRDefault="00EF4064" w:rsidP="00EF4064">
            <w:pPr>
              <w:spacing w:line="242" w:lineRule="auto"/>
              <w:ind w:right="759"/>
              <w:rPr>
                <w:sz w:val="22"/>
                <w:szCs w:val="22"/>
                <w:lang w:val="sr-Latn-ME"/>
              </w:rPr>
            </w:pPr>
          </w:p>
          <w:p w14:paraId="2ACBB673" w14:textId="77777777" w:rsidR="00EF4064" w:rsidRPr="001A7371" w:rsidRDefault="00EF4064" w:rsidP="00EF4064">
            <w:pPr>
              <w:spacing w:line="242" w:lineRule="auto"/>
              <w:ind w:left="219" w:right="759" w:hanging="141"/>
              <w:rPr>
                <w:sz w:val="22"/>
                <w:szCs w:val="22"/>
                <w:lang w:val="sr-Latn-ME"/>
              </w:rPr>
            </w:pPr>
            <w:r w:rsidRPr="001A7371">
              <w:rPr>
                <w:sz w:val="22"/>
                <w:szCs w:val="22"/>
                <w:lang w:val="sr-Latn-ME"/>
              </w:rPr>
              <w:t>srčana insuficijencija</w:t>
            </w:r>
          </w:p>
          <w:p w14:paraId="64232DC5" w14:textId="77777777" w:rsidR="00EF4064" w:rsidRPr="001A7371" w:rsidRDefault="00EF4064" w:rsidP="009E2220">
            <w:pPr>
              <w:spacing w:line="242" w:lineRule="auto"/>
              <w:ind w:right="759"/>
              <w:rPr>
                <w:sz w:val="22"/>
                <w:szCs w:val="22"/>
                <w:lang w:val="sr-Latn-ME"/>
              </w:rPr>
            </w:pPr>
          </w:p>
          <w:p w14:paraId="349FD029" w14:textId="77777777" w:rsidR="00EF4064" w:rsidRPr="001A7371" w:rsidRDefault="00EF4064" w:rsidP="00EF4064">
            <w:pPr>
              <w:spacing w:line="242" w:lineRule="auto"/>
              <w:ind w:left="78" w:right="759"/>
              <w:rPr>
                <w:sz w:val="22"/>
                <w:szCs w:val="22"/>
                <w:lang w:val="sr-Latn-ME"/>
              </w:rPr>
            </w:pPr>
          </w:p>
          <w:p w14:paraId="72017674" w14:textId="77777777" w:rsidR="009E2220" w:rsidRPr="001A7371" w:rsidRDefault="009E2220" w:rsidP="00EF4064">
            <w:pPr>
              <w:spacing w:line="242" w:lineRule="auto"/>
              <w:ind w:left="78" w:right="759"/>
              <w:rPr>
                <w:sz w:val="22"/>
                <w:szCs w:val="22"/>
                <w:lang w:val="sr-Latn-ME"/>
              </w:rPr>
            </w:pPr>
            <w:r w:rsidRPr="001A7371">
              <w:rPr>
                <w:sz w:val="22"/>
                <w:szCs w:val="22"/>
                <w:lang w:val="sr-Latn-ME"/>
              </w:rPr>
              <w:t>atrijalna fibrilacija, superventrikularna tahikardija</w:t>
            </w:r>
          </w:p>
        </w:tc>
      </w:tr>
      <w:tr w:rsidR="009E2220" w:rsidRPr="001A7371" w14:paraId="1C5C080F" w14:textId="77777777" w:rsidTr="009E2220">
        <w:trPr>
          <w:trHeight w:val="2025"/>
          <w:jc w:val="center"/>
        </w:trPr>
        <w:tc>
          <w:tcPr>
            <w:tcW w:w="2730" w:type="dxa"/>
            <w:tcBorders>
              <w:top w:val="single" w:sz="4" w:space="0" w:color="000000"/>
              <w:left w:val="single" w:sz="4" w:space="0" w:color="000000"/>
              <w:bottom w:val="single" w:sz="4" w:space="0" w:color="000000"/>
              <w:right w:val="single" w:sz="4" w:space="0" w:color="000000"/>
            </w:tcBorders>
            <w:vAlign w:val="center"/>
          </w:tcPr>
          <w:p w14:paraId="18946610" w14:textId="77777777" w:rsidR="009E2220" w:rsidRPr="001A7371" w:rsidRDefault="009E2220" w:rsidP="00410753">
            <w:pPr>
              <w:spacing w:line="249" w:lineRule="exact"/>
              <w:ind w:left="142"/>
              <w:rPr>
                <w:b/>
                <w:sz w:val="22"/>
                <w:szCs w:val="22"/>
                <w:lang w:val="sr-Latn-ME"/>
              </w:rPr>
            </w:pPr>
            <w:r w:rsidRPr="001A7371">
              <w:rPr>
                <w:b/>
                <w:sz w:val="22"/>
                <w:szCs w:val="22"/>
                <w:lang w:val="sr-Latn-ME"/>
              </w:rPr>
              <w:t>Vaskularni poremećaji</w:t>
            </w:r>
          </w:p>
        </w:tc>
        <w:tc>
          <w:tcPr>
            <w:tcW w:w="3283" w:type="dxa"/>
            <w:tcBorders>
              <w:top w:val="single" w:sz="4" w:space="0" w:color="000000"/>
              <w:left w:val="single" w:sz="4" w:space="0" w:color="000000"/>
              <w:bottom w:val="single" w:sz="4" w:space="0" w:color="000000"/>
              <w:right w:val="single" w:sz="4" w:space="0" w:color="000000"/>
            </w:tcBorders>
          </w:tcPr>
          <w:p w14:paraId="101C2352" w14:textId="77777777" w:rsidR="00410753" w:rsidRPr="001A7371" w:rsidRDefault="009E2220" w:rsidP="00410753">
            <w:pPr>
              <w:spacing w:line="720" w:lineRule="auto"/>
              <w:ind w:firstLine="104"/>
              <w:rPr>
                <w:i/>
                <w:sz w:val="22"/>
                <w:szCs w:val="22"/>
                <w:lang w:val="sr-Latn-ME"/>
              </w:rPr>
            </w:pPr>
            <w:r w:rsidRPr="001A7371">
              <w:rPr>
                <w:i/>
                <w:sz w:val="22"/>
                <w:szCs w:val="22"/>
                <w:lang w:val="sr-Latn-ME"/>
              </w:rPr>
              <w:t>veo</w:t>
            </w:r>
            <w:r w:rsidR="00410753" w:rsidRPr="001A7371">
              <w:rPr>
                <w:i/>
                <w:sz w:val="22"/>
                <w:szCs w:val="22"/>
                <w:lang w:val="sr-Latn-ME"/>
              </w:rPr>
              <w:t>ma često</w:t>
            </w:r>
            <w:r w:rsidRPr="001A7371">
              <w:rPr>
                <w:i/>
                <w:sz w:val="22"/>
                <w:szCs w:val="22"/>
                <w:lang w:val="sr-Latn-ME"/>
              </w:rPr>
              <w:t xml:space="preserve">: </w:t>
            </w:r>
          </w:p>
          <w:p w14:paraId="2283BA69" w14:textId="77777777" w:rsidR="009E2220" w:rsidRPr="001A7371" w:rsidRDefault="00410753" w:rsidP="00410753">
            <w:pPr>
              <w:spacing w:line="720" w:lineRule="auto"/>
              <w:ind w:firstLine="104"/>
              <w:rPr>
                <w:i/>
                <w:sz w:val="22"/>
                <w:szCs w:val="22"/>
                <w:lang w:val="sr-Latn-ME"/>
              </w:rPr>
            </w:pPr>
            <w:r w:rsidRPr="001A7371">
              <w:rPr>
                <w:i/>
                <w:sz w:val="22"/>
                <w:szCs w:val="22"/>
                <w:lang w:val="sr-Latn-ME"/>
              </w:rPr>
              <w:t>povremeno</w:t>
            </w:r>
            <w:r w:rsidR="009E2220" w:rsidRPr="001A7371">
              <w:rPr>
                <w:i/>
                <w:sz w:val="22"/>
                <w:szCs w:val="22"/>
                <w:lang w:val="sr-Latn-ME"/>
              </w:rPr>
              <w:t>:</w:t>
            </w:r>
          </w:p>
          <w:p w14:paraId="32931BC5" w14:textId="77777777" w:rsidR="00410753" w:rsidRPr="001A7371" w:rsidRDefault="00410753" w:rsidP="00410753">
            <w:pPr>
              <w:spacing w:line="720" w:lineRule="auto"/>
              <w:ind w:right="1482" w:firstLine="104"/>
              <w:rPr>
                <w:i/>
                <w:sz w:val="22"/>
                <w:szCs w:val="22"/>
                <w:lang w:val="sr-Latn-ME"/>
              </w:rPr>
            </w:pPr>
            <w:r w:rsidRPr="001A7371">
              <w:rPr>
                <w:i/>
                <w:sz w:val="22"/>
                <w:szCs w:val="22"/>
                <w:lang w:val="sr-Latn-ME"/>
              </w:rPr>
              <w:t>veoma rijetko*:</w:t>
            </w:r>
          </w:p>
          <w:p w14:paraId="509D354C" w14:textId="77777777" w:rsidR="009E2220" w:rsidRPr="001A7371" w:rsidRDefault="00410753" w:rsidP="00410753">
            <w:pPr>
              <w:spacing w:line="720" w:lineRule="auto"/>
              <w:ind w:right="1340" w:firstLine="104"/>
              <w:rPr>
                <w:i/>
                <w:sz w:val="22"/>
                <w:szCs w:val="22"/>
                <w:lang w:val="sr-Latn-ME"/>
              </w:rPr>
            </w:pPr>
            <w:r w:rsidRPr="001A7371">
              <w:rPr>
                <w:i/>
                <w:sz w:val="22"/>
                <w:szCs w:val="22"/>
                <w:lang w:val="sr-Latn-ME"/>
              </w:rPr>
              <w:t>nepoznato*</w:t>
            </w:r>
            <w:r w:rsidR="009E2220" w:rsidRPr="001A7371">
              <w:rPr>
                <w:i/>
                <w:sz w:val="22"/>
                <w:szCs w:val="22"/>
                <w:lang w:val="sr-Latn-ME"/>
              </w:rPr>
              <w:t>:</w:t>
            </w:r>
          </w:p>
        </w:tc>
        <w:tc>
          <w:tcPr>
            <w:tcW w:w="3338" w:type="dxa"/>
            <w:tcBorders>
              <w:top w:val="single" w:sz="4" w:space="0" w:color="000000"/>
              <w:left w:val="single" w:sz="4" w:space="0" w:color="000000"/>
              <w:bottom w:val="single" w:sz="4" w:space="0" w:color="000000"/>
              <w:right w:val="single" w:sz="4" w:space="0" w:color="000000"/>
            </w:tcBorders>
          </w:tcPr>
          <w:p w14:paraId="3A12918E" w14:textId="77777777" w:rsidR="009E2220" w:rsidRPr="001A7371" w:rsidRDefault="009E2220" w:rsidP="00410753">
            <w:pPr>
              <w:spacing w:line="242" w:lineRule="auto"/>
              <w:ind w:left="78" w:right="759"/>
              <w:rPr>
                <w:sz w:val="22"/>
                <w:szCs w:val="22"/>
                <w:lang w:val="sr-Latn-ME"/>
              </w:rPr>
            </w:pPr>
            <w:r w:rsidRPr="001A7371">
              <w:rPr>
                <w:sz w:val="22"/>
                <w:szCs w:val="22"/>
                <w:lang w:val="sr-Latn-ME"/>
              </w:rPr>
              <w:t>hipotenzija</w:t>
            </w:r>
          </w:p>
          <w:p w14:paraId="7566D278" w14:textId="77777777" w:rsidR="009E2220" w:rsidRPr="001A7371" w:rsidRDefault="009E2220" w:rsidP="009E2220">
            <w:pPr>
              <w:spacing w:line="242" w:lineRule="auto"/>
              <w:ind w:left="110" w:right="759"/>
              <w:rPr>
                <w:sz w:val="22"/>
                <w:szCs w:val="22"/>
                <w:lang w:val="sr-Latn-ME"/>
              </w:rPr>
            </w:pPr>
          </w:p>
          <w:p w14:paraId="04A5364A" w14:textId="77777777" w:rsidR="00410753" w:rsidRPr="001A7371" w:rsidRDefault="00410753" w:rsidP="00410753">
            <w:pPr>
              <w:spacing w:line="242" w:lineRule="auto"/>
              <w:ind w:left="78" w:right="759"/>
              <w:rPr>
                <w:sz w:val="22"/>
                <w:szCs w:val="22"/>
                <w:lang w:val="sr-Latn-ME"/>
              </w:rPr>
            </w:pPr>
          </w:p>
          <w:p w14:paraId="51206F8D" w14:textId="77777777" w:rsidR="009E2220" w:rsidRPr="001A7371" w:rsidRDefault="009E2220" w:rsidP="00410753">
            <w:pPr>
              <w:spacing w:line="242" w:lineRule="auto"/>
              <w:ind w:left="78" w:right="759"/>
              <w:rPr>
                <w:sz w:val="22"/>
                <w:szCs w:val="22"/>
                <w:lang w:val="sr-Latn-ME"/>
              </w:rPr>
            </w:pPr>
            <w:r w:rsidRPr="001A7371">
              <w:rPr>
                <w:sz w:val="22"/>
                <w:szCs w:val="22"/>
                <w:lang w:val="sr-Latn-ME"/>
              </w:rPr>
              <w:t>tromboza,</w:t>
            </w:r>
            <w:r w:rsidR="00410753" w:rsidRPr="001A7371">
              <w:rPr>
                <w:sz w:val="22"/>
                <w:szCs w:val="22"/>
                <w:lang w:val="sr-Latn-ME"/>
              </w:rPr>
              <w:t xml:space="preserve"> hipertenzija, </w:t>
            </w:r>
            <w:r w:rsidRPr="001A7371">
              <w:rPr>
                <w:sz w:val="22"/>
                <w:szCs w:val="22"/>
                <w:lang w:val="sr-Latn-ME"/>
              </w:rPr>
              <w:t xml:space="preserve"> tromboflebitis</w:t>
            </w:r>
          </w:p>
          <w:p w14:paraId="646456AD" w14:textId="77777777" w:rsidR="00410753" w:rsidRPr="001A7371" w:rsidRDefault="00410753" w:rsidP="00410753">
            <w:pPr>
              <w:spacing w:line="242" w:lineRule="auto"/>
              <w:ind w:left="78" w:right="759"/>
              <w:rPr>
                <w:sz w:val="22"/>
                <w:szCs w:val="22"/>
                <w:lang w:val="sr-Latn-ME"/>
              </w:rPr>
            </w:pPr>
          </w:p>
          <w:p w14:paraId="785E1E9C" w14:textId="77777777" w:rsidR="00410753" w:rsidRPr="001A7371" w:rsidRDefault="009E2220" w:rsidP="00410753">
            <w:pPr>
              <w:spacing w:line="242" w:lineRule="auto"/>
              <w:ind w:left="219" w:right="759" w:hanging="141"/>
              <w:rPr>
                <w:sz w:val="22"/>
                <w:szCs w:val="22"/>
                <w:lang w:val="sr-Latn-ME"/>
              </w:rPr>
            </w:pPr>
            <w:r w:rsidRPr="001A7371">
              <w:rPr>
                <w:sz w:val="22"/>
                <w:szCs w:val="22"/>
                <w:lang w:val="sr-Latn-ME"/>
              </w:rPr>
              <w:t xml:space="preserve">šok </w:t>
            </w:r>
          </w:p>
          <w:p w14:paraId="4DC938DD" w14:textId="77777777" w:rsidR="00410753" w:rsidRPr="001A7371" w:rsidRDefault="00410753" w:rsidP="00410753">
            <w:pPr>
              <w:spacing w:line="242" w:lineRule="auto"/>
              <w:ind w:left="219" w:right="759" w:hanging="141"/>
              <w:rPr>
                <w:sz w:val="22"/>
                <w:szCs w:val="22"/>
                <w:lang w:val="sr-Latn-ME"/>
              </w:rPr>
            </w:pPr>
          </w:p>
          <w:p w14:paraId="3B97493B" w14:textId="77777777" w:rsidR="00410753" w:rsidRPr="001A7371" w:rsidRDefault="00410753" w:rsidP="00410753">
            <w:pPr>
              <w:spacing w:line="242" w:lineRule="auto"/>
              <w:ind w:left="219" w:right="759" w:hanging="141"/>
              <w:rPr>
                <w:sz w:val="22"/>
                <w:szCs w:val="22"/>
                <w:lang w:val="sr-Latn-ME"/>
              </w:rPr>
            </w:pPr>
          </w:p>
          <w:p w14:paraId="35E13932" w14:textId="77777777" w:rsidR="009E2220" w:rsidRPr="001A7371" w:rsidRDefault="009E2220" w:rsidP="00410753">
            <w:pPr>
              <w:spacing w:line="242" w:lineRule="auto"/>
              <w:ind w:left="219" w:right="759" w:hanging="141"/>
              <w:rPr>
                <w:sz w:val="22"/>
                <w:szCs w:val="22"/>
                <w:lang w:val="sr-Latn-ME"/>
              </w:rPr>
            </w:pPr>
            <w:r w:rsidRPr="001A7371">
              <w:rPr>
                <w:sz w:val="22"/>
                <w:szCs w:val="22"/>
                <w:lang w:val="sr-Latn-ME"/>
              </w:rPr>
              <w:t>flebitis</w:t>
            </w:r>
          </w:p>
        </w:tc>
      </w:tr>
      <w:tr w:rsidR="009E2220" w:rsidRPr="001A7371" w14:paraId="4B4D8B65" w14:textId="77777777" w:rsidTr="00410753">
        <w:trPr>
          <w:trHeight w:val="1917"/>
          <w:jc w:val="center"/>
        </w:trPr>
        <w:tc>
          <w:tcPr>
            <w:tcW w:w="2730" w:type="dxa"/>
            <w:tcBorders>
              <w:top w:val="single" w:sz="4" w:space="0" w:color="000000"/>
              <w:left w:val="single" w:sz="4" w:space="0" w:color="000000"/>
              <w:bottom w:val="single" w:sz="4" w:space="0" w:color="000000"/>
              <w:right w:val="single" w:sz="4" w:space="0" w:color="000000"/>
            </w:tcBorders>
            <w:vAlign w:val="center"/>
          </w:tcPr>
          <w:p w14:paraId="11ADF993" w14:textId="77777777" w:rsidR="009E2220" w:rsidRPr="001A7371" w:rsidRDefault="009E2220" w:rsidP="00410753">
            <w:pPr>
              <w:spacing w:line="249" w:lineRule="exact"/>
              <w:ind w:left="142"/>
              <w:rPr>
                <w:b/>
                <w:sz w:val="22"/>
                <w:szCs w:val="22"/>
                <w:lang w:val="sr-Latn-ME"/>
              </w:rPr>
            </w:pPr>
            <w:r w:rsidRPr="001A7371">
              <w:rPr>
                <w:b/>
                <w:sz w:val="22"/>
                <w:szCs w:val="22"/>
                <w:lang w:val="sr-Latn-ME"/>
              </w:rPr>
              <w:t>Respiratorni, torakalni i medijastinalni poremećaji</w:t>
            </w:r>
          </w:p>
        </w:tc>
        <w:tc>
          <w:tcPr>
            <w:tcW w:w="3283" w:type="dxa"/>
            <w:tcBorders>
              <w:top w:val="single" w:sz="4" w:space="0" w:color="000000"/>
              <w:left w:val="single" w:sz="4" w:space="0" w:color="000000"/>
              <w:bottom w:val="single" w:sz="4" w:space="0" w:color="000000"/>
              <w:right w:val="single" w:sz="4" w:space="0" w:color="000000"/>
            </w:tcBorders>
          </w:tcPr>
          <w:p w14:paraId="5A4C32E0" w14:textId="77777777" w:rsidR="009E2220" w:rsidRPr="001A7371" w:rsidRDefault="00410753" w:rsidP="00410753">
            <w:pPr>
              <w:spacing w:line="720" w:lineRule="auto"/>
              <w:ind w:right="1897" w:firstLine="104"/>
              <w:rPr>
                <w:i/>
                <w:sz w:val="22"/>
                <w:szCs w:val="22"/>
                <w:lang w:val="sr-Latn-ME"/>
              </w:rPr>
            </w:pPr>
            <w:r w:rsidRPr="001A7371">
              <w:rPr>
                <w:i/>
                <w:sz w:val="22"/>
                <w:szCs w:val="22"/>
                <w:lang w:val="sr-Latn-ME"/>
              </w:rPr>
              <w:t>rijetko</w:t>
            </w:r>
            <w:r w:rsidR="00A6688E" w:rsidRPr="001A7371">
              <w:rPr>
                <w:i/>
                <w:sz w:val="22"/>
                <w:szCs w:val="22"/>
                <w:lang w:val="sr-Latn-ME"/>
              </w:rPr>
              <w:t>*</w:t>
            </w:r>
            <w:r w:rsidR="009E2220" w:rsidRPr="001A7371">
              <w:rPr>
                <w:i/>
                <w:sz w:val="22"/>
                <w:szCs w:val="22"/>
                <w:lang w:val="sr-Latn-ME"/>
              </w:rPr>
              <w:t>:</w:t>
            </w:r>
          </w:p>
          <w:p w14:paraId="3848973D" w14:textId="77777777" w:rsidR="009E2220" w:rsidRPr="001A7371" w:rsidRDefault="009E2220" w:rsidP="009E2220">
            <w:pPr>
              <w:spacing w:line="720" w:lineRule="auto"/>
              <w:ind w:left="110" w:right="1897"/>
              <w:rPr>
                <w:i/>
                <w:sz w:val="22"/>
                <w:szCs w:val="22"/>
                <w:lang w:val="sr-Latn-ME"/>
              </w:rPr>
            </w:pPr>
          </w:p>
          <w:p w14:paraId="53DECD29" w14:textId="77777777" w:rsidR="009E2220" w:rsidRPr="001A7371" w:rsidRDefault="00410753" w:rsidP="00F94A68">
            <w:pPr>
              <w:spacing w:line="720" w:lineRule="auto"/>
              <w:ind w:right="1765" w:firstLine="104"/>
              <w:rPr>
                <w:i/>
                <w:sz w:val="22"/>
                <w:szCs w:val="22"/>
                <w:lang w:val="sr-Latn-ME"/>
              </w:rPr>
            </w:pPr>
            <w:r w:rsidRPr="001A7371">
              <w:rPr>
                <w:i/>
                <w:sz w:val="22"/>
                <w:szCs w:val="22"/>
                <w:lang w:val="sr-Latn-ME"/>
              </w:rPr>
              <w:t>veoma rijetko</w:t>
            </w:r>
            <w:r w:rsidR="00A6688E" w:rsidRPr="001A7371">
              <w:rPr>
                <w:i/>
                <w:sz w:val="22"/>
                <w:szCs w:val="22"/>
                <w:lang w:val="sr-Latn-ME"/>
              </w:rPr>
              <w:t>*</w:t>
            </w:r>
            <w:r w:rsidR="009E2220" w:rsidRPr="001A7371">
              <w:rPr>
                <w:i/>
                <w:sz w:val="22"/>
                <w:szCs w:val="22"/>
                <w:lang w:val="sr-Latn-ME"/>
              </w:rPr>
              <w:t>:</w:t>
            </w:r>
          </w:p>
        </w:tc>
        <w:tc>
          <w:tcPr>
            <w:tcW w:w="3338" w:type="dxa"/>
            <w:tcBorders>
              <w:top w:val="single" w:sz="4" w:space="0" w:color="000000"/>
              <w:left w:val="single" w:sz="4" w:space="0" w:color="000000"/>
              <w:bottom w:val="single" w:sz="4" w:space="0" w:color="000000"/>
              <w:right w:val="single" w:sz="4" w:space="0" w:color="000000"/>
            </w:tcBorders>
          </w:tcPr>
          <w:p w14:paraId="25717B1B" w14:textId="77777777" w:rsidR="009E2220" w:rsidRPr="001A7371" w:rsidRDefault="00410753" w:rsidP="00410753">
            <w:pPr>
              <w:spacing w:line="242" w:lineRule="auto"/>
              <w:ind w:left="78" w:right="759"/>
              <w:rPr>
                <w:sz w:val="22"/>
                <w:szCs w:val="22"/>
                <w:lang w:val="sr-Latn-ME"/>
              </w:rPr>
            </w:pPr>
            <w:r w:rsidRPr="001A7371">
              <w:rPr>
                <w:sz w:val="22"/>
                <w:szCs w:val="22"/>
                <w:lang w:val="sr-Latn-ME"/>
              </w:rPr>
              <w:t xml:space="preserve">respiratorna insuficijencija, plućna embolija, fibroza pluća, intersticijska pneumonija, </w:t>
            </w:r>
            <w:r w:rsidR="009E2220" w:rsidRPr="001A7371">
              <w:rPr>
                <w:sz w:val="22"/>
                <w:szCs w:val="22"/>
                <w:lang w:val="sr-Latn-ME"/>
              </w:rPr>
              <w:t xml:space="preserve">dispneja, pleuralna efuzija, </w:t>
            </w:r>
          </w:p>
          <w:p w14:paraId="0D8C9327" w14:textId="77777777" w:rsidR="009E2220" w:rsidRPr="001A7371" w:rsidRDefault="009E2220" w:rsidP="00410753">
            <w:pPr>
              <w:spacing w:line="242" w:lineRule="auto"/>
              <w:ind w:right="759"/>
              <w:rPr>
                <w:sz w:val="22"/>
                <w:szCs w:val="22"/>
                <w:lang w:val="sr-Latn-ME"/>
              </w:rPr>
            </w:pPr>
          </w:p>
          <w:p w14:paraId="64F5F890" w14:textId="77777777" w:rsidR="009E2220" w:rsidRPr="001A7371" w:rsidRDefault="009E2220" w:rsidP="00410753">
            <w:pPr>
              <w:spacing w:line="242" w:lineRule="auto"/>
              <w:ind w:right="759" w:firstLine="78"/>
              <w:rPr>
                <w:sz w:val="22"/>
                <w:szCs w:val="22"/>
                <w:lang w:val="sr-Latn-ME"/>
              </w:rPr>
            </w:pPr>
            <w:r w:rsidRPr="001A7371">
              <w:rPr>
                <w:sz w:val="22"/>
                <w:szCs w:val="22"/>
                <w:lang w:val="sr-Latn-ME"/>
              </w:rPr>
              <w:t>kašalj</w:t>
            </w:r>
          </w:p>
        </w:tc>
      </w:tr>
      <w:tr w:rsidR="00F94A68" w:rsidRPr="001A7371" w14:paraId="53BE8706" w14:textId="77777777" w:rsidTr="00F94A68">
        <w:trPr>
          <w:trHeight w:val="1917"/>
          <w:jc w:val="center"/>
        </w:trPr>
        <w:tc>
          <w:tcPr>
            <w:tcW w:w="2730" w:type="dxa"/>
            <w:vAlign w:val="center"/>
          </w:tcPr>
          <w:p w14:paraId="78E98EC9" w14:textId="77777777" w:rsidR="00F94A68" w:rsidRPr="001A7371" w:rsidRDefault="00F94A68" w:rsidP="00F94A68">
            <w:pPr>
              <w:pStyle w:val="TableParagraph"/>
              <w:spacing w:line="249" w:lineRule="exact"/>
              <w:rPr>
                <w:b/>
                <w:lang w:val="sr-Latn-ME"/>
              </w:rPr>
            </w:pPr>
            <w:r w:rsidRPr="001A7371">
              <w:rPr>
                <w:b/>
                <w:lang w:val="sr-Latn-ME"/>
              </w:rPr>
              <w:lastRenderedPageBreak/>
              <w:t>Gastrointestinalni</w:t>
            </w:r>
            <w:r w:rsidRPr="001A7371">
              <w:rPr>
                <w:b/>
                <w:spacing w:val="-9"/>
                <w:lang w:val="sr-Latn-ME"/>
              </w:rPr>
              <w:t xml:space="preserve"> </w:t>
            </w:r>
            <w:r w:rsidRPr="001A7371">
              <w:rPr>
                <w:b/>
                <w:lang w:val="sr-Latn-ME"/>
              </w:rPr>
              <w:t>poremećaji</w:t>
            </w:r>
          </w:p>
        </w:tc>
        <w:tc>
          <w:tcPr>
            <w:tcW w:w="3283" w:type="dxa"/>
          </w:tcPr>
          <w:p w14:paraId="3317A0D8" w14:textId="77777777" w:rsidR="00F94A68" w:rsidRPr="001A7371" w:rsidRDefault="00F94A68" w:rsidP="00F94A68">
            <w:pPr>
              <w:pStyle w:val="TableParagraph"/>
              <w:spacing w:line="720" w:lineRule="auto"/>
              <w:ind w:right="1897"/>
              <w:rPr>
                <w:i/>
                <w:lang w:val="sr-Latn-ME"/>
              </w:rPr>
            </w:pPr>
            <w:r w:rsidRPr="001A7371">
              <w:rPr>
                <w:i/>
                <w:lang w:val="sr-Latn-ME"/>
              </w:rPr>
              <w:t>veoma</w:t>
            </w:r>
            <w:r w:rsidRPr="001A7371">
              <w:rPr>
                <w:i/>
                <w:spacing w:val="1"/>
                <w:lang w:val="sr-Latn-ME"/>
              </w:rPr>
              <w:t xml:space="preserve"> </w:t>
            </w:r>
            <w:r w:rsidRPr="001A7371">
              <w:rPr>
                <w:i/>
                <w:lang w:val="sr-Latn-ME"/>
              </w:rPr>
              <w:t>često:</w:t>
            </w:r>
            <w:r w:rsidRPr="001A7371">
              <w:rPr>
                <w:i/>
                <w:spacing w:val="-52"/>
                <w:lang w:val="sr-Latn-ME"/>
              </w:rPr>
              <w:t xml:space="preserve"> </w:t>
            </w:r>
            <w:r w:rsidRPr="001A7371">
              <w:rPr>
                <w:i/>
                <w:lang w:val="sr-Latn-ME"/>
              </w:rPr>
              <w:t>rijetko*:</w:t>
            </w:r>
          </w:p>
          <w:p w14:paraId="2C8240A2" w14:textId="77777777" w:rsidR="00F94A68" w:rsidRPr="001A7371" w:rsidRDefault="00F94A68" w:rsidP="00F94A68">
            <w:pPr>
              <w:pStyle w:val="TableParagraph"/>
              <w:spacing w:before="201"/>
              <w:ind w:left="0" w:firstLine="104"/>
              <w:rPr>
                <w:i/>
                <w:lang w:val="sr-Latn-ME"/>
              </w:rPr>
            </w:pPr>
            <w:r w:rsidRPr="001A7371">
              <w:rPr>
                <w:i/>
                <w:lang w:val="sr-Latn-ME"/>
              </w:rPr>
              <w:t>veoma</w:t>
            </w:r>
            <w:r w:rsidRPr="001A7371">
              <w:rPr>
                <w:i/>
                <w:spacing w:val="-4"/>
                <w:lang w:val="sr-Latn-ME"/>
              </w:rPr>
              <w:t xml:space="preserve"> </w:t>
            </w:r>
            <w:r w:rsidRPr="001A7371">
              <w:rPr>
                <w:i/>
                <w:lang w:val="sr-Latn-ME"/>
              </w:rPr>
              <w:t>rijetko*:</w:t>
            </w:r>
          </w:p>
        </w:tc>
        <w:tc>
          <w:tcPr>
            <w:tcW w:w="3338" w:type="dxa"/>
          </w:tcPr>
          <w:p w14:paraId="1BF6493E" w14:textId="77777777" w:rsidR="00F94A68" w:rsidRPr="001A7371" w:rsidRDefault="00F94A68" w:rsidP="00F94A68">
            <w:pPr>
              <w:pStyle w:val="TableParagraph"/>
              <w:spacing w:line="244" w:lineRule="exact"/>
              <w:rPr>
                <w:lang w:val="sr-Latn-ME"/>
              </w:rPr>
            </w:pPr>
            <w:r w:rsidRPr="001A7371">
              <w:rPr>
                <w:lang w:val="sr-Latn-ME"/>
              </w:rPr>
              <w:t>proliv, povraćanje, mučnina</w:t>
            </w:r>
            <w:r w:rsidRPr="001A7371">
              <w:rPr>
                <w:spacing w:val="-6"/>
                <w:lang w:val="sr-Latn-ME"/>
              </w:rPr>
              <w:t xml:space="preserve"> </w:t>
            </w:r>
          </w:p>
          <w:p w14:paraId="52648073" w14:textId="77777777" w:rsidR="00F94A68" w:rsidRPr="001A7371" w:rsidRDefault="00F94A68" w:rsidP="00F94A68">
            <w:pPr>
              <w:pStyle w:val="TableParagraph"/>
              <w:ind w:left="0"/>
              <w:rPr>
                <w:sz w:val="24"/>
                <w:lang w:val="sr-Latn-ME"/>
              </w:rPr>
            </w:pPr>
          </w:p>
          <w:p w14:paraId="74A0AD11" w14:textId="77777777" w:rsidR="00F94A68" w:rsidRPr="001A7371" w:rsidRDefault="00F94A68" w:rsidP="00F94A68">
            <w:pPr>
              <w:pStyle w:val="TableParagraph"/>
              <w:spacing w:before="10"/>
              <w:ind w:left="0"/>
              <w:rPr>
                <w:sz w:val="19"/>
                <w:lang w:val="sr-Latn-ME"/>
              </w:rPr>
            </w:pPr>
          </w:p>
          <w:p w14:paraId="531C5797" w14:textId="77777777" w:rsidR="00F94A68" w:rsidRPr="001A7371" w:rsidRDefault="00F94A68" w:rsidP="00F94A68">
            <w:pPr>
              <w:pStyle w:val="TableParagraph"/>
              <w:spacing w:before="1"/>
              <w:ind w:right="593"/>
              <w:rPr>
                <w:lang w:val="sr-Latn-ME"/>
              </w:rPr>
            </w:pPr>
            <w:r w:rsidRPr="001A7371">
              <w:rPr>
                <w:lang w:val="sr-Latn-ME"/>
              </w:rPr>
              <w:t>opstrukcija</w:t>
            </w:r>
            <w:r w:rsidRPr="001A7371">
              <w:rPr>
                <w:spacing w:val="-9"/>
                <w:lang w:val="sr-Latn-ME"/>
              </w:rPr>
              <w:t xml:space="preserve"> </w:t>
            </w:r>
            <w:r w:rsidRPr="001A7371">
              <w:rPr>
                <w:lang w:val="sr-Latn-ME"/>
              </w:rPr>
              <w:t>crijeva,</w:t>
            </w:r>
            <w:r w:rsidRPr="001A7371">
              <w:rPr>
                <w:spacing w:val="-8"/>
                <w:lang w:val="sr-Latn-ME"/>
              </w:rPr>
              <w:t xml:space="preserve"> </w:t>
            </w:r>
            <w:r w:rsidRPr="001A7371">
              <w:rPr>
                <w:lang w:val="sr-Latn-ME"/>
              </w:rPr>
              <w:t xml:space="preserve">perforacije </w:t>
            </w:r>
            <w:r w:rsidRPr="001A7371">
              <w:rPr>
                <w:spacing w:val="-52"/>
                <w:lang w:val="sr-Latn-ME"/>
              </w:rPr>
              <w:t xml:space="preserve"> </w:t>
            </w:r>
            <w:r w:rsidRPr="001A7371">
              <w:rPr>
                <w:lang w:val="sr-Latn-ME"/>
              </w:rPr>
              <w:t>crijeva, ishemični kolitis,</w:t>
            </w:r>
            <w:r w:rsidRPr="001A7371">
              <w:rPr>
                <w:spacing w:val="1"/>
                <w:lang w:val="sr-Latn-ME"/>
              </w:rPr>
              <w:t xml:space="preserve"> </w:t>
            </w:r>
            <w:r w:rsidRPr="001A7371">
              <w:rPr>
                <w:lang w:val="sr-Latn-ME"/>
              </w:rPr>
              <w:t>pankreatitis</w:t>
            </w:r>
          </w:p>
          <w:p w14:paraId="015923C9" w14:textId="77777777" w:rsidR="00F94A68" w:rsidRPr="001A7371" w:rsidRDefault="00F94A68" w:rsidP="00F94A68">
            <w:pPr>
              <w:pStyle w:val="TableParagraph"/>
              <w:spacing w:before="212" w:line="237" w:lineRule="auto"/>
              <w:rPr>
                <w:lang w:val="sr-Latn-ME"/>
              </w:rPr>
            </w:pPr>
            <w:r w:rsidRPr="001A7371">
              <w:rPr>
                <w:lang w:val="sr-Latn-ME"/>
              </w:rPr>
              <w:t>mezenterijalna tromboza,</w:t>
            </w:r>
            <w:r w:rsidRPr="001A7371">
              <w:rPr>
                <w:spacing w:val="1"/>
                <w:lang w:val="sr-Latn-ME"/>
              </w:rPr>
              <w:t xml:space="preserve"> </w:t>
            </w:r>
            <w:r w:rsidRPr="001A7371">
              <w:rPr>
                <w:lang w:val="sr-Latn-ME"/>
              </w:rPr>
              <w:t>neutropenijski</w:t>
            </w:r>
            <w:r w:rsidRPr="001A7371">
              <w:rPr>
                <w:spacing w:val="-10"/>
                <w:lang w:val="sr-Latn-ME"/>
              </w:rPr>
              <w:t xml:space="preserve"> </w:t>
            </w:r>
            <w:r w:rsidRPr="001A7371">
              <w:rPr>
                <w:lang w:val="sr-Latn-ME"/>
              </w:rPr>
              <w:t>kolitis,</w:t>
            </w:r>
            <w:r w:rsidRPr="001A7371">
              <w:rPr>
                <w:sz w:val="24"/>
                <w:szCs w:val="24"/>
                <w:lang w:val="sr-Latn-ME"/>
              </w:rPr>
              <w:t xml:space="preserve"> </w:t>
            </w:r>
            <w:r w:rsidRPr="001A7371">
              <w:rPr>
                <w:lang w:val="sr-Latn-ME"/>
              </w:rPr>
              <w:t>ascites,</w:t>
            </w:r>
            <w:r w:rsidRPr="001A7371">
              <w:rPr>
                <w:spacing w:val="-10"/>
                <w:lang w:val="sr-Latn-ME"/>
              </w:rPr>
              <w:t xml:space="preserve"> </w:t>
            </w:r>
            <w:r w:rsidRPr="001A7371">
              <w:rPr>
                <w:lang w:val="sr-Latn-ME"/>
              </w:rPr>
              <w:t>ezofagitis, konstipacija</w:t>
            </w:r>
          </w:p>
        </w:tc>
      </w:tr>
      <w:tr w:rsidR="00F94A68" w:rsidRPr="001A7371" w14:paraId="2879D2B1" w14:textId="77777777" w:rsidTr="004A49EB">
        <w:trPr>
          <w:trHeight w:val="1058"/>
          <w:jc w:val="center"/>
        </w:trPr>
        <w:tc>
          <w:tcPr>
            <w:tcW w:w="2730" w:type="dxa"/>
            <w:vAlign w:val="center"/>
          </w:tcPr>
          <w:p w14:paraId="4F4EC314" w14:textId="77777777" w:rsidR="00F94A68" w:rsidRPr="001A7371" w:rsidRDefault="00F94A68" w:rsidP="00F94A68">
            <w:pPr>
              <w:pStyle w:val="TableParagraph"/>
              <w:spacing w:before="1"/>
              <w:rPr>
                <w:b/>
                <w:lang w:val="sr-Latn-ME"/>
              </w:rPr>
            </w:pPr>
            <w:r w:rsidRPr="001A7371">
              <w:rPr>
                <w:b/>
                <w:lang w:val="sr-Latn-ME"/>
              </w:rPr>
              <w:t>Hepatobilijarni</w:t>
            </w:r>
            <w:r w:rsidRPr="001A7371">
              <w:rPr>
                <w:b/>
                <w:spacing w:val="-8"/>
                <w:lang w:val="sr-Latn-ME"/>
              </w:rPr>
              <w:t xml:space="preserve"> </w:t>
            </w:r>
            <w:r w:rsidRPr="001A7371">
              <w:rPr>
                <w:b/>
                <w:lang w:val="sr-Latn-ME"/>
              </w:rPr>
              <w:t>poremećaji:</w:t>
            </w:r>
          </w:p>
        </w:tc>
        <w:tc>
          <w:tcPr>
            <w:tcW w:w="3283" w:type="dxa"/>
            <w:vAlign w:val="center"/>
          </w:tcPr>
          <w:p w14:paraId="1B9EA9AA" w14:textId="77777777" w:rsidR="00F94A68" w:rsidRPr="001A7371" w:rsidRDefault="00F94A68" w:rsidP="00F94A68">
            <w:pPr>
              <w:pStyle w:val="TableParagraph"/>
              <w:spacing w:line="249" w:lineRule="exact"/>
              <w:rPr>
                <w:i/>
                <w:lang w:val="sr-Latn-ME"/>
              </w:rPr>
            </w:pPr>
            <w:r w:rsidRPr="001A7371">
              <w:rPr>
                <w:i/>
                <w:lang w:val="sr-Latn-ME"/>
              </w:rPr>
              <w:t>veoma</w:t>
            </w:r>
            <w:r w:rsidRPr="001A7371">
              <w:rPr>
                <w:i/>
                <w:spacing w:val="50"/>
                <w:lang w:val="sr-Latn-ME"/>
              </w:rPr>
              <w:t xml:space="preserve"> </w:t>
            </w:r>
            <w:r w:rsidRPr="001A7371">
              <w:rPr>
                <w:i/>
                <w:lang w:val="sr-Latn-ME"/>
              </w:rPr>
              <w:t>rijetko*:</w:t>
            </w:r>
          </w:p>
        </w:tc>
        <w:tc>
          <w:tcPr>
            <w:tcW w:w="3338" w:type="dxa"/>
            <w:vAlign w:val="center"/>
          </w:tcPr>
          <w:p w14:paraId="30DF989B" w14:textId="77777777" w:rsidR="00F94A68" w:rsidRPr="001A7371" w:rsidRDefault="00F94A68" w:rsidP="00F94A68">
            <w:pPr>
              <w:pStyle w:val="TableParagraph"/>
              <w:spacing w:line="237" w:lineRule="auto"/>
              <w:ind w:right="120"/>
              <w:rPr>
                <w:lang w:val="sr-Latn-ME"/>
              </w:rPr>
            </w:pPr>
            <w:r w:rsidRPr="001A7371">
              <w:rPr>
                <w:lang w:val="sr-Latn-ME"/>
              </w:rPr>
              <w:t>hepatička nekroza, hepatička</w:t>
            </w:r>
            <w:r w:rsidRPr="001A7371">
              <w:rPr>
                <w:spacing w:val="1"/>
                <w:lang w:val="sr-Latn-ME"/>
              </w:rPr>
              <w:t xml:space="preserve"> </w:t>
            </w:r>
            <w:r w:rsidRPr="001A7371">
              <w:rPr>
                <w:lang w:val="sr-Latn-ME"/>
              </w:rPr>
              <w:t>encefalopatija</w:t>
            </w:r>
            <w:r w:rsidRPr="001A7371">
              <w:rPr>
                <w:spacing w:val="-7"/>
                <w:lang w:val="sr-Latn-ME"/>
              </w:rPr>
              <w:t xml:space="preserve"> </w:t>
            </w:r>
            <w:r w:rsidRPr="001A7371">
              <w:rPr>
                <w:lang w:val="sr-Latn-ME"/>
              </w:rPr>
              <w:t>(oba</w:t>
            </w:r>
            <w:r w:rsidRPr="001A7371">
              <w:rPr>
                <w:spacing w:val="-7"/>
                <w:lang w:val="sr-Latn-ME"/>
              </w:rPr>
              <w:t xml:space="preserve"> </w:t>
            </w:r>
            <w:r w:rsidRPr="001A7371">
              <w:rPr>
                <w:lang w:val="sr-Latn-ME"/>
              </w:rPr>
              <w:t>sa</w:t>
            </w:r>
            <w:r w:rsidRPr="001A7371">
              <w:rPr>
                <w:spacing w:val="-7"/>
                <w:lang w:val="sr-Latn-ME"/>
              </w:rPr>
              <w:t xml:space="preserve"> </w:t>
            </w:r>
            <w:r w:rsidRPr="001A7371">
              <w:rPr>
                <w:lang w:val="sr-Latn-ME"/>
              </w:rPr>
              <w:t>prijavljenim</w:t>
            </w:r>
          </w:p>
          <w:p w14:paraId="0CEE2E7B" w14:textId="77777777" w:rsidR="00F94A68" w:rsidRPr="001A7371" w:rsidRDefault="00F94A68" w:rsidP="00F94A68">
            <w:pPr>
              <w:pStyle w:val="TableParagraph"/>
              <w:spacing w:line="243" w:lineRule="exact"/>
              <w:rPr>
                <w:lang w:val="sr-Latn-ME"/>
              </w:rPr>
            </w:pPr>
            <w:r w:rsidRPr="001A7371">
              <w:rPr>
                <w:lang w:val="sr-Latn-ME"/>
              </w:rPr>
              <w:t>slučajevima</w:t>
            </w:r>
            <w:r w:rsidRPr="001A7371">
              <w:rPr>
                <w:spacing w:val="-6"/>
                <w:lang w:val="sr-Latn-ME"/>
              </w:rPr>
              <w:t xml:space="preserve"> </w:t>
            </w:r>
            <w:r w:rsidRPr="001A7371">
              <w:rPr>
                <w:lang w:val="sr-Latn-ME"/>
              </w:rPr>
              <w:t>smrtnog</w:t>
            </w:r>
            <w:r w:rsidRPr="001A7371">
              <w:rPr>
                <w:spacing w:val="-5"/>
                <w:lang w:val="sr-Latn-ME"/>
              </w:rPr>
              <w:t xml:space="preserve"> </w:t>
            </w:r>
            <w:r w:rsidRPr="001A7371">
              <w:rPr>
                <w:lang w:val="sr-Latn-ME"/>
              </w:rPr>
              <w:t>ishoda)</w:t>
            </w:r>
          </w:p>
        </w:tc>
      </w:tr>
      <w:tr w:rsidR="00F94A68" w:rsidRPr="001A7371" w14:paraId="3895006E" w14:textId="77777777" w:rsidTr="00F94A68">
        <w:trPr>
          <w:trHeight w:val="1917"/>
          <w:jc w:val="center"/>
        </w:trPr>
        <w:tc>
          <w:tcPr>
            <w:tcW w:w="2730" w:type="dxa"/>
            <w:vAlign w:val="center"/>
          </w:tcPr>
          <w:p w14:paraId="64949801" w14:textId="77777777" w:rsidR="004A49EB" w:rsidRPr="001A7371" w:rsidRDefault="00F94A68" w:rsidP="004A49EB">
            <w:pPr>
              <w:pStyle w:val="TableParagraph"/>
              <w:spacing w:line="237" w:lineRule="auto"/>
              <w:ind w:right="468"/>
              <w:rPr>
                <w:b/>
                <w:spacing w:val="-52"/>
                <w:lang w:val="sr-Latn-ME"/>
              </w:rPr>
            </w:pPr>
            <w:r w:rsidRPr="001A7371">
              <w:rPr>
                <w:b/>
                <w:lang w:val="sr-Latn-ME"/>
              </w:rPr>
              <w:t>Poremećaji</w:t>
            </w:r>
            <w:r w:rsidRPr="001A7371">
              <w:rPr>
                <w:b/>
                <w:spacing w:val="-5"/>
                <w:lang w:val="sr-Latn-ME"/>
              </w:rPr>
              <w:t xml:space="preserve"> </w:t>
            </w:r>
            <w:r w:rsidRPr="001A7371">
              <w:rPr>
                <w:b/>
                <w:lang w:val="sr-Latn-ME"/>
              </w:rPr>
              <w:t>kože</w:t>
            </w:r>
            <w:r w:rsidRPr="001A7371">
              <w:rPr>
                <w:b/>
                <w:spacing w:val="-6"/>
                <w:lang w:val="sr-Latn-ME"/>
              </w:rPr>
              <w:t xml:space="preserve"> </w:t>
            </w:r>
            <w:r w:rsidRPr="001A7371">
              <w:rPr>
                <w:b/>
                <w:lang w:val="sr-Latn-ME"/>
              </w:rPr>
              <w:t>i</w:t>
            </w:r>
            <w:r w:rsidRPr="001A7371">
              <w:rPr>
                <w:b/>
                <w:spacing w:val="-4"/>
                <w:lang w:val="sr-Latn-ME"/>
              </w:rPr>
              <w:t xml:space="preserve"> </w:t>
            </w:r>
            <w:r w:rsidRPr="001A7371">
              <w:rPr>
                <w:b/>
                <w:lang w:val="sr-Latn-ME"/>
              </w:rPr>
              <w:t>potkožnog</w:t>
            </w:r>
            <w:r w:rsidRPr="001A7371">
              <w:rPr>
                <w:b/>
                <w:spacing w:val="-52"/>
                <w:lang w:val="sr-Latn-ME"/>
              </w:rPr>
              <w:t xml:space="preserve"> </w:t>
            </w:r>
            <w:r w:rsidR="004A49EB" w:rsidRPr="001A7371">
              <w:rPr>
                <w:b/>
                <w:spacing w:val="-52"/>
                <w:lang w:val="sr-Latn-ME"/>
              </w:rPr>
              <w:t xml:space="preserve">         </w:t>
            </w:r>
          </w:p>
          <w:p w14:paraId="3398580C" w14:textId="77777777" w:rsidR="00F94A68" w:rsidRPr="001A7371" w:rsidRDefault="00F94A68" w:rsidP="004A49EB">
            <w:pPr>
              <w:pStyle w:val="TableParagraph"/>
              <w:spacing w:line="237" w:lineRule="auto"/>
              <w:ind w:right="468"/>
              <w:rPr>
                <w:b/>
                <w:spacing w:val="-52"/>
                <w:lang w:val="sr-Latn-ME"/>
              </w:rPr>
            </w:pPr>
            <w:r w:rsidRPr="001A7371">
              <w:rPr>
                <w:b/>
                <w:lang w:val="sr-Latn-ME"/>
              </w:rPr>
              <w:t>tkiva</w:t>
            </w:r>
          </w:p>
        </w:tc>
        <w:tc>
          <w:tcPr>
            <w:tcW w:w="3283" w:type="dxa"/>
          </w:tcPr>
          <w:p w14:paraId="76769D99" w14:textId="77777777" w:rsidR="00F94A68" w:rsidRPr="001A7371" w:rsidRDefault="00F94A68" w:rsidP="00F94A68">
            <w:pPr>
              <w:pStyle w:val="TableParagraph"/>
              <w:spacing w:line="720" w:lineRule="auto"/>
              <w:ind w:right="1897"/>
              <w:rPr>
                <w:i/>
                <w:lang w:val="sr-Latn-ME"/>
              </w:rPr>
            </w:pPr>
            <w:r w:rsidRPr="001A7371">
              <w:rPr>
                <w:i/>
                <w:lang w:val="sr-Latn-ME"/>
              </w:rPr>
              <w:t>veoma</w:t>
            </w:r>
            <w:r w:rsidRPr="001A7371">
              <w:rPr>
                <w:i/>
                <w:spacing w:val="1"/>
                <w:lang w:val="sr-Latn-ME"/>
              </w:rPr>
              <w:t xml:space="preserve"> </w:t>
            </w:r>
            <w:r w:rsidRPr="001A7371">
              <w:rPr>
                <w:i/>
                <w:lang w:val="sr-Latn-ME"/>
              </w:rPr>
              <w:t>često:</w:t>
            </w:r>
            <w:r w:rsidRPr="001A7371">
              <w:rPr>
                <w:i/>
                <w:spacing w:val="-52"/>
                <w:lang w:val="sr-Latn-ME"/>
              </w:rPr>
              <w:t xml:space="preserve"> </w:t>
            </w:r>
            <w:r w:rsidRPr="001A7371">
              <w:rPr>
                <w:i/>
                <w:lang w:val="sr-Latn-ME"/>
              </w:rPr>
              <w:t>često:</w:t>
            </w:r>
          </w:p>
          <w:p w14:paraId="3F88DD3C" w14:textId="77777777" w:rsidR="00F94A68" w:rsidRPr="001A7371" w:rsidRDefault="00F94A68" w:rsidP="00F94A68">
            <w:pPr>
              <w:pStyle w:val="TableParagraph"/>
              <w:spacing w:before="3"/>
              <w:ind w:left="0"/>
              <w:rPr>
                <w:sz w:val="21"/>
                <w:lang w:val="sr-Latn-ME"/>
              </w:rPr>
            </w:pPr>
          </w:p>
          <w:p w14:paraId="009C1AF2" w14:textId="77777777" w:rsidR="00F94A68" w:rsidRPr="001A7371" w:rsidRDefault="00F94A68" w:rsidP="00F94A68">
            <w:pPr>
              <w:pStyle w:val="TableParagraph"/>
              <w:rPr>
                <w:i/>
                <w:lang w:val="sr-Latn-ME"/>
              </w:rPr>
            </w:pPr>
            <w:r w:rsidRPr="001A7371">
              <w:rPr>
                <w:i/>
                <w:lang w:val="sr-Latn-ME"/>
              </w:rPr>
              <w:t>rijetko*:</w:t>
            </w:r>
          </w:p>
          <w:p w14:paraId="7FC268B6" w14:textId="77777777" w:rsidR="00F94A68" w:rsidRPr="001A7371" w:rsidRDefault="00F94A68" w:rsidP="00F94A68">
            <w:pPr>
              <w:pStyle w:val="TableParagraph"/>
              <w:ind w:left="0"/>
              <w:rPr>
                <w:sz w:val="24"/>
                <w:lang w:val="sr-Latn-ME"/>
              </w:rPr>
            </w:pPr>
          </w:p>
          <w:p w14:paraId="6038142A" w14:textId="77777777" w:rsidR="00F94A68" w:rsidRPr="001A7371" w:rsidRDefault="00F94A68" w:rsidP="00F94A68">
            <w:pPr>
              <w:pStyle w:val="TableParagraph"/>
              <w:spacing w:before="11"/>
              <w:ind w:left="0"/>
              <w:rPr>
                <w:sz w:val="19"/>
                <w:lang w:val="sr-Latn-ME"/>
              </w:rPr>
            </w:pPr>
          </w:p>
          <w:p w14:paraId="626A72FC" w14:textId="77777777" w:rsidR="00F94A68" w:rsidRPr="001A7371" w:rsidRDefault="00F94A68" w:rsidP="00F94A68">
            <w:pPr>
              <w:pStyle w:val="TableParagraph"/>
              <w:rPr>
                <w:i/>
                <w:lang w:val="sr-Latn-ME"/>
              </w:rPr>
            </w:pPr>
            <w:r w:rsidRPr="001A7371">
              <w:rPr>
                <w:i/>
                <w:lang w:val="sr-Latn-ME"/>
              </w:rPr>
              <w:t>veoma</w:t>
            </w:r>
            <w:r w:rsidRPr="001A7371">
              <w:rPr>
                <w:i/>
                <w:spacing w:val="50"/>
                <w:lang w:val="sr-Latn-ME"/>
              </w:rPr>
              <w:t xml:space="preserve"> </w:t>
            </w:r>
            <w:r w:rsidRPr="001A7371">
              <w:rPr>
                <w:i/>
                <w:lang w:val="sr-Latn-ME"/>
              </w:rPr>
              <w:t>rijetko*:</w:t>
            </w:r>
          </w:p>
          <w:p w14:paraId="28CA24AF" w14:textId="77777777" w:rsidR="00E9618D" w:rsidRPr="001A7371" w:rsidRDefault="00E9618D" w:rsidP="00F94A68">
            <w:pPr>
              <w:pStyle w:val="TableParagraph"/>
              <w:rPr>
                <w:i/>
                <w:lang w:val="sr-Latn-ME"/>
              </w:rPr>
            </w:pPr>
          </w:p>
          <w:p w14:paraId="6DEE2011" w14:textId="77777777" w:rsidR="00E9618D" w:rsidRPr="001A7371" w:rsidRDefault="00E9618D" w:rsidP="00F94A68">
            <w:pPr>
              <w:pStyle w:val="TableParagraph"/>
              <w:rPr>
                <w:i/>
                <w:lang w:val="sr-Latn-ME"/>
              </w:rPr>
            </w:pPr>
          </w:p>
          <w:p w14:paraId="63512BDA" w14:textId="77777777" w:rsidR="00E9618D" w:rsidRPr="001A7371" w:rsidRDefault="00E9618D" w:rsidP="00F94A68">
            <w:pPr>
              <w:pStyle w:val="TableParagraph"/>
              <w:rPr>
                <w:i/>
                <w:lang w:val="sr-Latn-ME"/>
              </w:rPr>
            </w:pPr>
          </w:p>
          <w:p w14:paraId="3C0C37D1" w14:textId="77777777" w:rsidR="00E9618D" w:rsidRPr="001A7371" w:rsidRDefault="00E9618D" w:rsidP="00F94A68">
            <w:pPr>
              <w:pStyle w:val="TableParagraph"/>
              <w:rPr>
                <w:i/>
                <w:lang w:val="sr-Latn-ME"/>
              </w:rPr>
            </w:pPr>
          </w:p>
          <w:p w14:paraId="3BC61CCD" w14:textId="77777777" w:rsidR="00E9618D" w:rsidRPr="001A7371" w:rsidRDefault="00E9618D" w:rsidP="00F94A68">
            <w:pPr>
              <w:pStyle w:val="TableParagraph"/>
              <w:rPr>
                <w:i/>
                <w:lang w:val="sr-Latn-ME"/>
              </w:rPr>
            </w:pPr>
          </w:p>
          <w:p w14:paraId="3A4BB013" w14:textId="77777777" w:rsidR="00E9618D" w:rsidRPr="001A7371" w:rsidRDefault="00E9618D" w:rsidP="00F94A68">
            <w:pPr>
              <w:pStyle w:val="TableParagraph"/>
              <w:rPr>
                <w:i/>
                <w:lang w:val="sr-Latn-ME"/>
              </w:rPr>
            </w:pPr>
          </w:p>
          <w:p w14:paraId="04AEAD4F" w14:textId="77777777" w:rsidR="00E9618D" w:rsidRPr="001A7371" w:rsidRDefault="00E9618D" w:rsidP="00F94A68">
            <w:pPr>
              <w:pStyle w:val="TableParagraph"/>
              <w:rPr>
                <w:i/>
                <w:lang w:val="sr-Latn-ME"/>
              </w:rPr>
            </w:pPr>
          </w:p>
          <w:p w14:paraId="3C3B7276" w14:textId="77777777" w:rsidR="00E9618D" w:rsidRPr="001A7371" w:rsidRDefault="00E9618D" w:rsidP="00F94A68">
            <w:pPr>
              <w:pStyle w:val="TableParagraph"/>
              <w:rPr>
                <w:i/>
                <w:lang w:val="sr-Latn-ME"/>
              </w:rPr>
            </w:pPr>
            <w:r w:rsidRPr="001A7371">
              <w:rPr>
                <w:i/>
                <w:lang w:val="sr-Latn-ME"/>
              </w:rPr>
              <w:t>nepoznato</w:t>
            </w:r>
            <w:r w:rsidR="001A2A73" w:rsidRPr="001A7371">
              <w:rPr>
                <w:i/>
                <w:lang w:val="sr-Latn-ME"/>
              </w:rPr>
              <w:t>*</w:t>
            </w:r>
            <w:r w:rsidRPr="001A7371">
              <w:rPr>
                <w:i/>
                <w:lang w:val="sr-Latn-ME"/>
              </w:rPr>
              <w:t>:</w:t>
            </w:r>
          </w:p>
        </w:tc>
        <w:tc>
          <w:tcPr>
            <w:tcW w:w="3338" w:type="dxa"/>
          </w:tcPr>
          <w:p w14:paraId="4FA2ECA3" w14:textId="77777777" w:rsidR="00F94A68" w:rsidRPr="001A7371" w:rsidRDefault="00F94A68" w:rsidP="00F94A68">
            <w:pPr>
              <w:pStyle w:val="TableParagraph"/>
              <w:spacing w:line="244" w:lineRule="exact"/>
              <w:rPr>
                <w:lang w:val="sr-Latn-ME"/>
              </w:rPr>
            </w:pPr>
            <w:r w:rsidRPr="001A7371">
              <w:rPr>
                <w:lang w:val="sr-Latn-ME"/>
              </w:rPr>
              <w:t>alopecija</w:t>
            </w:r>
          </w:p>
          <w:p w14:paraId="385D05E7" w14:textId="77777777" w:rsidR="00F94A68" w:rsidRPr="001A7371" w:rsidRDefault="00F94A68" w:rsidP="00F94A68">
            <w:pPr>
              <w:pStyle w:val="TableParagraph"/>
              <w:ind w:left="0"/>
              <w:rPr>
                <w:sz w:val="24"/>
                <w:lang w:val="sr-Latn-ME"/>
              </w:rPr>
            </w:pPr>
          </w:p>
          <w:p w14:paraId="63B83CD7" w14:textId="77777777" w:rsidR="00F94A68" w:rsidRPr="001A7371" w:rsidRDefault="00F94A68" w:rsidP="00F94A68">
            <w:pPr>
              <w:pStyle w:val="TableParagraph"/>
              <w:spacing w:before="10"/>
              <w:ind w:left="0"/>
              <w:rPr>
                <w:sz w:val="19"/>
                <w:lang w:val="sr-Latn-ME"/>
              </w:rPr>
            </w:pPr>
          </w:p>
          <w:p w14:paraId="2E0300B6" w14:textId="77777777" w:rsidR="00F94A68" w:rsidRPr="001A7371" w:rsidRDefault="00F94A68" w:rsidP="00F94A68">
            <w:pPr>
              <w:pStyle w:val="TableParagraph"/>
              <w:spacing w:before="1"/>
              <w:ind w:right="57"/>
              <w:rPr>
                <w:lang w:val="sr-Latn-ME"/>
              </w:rPr>
            </w:pPr>
            <w:r w:rsidRPr="001A7371">
              <w:rPr>
                <w:lang w:val="sr-Latn-ME"/>
              </w:rPr>
              <w:t>blage</w:t>
            </w:r>
            <w:r w:rsidRPr="001A7371">
              <w:rPr>
                <w:spacing w:val="-4"/>
                <w:lang w:val="sr-Latn-ME"/>
              </w:rPr>
              <w:t xml:space="preserve"> </w:t>
            </w:r>
            <w:r w:rsidRPr="001A7371">
              <w:rPr>
                <w:lang w:val="sr-Latn-ME"/>
              </w:rPr>
              <w:t>prolazne</w:t>
            </w:r>
            <w:r w:rsidRPr="001A7371">
              <w:rPr>
                <w:spacing w:val="-3"/>
                <w:lang w:val="sr-Latn-ME"/>
              </w:rPr>
              <w:t xml:space="preserve"> </w:t>
            </w:r>
            <w:r w:rsidRPr="001A7371">
              <w:rPr>
                <w:lang w:val="sr-Latn-ME"/>
              </w:rPr>
              <w:t>promjene</w:t>
            </w:r>
            <w:r w:rsidRPr="001A7371">
              <w:rPr>
                <w:spacing w:val="-3"/>
                <w:lang w:val="sr-Latn-ME"/>
              </w:rPr>
              <w:t xml:space="preserve"> </w:t>
            </w:r>
            <w:r w:rsidRPr="001A7371">
              <w:rPr>
                <w:lang w:val="sr-Latn-ME"/>
              </w:rPr>
              <w:t>na</w:t>
            </w:r>
            <w:r w:rsidRPr="001A7371">
              <w:rPr>
                <w:spacing w:val="-3"/>
                <w:lang w:val="sr-Latn-ME"/>
              </w:rPr>
              <w:t xml:space="preserve"> </w:t>
            </w:r>
            <w:r w:rsidRPr="001A7371">
              <w:rPr>
                <w:lang w:val="sr-Latn-ME"/>
              </w:rPr>
              <w:t>koži</w:t>
            </w:r>
            <w:r w:rsidRPr="001A7371">
              <w:rPr>
                <w:spacing w:val="-3"/>
                <w:lang w:val="sr-Latn-ME"/>
              </w:rPr>
              <w:t xml:space="preserve"> </w:t>
            </w:r>
            <w:r w:rsidRPr="001A7371">
              <w:rPr>
                <w:lang w:val="sr-Latn-ME"/>
              </w:rPr>
              <w:t>i</w:t>
            </w:r>
            <w:r w:rsidRPr="001A7371">
              <w:rPr>
                <w:spacing w:val="-52"/>
                <w:lang w:val="sr-Latn-ME"/>
              </w:rPr>
              <w:t xml:space="preserve">  </w:t>
            </w:r>
            <w:r w:rsidRPr="001A7371">
              <w:rPr>
                <w:lang w:val="sr-Latn-ME"/>
              </w:rPr>
              <w:t>noktima</w:t>
            </w:r>
          </w:p>
          <w:p w14:paraId="443F2294" w14:textId="77777777" w:rsidR="00F94A68" w:rsidRPr="001A7371" w:rsidRDefault="00F94A68" w:rsidP="00F94A68">
            <w:pPr>
              <w:pStyle w:val="TableParagraph"/>
              <w:ind w:left="0"/>
              <w:rPr>
                <w:sz w:val="24"/>
                <w:lang w:val="sr-Latn-ME"/>
              </w:rPr>
            </w:pPr>
          </w:p>
          <w:p w14:paraId="451E6726" w14:textId="77777777" w:rsidR="00F94A68" w:rsidRPr="001A7371" w:rsidRDefault="00F94A68" w:rsidP="00F94A68">
            <w:pPr>
              <w:pStyle w:val="TableParagraph"/>
              <w:ind w:left="0"/>
              <w:rPr>
                <w:sz w:val="20"/>
                <w:lang w:val="sr-Latn-ME"/>
              </w:rPr>
            </w:pPr>
          </w:p>
          <w:p w14:paraId="3A67FF69" w14:textId="77777777" w:rsidR="00F94A68" w:rsidRPr="001A7371" w:rsidRDefault="00F94A68" w:rsidP="00F94A68">
            <w:pPr>
              <w:pStyle w:val="TableParagraph"/>
              <w:spacing w:before="1"/>
              <w:rPr>
                <w:lang w:val="sr-Latn-ME"/>
              </w:rPr>
            </w:pPr>
            <w:r w:rsidRPr="001A7371">
              <w:rPr>
                <w:lang w:val="sr-Latn-ME"/>
              </w:rPr>
              <w:t>pruritus,</w:t>
            </w:r>
            <w:r w:rsidRPr="001A7371">
              <w:rPr>
                <w:spacing w:val="-5"/>
                <w:lang w:val="sr-Latn-ME"/>
              </w:rPr>
              <w:t xml:space="preserve"> </w:t>
            </w:r>
            <w:r w:rsidRPr="001A7371">
              <w:rPr>
                <w:lang w:val="sr-Latn-ME"/>
              </w:rPr>
              <w:t>osip,</w:t>
            </w:r>
            <w:r w:rsidRPr="001A7371">
              <w:rPr>
                <w:spacing w:val="-4"/>
                <w:lang w:val="sr-Latn-ME"/>
              </w:rPr>
              <w:t xml:space="preserve"> </w:t>
            </w:r>
            <w:r w:rsidRPr="001A7371">
              <w:rPr>
                <w:lang w:val="sr-Latn-ME"/>
              </w:rPr>
              <w:t>eritem</w:t>
            </w:r>
          </w:p>
          <w:p w14:paraId="42BE3A7B" w14:textId="77777777" w:rsidR="00F94A68" w:rsidRPr="001A7371" w:rsidRDefault="00F94A68" w:rsidP="00F94A68">
            <w:pPr>
              <w:pStyle w:val="TableParagraph"/>
              <w:ind w:left="0"/>
              <w:rPr>
                <w:sz w:val="24"/>
                <w:lang w:val="sr-Latn-ME"/>
              </w:rPr>
            </w:pPr>
          </w:p>
          <w:p w14:paraId="16D66AA3" w14:textId="77777777" w:rsidR="00F94A68" w:rsidRPr="001A7371" w:rsidRDefault="00F94A68" w:rsidP="00F94A68">
            <w:pPr>
              <w:pStyle w:val="TableParagraph"/>
              <w:spacing w:before="10"/>
              <w:ind w:left="0"/>
              <w:rPr>
                <w:sz w:val="19"/>
                <w:lang w:val="sr-Latn-ME"/>
              </w:rPr>
            </w:pPr>
          </w:p>
          <w:p w14:paraId="3AC59C8C" w14:textId="77777777" w:rsidR="00F94A68" w:rsidRPr="001A7371" w:rsidRDefault="00F94A68" w:rsidP="00F94A68">
            <w:pPr>
              <w:pStyle w:val="TableParagraph"/>
              <w:spacing w:before="1"/>
              <w:ind w:right="208"/>
              <w:rPr>
                <w:lang w:val="sr-Latn-ME"/>
              </w:rPr>
            </w:pPr>
            <w:r w:rsidRPr="001A7371">
              <w:rPr>
                <w:i/>
                <w:lang w:val="sr-Latn-ME"/>
              </w:rPr>
              <w:t>Stevens-Johnson</w:t>
            </w:r>
            <w:r w:rsidRPr="001A7371">
              <w:rPr>
                <w:lang w:val="sr-Latn-ME"/>
              </w:rPr>
              <w:t>-ov sindrom,</w:t>
            </w:r>
            <w:r w:rsidRPr="001A7371">
              <w:rPr>
                <w:spacing w:val="1"/>
                <w:lang w:val="sr-Latn-ME"/>
              </w:rPr>
              <w:t xml:space="preserve"> </w:t>
            </w:r>
            <w:r w:rsidRPr="001A7371">
              <w:rPr>
                <w:lang w:val="sr-Latn-ME"/>
              </w:rPr>
              <w:t>epidermalna nekroliza,</w:t>
            </w:r>
            <w:r w:rsidRPr="001A7371">
              <w:rPr>
                <w:spacing w:val="1"/>
                <w:lang w:val="sr-Latn-ME"/>
              </w:rPr>
              <w:t xml:space="preserve"> </w:t>
            </w:r>
            <w:r w:rsidRPr="001A7371">
              <w:rPr>
                <w:lang w:val="sr-Latn-ME"/>
              </w:rPr>
              <w:t>multiformni</w:t>
            </w:r>
            <w:r w:rsidRPr="001A7371">
              <w:rPr>
                <w:spacing w:val="-10"/>
                <w:lang w:val="sr-Latn-ME"/>
              </w:rPr>
              <w:t xml:space="preserve"> </w:t>
            </w:r>
            <w:r w:rsidRPr="001A7371">
              <w:rPr>
                <w:lang w:val="sr-Latn-ME"/>
              </w:rPr>
              <w:t>eritem,</w:t>
            </w:r>
            <w:r w:rsidRPr="001A7371">
              <w:rPr>
                <w:spacing w:val="-9"/>
                <w:lang w:val="sr-Latn-ME"/>
              </w:rPr>
              <w:t xml:space="preserve"> </w:t>
            </w:r>
            <w:r w:rsidRPr="001A7371">
              <w:rPr>
                <w:lang w:val="sr-Latn-ME"/>
              </w:rPr>
              <w:t>eksfolijativni</w:t>
            </w:r>
            <w:r w:rsidRPr="001A7371">
              <w:rPr>
                <w:spacing w:val="-52"/>
                <w:lang w:val="sr-Latn-ME"/>
              </w:rPr>
              <w:t xml:space="preserve"> </w:t>
            </w:r>
            <w:r w:rsidRPr="001A7371">
              <w:rPr>
                <w:lang w:val="sr-Latn-ME"/>
              </w:rPr>
              <w:t>dermatitis, urtikarija, oniholiza</w:t>
            </w:r>
            <w:r w:rsidRPr="001A7371">
              <w:rPr>
                <w:spacing w:val="1"/>
                <w:lang w:val="sr-Latn-ME"/>
              </w:rPr>
              <w:t xml:space="preserve"> </w:t>
            </w:r>
            <w:r w:rsidRPr="001A7371">
              <w:rPr>
                <w:lang w:val="sr-Latn-ME"/>
              </w:rPr>
              <w:t>(potrebno je da pacijenti tokom</w:t>
            </w:r>
            <w:r w:rsidRPr="001A7371">
              <w:rPr>
                <w:spacing w:val="1"/>
                <w:lang w:val="sr-Latn-ME"/>
              </w:rPr>
              <w:t xml:space="preserve"> </w:t>
            </w:r>
            <w:r w:rsidRPr="001A7371">
              <w:rPr>
                <w:lang w:val="sr-Latn-ME"/>
              </w:rPr>
              <w:t>liječenja zaštite ruke i noge od</w:t>
            </w:r>
            <w:r w:rsidRPr="001A7371">
              <w:rPr>
                <w:spacing w:val="1"/>
                <w:lang w:val="sr-Latn-ME"/>
              </w:rPr>
              <w:t xml:space="preserve"> </w:t>
            </w:r>
            <w:r w:rsidRPr="001A7371">
              <w:rPr>
                <w:lang w:val="sr-Latn-ME"/>
              </w:rPr>
              <w:t>sunca)</w:t>
            </w:r>
          </w:p>
          <w:p w14:paraId="4A137C94" w14:textId="77777777" w:rsidR="00E9618D" w:rsidRPr="001A7371" w:rsidRDefault="00E9618D" w:rsidP="00F94A68">
            <w:pPr>
              <w:pStyle w:val="TableParagraph"/>
              <w:spacing w:before="1"/>
              <w:ind w:right="208"/>
              <w:rPr>
                <w:lang w:val="sr-Latn-ME"/>
              </w:rPr>
            </w:pPr>
          </w:p>
          <w:p w14:paraId="689F0BCF" w14:textId="393ECB48" w:rsidR="00E9618D" w:rsidRPr="001A7371" w:rsidRDefault="00E9618D" w:rsidP="00F94A68">
            <w:pPr>
              <w:pStyle w:val="TableParagraph"/>
              <w:spacing w:before="1"/>
              <w:ind w:right="208"/>
              <w:rPr>
                <w:lang w:val="sr-Latn-ME"/>
              </w:rPr>
            </w:pPr>
            <w:r w:rsidRPr="001A7371">
              <w:rPr>
                <w:lang w:val="sr-Latn-ME"/>
              </w:rPr>
              <w:t>skleroderma, sindrom palmarno-plantarne eritrodisestezije*</w:t>
            </w:r>
          </w:p>
        </w:tc>
      </w:tr>
      <w:tr w:rsidR="00F94A68" w:rsidRPr="001A7371" w14:paraId="257670C2" w14:textId="77777777" w:rsidTr="00E9618D">
        <w:trPr>
          <w:trHeight w:val="1917"/>
          <w:jc w:val="center"/>
        </w:trPr>
        <w:tc>
          <w:tcPr>
            <w:tcW w:w="2730" w:type="dxa"/>
            <w:vAlign w:val="center"/>
          </w:tcPr>
          <w:p w14:paraId="473E5BF2" w14:textId="77777777" w:rsidR="00F94A68" w:rsidRPr="001A7371" w:rsidRDefault="00F94A68" w:rsidP="00F94A68">
            <w:pPr>
              <w:pStyle w:val="TableParagraph"/>
              <w:spacing w:line="242" w:lineRule="auto"/>
              <w:ind w:right="404"/>
              <w:rPr>
                <w:b/>
                <w:lang w:val="sr-Latn-ME"/>
              </w:rPr>
            </w:pPr>
            <w:r w:rsidRPr="001A7371">
              <w:rPr>
                <w:b/>
                <w:lang w:val="sr-Latn-ME"/>
              </w:rPr>
              <w:t>Poremećaji</w:t>
            </w:r>
            <w:r w:rsidRPr="001A7371">
              <w:rPr>
                <w:b/>
                <w:spacing w:val="-12"/>
                <w:lang w:val="sr-Latn-ME"/>
              </w:rPr>
              <w:t xml:space="preserve"> </w:t>
            </w:r>
            <w:r w:rsidRPr="001A7371">
              <w:rPr>
                <w:b/>
                <w:lang w:val="sr-Latn-ME"/>
              </w:rPr>
              <w:t>mišićno-koštanog</w:t>
            </w:r>
            <w:r w:rsidR="00E9618D" w:rsidRPr="001A7371">
              <w:rPr>
                <w:b/>
                <w:lang w:val="sr-Latn-ME"/>
              </w:rPr>
              <w:t xml:space="preserve"> </w:t>
            </w:r>
            <w:r w:rsidRPr="001A7371">
              <w:rPr>
                <w:b/>
                <w:spacing w:val="-52"/>
                <w:lang w:val="sr-Latn-ME"/>
              </w:rPr>
              <w:t xml:space="preserve"> </w:t>
            </w:r>
            <w:r w:rsidRPr="001A7371">
              <w:rPr>
                <w:b/>
                <w:lang w:val="sr-Latn-ME"/>
              </w:rPr>
              <w:t>sistema</w:t>
            </w:r>
            <w:r w:rsidRPr="001A7371">
              <w:rPr>
                <w:b/>
                <w:spacing w:val="-4"/>
                <w:lang w:val="sr-Latn-ME"/>
              </w:rPr>
              <w:t xml:space="preserve"> </w:t>
            </w:r>
            <w:r w:rsidRPr="001A7371">
              <w:rPr>
                <w:b/>
                <w:lang w:val="sr-Latn-ME"/>
              </w:rPr>
              <w:t>i</w:t>
            </w:r>
            <w:r w:rsidRPr="001A7371">
              <w:rPr>
                <w:b/>
                <w:spacing w:val="1"/>
                <w:lang w:val="sr-Latn-ME"/>
              </w:rPr>
              <w:t xml:space="preserve"> </w:t>
            </w:r>
            <w:r w:rsidRPr="001A7371">
              <w:rPr>
                <w:b/>
                <w:lang w:val="sr-Latn-ME"/>
              </w:rPr>
              <w:t>vezivnog</w:t>
            </w:r>
            <w:r w:rsidRPr="001A7371">
              <w:rPr>
                <w:b/>
                <w:spacing w:val="-2"/>
                <w:lang w:val="sr-Latn-ME"/>
              </w:rPr>
              <w:t xml:space="preserve"> </w:t>
            </w:r>
            <w:r w:rsidRPr="001A7371">
              <w:rPr>
                <w:b/>
                <w:lang w:val="sr-Latn-ME"/>
              </w:rPr>
              <w:t>tkiva</w:t>
            </w:r>
          </w:p>
        </w:tc>
        <w:tc>
          <w:tcPr>
            <w:tcW w:w="3283" w:type="dxa"/>
            <w:vAlign w:val="center"/>
          </w:tcPr>
          <w:p w14:paraId="3E5A208A" w14:textId="39095E80" w:rsidR="00F94A68" w:rsidRPr="001A7371" w:rsidRDefault="00F94A68" w:rsidP="00E9618D">
            <w:pPr>
              <w:pStyle w:val="TableParagraph"/>
              <w:spacing w:line="244" w:lineRule="exact"/>
              <w:ind w:left="0" w:firstLine="104"/>
              <w:rPr>
                <w:i/>
                <w:lang w:val="sr-Latn-ME"/>
              </w:rPr>
            </w:pPr>
            <w:r w:rsidRPr="001A7371">
              <w:rPr>
                <w:i/>
                <w:lang w:val="sr-Latn-ME"/>
              </w:rPr>
              <w:t>veoma</w:t>
            </w:r>
            <w:r w:rsidRPr="001A7371">
              <w:rPr>
                <w:i/>
                <w:spacing w:val="50"/>
                <w:lang w:val="sr-Latn-ME"/>
              </w:rPr>
              <w:t xml:space="preserve"> </w:t>
            </w:r>
            <w:r w:rsidR="001A2A73" w:rsidRPr="001A7371">
              <w:rPr>
                <w:i/>
                <w:lang w:val="sr-Latn-ME"/>
              </w:rPr>
              <w:t>često</w:t>
            </w:r>
            <w:r w:rsidRPr="001A7371">
              <w:rPr>
                <w:i/>
                <w:lang w:val="sr-Latn-ME"/>
              </w:rPr>
              <w:t>:</w:t>
            </w:r>
          </w:p>
          <w:p w14:paraId="229F2EDE" w14:textId="77777777" w:rsidR="00F94A68" w:rsidRPr="001A7371" w:rsidRDefault="00F94A68" w:rsidP="00F94A68">
            <w:pPr>
              <w:pStyle w:val="TableParagraph"/>
              <w:spacing w:before="2"/>
              <w:ind w:left="0"/>
              <w:rPr>
                <w:lang w:val="sr-Latn-ME"/>
              </w:rPr>
            </w:pPr>
          </w:p>
          <w:p w14:paraId="4FD5C13B" w14:textId="77777777" w:rsidR="00E9618D" w:rsidRPr="001A7371" w:rsidRDefault="00E9618D" w:rsidP="00F94A68">
            <w:pPr>
              <w:pStyle w:val="TableParagraph"/>
              <w:spacing w:before="2"/>
              <w:ind w:left="0"/>
              <w:rPr>
                <w:lang w:val="sr-Latn-ME"/>
              </w:rPr>
            </w:pPr>
          </w:p>
          <w:p w14:paraId="5662D251" w14:textId="77777777" w:rsidR="00F94A68" w:rsidRPr="001A7371" w:rsidRDefault="00F94A68" w:rsidP="00F94A68">
            <w:pPr>
              <w:pStyle w:val="TableParagraph"/>
              <w:spacing w:before="1"/>
              <w:rPr>
                <w:i/>
                <w:lang w:val="sr-Latn-ME"/>
              </w:rPr>
            </w:pPr>
            <w:r w:rsidRPr="001A7371">
              <w:rPr>
                <w:i/>
                <w:lang w:val="sr-Latn-ME"/>
              </w:rPr>
              <w:t>nepoznato</w:t>
            </w:r>
            <w:r w:rsidR="00E9618D" w:rsidRPr="001A7371">
              <w:rPr>
                <w:i/>
                <w:lang w:val="sr-Latn-ME"/>
              </w:rPr>
              <w:t>*</w:t>
            </w:r>
            <w:r w:rsidRPr="001A7371">
              <w:rPr>
                <w:i/>
                <w:lang w:val="sr-Latn-ME"/>
              </w:rPr>
              <w:t>:</w:t>
            </w:r>
          </w:p>
        </w:tc>
        <w:tc>
          <w:tcPr>
            <w:tcW w:w="3338" w:type="dxa"/>
            <w:vAlign w:val="center"/>
          </w:tcPr>
          <w:p w14:paraId="282B5E1F" w14:textId="77777777" w:rsidR="00F94A68" w:rsidRPr="001A7371" w:rsidRDefault="00F94A68" w:rsidP="00F94A68">
            <w:pPr>
              <w:pStyle w:val="TableParagraph"/>
              <w:spacing w:line="244" w:lineRule="exact"/>
              <w:rPr>
                <w:lang w:val="sr-Latn-ME"/>
              </w:rPr>
            </w:pPr>
            <w:r w:rsidRPr="001A7371">
              <w:rPr>
                <w:lang w:val="sr-Latn-ME"/>
              </w:rPr>
              <w:t>artralgija,</w:t>
            </w:r>
            <w:r w:rsidRPr="001A7371">
              <w:rPr>
                <w:spacing w:val="-7"/>
                <w:lang w:val="sr-Latn-ME"/>
              </w:rPr>
              <w:t xml:space="preserve"> </w:t>
            </w:r>
            <w:r w:rsidRPr="001A7371">
              <w:rPr>
                <w:lang w:val="sr-Latn-ME"/>
              </w:rPr>
              <w:t>mijalgija</w:t>
            </w:r>
          </w:p>
          <w:p w14:paraId="22C685EF" w14:textId="77777777" w:rsidR="00F94A68" w:rsidRPr="001A7371" w:rsidRDefault="00F94A68" w:rsidP="00F94A68">
            <w:pPr>
              <w:pStyle w:val="TableParagraph"/>
              <w:ind w:left="0"/>
              <w:rPr>
                <w:sz w:val="21"/>
                <w:lang w:val="sr-Latn-ME"/>
              </w:rPr>
            </w:pPr>
          </w:p>
          <w:p w14:paraId="350CDDEB" w14:textId="77777777" w:rsidR="00E9618D" w:rsidRPr="001A7371" w:rsidRDefault="00E9618D" w:rsidP="00F94A68">
            <w:pPr>
              <w:pStyle w:val="TableParagraph"/>
              <w:ind w:left="0"/>
              <w:rPr>
                <w:sz w:val="21"/>
                <w:lang w:val="sr-Latn-ME"/>
              </w:rPr>
            </w:pPr>
          </w:p>
          <w:p w14:paraId="49AA4DC6" w14:textId="377B2A12" w:rsidR="00F94A68" w:rsidRPr="001A7371" w:rsidRDefault="00F94A68" w:rsidP="00F94A68">
            <w:pPr>
              <w:pStyle w:val="TableParagraph"/>
              <w:spacing w:line="250" w:lineRule="atLeast"/>
              <w:ind w:right="575"/>
              <w:rPr>
                <w:lang w:val="sr-Latn-ME"/>
              </w:rPr>
            </w:pPr>
            <w:r w:rsidRPr="001A7371">
              <w:rPr>
                <w:lang w:val="sr-Latn-ME"/>
              </w:rPr>
              <w:t>sistemski lupus eritematosus,</w:t>
            </w:r>
            <w:r w:rsidRPr="001A7371">
              <w:rPr>
                <w:spacing w:val="-52"/>
                <w:lang w:val="sr-Latn-ME"/>
              </w:rPr>
              <w:t xml:space="preserve"> </w:t>
            </w:r>
            <w:r w:rsidRPr="001A7371">
              <w:rPr>
                <w:lang w:val="sr-Latn-ME"/>
              </w:rPr>
              <w:t>skleroderma</w:t>
            </w:r>
          </w:p>
        </w:tc>
      </w:tr>
      <w:tr w:rsidR="00F94A68" w:rsidRPr="001A7371" w14:paraId="191E981F" w14:textId="77777777" w:rsidTr="00F94A68">
        <w:trPr>
          <w:trHeight w:val="1917"/>
          <w:jc w:val="center"/>
        </w:trPr>
        <w:tc>
          <w:tcPr>
            <w:tcW w:w="2730" w:type="dxa"/>
            <w:vAlign w:val="center"/>
          </w:tcPr>
          <w:p w14:paraId="4BD0956C" w14:textId="77777777" w:rsidR="00F94A68" w:rsidRPr="001A7371" w:rsidRDefault="00F94A68" w:rsidP="00F94A68">
            <w:pPr>
              <w:pStyle w:val="TableParagraph"/>
              <w:spacing w:line="242" w:lineRule="auto"/>
              <w:ind w:right="329"/>
              <w:rPr>
                <w:b/>
                <w:lang w:val="sr-Latn-ME"/>
              </w:rPr>
            </w:pPr>
            <w:r w:rsidRPr="001A7371">
              <w:rPr>
                <w:b/>
                <w:lang w:val="sr-Latn-ME"/>
              </w:rPr>
              <w:t>Opšti</w:t>
            </w:r>
            <w:r w:rsidRPr="001A7371">
              <w:rPr>
                <w:b/>
                <w:spacing w:val="-4"/>
                <w:lang w:val="sr-Latn-ME"/>
              </w:rPr>
              <w:t xml:space="preserve"> </w:t>
            </w:r>
            <w:r w:rsidRPr="001A7371">
              <w:rPr>
                <w:b/>
                <w:lang w:val="sr-Latn-ME"/>
              </w:rPr>
              <w:t>poremećaji</w:t>
            </w:r>
            <w:r w:rsidRPr="001A7371">
              <w:rPr>
                <w:b/>
                <w:spacing w:val="-4"/>
                <w:lang w:val="sr-Latn-ME"/>
              </w:rPr>
              <w:t xml:space="preserve"> </w:t>
            </w:r>
            <w:r w:rsidRPr="001A7371">
              <w:rPr>
                <w:b/>
                <w:lang w:val="sr-Latn-ME"/>
              </w:rPr>
              <w:t>i</w:t>
            </w:r>
            <w:r w:rsidRPr="001A7371">
              <w:rPr>
                <w:b/>
                <w:spacing w:val="-4"/>
                <w:lang w:val="sr-Latn-ME"/>
              </w:rPr>
              <w:t xml:space="preserve"> </w:t>
            </w:r>
            <w:r w:rsidRPr="001A7371">
              <w:rPr>
                <w:b/>
                <w:lang w:val="sr-Latn-ME"/>
              </w:rPr>
              <w:t>reakcije</w:t>
            </w:r>
            <w:r w:rsidRPr="001A7371">
              <w:rPr>
                <w:b/>
                <w:spacing w:val="-4"/>
                <w:lang w:val="sr-Latn-ME"/>
              </w:rPr>
              <w:t xml:space="preserve"> </w:t>
            </w:r>
            <w:r w:rsidRPr="001A7371">
              <w:rPr>
                <w:b/>
                <w:lang w:val="sr-Latn-ME"/>
              </w:rPr>
              <w:t>na</w:t>
            </w:r>
            <w:r w:rsidR="00E9618D" w:rsidRPr="001A7371">
              <w:rPr>
                <w:b/>
                <w:lang w:val="sr-Latn-ME"/>
              </w:rPr>
              <w:t xml:space="preserve"> </w:t>
            </w:r>
            <w:r w:rsidRPr="001A7371">
              <w:rPr>
                <w:b/>
                <w:spacing w:val="-52"/>
                <w:lang w:val="sr-Latn-ME"/>
              </w:rPr>
              <w:t xml:space="preserve"> </w:t>
            </w:r>
            <w:r w:rsidRPr="001A7371">
              <w:rPr>
                <w:b/>
                <w:lang w:val="sr-Latn-ME"/>
              </w:rPr>
              <w:t>mjestu</w:t>
            </w:r>
            <w:r w:rsidRPr="001A7371">
              <w:rPr>
                <w:b/>
                <w:spacing w:val="-3"/>
                <w:lang w:val="sr-Latn-ME"/>
              </w:rPr>
              <w:t xml:space="preserve"> </w:t>
            </w:r>
            <w:r w:rsidRPr="001A7371">
              <w:rPr>
                <w:b/>
                <w:lang w:val="sr-Latn-ME"/>
              </w:rPr>
              <w:t>primjene</w:t>
            </w:r>
          </w:p>
        </w:tc>
        <w:tc>
          <w:tcPr>
            <w:tcW w:w="3283" w:type="dxa"/>
          </w:tcPr>
          <w:p w14:paraId="1C012D00" w14:textId="77777777" w:rsidR="00F94A68" w:rsidRPr="001A7371" w:rsidRDefault="00F94A68" w:rsidP="00F94A68">
            <w:pPr>
              <w:pStyle w:val="TableParagraph"/>
              <w:spacing w:line="482" w:lineRule="auto"/>
              <w:ind w:right="1994"/>
              <w:rPr>
                <w:i/>
                <w:lang w:val="sr-Latn-ME"/>
              </w:rPr>
            </w:pPr>
            <w:r w:rsidRPr="001A7371">
              <w:rPr>
                <w:i/>
                <w:spacing w:val="-1"/>
                <w:lang w:val="sr-Latn-ME"/>
              </w:rPr>
              <w:t xml:space="preserve">veoma </w:t>
            </w:r>
            <w:r w:rsidRPr="001A7371">
              <w:rPr>
                <w:i/>
                <w:lang w:val="sr-Latn-ME"/>
              </w:rPr>
              <w:t>često:</w:t>
            </w:r>
            <w:r w:rsidRPr="001A7371">
              <w:rPr>
                <w:i/>
                <w:spacing w:val="-52"/>
                <w:lang w:val="sr-Latn-ME"/>
              </w:rPr>
              <w:t xml:space="preserve"> </w:t>
            </w:r>
            <w:r w:rsidRPr="001A7371">
              <w:rPr>
                <w:i/>
                <w:lang w:val="sr-Latn-ME"/>
              </w:rPr>
              <w:t>često:</w:t>
            </w:r>
          </w:p>
          <w:p w14:paraId="74280787" w14:textId="77777777" w:rsidR="00F94A68" w:rsidRPr="001A7371" w:rsidRDefault="00F94A68" w:rsidP="00F94A68">
            <w:pPr>
              <w:pStyle w:val="TableParagraph"/>
              <w:ind w:left="0"/>
              <w:rPr>
                <w:sz w:val="24"/>
                <w:lang w:val="sr-Latn-ME"/>
              </w:rPr>
            </w:pPr>
          </w:p>
          <w:p w14:paraId="3EB5BE87" w14:textId="77777777" w:rsidR="00F94A68" w:rsidRPr="001A7371" w:rsidRDefault="00F94A68" w:rsidP="00F94A68">
            <w:pPr>
              <w:pStyle w:val="TableParagraph"/>
              <w:ind w:left="0"/>
              <w:rPr>
                <w:sz w:val="24"/>
                <w:lang w:val="sr-Latn-ME"/>
              </w:rPr>
            </w:pPr>
          </w:p>
          <w:p w14:paraId="5D5B1DE1" w14:textId="77777777" w:rsidR="00F94A68" w:rsidRPr="001A7371" w:rsidRDefault="00F94A68" w:rsidP="00F94A68">
            <w:pPr>
              <w:pStyle w:val="TableParagraph"/>
              <w:ind w:left="0"/>
              <w:rPr>
                <w:sz w:val="24"/>
                <w:lang w:val="sr-Latn-ME"/>
              </w:rPr>
            </w:pPr>
          </w:p>
          <w:p w14:paraId="0B961C9B" w14:textId="77777777" w:rsidR="00F94A68" w:rsidRPr="001A7371" w:rsidRDefault="00F94A68" w:rsidP="00F94A68">
            <w:pPr>
              <w:pStyle w:val="TableParagraph"/>
              <w:spacing w:before="8"/>
              <w:ind w:left="0"/>
              <w:rPr>
                <w:sz w:val="34"/>
                <w:lang w:val="sr-Latn-ME"/>
              </w:rPr>
            </w:pPr>
          </w:p>
          <w:p w14:paraId="18D40DF3" w14:textId="77777777" w:rsidR="00F94A68" w:rsidRPr="001A7371" w:rsidRDefault="00F94A68" w:rsidP="00F94A68">
            <w:pPr>
              <w:pStyle w:val="TableParagraph"/>
              <w:spacing w:before="1"/>
              <w:rPr>
                <w:i/>
                <w:lang w:val="sr-Latn-ME"/>
              </w:rPr>
            </w:pPr>
            <w:r w:rsidRPr="001A7371">
              <w:rPr>
                <w:i/>
                <w:lang w:val="sr-Latn-ME"/>
              </w:rPr>
              <w:t>rijetko:*</w:t>
            </w:r>
          </w:p>
        </w:tc>
        <w:tc>
          <w:tcPr>
            <w:tcW w:w="3338" w:type="dxa"/>
          </w:tcPr>
          <w:p w14:paraId="1A27DA21" w14:textId="77777777" w:rsidR="00F94A68" w:rsidRPr="001A7371" w:rsidRDefault="00E9618D" w:rsidP="00F94A68">
            <w:pPr>
              <w:pStyle w:val="TableParagraph"/>
              <w:spacing w:line="244" w:lineRule="exact"/>
              <w:rPr>
                <w:lang w:val="sr-Latn-ME"/>
              </w:rPr>
            </w:pPr>
            <w:r w:rsidRPr="001A7371">
              <w:rPr>
                <w:lang w:val="sr-Latn-ME"/>
              </w:rPr>
              <w:t>m</w:t>
            </w:r>
            <w:r w:rsidR="00F94A68" w:rsidRPr="001A7371">
              <w:rPr>
                <w:lang w:val="sr-Latn-ME"/>
              </w:rPr>
              <w:t>ukozna</w:t>
            </w:r>
            <w:r w:rsidR="00F94A68" w:rsidRPr="001A7371">
              <w:rPr>
                <w:spacing w:val="-7"/>
                <w:lang w:val="sr-Latn-ME"/>
              </w:rPr>
              <w:t xml:space="preserve"> </w:t>
            </w:r>
            <w:r w:rsidR="00F94A68" w:rsidRPr="001A7371">
              <w:rPr>
                <w:lang w:val="sr-Latn-ME"/>
              </w:rPr>
              <w:t>inflamacija</w:t>
            </w:r>
          </w:p>
          <w:p w14:paraId="05E7D5F8" w14:textId="77777777" w:rsidR="00F94A68" w:rsidRPr="001A7371" w:rsidRDefault="00F94A68" w:rsidP="00F94A68">
            <w:pPr>
              <w:pStyle w:val="TableParagraph"/>
              <w:spacing w:before="2"/>
              <w:ind w:left="0"/>
              <w:rPr>
                <w:lang w:val="sr-Latn-ME"/>
              </w:rPr>
            </w:pPr>
          </w:p>
          <w:p w14:paraId="2A08447E" w14:textId="77777777" w:rsidR="00F94A68" w:rsidRPr="001A7371" w:rsidRDefault="00F94A68" w:rsidP="00F94A68">
            <w:pPr>
              <w:pStyle w:val="TableParagraph"/>
              <w:spacing w:before="1"/>
              <w:ind w:right="208"/>
              <w:rPr>
                <w:lang w:val="sr-Latn-ME"/>
              </w:rPr>
            </w:pPr>
            <w:r w:rsidRPr="001A7371">
              <w:rPr>
                <w:lang w:val="sr-Latn-ME"/>
              </w:rPr>
              <w:t>reakcije na mjestu primjene</w:t>
            </w:r>
            <w:r w:rsidRPr="001A7371">
              <w:rPr>
                <w:spacing w:val="1"/>
                <w:lang w:val="sr-Latn-ME"/>
              </w:rPr>
              <w:t xml:space="preserve"> </w:t>
            </w:r>
            <w:r w:rsidRPr="001A7371">
              <w:rPr>
                <w:lang w:val="sr-Latn-ME"/>
              </w:rPr>
              <w:t>injekcije</w:t>
            </w:r>
            <w:r w:rsidRPr="001A7371">
              <w:rPr>
                <w:spacing w:val="-12"/>
                <w:lang w:val="sr-Latn-ME"/>
              </w:rPr>
              <w:t xml:space="preserve"> </w:t>
            </w:r>
            <w:r w:rsidRPr="001A7371">
              <w:rPr>
                <w:lang w:val="sr-Latn-ME"/>
              </w:rPr>
              <w:t>(uključujući</w:t>
            </w:r>
            <w:r w:rsidRPr="001A7371">
              <w:rPr>
                <w:spacing w:val="-12"/>
                <w:lang w:val="sr-Latn-ME"/>
              </w:rPr>
              <w:t xml:space="preserve"> </w:t>
            </w:r>
            <w:r w:rsidRPr="001A7371">
              <w:rPr>
                <w:lang w:val="sr-Latn-ME"/>
              </w:rPr>
              <w:t>lokalizovan</w:t>
            </w:r>
            <w:r w:rsidRPr="001A7371">
              <w:rPr>
                <w:spacing w:val="-52"/>
                <w:lang w:val="sr-Latn-ME"/>
              </w:rPr>
              <w:t xml:space="preserve"> </w:t>
            </w:r>
            <w:r w:rsidRPr="001A7371">
              <w:rPr>
                <w:lang w:val="sr-Latn-ME"/>
              </w:rPr>
              <w:t>edem,</w:t>
            </w:r>
            <w:r w:rsidRPr="001A7371">
              <w:rPr>
                <w:spacing w:val="-3"/>
                <w:lang w:val="sr-Latn-ME"/>
              </w:rPr>
              <w:t xml:space="preserve"> </w:t>
            </w:r>
            <w:r w:rsidRPr="001A7371">
              <w:rPr>
                <w:lang w:val="sr-Latn-ME"/>
              </w:rPr>
              <w:t>bol,</w:t>
            </w:r>
            <w:r w:rsidRPr="001A7371">
              <w:rPr>
                <w:spacing w:val="-2"/>
                <w:lang w:val="sr-Latn-ME"/>
              </w:rPr>
              <w:t xml:space="preserve"> </w:t>
            </w:r>
            <w:r w:rsidRPr="001A7371">
              <w:rPr>
                <w:lang w:val="sr-Latn-ME"/>
              </w:rPr>
              <w:t>eritem,</w:t>
            </w:r>
          </w:p>
          <w:p w14:paraId="1A384E7F" w14:textId="77777777" w:rsidR="00F94A68" w:rsidRPr="001A7371" w:rsidRDefault="00F94A68" w:rsidP="00E9618D">
            <w:pPr>
              <w:pStyle w:val="TableParagraph"/>
              <w:ind w:right="391"/>
              <w:rPr>
                <w:lang w:val="sr-Latn-ME"/>
              </w:rPr>
            </w:pPr>
            <w:r w:rsidRPr="001A7371">
              <w:rPr>
                <w:lang w:val="sr-Latn-ME"/>
              </w:rPr>
              <w:t>induraciju, povremena</w:t>
            </w:r>
            <w:r w:rsidRPr="001A7371">
              <w:rPr>
                <w:spacing w:val="1"/>
                <w:lang w:val="sr-Latn-ME"/>
              </w:rPr>
              <w:t xml:space="preserve"> </w:t>
            </w:r>
            <w:r w:rsidRPr="001A7371">
              <w:rPr>
                <w:lang w:val="sr-Latn-ME"/>
              </w:rPr>
              <w:t>ekstravazacija</w:t>
            </w:r>
            <w:r w:rsidRPr="001A7371">
              <w:rPr>
                <w:spacing w:val="-8"/>
                <w:lang w:val="sr-Latn-ME"/>
              </w:rPr>
              <w:t xml:space="preserve"> </w:t>
            </w:r>
            <w:r w:rsidRPr="001A7371">
              <w:rPr>
                <w:lang w:val="sr-Latn-ME"/>
              </w:rPr>
              <w:t>može</w:t>
            </w:r>
            <w:r w:rsidRPr="001A7371">
              <w:rPr>
                <w:spacing w:val="-8"/>
                <w:lang w:val="sr-Latn-ME"/>
              </w:rPr>
              <w:t xml:space="preserve"> </w:t>
            </w:r>
            <w:r w:rsidRPr="001A7371">
              <w:rPr>
                <w:lang w:val="sr-Latn-ME"/>
              </w:rPr>
              <w:t>uzrokovati</w:t>
            </w:r>
            <w:r w:rsidRPr="001A7371">
              <w:rPr>
                <w:spacing w:val="-52"/>
                <w:lang w:val="sr-Latn-ME"/>
              </w:rPr>
              <w:t xml:space="preserve"> </w:t>
            </w:r>
            <w:r w:rsidRPr="001A7371">
              <w:rPr>
                <w:lang w:val="sr-Latn-ME"/>
              </w:rPr>
              <w:t>celulitis,</w:t>
            </w:r>
            <w:r w:rsidRPr="001A7371">
              <w:rPr>
                <w:spacing w:val="-3"/>
                <w:lang w:val="sr-Latn-ME"/>
              </w:rPr>
              <w:t xml:space="preserve"> </w:t>
            </w:r>
            <w:r w:rsidRPr="001A7371">
              <w:rPr>
                <w:lang w:val="sr-Latn-ME"/>
              </w:rPr>
              <w:t>fibrozu</w:t>
            </w:r>
            <w:r w:rsidRPr="001A7371">
              <w:rPr>
                <w:spacing w:val="-2"/>
                <w:lang w:val="sr-Latn-ME"/>
              </w:rPr>
              <w:t xml:space="preserve"> </w:t>
            </w:r>
            <w:r w:rsidRPr="001A7371">
              <w:rPr>
                <w:lang w:val="sr-Latn-ME"/>
              </w:rPr>
              <w:t>i</w:t>
            </w:r>
            <w:r w:rsidRPr="001A7371">
              <w:rPr>
                <w:spacing w:val="-3"/>
                <w:lang w:val="sr-Latn-ME"/>
              </w:rPr>
              <w:t xml:space="preserve"> </w:t>
            </w:r>
            <w:r w:rsidRPr="001A7371">
              <w:rPr>
                <w:lang w:val="sr-Latn-ME"/>
              </w:rPr>
              <w:t>nekrozu)</w:t>
            </w:r>
          </w:p>
          <w:p w14:paraId="7D2824DE" w14:textId="77777777" w:rsidR="00F94A68" w:rsidRPr="001A7371" w:rsidRDefault="00F94A68" w:rsidP="00F94A68">
            <w:pPr>
              <w:pStyle w:val="TableParagraph"/>
              <w:spacing w:before="11"/>
              <w:ind w:left="0"/>
              <w:rPr>
                <w:sz w:val="18"/>
                <w:lang w:val="sr-Latn-ME"/>
              </w:rPr>
            </w:pPr>
          </w:p>
          <w:p w14:paraId="081B4479" w14:textId="77777777" w:rsidR="00F94A68" w:rsidRPr="001A7371" w:rsidRDefault="00E9618D" w:rsidP="00E9618D">
            <w:pPr>
              <w:pStyle w:val="TableParagraph"/>
              <w:spacing w:line="250" w:lineRule="atLeast"/>
              <w:ind w:right="466"/>
              <w:rPr>
                <w:lang w:val="sr-Latn-ME"/>
              </w:rPr>
            </w:pPr>
            <w:r w:rsidRPr="001A7371">
              <w:rPr>
                <w:lang w:val="sr-Latn-ME"/>
              </w:rPr>
              <w:t xml:space="preserve">pireksija, </w:t>
            </w:r>
            <w:r w:rsidR="00F94A68" w:rsidRPr="001A7371">
              <w:rPr>
                <w:lang w:val="sr-Latn-ME"/>
              </w:rPr>
              <w:t>astenija, edemi,</w:t>
            </w:r>
            <w:r w:rsidR="00F94A68" w:rsidRPr="001A7371">
              <w:rPr>
                <w:spacing w:val="-2"/>
                <w:lang w:val="sr-Latn-ME"/>
              </w:rPr>
              <w:t xml:space="preserve"> </w:t>
            </w:r>
            <w:r w:rsidR="00F94A68" w:rsidRPr="001A7371">
              <w:rPr>
                <w:lang w:val="sr-Latn-ME"/>
              </w:rPr>
              <w:t>malaksalost</w:t>
            </w:r>
          </w:p>
        </w:tc>
      </w:tr>
      <w:tr w:rsidR="00F94A68" w:rsidRPr="001A7371" w14:paraId="4C5B1970" w14:textId="77777777" w:rsidTr="00E9618D">
        <w:trPr>
          <w:trHeight w:val="1703"/>
          <w:jc w:val="center"/>
        </w:trPr>
        <w:tc>
          <w:tcPr>
            <w:tcW w:w="2730" w:type="dxa"/>
            <w:vAlign w:val="center"/>
          </w:tcPr>
          <w:p w14:paraId="45BE9FA6" w14:textId="77777777" w:rsidR="00F94A68" w:rsidRPr="001A7371" w:rsidRDefault="00F94A68" w:rsidP="00F94A68">
            <w:pPr>
              <w:pStyle w:val="TableParagraph"/>
              <w:spacing w:line="249" w:lineRule="exact"/>
              <w:rPr>
                <w:b/>
                <w:lang w:val="sr-Latn-ME"/>
              </w:rPr>
            </w:pPr>
            <w:r w:rsidRPr="001A7371">
              <w:rPr>
                <w:b/>
                <w:lang w:val="sr-Latn-ME"/>
              </w:rPr>
              <w:lastRenderedPageBreak/>
              <w:t>Ispitivanja</w:t>
            </w:r>
          </w:p>
        </w:tc>
        <w:tc>
          <w:tcPr>
            <w:tcW w:w="3283" w:type="dxa"/>
          </w:tcPr>
          <w:p w14:paraId="3CFF7A99" w14:textId="77777777" w:rsidR="00F94A68" w:rsidRPr="001A7371" w:rsidRDefault="00F94A68" w:rsidP="00F94A68">
            <w:pPr>
              <w:pStyle w:val="TableParagraph"/>
              <w:spacing w:line="244" w:lineRule="exact"/>
              <w:rPr>
                <w:i/>
                <w:lang w:val="sr-Latn-ME"/>
              </w:rPr>
            </w:pPr>
            <w:r w:rsidRPr="001A7371">
              <w:rPr>
                <w:i/>
                <w:lang w:val="sr-Latn-ME"/>
              </w:rPr>
              <w:t>često:</w:t>
            </w:r>
          </w:p>
          <w:p w14:paraId="300F0A83" w14:textId="77777777" w:rsidR="00F94A68" w:rsidRPr="001A7371" w:rsidRDefault="00F94A68" w:rsidP="00F94A68">
            <w:pPr>
              <w:pStyle w:val="TableParagraph"/>
              <w:spacing w:before="5"/>
              <w:ind w:left="0"/>
              <w:rPr>
                <w:lang w:val="sr-Latn-ME"/>
              </w:rPr>
            </w:pPr>
          </w:p>
          <w:p w14:paraId="4C130FA4" w14:textId="77777777" w:rsidR="00F94A68" w:rsidRPr="001A7371" w:rsidRDefault="00F94A68" w:rsidP="00F94A68">
            <w:pPr>
              <w:pStyle w:val="TableParagraph"/>
              <w:spacing w:line="500" w:lineRule="atLeast"/>
              <w:ind w:right="2102"/>
              <w:rPr>
                <w:i/>
                <w:lang w:val="sr-Latn-ME"/>
              </w:rPr>
            </w:pPr>
            <w:r w:rsidRPr="001A7371">
              <w:rPr>
                <w:i/>
                <w:spacing w:val="-1"/>
                <w:lang w:val="sr-Latn-ME"/>
              </w:rPr>
              <w:t>povremeno:</w:t>
            </w:r>
            <w:r w:rsidRPr="001A7371">
              <w:rPr>
                <w:i/>
                <w:spacing w:val="-52"/>
                <w:lang w:val="sr-Latn-ME"/>
              </w:rPr>
              <w:t xml:space="preserve"> </w:t>
            </w:r>
            <w:r w:rsidRPr="001A7371">
              <w:rPr>
                <w:i/>
                <w:lang w:val="sr-Latn-ME"/>
              </w:rPr>
              <w:t>rijetko*:</w:t>
            </w:r>
          </w:p>
        </w:tc>
        <w:tc>
          <w:tcPr>
            <w:tcW w:w="3338" w:type="dxa"/>
          </w:tcPr>
          <w:p w14:paraId="124BEE6F" w14:textId="77777777" w:rsidR="00F94A68" w:rsidRPr="001A7371" w:rsidRDefault="00F94A68" w:rsidP="00F94A68">
            <w:pPr>
              <w:pStyle w:val="TableParagraph"/>
              <w:spacing w:line="242" w:lineRule="auto"/>
              <w:ind w:right="581"/>
              <w:rPr>
                <w:lang w:val="sr-Latn-ME"/>
              </w:rPr>
            </w:pPr>
            <w:r w:rsidRPr="001A7371">
              <w:rPr>
                <w:lang w:val="sr-Latn-ME"/>
              </w:rPr>
              <w:t>izraziti porast AST (SGOT) i</w:t>
            </w:r>
            <w:r w:rsidRPr="001A7371">
              <w:rPr>
                <w:spacing w:val="-52"/>
                <w:lang w:val="sr-Latn-ME"/>
              </w:rPr>
              <w:t xml:space="preserve"> </w:t>
            </w:r>
            <w:r w:rsidRPr="001A7371">
              <w:rPr>
                <w:lang w:val="sr-Latn-ME"/>
              </w:rPr>
              <w:t>alkalne</w:t>
            </w:r>
            <w:r w:rsidRPr="001A7371">
              <w:rPr>
                <w:spacing w:val="-2"/>
                <w:lang w:val="sr-Latn-ME"/>
              </w:rPr>
              <w:t xml:space="preserve"> </w:t>
            </w:r>
            <w:r w:rsidRPr="001A7371">
              <w:rPr>
                <w:lang w:val="sr-Latn-ME"/>
              </w:rPr>
              <w:t>fosfataze</w:t>
            </w:r>
          </w:p>
          <w:p w14:paraId="0606C25D" w14:textId="77777777" w:rsidR="00F94A68" w:rsidRPr="001A7371" w:rsidRDefault="00F94A68" w:rsidP="00F94A68">
            <w:pPr>
              <w:pStyle w:val="TableParagraph"/>
              <w:spacing w:before="40" w:line="504" w:lineRule="exact"/>
              <w:ind w:right="1049"/>
              <w:rPr>
                <w:lang w:val="sr-Latn-ME"/>
              </w:rPr>
            </w:pPr>
            <w:r w:rsidRPr="001A7371">
              <w:rPr>
                <w:lang w:val="sr-Latn-ME"/>
              </w:rPr>
              <w:t>izraziti</w:t>
            </w:r>
            <w:r w:rsidRPr="001A7371">
              <w:rPr>
                <w:spacing w:val="-8"/>
                <w:lang w:val="sr-Latn-ME"/>
              </w:rPr>
              <w:t xml:space="preserve"> </w:t>
            </w:r>
            <w:r w:rsidRPr="001A7371">
              <w:rPr>
                <w:lang w:val="sr-Latn-ME"/>
              </w:rPr>
              <w:t>porast</w:t>
            </w:r>
            <w:r w:rsidRPr="001A7371">
              <w:rPr>
                <w:spacing w:val="-7"/>
                <w:lang w:val="sr-Latn-ME"/>
              </w:rPr>
              <w:t xml:space="preserve"> </w:t>
            </w:r>
            <w:r w:rsidRPr="001A7371">
              <w:rPr>
                <w:lang w:val="sr-Latn-ME"/>
              </w:rPr>
              <w:t>bilirubina</w:t>
            </w:r>
            <w:r w:rsidRPr="001A7371">
              <w:rPr>
                <w:spacing w:val="-52"/>
                <w:lang w:val="sr-Latn-ME"/>
              </w:rPr>
              <w:t xml:space="preserve"> </w:t>
            </w:r>
            <w:r w:rsidRPr="001A7371">
              <w:rPr>
                <w:lang w:val="sr-Latn-ME"/>
              </w:rPr>
              <w:t>porast</w:t>
            </w:r>
            <w:r w:rsidRPr="001A7371">
              <w:rPr>
                <w:spacing w:val="-4"/>
                <w:lang w:val="sr-Latn-ME"/>
              </w:rPr>
              <w:t xml:space="preserve"> </w:t>
            </w:r>
            <w:r w:rsidRPr="001A7371">
              <w:rPr>
                <w:lang w:val="sr-Latn-ME"/>
              </w:rPr>
              <w:t>kreatinina</w:t>
            </w:r>
            <w:r w:rsidRPr="001A7371">
              <w:rPr>
                <w:spacing w:val="-3"/>
                <w:lang w:val="sr-Latn-ME"/>
              </w:rPr>
              <w:t xml:space="preserve"> </w:t>
            </w:r>
            <w:r w:rsidRPr="001A7371">
              <w:rPr>
                <w:lang w:val="sr-Latn-ME"/>
              </w:rPr>
              <w:t>u</w:t>
            </w:r>
            <w:r w:rsidRPr="001A7371">
              <w:rPr>
                <w:spacing w:val="-4"/>
                <w:lang w:val="sr-Latn-ME"/>
              </w:rPr>
              <w:t xml:space="preserve"> </w:t>
            </w:r>
            <w:r w:rsidRPr="001A7371">
              <w:rPr>
                <w:lang w:val="sr-Latn-ME"/>
              </w:rPr>
              <w:t>krvi</w:t>
            </w:r>
          </w:p>
        </w:tc>
      </w:tr>
    </w:tbl>
    <w:p w14:paraId="5DEBCB9B" w14:textId="0B09B8A7" w:rsidR="001E6EBD" w:rsidRPr="001A7371" w:rsidRDefault="00926831" w:rsidP="00926831">
      <w:pPr>
        <w:spacing w:line="276" w:lineRule="auto"/>
        <w:rPr>
          <w:rFonts w:eastAsia="Calibri"/>
          <w:sz w:val="22"/>
          <w:szCs w:val="22"/>
          <w:lang w:val="sr-Latn-ME"/>
        </w:rPr>
      </w:pPr>
      <w:r w:rsidRPr="001A7371">
        <w:rPr>
          <w:rFonts w:eastAsia="Calibri"/>
          <w:sz w:val="22"/>
          <w:szCs w:val="22"/>
          <w:lang w:val="sr-Latn-ME"/>
        </w:rPr>
        <w:t>*</w:t>
      </w:r>
      <w:r w:rsidRPr="001A7371">
        <w:rPr>
          <w:lang w:val="sr-Latn-ME"/>
        </w:rPr>
        <w:t xml:space="preserve">: </w:t>
      </w:r>
      <w:r w:rsidRPr="001A7371">
        <w:rPr>
          <w:rFonts w:eastAsia="Calibri"/>
          <w:sz w:val="22"/>
          <w:szCs w:val="22"/>
          <w:lang w:val="sr-Latn-ME"/>
        </w:rPr>
        <w:t xml:space="preserve">prema </w:t>
      </w:r>
      <w:r w:rsidR="001A2A73" w:rsidRPr="001A7371">
        <w:rPr>
          <w:rFonts w:eastAsia="Calibri"/>
          <w:sz w:val="22"/>
          <w:szCs w:val="22"/>
          <w:lang w:val="sr-Latn-ME"/>
        </w:rPr>
        <w:t>prijavama</w:t>
      </w:r>
      <w:r w:rsidRPr="001A7371">
        <w:rPr>
          <w:rFonts w:eastAsia="Calibri"/>
          <w:sz w:val="22"/>
          <w:szCs w:val="22"/>
          <w:lang w:val="sr-Latn-ME"/>
        </w:rPr>
        <w:t xml:space="preserve"> iz postmarketinškog praćenja</w:t>
      </w:r>
    </w:p>
    <w:p w14:paraId="1CD62B92" w14:textId="0EFD966B" w:rsidR="00926831" w:rsidRPr="001A7371" w:rsidRDefault="00926831" w:rsidP="004F5E63">
      <w:pPr>
        <w:spacing w:line="276" w:lineRule="auto"/>
        <w:rPr>
          <w:rFonts w:eastAsia="Calibri"/>
          <w:sz w:val="22"/>
          <w:szCs w:val="22"/>
          <w:lang w:val="sr-Latn-ME"/>
        </w:rPr>
      </w:pPr>
      <w:r w:rsidRPr="001A7371">
        <w:rPr>
          <w:rFonts w:eastAsia="Calibri"/>
          <w:sz w:val="22"/>
          <w:szCs w:val="22"/>
          <w:lang w:val="sr-Latn-ME"/>
        </w:rPr>
        <w:t>**:</w:t>
      </w:r>
      <w:r w:rsidRPr="001A7371">
        <w:rPr>
          <w:lang w:val="sr-Latn-ME"/>
        </w:rPr>
        <w:t xml:space="preserve"> </w:t>
      </w:r>
      <w:r w:rsidRPr="001A7371">
        <w:rPr>
          <w:rFonts w:eastAsia="Calibri"/>
          <w:sz w:val="22"/>
          <w:szCs w:val="22"/>
          <w:lang w:val="sr-Latn-ME"/>
        </w:rPr>
        <w:t>mogu da se zadrže i nakon 6 mjeseci od prekida primjene paklitaksela</w:t>
      </w:r>
    </w:p>
    <w:p w14:paraId="7E022F77" w14:textId="77777777" w:rsidR="00BD456C" w:rsidRPr="001A7371" w:rsidRDefault="00BD456C" w:rsidP="0087116F">
      <w:pPr>
        <w:spacing w:after="200" w:line="276" w:lineRule="auto"/>
        <w:jc w:val="both"/>
        <w:rPr>
          <w:rFonts w:eastAsia="Calibri"/>
          <w:sz w:val="22"/>
          <w:szCs w:val="22"/>
          <w:lang w:val="sr-Latn-ME"/>
        </w:rPr>
      </w:pPr>
    </w:p>
    <w:p w14:paraId="5F523F94" w14:textId="4C449482" w:rsidR="0087116F" w:rsidRPr="001A7371" w:rsidRDefault="00926831" w:rsidP="0087116F">
      <w:pPr>
        <w:spacing w:after="200" w:line="276" w:lineRule="auto"/>
        <w:jc w:val="both"/>
        <w:rPr>
          <w:rFonts w:eastAsia="Calibri"/>
          <w:sz w:val="22"/>
          <w:szCs w:val="22"/>
          <w:lang w:val="sr-Latn-ME"/>
        </w:rPr>
      </w:pPr>
      <w:r w:rsidRPr="001A7371">
        <w:rPr>
          <w:rFonts w:eastAsia="Calibri"/>
          <w:sz w:val="22"/>
          <w:szCs w:val="22"/>
          <w:lang w:val="sr-Latn-ME"/>
        </w:rPr>
        <w:t>Pacijentkinje sa karcinomom dojke koje primaju paklitaksel u adjuvantnom liječenju posle AC liječenja imaju veću učestalost neurosenzorne toksičnosti, reakcija preosjetljivosti, artralgija/mijalgija, anemije, infekcija, groznice, mučnine/povraćanja i proliva u odnosu na pacijentkinje koje primaju samo AC. Ipak, učestalost ovih neželjenih događaja odgovara učestalosti neželjenjih dejstava kod primjene monoterapije paklitakselom, a koje su navedene ranije.</w:t>
      </w:r>
    </w:p>
    <w:p w14:paraId="715DEBCD" w14:textId="77777777" w:rsidR="00926831" w:rsidRPr="001A7371" w:rsidRDefault="00926831" w:rsidP="00926831">
      <w:pPr>
        <w:spacing w:after="200" w:line="276" w:lineRule="auto"/>
        <w:jc w:val="both"/>
        <w:rPr>
          <w:rFonts w:eastAsia="Calibri"/>
          <w:b/>
          <w:sz w:val="22"/>
          <w:szCs w:val="22"/>
          <w:lang w:val="sr-Latn-ME"/>
        </w:rPr>
      </w:pPr>
      <w:r w:rsidRPr="001A7371">
        <w:rPr>
          <w:rFonts w:eastAsia="Calibri"/>
          <w:b/>
          <w:sz w:val="22"/>
          <w:szCs w:val="22"/>
          <w:lang w:val="sr-Latn-ME"/>
        </w:rPr>
        <w:t>Kombinovana terapija</w:t>
      </w:r>
    </w:p>
    <w:p w14:paraId="3B2C0BE9" w14:textId="31803FBE" w:rsidR="00926831" w:rsidRPr="001A7371" w:rsidRDefault="00926831" w:rsidP="00926831">
      <w:pPr>
        <w:spacing w:after="200" w:line="276" w:lineRule="auto"/>
        <w:jc w:val="both"/>
        <w:rPr>
          <w:rFonts w:eastAsia="Calibri"/>
          <w:sz w:val="22"/>
          <w:szCs w:val="22"/>
          <w:lang w:val="sr-Latn-ME"/>
        </w:rPr>
      </w:pPr>
      <w:r w:rsidRPr="001A7371">
        <w:rPr>
          <w:rFonts w:eastAsia="Calibri"/>
          <w:sz w:val="22"/>
          <w:szCs w:val="22"/>
          <w:lang w:val="sr-Latn-ME"/>
        </w:rPr>
        <w:t>Sl</w:t>
      </w:r>
      <w:r w:rsidR="002362BA" w:rsidRPr="001A7371">
        <w:rPr>
          <w:rFonts w:eastAsia="Calibri"/>
          <w:sz w:val="22"/>
          <w:szCs w:val="22"/>
          <w:lang w:val="sr-Latn-ME"/>
        </w:rPr>
        <w:t>jedeće informacije odnose</w:t>
      </w:r>
      <w:r w:rsidRPr="001A7371">
        <w:rPr>
          <w:rFonts w:eastAsia="Calibri"/>
          <w:sz w:val="22"/>
          <w:szCs w:val="22"/>
          <w:lang w:val="sr-Latn-ME"/>
        </w:rPr>
        <w:t xml:space="preserve"> se na velike studije u kojima je ispitivana prva linija hemioterapije kod karcinoma jajnika (paklitaksel + cisplatin: više od 1050 pacijenat</w:t>
      </w:r>
      <w:r w:rsidR="001A2A73" w:rsidRPr="001A7371">
        <w:rPr>
          <w:rFonts w:eastAsia="Calibri"/>
          <w:sz w:val="22"/>
          <w:szCs w:val="22"/>
          <w:lang w:val="sr-Latn-ME"/>
        </w:rPr>
        <w:t>kinja</w:t>
      </w:r>
      <w:r w:rsidRPr="001A7371">
        <w:rPr>
          <w:rFonts w:eastAsia="Calibri"/>
          <w:sz w:val="22"/>
          <w:szCs w:val="22"/>
          <w:lang w:val="sr-Latn-ME"/>
        </w:rPr>
        <w:t>); dvije studije faze III kao prva linija  liječenja metastatskog karcinoma dojke: jedna je ispitivala kombinaciju sa doksorubicinom (paklitaksel+doksorubicin: 267 pacijenata) dok je u drugoj ispitivana kombinacija sa trastuzumabom (planiranom analizom podgrupe paklitaksel+trastuzumab: 188 pacijenata) i dvije studije faze III sa liječenjem uznapredovalog NSCLC (paklitaksel +cisplatin: više od 360 pacijenata) (vidjeti dio 5.1).</w:t>
      </w:r>
    </w:p>
    <w:p w14:paraId="23D1CDFA" w14:textId="77777777" w:rsidR="002362BA" w:rsidRPr="001A7371" w:rsidRDefault="002362BA" w:rsidP="002362BA">
      <w:pPr>
        <w:spacing w:after="200" w:line="276" w:lineRule="auto"/>
        <w:jc w:val="both"/>
        <w:rPr>
          <w:rFonts w:eastAsia="Calibri"/>
          <w:sz w:val="22"/>
          <w:szCs w:val="22"/>
          <w:lang w:val="sr-Latn-ME"/>
        </w:rPr>
      </w:pPr>
      <w:r w:rsidRPr="001A7371">
        <w:rPr>
          <w:rFonts w:eastAsia="Calibri"/>
          <w:sz w:val="22"/>
          <w:szCs w:val="22"/>
          <w:lang w:val="sr-Latn-ME"/>
        </w:rPr>
        <w:t>Kada se daje kao tročasovna infuzija u prvoj liniji hemioterapije karcinoma jajnika, neurotoksičnost, artralgija/mialgija i preosjetljivost zabilježene su kao učestalije i teže kod pacijentkinja koje su l</w:t>
      </w:r>
      <w:r w:rsidR="001A2A73" w:rsidRPr="001A7371">
        <w:rPr>
          <w:rFonts w:eastAsia="Calibri"/>
          <w:sz w:val="22"/>
          <w:szCs w:val="22"/>
          <w:lang w:val="sr-Latn-ME"/>
        </w:rPr>
        <w:t>ij</w:t>
      </w:r>
      <w:r w:rsidRPr="001A7371">
        <w:rPr>
          <w:rFonts w:eastAsia="Calibri"/>
          <w:sz w:val="22"/>
          <w:szCs w:val="22"/>
          <w:lang w:val="sr-Latn-ME"/>
        </w:rPr>
        <w:t>ečene paklitakselom posle koje</w:t>
      </w:r>
      <w:r w:rsidR="001A2A73" w:rsidRPr="001A7371">
        <w:rPr>
          <w:rFonts w:eastAsia="Calibri"/>
          <w:sz w:val="22"/>
          <w:szCs w:val="22"/>
          <w:lang w:val="sr-Latn-ME"/>
        </w:rPr>
        <w:t>g</w:t>
      </w:r>
      <w:r w:rsidRPr="001A7371">
        <w:rPr>
          <w:rFonts w:eastAsia="Calibri"/>
          <w:sz w:val="22"/>
          <w:szCs w:val="22"/>
          <w:lang w:val="sr-Latn-ME"/>
        </w:rPr>
        <w:t xml:space="preserve"> je primjenjena terapija cisplatinom, nego kod pacijetkinja koje su lečene ciklofosfamidom nakon koje je primjenjena terapija cisplatinom. Izgleda da je mijelosupresija bila manje učestala i blaža kod tročasovne infuzije paklitaksela, nakon koga slijedi cisplatin, u poređenju sa ciklofosfamidom, nakon koga slijedi cisplatin.</w:t>
      </w:r>
    </w:p>
    <w:p w14:paraId="42D7AB9D" w14:textId="77777777" w:rsidR="002362BA" w:rsidRPr="001A7371" w:rsidRDefault="002362BA" w:rsidP="002362BA">
      <w:pPr>
        <w:spacing w:after="200" w:line="276" w:lineRule="auto"/>
        <w:jc w:val="both"/>
        <w:rPr>
          <w:rFonts w:eastAsia="Calibri"/>
          <w:sz w:val="22"/>
          <w:szCs w:val="22"/>
          <w:lang w:val="sr-Latn-ME"/>
        </w:rPr>
      </w:pPr>
      <w:r w:rsidRPr="001A7371">
        <w:rPr>
          <w:rFonts w:eastAsia="Calibri"/>
          <w:sz w:val="22"/>
          <w:szCs w:val="22"/>
          <w:lang w:val="sr-Latn-ME"/>
        </w:rPr>
        <w:t>Prilikom primjene paklitaksela (220 mg/m</w:t>
      </w:r>
      <w:r w:rsidRPr="001A7371">
        <w:rPr>
          <w:rFonts w:eastAsia="Calibri"/>
          <w:sz w:val="22"/>
          <w:szCs w:val="22"/>
          <w:vertAlign w:val="superscript"/>
          <w:lang w:val="sr-Latn-ME"/>
        </w:rPr>
        <w:t>2</w:t>
      </w:r>
      <w:r w:rsidRPr="001A7371">
        <w:rPr>
          <w:rFonts w:eastAsia="Calibri"/>
          <w:sz w:val="22"/>
          <w:szCs w:val="22"/>
          <w:lang w:val="sr-Latn-ME"/>
        </w:rPr>
        <w:t>) kao tročasovne infuzije 24 sata posle doksorubicina (50 mg/m</w:t>
      </w:r>
      <w:r w:rsidRPr="001A7371">
        <w:rPr>
          <w:rFonts w:eastAsia="Calibri"/>
          <w:sz w:val="22"/>
          <w:szCs w:val="22"/>
          <w:vertAlign w:val="superscript"/>
          <w:lang w:val="sr-Latn-ME"/>
        </w:rPr>
        <w:t>2</w:t>
      </w:r>
      <w:r w:rsidRPr="001A7371">
        <w:rPr>
          <w:rFonts w:eastAsia="Calibri"/>
          <w:sz w:val="22"/>
          <w:szCs w:val="22"/>
          <w:lang w:val="sr-Latn-ME"/>
        </w:rPr>
        <w:t>) u prvoj liniji liječenja metastatskog karcinoma dojke, češće i u većoj mjeri su zapaženi neutropenija, anemija, periferna neuropatija, artralgija/mijalgija, astenija, povišena temperatura i proliv, u poređenju sa standardnim FAC liječenjem (5-FU 500 mg/m</w:t>
      </w:r>
      <w:r w:rsidRPr="001A7371">
        <w:rPr>
          <w:rFonts w:eastAsia="Calibri"/>
          <w:sz w:val="22"/>
          <w:szCs w:val="22"/>
          <w:vertAlign w:val="superscript"/>
          <w:lang w:val="sr-Latn-ME"/>
        </w:rPr>
        <w:t>2</w:t>
      </w:r>
      <w:r w:rsidRPr="001A7371">
        <w:rPr>
          <w:rFonts w:eastAsia="Calibri"/>
          <w:sz w:val="22"/>
          <w:szCs w:val="22"/>
          <w:lang w:val="sr-Latn-ME"/>
        </w:rPr>
        <w:t>, doksorubicin 50 mg/m</w:t>
      </w:r>
      <w:r w:rsidRPr="001A7371">
        <w:rPr>
          <w:rFonts w:eastAsia="Calibri"/>
          <w:sz w:val="22"/>
          <w:szCs w:val="22"/>
          <w:vertAlign w:val="superscript"/>
          <w:lang w:val="sr-Latn-ME"/>
        </w:rPr>
        <w:t>2</w:t>
      </w:r>
      <w:r w:rsidRPr="001A7371">
        <w:rPr>
          <w:rFonts w:eastAsia="Calibri"/>
          <w:sz w:val="22"/>
          <w:szCs w:val="22"/>
          <w:lang w:val="sr-Latn-ME"/>
        </w:rPr>
        <w:t>, ciklofosfamid 500 mg/m</w:t>
      </w:r>
      <w:r w:rsidRPr="001A7371">
        <w:rPr>
          <w:rFonts w:eastAsia="Calibri"/>
          <w:sz w:val="22"/>
          <w:szCs w:val="22"/>
          <w:vertAlign w:val="superscript"/>
          <w:lang w:val="sr-Latn-ME"/>
        </w:rPr>
        <w:t>2</w:t>
      </w:r>
      <w:r w:rsidRPr="001A7371">
        <w:rPr>
          <w:rFonts w:eastAsia="Calibri"/>
          <w:sz w:val="22"/>
          <w:szCs w:val="22"/>
          <w:lang w:val="sr-Latn-ME"/>
        </w:rPr>
        <w:t>). Izgleda da su mučnina i povraćanje rjeđi i blaži kod šeme</w:t>
      </w:r>
      <w:r w:rsidR="001A2A73" w:rsidRPr="001A7371">
        <w:rPr>
          <w:rFonts w:eastAsia="Calibri"/>
          <w:sz w:val="22"/>
          <w:szCs w:val="22"/>
          <w:lang w:val="sr-Latn-ME"/>
        </w:rPr>
        <w:t xml:space="preserve"> liječenja</w:t>
      </w:r>
      <w:r w:rsidRPr="001A7371">
        <w:rPr>
          <w:rFonts w:eastAsia="Calibri"/>
          <w:sz w:val="22"/>
          <w:szCs w:val="22"/>
          <w:lang w:val="sr-Latn-ME"/>
        </w:rPr>
        <w:t xml:space="preserve"> sa paklitakselom (220 mg/m</w:t>
      </w:r>
      <w:r w:rsidRPr="001A7371">
        <w:rPr>
          <w:rFonts w:eastAsia="Calibri"/>
          <w:sz w:val="22"/>
          <w:szCs w:val="22"/>
          <w:vertAlign w:val="superscript"/>
          <w:lang w:val="sr-Latn-ME"/>
        </w:rPr>
        <w:t>2</w:t>
      </w:r>
      <w:r w:rsidRPr="001A7371">
        <w:rPr>
          <w:rFonts w:eastAsia="Calibri"/>
          <w:sz w:val="22"/>
          <w:szCs w:val="22"/>
          <w:lang w:val="sr-Latn-ME"/>
        </w:rPr>
        <w:t>)/doksorubicinom (50 mg/m</w:t>
      </w:r>
      <w:r w:rsidRPr="001A7371">
        <w:rPr>
          <w:rFonts w:eastAsia="Calibri"/>
          <w:sz w:val="22"/>
          <w:szCs w:val="22"/>
          <w:vertAlign w:val="superscript"/>
          <w:lang w:val="sr-Latn-ME"/>
        </w:rPr>
        <w:t>2</w:t>
      </w:r>
      <w:r w:rsidRPr="001A7371">
        <w:rPr>
          <w:rFonts w:eastAsia="Calibri"/>
          <w:sz w:val="22"/>
          <w:szCs w:val="22"/>
          <w:lang w:val="sr-Latn-ME"/>
        </w:rPr>
        <w:t>) u poređenju sa  standardnom FAC šemom. Moguće je da je primjena kortikosteroida doprinijela manjoj učestalosti i težini mučnine i povraćanja u grupi pacijenata koja je dobijala paklitaksel/doksorubicin.</w:t>
      </w:r>
    </w:p>
    <w:p w14:paraId="66DF7DED" w14:textId="2C1575F0" w:rsidR="002362BA" w:rsidRPr="001A7371" w:rsidRDefault="002362BA" w:rsidP="002362BA">
      <w:pPr>
        <w:spacing w:after="200" w:line="276" w:lineRule="auto"/>
        <w:jc w:val="both"/>
        <w:rPr>
          <w:rFonts w:eastAsia="Calibri"/>
          <w:sz w:val="22"/>
          <w:szCs w:val="22"/>
          <w:lang w:val="sr-Latn-ME"/>
        </w:rPr>
      </w:pPr>
      <w:r w:rsidRPr="001A7371">
        <w:rPr>
          <w:rFonts w:eastAsia="Calibri"/>
          <w:sz w:val="22"/>
          <w:szCs w:val="22"/>
          <w:lang w:val="sr-Latn-ME"/>
        </w:rPr>
        <w:t>Kada je paklitaksel primjenjivan u vidu tročasovne infuzije u kombinaciji sa trastuzumabom u prvoj liniji terapije pacijentkinja sa metastatskim karcinomom dojke, sljedeći događaji (bez obzira na vezu sa paklitakselom ili trastuzumabom) prijavljivani su češće nego kod monoterapije paklitakselom: srčana insuficijencija (8% prema 1%), infekcija (46% prema 27%), jeza (42% prema 4%), groznica (47% prema 23%), kašalj (42% prema 22%), osip (39% prema 18%), a</w:t>
      </w:r>
      <w:r w:rsidR="00240E30" w:rsidRPr="001A7371">
        <w:rPr>
          <w:rFonts w:eastAsia="Calibri"/>
          <w:sz w:val="22"/>
          <w:szCs w:val="22"/>
          <w:lang w:val="sr-Latn-ME"/>
        </w:rPr>
        <w:t>r</w:t>
      </w:r>
      <w:r w:rsidRPr="001A7371">
        <w:rPr>
          <w:rFonts w:eastAsia="Calibri"/>
          <w:sz w:val="22"/>
          <w:szCs w:val="22"/>
          <w:lang w:val="sr-Latn-ME"/>
        </w:rPr>
        <w:t xml:space="preserve">tralgija (37% prema 21%), tahikardija (12% prema 4%), dijareja (45% prema 30%), hipertonija (11% prema 3%), epistaksa (18% prema 4%), </w:t>
      </w:r>
      <w:r w:rsidRPr="001A7371">
        <w:rPr>
          <w:rFonts w:eastAsia="Calibri"/>
          <w:sz w:val="22"/>
          <w:szCs w:val="22"/>
          <w:lang w:val="sr-Latn-ME"/>
        </w:rPr>
        <w:lastRenderedPageBreak/>
        <w:t xml:space="preserve">akne (11% prema 3%), herpes simplex (12% prema 3%), slučajna ozleda (13% prema 3%), nesanica (25% prema 13%), rinitis (22% prema 5%), sinuzitis (21% prema 7%) i reakcija na mjestu davanja injekcije (7% prema 1%). </w:t>
      </w:r>
      <w:r w:rsidR="00240E30" w:rsidRPr="001A7371">
        <w:rPr>
          <w:rFonts w:eastAsia="Calibri"/>
          <w:sz w:val="22"/>
          <w:szCs w:val="22"/>
          <w:lang w:val="sr-Latn-ME"/>
        </w:rPr>
        <w:t xml:space="preserve">Neke </w:t>
      </w:r>
      <w:r w:rsidRPr="001A7371">
        <w:rPr>
          <w:rFonts w:eastAsia="Calibri"/>
          <w:sz w:val="22"/>
          <w:szCs w:val="22"/>
          <w:lang w:val="sr-Latn-ME"/>
        </w:rPr>
        <w:t>od ovih razlika u učestalosti mogu biti posljedica povećanog broja i trajanja terapija kombinacijom paklitaksel/trastuzumab nasuprot monoterapije paklitakselom. Teški neželjeni</w:t>
      </w:r>
      <w:r w:rsidR="00240E30" w:rsidRPr="001A7371">
        <w:rPr>
          <w:rFonts w:eastAsia="Calibri"/>
          <w:sz w:val="22"/>
          <w:szCs w:val="22"/>
          <w:lang w:val="sr-Latn-ME"/>
        </w:rPr>
        <w:t xml:space="preserve"> događaji</w:t>
      </w:r>
      <w:r w:rsidRPr="001A7371">
        <w:rPr>
          <w:rFonts w:eastAsia="Calibri"/>
          <w:sz w:val="22"/>
          <w:szCs w:val="22"/>
          <w:lang w:val="sr-Latn-ME"/>
        </w:rPr>
        <w:t xml:space="preserve"> su prijavljeni u </w:t>
      </w:r>
      <w:r w:rsidR="00240E30" w:rsidRPr="001A7371">
        <w:rPr>
          <w:rFonts w:eastAsia="Calibri"/>
          <w:sz w:val="22"/>
          <w:szCs w:val="22"/>
          <w:lang w:val="sr-Latn-ME"/>
        </w:rPr>
        <w:t xml:space="preserve">sličnom </w:t>
      </w:r>
      <w:r w:rsidRPr="001A7371">
        <w:rPr>
          <w:rFonts w:eastAsia="Calibri"/>
          <w:sz w:val="22"/>
          <w:szCs w:val="22"/>
          <w:lang w:val="sr-Latn-ME"/>
        </w:rPr>
        <w:t>procentu kod kombinacije paklitaksel/trastuzumab i monoterapije paklitakselom.</w:t>
      </w:r>
    </w:p>
    <w:p w14:paraId="26EEC969" w14:textId="77777777" w:rsidR="002362BA" w:rsidRPr="001A7371" w:rsidRDefault="002362BA" w:rsidP="002362BA">
      <w:pPr>
        <w:spacing w:after="200" w:line="276" w:lineRule="auto"/>
        <w:jc w:val="both"/>
        <w:rPr>
          <w:rFonts w:eastAsia="Calibri"/>
          <w:sz w:val="22"/>
          <w:szCs w:val="22"/>
          <w:lang w:val="sr-Latn-ME"/>
        </w:rPr>
      </w:pPr>
      <w:r w:rsidRPr="001A7371">
        <w:rPr>
          <w:rFonts w:eastAsia="Calibri"/>
          <w:sz w:val="22"/>
          <w:szCs w:val="22"/>
          <w:lang w:val="sr-Latn-ME"/>
        </w:rPr>
        <w:t xml:space="preserve">Kada je doksorubicin primjenjivan u kombinaciji sa paklitakselom kod metastatskog karcinoma dojke, </w:t>
      </w:r>
      <w:r w:rsidRPr="001A7371">
        <w:rPr>
          <w:rFonts w:eastAsia="Calibri"/>
          <w:b/>
          <w:sz w:val="22"/>
          <w:szCs w:val="22"/>
          <w:lang w:val="sr-Latn-ME"/>
        </w:rPr>
        <w:t>poremećaj kontraktilnosti srca</w:t>
      </w:r>
      <w:r w:rsidRPr="001A7371">
        <w:rPr>
          <w:rFonts w:eastAsia="Calibri"/>
          <w:sz w:val="22"/>
          <w:szCs w:val="22"/>
          <w:lang w:val="sr-Latn-ME"/>
        </w:rPr>
        <w:t xml:space="preserve"> (≥20% smanjenje ejekcione frakcije lijeve komore) su primijećene kod 15% pacijenata nasuprot 10% kod standardnog FAC režima. </w:t>
      </w:r>
      <w:r w:rsidRPr="001A7371">
        <w:rPr>
          <w:rFonts w:eastAsia="Calibri"/>
          <w:b/>
          <w:sz w:val="22"/>
          <w:szCs w:val="22"/>
          <w:lang w:val="sr-Latn-ME"/>
        </w:rPr>
        <w:t>Kongestivna srčana insuficijencija</w:t>
      </w:r>
      <w:r w:rsidRPr="001A7371">
        <w:rPr>
          <w:rFonts w:eastAsia="Calibri"/>
          <w:sz w:val="22"/>
          <w:szCs w:val="22"/>
          <w:lang w:val="sr-Latn-ME"/>
        </w:rPr>
        <w:t xml:space="preserve"> je primijećena kod &lt;1% i kod grupe koja je dobijala paklitaksel/doksorubicin i kod grupe koja je dobijala standardnu FAC terapiju. Primjena trastuzumaba u kombinaciji sa paklitakselom kod pacijenata koji su prethodno liječeni antraciklinima dovela je do povećane učestalosti i težine poremećaja srčane funkcije u odnosu na pacijente  liječene paklitakselom u vidu monoterapije (NYHA klasifikacija I/II 10% prema 0%; NYHA klasifikacija III/IV 2% prema 1%) i rijetko je bila udružena sa smrtnim ishodom (vidjeti Sažetak karakteristika lijeka za trastuzumab). U svim ovim, ali rijetkim, slučajevima, pacijentkinje su reagovale na odgovarajuću medicinsku terapiju.</w:t>
      </w:r>
    </w:p>
    <w:p w14:paraId="31B19298" w14:textId="77777777" w:rsidR="002362BA" w:rsidRPr="001A7371" w:rsidRDefault="002362BA" w:rsidP="002362BA">
      <w:pPr>
        <w:spacing w:after="200" w:line="276" w:lineRule="auto"/>
        <w:jc w:val="both"/>
        <w:rPr>
          <w:rFonts w:eastAsia="Calibri"/>
          <w:sz w:val="22"/>
          <w:szCs w:val="22"/>
          <w:lang w:val="sr-Latn-ME"/>
        </w:rPr>
      </w:pPr>
      <w:r w:rsidRPr="001A7371">
        <w:rPr>
          <w:rFonts w:eastAsia="Calibri"/>
          <w:b/>
          <w:sz w:val="22"/>
          <w:szCs w:val="22"/>
          <w:lang w:val="sr-Latn-ME"/>
        </w:rPr>
        <w:t>Radijacioni pneumonitis</w:t>
      </w:r>
      <w:r w:rsidRPr="001A7371">
        <w:rPr>
          <w:rFonts w:eastAsia="Calibri"/>
          <w:sz w:val="22"/>
          <w:szCs w:val="22"/>
          <w:lang w:val="sr-Latn-ME"/>
        </w:rPr>
        <w:t xml:space="preserve"> je prijavljen kod pacijentkinja koje su istovremeno primale radioterapiju.</w:t>
      </w:r>
    </w:p>
    <w:p w14:paraId="045195B5" w14:textId="77777777" w:rsidR="002362BA" w:rsidRPr="001A7371" w:rsidRDefault="002362BA" w:rsidP="002362BA">
      <w:pPr>
        <w:spacing w:after="200" w:line="276" w:lineRule="auto"/>
        <w:jc w:val="both"/>
        <w:rPr>
          <w:rFonts w:eastAsia="Calibri"/>
          <w:b/>
          <w:sz w:val="22"/>
          <w:szCs w:val="22"/>
          <w:lang w:val="sr-Latn-ME"/>
        </w:rPr>
      </w:pPr>
      <w:r w:rsidRPr="001A7371">
        <w:rPr>
          <w:rFonts w:eastAsia="Calibri"/>
          <w:b/>
          <w:sz w:val="22"/>
          <w:szCs w:val="22"/>
          <w:lang w:val="sr-Latn-ME"/>
        </w:rPr>
        <w:t>Kapoši sarkom povezan sa AIDS-om</w:t>
      </w:r>
    </w:p>
    <w:p w14:paraId="48E8F4FB" w14:textId="7A2C26A9" w:rsidR="002362BA" w:rsidRPr="001A7371" w:rsidRDefault="002362BA" w:rsidP="002362BA">
      <w:pPr>
        <w:spacing w:after="200" w:line="276" w:lineRule="auto"/>
        <w:jc w:val="both"/>
        <w:rPr>
          <w:rFonts w:eastAsia="Calibri"/>
          <w:sz w:val="22"/>
          <w:szCs w:val="22"/>
          <w:lang w:val="sr-Latn-ME"/>
        </w:rPr>
      </w:pPr>
      <w:r w:rsidRPr="001A7371">
        <w:rPr>
          <w:rFonts w:eastAsia="Calibri"/>
          <w:sz w:val="22"/>
          <w:szCs w:val="22"/>
          <w:lang w:val="sr-Latn-ME"/>
        </w:rPr>
        <w:t xml:space="preserve">Osim kod hematoloških i hepatičkih neželjenih </w:t>
      </w:r>
      <w:r w:rsidR="00240E30" w:rsidRPr="001A7371">
        <w:rPr>
          <w:rFonts w:eastAsia="Calibri"/>
          <w:sz w:val="22"/>
          <w:szCs w:val="22"/>
          <w:lang w:val="sr-Latn-ME"/>
        </w:rPr>
        <w:t>dejstava</w:t>
      </w:r>
      <w:r w:rsidRPr="001A7371">
        <w:rPr>
          <w:rFonts w:eastAsia="Calibri"/>
          <w:sz w:val="22"/>
          <w:szCs w:val="22"/>
          <w:lang w:val="sr-Latn-ME"/>
        </w:rPr>
        <w:t xml:space="preserve"> (vidjeti u daljem tekstu), učestalost i težina neželjenih </w:t>
      </w:r>
      <w:r w:rsidR="00240E30" w:rsidRPr="001A7371">
        <w:rPr>
          <w:rFonts w:eastAsia="Calibri"/>
          <w:sz w:val="22"/>
          <w:szCs w:val="22"/>
          <w:lang w:val="sr-Latn-ME"/>
        </w:rPr>
        <w:t>dejstava</w:t>
      </w:r>
      <w:r w:rsidRPr="001A7371">
        <w:rPr>
          <w:rFonts w:eastAsia="Calibri"/>
          <w:sz w:val="22"/>
          <w:szCs w:val="22"/>
          <w:lang w:val="sr-Latn-ME"/>
        </w:rPr>
        <w:t xml:space="preserve"> je generalno slična kod pacijenata sa KS i pacijenata sa solidnim tumorima liječenih monoterapijom paklitaksela. Podaci se baziraju na kliničkom ispitivanju u kojem je bilo uključeno 107 pacijenata.</w:t>
      </w:r>
    </w:p>
    <w:p w14:paraId="2C0B0BD0" w14:textId="160A9642" w:rsidR="00926831" w:rsidRPr="001A7371" w:rsidRDefault="002362BA" w:rsidP="002362BA">
      <w:pPr>
        <w:spacing w:after="200" w:line="276" w:lineRule="auto"/>
        <w:jc w:val="both"/>
        <w:rPr>
          <w:rFonts w:eastAsia="Calibri"/>
          <w:sz w:val="22"/>
          <w:szCs w:val="22"/>
          <w:lang w:val="sr-Latn-ME"/>
        </w:rPr>
      </w:pPr>
      <w:r w:rsidRPr="001A7371">
        <w:rPr>
          <w:rFonts w:eastAsia="Calibri"/>
          <w:b/>
          <w:sz w:val="22"/>
          <w:szCs w:val="22"/>
          <w:lang w:val="sr-Latn-ME"/>
        </w:rPr>
        <w:t>Poremećaji krvi i limfnog sistema:</w:t>
      </w:r>
      <w:r w:rsidRPr="001A7371">
        <w:rPr>
          <w:rFonts w:eastAsia="Calibri"/>
          <w:sz w:val="22"/>
          <w:szCs w:val="22"/>
          <w:lang w:val="sr-Latn-ME"/>
        </w:rPr>
        <w:t xml:space="preserve"> Supresija k</w:t>
      </w:r>
      <w:r w:rsidR="00240E30" w:rsidRPr="001A7371">
        <w:rPr>
          <w:rFonts w:eastAsia="Calibri"/>
          <w:sz w:val="22"/>
          <w:szCs w:val="22"/>
          <w:lang w:val="sr-Latn-ME"/>
        </w:rPr>
        <w:t>ostne</w:t>
      </w:r>
      <w:r w:rsidRPr="001A7371">
        <w:rPr>
          <w:rFonts w:eastAsia="Calibri"/>
          <w:sz w:val="22"/>
          <w:szCs w:val="22"/>
          <w:lang w:val="sr-Latn-ME"/>
        </w:rPr>
        <w:t xml:space="preserve"> srži je bila glavno dozno zavisno toksično dejstvo. Neutropenija je najznačajnija hematološka toksičnost. Teška neutropenija (&lt;</w:t>
      </w:r>
      <w:r w:rsidR="00240E30" w:rsidRPr="001A7371">
        <w:rPr>
          <w:rFonts w:eastAsia="Calibri"/>
          <w:sz w:val="22"/>
          <w:szCs w:val="22"/>
          <w:lang w:val="sr-Latn-ME"/>
        </w:rPr>
        <w:t>500 ćelija/mm</w:t>
      </w:r>
      <w:r w:rsidR="00240E30" w:rsidRPr="001A7371">
        <w:rPr>
          <w:rFonts w:eastAsia="Calibri"/>
          <w:sz w:val="22"/>
          <w:szCs w:val="22"/>
          <w:vertAlign w:val="superscript"/>
          <w:lang w:val="sr-Latn-ME"/>
        </w:rPr>
        <w:t>3</w:t>
      </w:r>
      <w:r w:rsidRPr="001A7371">
        <w:rPr>
          <w:rFonts w:eastAsia="Calibri"/>
          <w:sz w:val="22"/>
          <w:szCs w:val="22"/>
          <w:lang w:val="sr-Latn-ME"/>
        </w:rPr>
        <w:t>) se javila kod 20% pacijenata tokom prvog ciklusa terapije. Tokom cjelokupne terapije teška neutropenija je uočena kod 39% pacijenata. Neutropenija je bila prisutna &gt;7 dana kod 41% i 30-35 dana kod 8% pacijenata. Povukla se u roku od 35 dana kod svih pacijenata koji su praćeni. Incidenca neutropenije 4. stepena, koja traje ≥7 dana iznosila je 22%.</w:t>
      </w:r>
    </w:p>
    <w:p w14:paraId="3ED1011B" w14:textId="77777777" w:rsidR="002362BA" w:rsidRPr="001A7371" w:rsidRDefault="002362BA" w:rsidP="002362BA">
      <w:pPr>
        <w:spacing w:after="200" w:line="276" w:lineRule="auto"/>
        <w:jc w:val="both"/>
        <w:rPr>
          <w:rFonts w:eastAsia="Calibri"/>
          <w:sz w:val="22"/>
          <w:szCs w:val="22"/>
          <w:lang w:val="sr-Latn-ME"/>
        </w:rPr>
      </w:pPr>
      <w:r w:rsidRPr="001A7371">
        <w:rPr>
          <w:rFonts w:eastAsia="Calibri"/>
          <w:sz w:val="22"/>
          <w:szCs w:val="22"/>
          <w:lang w:val="sr-Latn-ME"/>
        </w:rPr>
        <w:t>Neutropenijska groznica povezana sa primjenom paklitaksela je prijavljena kod 14% pacijenata i u 1,3% ciklusa terapije. Zabilježene su 3 septičke epizode (2,8%) tokom primjene paklitaksela koje su bile povezane sa ovim lijekom, a koje su se pokazale kao fatalne.</w:t>
      </w:r>
    </w:p>
    <w:p w14:paraId="73243AC7" w14:textId="271C78F8" w:rsidR="002362BA" w:rsidRPr="001A7371" w:rsidRDefault="002362BA" w:rsidP="002362BA">
      <w:pPr>
        <w:spacing w:after="200" w:line="276" w:lineRule="auto"/>
        <w:jc w:val="both"/>
        <w:rPr>
          <w:rFonts w:eastAsia="Calibri"/>
          <w:sz w:val="22"/>
          <w:szCs w:val="22"/>
          <w:lang w:val="sr-Latn-ME"/>
        </w:rPr>
      </w:pPr>
      <w:r w:rsidRPr="001A7371">
        <w:rPr>
          <w:rFonts w:eastAsia="Calibri"/>
          <w:sz w:val="22"/>
          <w:szCs w:val="22"/>
          <w:lang w:val="sr-Latn-ME"/>
        </w:rPr>
        <w:t>Trombocitopenija je zabilježena kod 50% pacijenata i bila je teška (&lt;50</w:t>
      </w:r>
      <w:r w:rsidR="00240E30" w:rsidRPr="001A7371">
        <w:rPr>
          <w:rFonts w:eastAsia="Calibri"/>
          <w:sz w:val="22"/>
          <w:szCs w:val="22"/>
          <w:lang w:val="sr-Latn-ME"/>
        </w:rPr>
        <w:t>, 000 ćelija/mm</w:t>
      </w:r>
      <w:r w:rsidR="00240E30" w:rsidRPr="001A7371">
        <w:rPr>
          <w:rFonts w:eastAsia="Calibri"/>
          <w:sz w:val="22"/>
          <w:szCs w:val="22"/>
          <w:vertAlign w:val="superscript"/>
          <w:lang w:val="sr-Latn-ME"/>
        </w:rPr>
        <w:t>3</w:t>
      </w:r>
      <w:r w:rsidRPr="001A7371">
        <w:rPr>
          <w:rFonts w:eastAsia="Calibri"/>
          <w:sz w:val="22"/>
          <w:szCs w:val="22"/>
          <w:lang w:val="sr-Latn-ME"/>
        </w:rPr>
        <w:t>) kod 9% njih. Samo kod  14% se bar jednom u toku terapije javio pad broja trombocita &lt;75</w:t>
      </w:r>
      <w:r w:rsidR="00240E30" w:rsidRPr="001A7371">
        <w:rPr>
          <w:rFonts w:eastAsia="Calibri"/>
          <w:sz w:val="22"/>
          <w:szCs w:val="22"/>
          <w:lang w:val="sr-Latn-ME"/>
        </w:rPr>
        <w:t>,000 ćelija/mm</w:t>
      </w:r>
      <w:r w:rsidR="00240E30" w:rsidRPr="001A7371">
        <w:rPr>
          <w:rFonts w:eastAsia="Calibri"/>
          <w:sz w:val="22"/>
          <w:szCs w:val="22"/>
          <w:vertAlign w:val="superscript"/>
          <w:lang w:val="sr-Latn-ME"/>
        </w:rPr>
        <w:t>3</w:t>
      </w:r>
      <w:r w:rsidRPr="001A7371">
        <w:rPr>
          <w:rFonts w:eastAsia="Calibri"/>
          <w:sz w:val="22"/>
          <w:szCs w:val="22"/>
          <w:lang w:val="sr-Latn-ME"/>
        </w:rPr>
        <w:t>. Epizode krvarenja u vezi sa paklitakselom su prijavljene kod &lt; 3% pacijenata, ali su hemoragične epizode lokalizovane.</w:t>
      </w:r>
    </w:p>
    <w:p w14:paraId="4FEFD98E" w14:textId="0A598F20" w:rsidR="002362BA" w:rsidRPr="001A7371" w:rsidRDefault="00753D61" w:rsidP="002362BA">
      <w:pPr>
        <w:spacing w:after="200" w:line="276" w:lineRule="auto"/>
        <w:jc w:val="both"/>
        <w:rPr>
          <w:rFonts w:eastAsia="Calibri"/>
          <w:sz w:val="22"/>
          <w:szCs w:val="22"/>
          <w:lang w:val="sr-Latn-ME"/>
        </w:rPr>
      </w:pPr>
      <w:r w:rsidRPr="001A7371">
        <w:rPr>
          <w:rFonts w:eastAsia="Calibri"/>
          <w:sz w:val="22"/>
          <w:szCs w:val="22"/>
          <w:lang w:val="sr-Latn-ME"/>
        </w:rPr>
        <w:t>Anemija (Hb &lt; 11 g/dl</w:t>
      </w:r>
      <w:r w:rsidR="002362BA" w:rsidRPr="001A7371">
        <w:rPr>
          <w:rFonts w:eastAsia="Calibri"/>
          <w:sz w:val="22"/>
          <w:szCs w:val="22"/>
          <w:lang w:val="sr-Latn-ME"/>
        </w:rPr>
        <w:t>) je uočena kod 61% pacijen</w:t>
      </w:r>
      <w:r w:rsidRPr="001A7371">
        <w:rPr>
          <w:rFonts w:eastAsia="Calibri"/>
          <w:sz w:val="22"/>
          <w:szCs w:val="22"/>
          <w:lang w:val="sr-Latn-ME"/>
        </w:rPr>
        <w:t>ata i bila je teška (Hb &lt; 8 g/dl</w:t>
      </w:r>
      <w:r w:rsidR="002362BA" w:rsidRPr="001A7371">
        <w:rPr>
          <w:rFonts w:eastAsia="Calibri"/>
          <w:sz w:val="22"/>
          <w:szCs w:val="22"/>
          <w:lang w:val="sr-Latn-ME"/>
        </w:rPr>
        <w:t xml:space="preserve">) kod 10% njih. Transfuzija crvenih krvnih </w:t>
      </w:r>
      <w:r w:rsidR="00240E30" w:rsidRPr="001A7371">
        <w:rPr>
          <w:rFonts w:eastAsia="Calibri"/>
          <w:sz w:val="22"/>
          <w:szCs w:val="22"/>
          <w:lang w:val="sr-Latn-ME"/>
        </w:rPr>
        <w:t xml:space="preserve">ćelija </w:t>
      </w:r>
      <w:r w:rsidR="002362BA" w:rsidRPr="001A7371">
        <w:rPr>
          <w:rFonts w:eastAsia="Calibri"/>
          <w:sz w:val="22"/>
          <w:szCs w:val="22"/>
          <w:lang w:val="sr-Latn-ME"/>
        </w:rPr>
        <w:t>je bila potrebna kod 21% pacijenata.</w:t>
      </w:r>
    </w:p>
    <w:p w14:paraId="3F7A00C4" w14:textId="77777777" w:rsidR="002362BA" w:rsidRPr="001A7371" w:rsidRDefault="002362BA" w:rsidP="002362BA">
      <w:pPr>
        <w:spacing w:after="200" w:line="276" w:lineRule="auto"/>
        <w:jc w:val="both"/>
        <w:rPr>
          <w:rFonts w:eastAsia="Calibri"/>
          <w:sz w:val="22"/>
          <w:szCs w:val="22"/>
          <w:lang w:val="sr-Latn-ME"/>
        </w:rPr>
      </w:pPr>
      <w:r w:rsidRPr="001A7371">
        <w:rPr>
          <w:rFonts w:eastAsia="Calibri"/>
          <w:b/>
          <w:sz w:val="22"/>
          <w:szCs w:val="22"/>
          <w:lang w:val="sr-Latn-ME"/>
        </w:rPr>
        <w:lastRenderedPageBreak/>
        <w:t>Hepatobilijarni poremećaji:</w:t>
      </w:r>
      <w:r w:rsidRPr="001A7371">
        <w:rPr>
          <w:rFonts w:eastAsia="Calibri"/>
          <w:sz w:val="22"/>
          <w:szCs w:val="22"/>
          <w:lang w:val="sr-Latn-ME"/>
        </w:rPr>
        <w:t xml:space="preserve"> Od pacijenata (&gt; 50% na terapiji inhibitorima proteaze) sa normalnom početnom funkcijom jetre, 28% je imalo porast bilirubina, 43% porast alkalne fosfataze i 44% porast AST (SGOT). Za svaki od ovih parametara povećanja su bila ozbiljna u 1% slučajeva.</w:t>
      </w:r>
    </w:p>
    <w:p w14:paraId="467C336C" w14:textId="77777777" w:rsidR="005A23D2" w:rsidRPr="001A7371" w:rsidRDefault="005A23D2" w:rsidP="00A46C9A">
      <w:pPr>
        <w:spacing w:after="200" w:line="276" w:lineRule="auto"/>
        <w:rPr>
          <w:rFonts w:eastAsia="Calibri"/>
          <w:sz w:val="22"/>
          <w:szCs w:val="22"/>
          <w:u w:val="single"/>
          <w:lang w:val="sr-Latn-ME"/>
        </w:rPr>
      </w:pPr>
      <w:r w:rsidRPr="001A7371">
        <w:rPr>
          <w:rFonts w:eastAsia="Calibri"/>
          <w:sz w:val="22"/>
          <w:szCs w:val="22"/>
          <w:u w:val="single"/>
          <w:lang w:val="sr-Latn-ME"/>
        </w:rPr>
        <w:t>Prijavljivanje sumnji na neželjena dejstva</w:t>
      </w:r>
    </w:p>
    <w:p w14:paraId="25CD965F" w14:textId="77777777" w:rsidR="005A23D2" w:rsidRPr="001A7371" w:rsidRDefault="005A23D2" w:rsidP="00A46C9A">
      <w:pPr>
        <w:spacing w:after="200"/>
        <w:jc w:val="both"/>
        <w:rPr>
          <w:rFonts w:eastAsia="Calibri"/>
          <w:sz w:val="22"/>
          <w:szCs w:val="22"/>
          <w:lang w:val="sr-Latn-ME"/>
        </w:rPr>
      </w:pPr>
      <w:r w:rsidRPr="001A7371">
        <w:rPr>
          <w:rFonts w:eastAsia="Calibri"/>
          <w:sz w:val="22"/>
          <w:szCs w:val="22"/>
          <w:lang w:val="sr-Latn-ME"/>
        </w:rPr>
        <w:t>Prijavljivanje neželjenih dejstava nakon dobijanja dozvole je od velikog značaja jer obezbjeđuje kont</w:t>
      </w:r>
      <w:r w:rsidR="00EA5765" w:rsidRPr="001A7371">
        <w:rPr>
          <w:rFonts w:eastAsia="Calibri"/>
          <w:sz w:val="22"/>
          <w:szCs w:val="22"/>
          <w:lang w:val="sr-Latn-ME"/>
        </w:rPr>
        <w:t>inuirano praćenje odnosa korist</w:t>
      </w:r>
      <w:r w:rsidRPr="001A7371">
        <w:rPr>
          <w:rFonts w:eastAsia="Calibri"/>
          <w:sz w:val="22"/>
          <w:szCs w:val="22"/>
          <w:lang w:val="sr-Latn-ME"/>
        </w:rPr>
        <w:t>/rizik primjene lijeka. Zdravstveni radnici treba da prijave svaku sumnju na neželjeno</w:t>
      </w:r>
      <w:r w:rsidR="009B062A" w:rsidRPr="001A7371">
        <w:rPr>
          <w:rFonts w:eastAsia="Calibri"/>
          <w:sz w:val="22"/>
          <w:szCs w:val="22"/>
          <w:lang w:val="sr-Latn-ME"/>
        </w:rPr>
        <w:t xml:space="preserve"> </w:t>
      </w:r>
      <w:r w:rsidRPr="001A7371">
        <w:rPr>
          <w:rFonts w:eastAsia="Calibri"/>
          <w:sz w:val="22"/>
          <w:szCs w:val="22"/>
          <w:lang w:val="sr-Latn-ME"/>
        </w:rPr>
        <w:t xml:space="preserve">dejstvo ovog lijeka </w:t>
      </w:r>
      <w:r w:rsidR="004E70AD" w:rsidRPr="001A7371">
        <w:rPr>
          <w:rFonts w:eastAsia="Calibri"/>
          <w:sz w:val="22"/>
          <w:szCs w:val="22"/>
          <w:lang w:val="sr-Latn-ME"/>
        </w:rPr>
        <w:t>Institutu</w:t>
      </w:r>
      <w:r w:rsidRPr="001A7371">
        <w:rPr>
          <w:rFonts w:eastAsia="Calibri"/>
          <w:sz w:val="22"/>
          <w:szCs w:val="22"/>
          <w:lang w:val="sr-Latn-ME"/>
        </w:rPr>
        <w:t xml:space="preserve"> za ljekove i medicinska sredstva</w:t>
      </w:r>
      <w:r w:rsidR="004E70AD" w:rsidRPr="001A7371">
        <w:rPr>
          <w:rFonts w:eastAsia="Calibri"/>
          <w:sz w:val="22"/>
          <w:szCs w:val="22"/>
          <w:lang w:val="sr-Latn-ME"/>
        </w:rPr>
        <w:t xml:space="preserve"> </w:t>
      </w:r>
      <w:r w:rsidRPr="001A7371">
        <w:rPr>
          <w:rFonts w:eastAsia="Calibri"/>
          <w:sz w:val="22"/>
          <w:szCs w:val="22"/>
          <w:lang w:val="sr-Latn-ME"/>
        </w:rPr>
        <w:t>(</w:t>
      </w:r>
      <w:r w:rsidR="004E70AD" w:rsidRPr="001A7371">
        <w:rPr>
          <w:rFonts w:eastAsia="Calibri"/>
          <w:sz w:val="22"/>
          <w:szCs w:val="22"/>
          <w:lang w:val="sr-Latn-ME"/>
        </w:rPr>
        <w:t>CInMED</w:t>
      </w:r>
      <w:r w:rsidRPr="001A7371">
        <w:rPr>
          <w:rFonts w:eastAsia="Calibri"/>
          <w:sz w:val="22"/>
          <w:szCs w:val="22"/>
          <w:lang w:val="sr-Latn-ME"/>
        </w:rPr>
        <w:t>):</w:t>
      </w:r>
    </w:p>
    <w:p w14:paraId="5B0E6FB6" w14:textId="77777777" w:rsidR="005A23D2" w:rsidRPr="001A7371" w:rsidRDefault="004E70AD" w:rsidP="00A46C9A">
      <w:pPr>
        <w:pStyle w:val="NoSpacing"/>
        <w:jc w:val="both"/>
        <w:rPr>
          <w:rFonts w:eastAsia="Calibri"/>
          <w:sz w:val="22"/>
          <w:szCs w:val="22"/>
          <w:lang w:val="sr-Latn-ME"/>
        </w:rPr>
      </w:pPr>
      <w:r w:rsidRPr="001A7371">
        <w:rPr>
          <w:rFonts w:eastAsia="Calibri"/>
          <w:sz w:val="22"/>
          <w:szCs w:val="22"/>
          <w:lang w:val="sr-Latn-ME"/>
        </w:rPr>
        <w:t xml:space="preserve">Institut </w:t>
      </w:r>
      <w:r w:rsidR="005A23D2" w:rsidRPr="001A7371">
        <w:rPr>
          <w:rFonts w:eastAsia="Calibri"/>
          <w:sz w:val="22"/>
          <w:szCs w:val="22"/>
          <w:lang w:val="sr-Latn-ME"/>
        </w:rPr>
        <w:t xml:space="preserve">za ljekove i medicinska sredstva </w:t>
      </w:r>
    </w:p>
    <w:p w14:paraId="53E0719B" w14:textId="77777777" w:rsidR="005A23D2" w:rsidRPr="001A7371" w:rsidRDefault="005A23D2" w:rsidP="00A46C9A">
      <w:pPr>
        <w:pStyle w:val="NoSpacing"/>
        <w:jc w:val="both"/>
        <w:rPr>
          <w:rFonts w:eastAsia="Calibri"/>
          <w:sz w:val="22"/>
          <w:szCs w:val="22"/>
          <w:lang w:val="sr-Latn-ME"/>
        </w:rPr>
      </w:pPr>
      <w:r w:rsidRPr="001A7371">
        <w:rPr>
          <w:rFonts w:eastAsia="Calibri"/>
          <w:sz w:val="22"/>
          <w:szCs w:val="22"/>
          <w:lang w:val="sr-Latn-ME"/>
        </w:rPr>
        <w:t>Odjeljenje za farmakovigilancu</w:t>
      </w:r>
    </w:p>
    <w:p w14:paraId="64733500" w14:textId="77777777" w:rsidR="00EA5765" w:rsidRPr="001A7371" w:rsidRDefault="005A23D2" w:rsidP="00A46C9A">
      <w:pPr>
        <w:pStyle w:val="NoSpacing"/>
        <w:jc w:val="both"/>
        <w:rPr>
          <w:rFonts w:eastAsia="Calibri"/>
          <w:sz w:val="22"/>
          <w:szCs w:val="22"/>
          <w:lang w:val="sr-Latn-ME"/>
        </w:rPr>
      </w:pPr>
      <w:r w:rsidRPr="001A7371">
        <w:rPr>
          <w:rFonts w:eastAsia="Calibri"/>
          <w:sz w:val="22"/>
          <w:szCs w:val="22"/>
          <w:lang w:val="sr-Latn-ME"/>
        </w:rPr>
        <w:t>Bulevar Ivana Crnojevića 64a, 81000 Podgorica</w:t>
      </w:r>
    </w:p>
    <w:p w14:paraId="32C53E35" w14:textId="77777777" w:rsidR="00EA5765" w:rsidRPr="001A7371" w:rsidRDefault="00EA5765" w:rsidP="00A46C9A">
      <w:pPr>
        <w:pStyle w:val="NoSpacing"/>
        <w:rPr>
          <w:rFonts w:eastAsia="Calibri"/>
          <w:sz w:val="22"/>
          <w:szCs w:val="22"/>
          <w:lang w:val="sr-Latn-ME"/>
        </w:rPr>
      </w:pPr>
    </w:p>
    <w:p w14:paraId="53F03EBC" w14:textId="77777777" w:rsidR="005A23D2" w:rsidRPr="001A7371" w:rsidRDefault="005A23D2" w:rsidP="00A46C9A">
      <w:pPr>
        <w:pStyle w:val="NoSpacing"/>
        <w:jc w:val="both"/>
        <w:rPr>
          <w:rFonts w:eastAsia="Calibri"/>
          <w:sz w:val="22"/>
          <w:szCs w:val="22"/>
          <w:lang w:val="sr-Latn-ME"/>
        </w:rPr>
      </w:pPr>
      <w:r w:rsidRPr="001A7371">
        <w:rPr>
          <w:rFonts w:eastAsia="Calibri"/>
          <w:sz w:val="22"/>
          <w:szCs w:val="22"/>
          <w:lang w:val="sr-Latn-ME"/>
        </w:rPr>
        <w:t>tel: +382 (0) 20 310 280</w:t>
      </w:r>
    </w:p>
    <w:p w14:paraId="42A39713" w14:textId="77777777" w:rsidR="00EA5765" w:rsidRPr="001A7371" w:rsidRDefault="005A23D2" w:rsidP="00A46C9A">
      <w:pPr>
        <w:pStyle w:val="NoSpacing"/>
        <w:jc w:val="both"/>
        <w:rPr>
          <w:rFonts w:eastAsia="Calibri"/>
          <w:sz w:val="22"/>
          <w:szCs w:val="22"/>
          <w:lang w:val="sr-Latn-ME"/>
        </w:rPr>
      </w:pPr>
      <w:r w:rsidRPr="001A7371">
        <w:rPr>
          <w:rFonts w:eastAsia="Calibri"/>
          <w:sz w:val="22"/>
          <w:szCs w:val="22"/>
          <w:lang w:val="sr-Latn-ME"/>
        </w:rPr>
        <w:t>fax:</w:t>
      </w:r>
      <w:r w:rsidR="00EA5765" w:rsidRPr="001A7371">
        <w:rPr>
          <w:rFonts w:eastAsia="Calibri"/>
          <w:sz w:val="22"/>
          <w:szCs w:val="22"/>
          <w:lang w:val="sr-Latn-ME"/>
        </w:rPr>
        <w:t xml:space="preserve"> </w:t>
      </w:r>
      <w:r w:rsidRPr="001A7371">
        <w:rPr>
          <w:rFonts w:eastAsia="Calibri"/>
          <w:sz w:val="22"/>
          <w:szCs w:val="22"/>
          <w:lang w:val="sr-Latn-ME"/>
        </w:rPr>
        <w:t>+382 (0) 20 310 581</w:t>
      </w:r>
    </w:p>
    <w:p w14:paraId="18E79982" w14:textId="77777777" w:rsidR="005A23D2" w:rsidRPr="001A7371" w:rsidRDefault="008E7D98" w:rsidP="00A46C9A">
      <w:pPr>
        <w:pStyle w:val="NoSpacing"/>
        <w:jc w:val="both"/>
        <w:rPr>
          <w:rFonts w:eastAsia="Calibri"/>
          <w:sz w:val="22"/>
          <w:szCs w:val="22"/>
          <w:lang w:val="sr-Latn-ME"/>
        </w:rPr>
      </w:pPr>
      <w:hyperlink r:id="rId8" w:history="1">
        <w:r w:rsidR="004E70AD" w:rsidRPr="001A7371">
          <w:rPr>
            <w:rStyle w:val="Hyperlink"/>
            <w:rFonts w:eastAsia="Calibri"/>
            <w:sz w:val="22"/>
            <w:szCs w:val="22"/>
            <w:lang w:val="sr-Latn-ME"/>
          </w:rPr>
          <w:t>www.cinmed.me</w:t>
        </w:r>
      </w:hyperlink>
    </w:p>
    <w:p w14:paraId="07F8CF65" w14:textId="77777777" w:rsidR="00EA5765" w:rsidRPr="001A7371" w:rsidRDefault="008E7D98" w:rsidP="00A46C9A">
      <w:pPr>
        <w:pStyle w:val="NoSpacing"/>
        <w:jc w:val="both"/>
        <w:rPr>
          <w:rFonts w:eastAsia="Calibri"/>
          <w:color w:val="0000FF"/>
          <w:sz w:val="22"/>
          <w:szCs w:val="22"/>
          <w:u w:val="single"/>
          <w:lang w:val="sr-Latn-ME"/>
        </w:rPr>
      </w:pPr>
      <w:hyperlink r:id="rId9" w:history="1">
        <w:r w:rsidR="004E70AD" w:rsidRPr="001A7371">
          <w:rPr>
            <w:rStyle w:val="Hyperlink"/>
            <w:rFonts w:eastAsia="Calibri"/>
            <w:sz w:val="22"/>
            <w:szCs w:val="22"/>
            <w:lang w:val="sr-Latn-ME"/>
          </w:rPr>
          <w:t>nezeljenadejstva@cinmed.me</w:t>
        </w:r>
      </w:hyperlink>
    </w:p>
    <w:p w14:paraId="6F390DE3" w14:textId="77777777" w:rsidR="005A23D2" w:rsidRPr="001A7371" w:rsidRDefault="005A23D2" w:rsidP="00A46C9A">
      <w:pPr>
        <w:pStyle w:val="NoSpacing"/>
        <w:jc w:val="both"/>
        <w:rPr>
          <w:rFonts w:eastAsia="Calibri"/>
          <w:sz w:val="22"/>
          <w:szCs w:val="22"/>
          <w:lang w:val="sr-Latn-ME"/>
        </w:rPr>
      </w:pPr>
      <w:r w:rsidRPr="001A7371">
        <w:rPr>
          <w:rFonts w:eastAsia="Calibri"/>
          <w:sz w:val="22"/>
          <w:szCs w:val="22"/>
          <w:lang w:val="sr-Latn-ME"/>
        </w:rPr>
        <w:t>putem IS zdravstvene zaštite</w:t>
      </w:r>
    </w:p>
    <w:p w14:paraId="7AD6A024" w14:textId="77777777" w:rsidR="00836B35" w:rsidRPr="001A7371" w:rsidRDefault="00836B35" w:rsidP="00480FB1">
      <w:pPr>
        <w:tabs>
          <w:tab w:val="left" w:pos="540"/>
          <w:tab w:val="left" w:pos="569"/>
        </w:tabs>
        <w:rPr>
          <w:b/>
          <w:bCs/>
          <w:sz w:val="22"/>
          <w:szCs w:val="22"/>
          <w:lang w:val="sr-Latn-ME"/>
        </w:rPr>
      </w:pPr>
    </w:p>
    <w:p w14:paraId="16CA8DD3" w14:textId="77777777" w:rsidR="00CD6F02" w:rsidRPr="001A7371" w:rsidRDefault="0072020E" w:rsidP="00480FB1">
      <w:pPr>
        <w:tabs>
          <w:tab w:val="left" w:pos="540"/>
          <w:tab w:val="left" w:pos="569"/>
        </w:tabs>
        <w:rPr>
          <w:b/>
          <w:bCs/>
          <w:sz w:val="22"/>
          <w:szCs w:val="22"/>
          <w:lang w:val="sr-Latn-ME"/>
        </w:rPr>
      </w:pPr>
      <w:r w:rsidRPr="001A7371">
        <w:rPr>
          <w:b/>
          <w:bCs/>
          <w:sz w:val="22"/>
          <w:szCs w:val="22"/>
          <w:lang w:val="sr-Latn-ME"/>
        </w:rPr>
        <w:t xml:space="preserve">4.9. </w:t>
      </w:r>
      <w:r w:rsidR="00480FB1" w:rsidRPr="001A7371">
        <w:rPr>
          <w:b/>
          <w:bCs/>
          <w:sz w:val="22"/>
          <w:szCs w:val="22"/>
          <w:lang w:val="sr-Latn-ME"/>
        </w:rPr>
        <w:tab/>
      </w:r>
      <w:r w:rsidRPr="001A7371">
        <w:rPr>
          <w:b/>
          <w:bCs/>
          <w:sz w:val="22"/>
          <w:szCs w:val="22"/>
          <w:lang w:val="sr-Latn-ME"/>
        </w:rPr>
        <w:t>Predoziranje</w:t>
      </w:r>
      <w:r w:rsidR="002846DB" w:rsidRPr="001A7371">
        <w:rPr>
          <w:b/>
          <w:bCs/>
          <w:sz w:val="22"/>
          <w:szCs w:val="22"/>
          <w:lang w:val="sr-Latn-ME"/>
        </w:rPr>
        <w:t xml:space="preserve"> </w:t>
      </w:r>
    </w:p>
    <w:p w14:paraId="73AF9E28" w14:textId="77777777" w:rsidR="006A5A1F" w:rsidRPr="001A7371" w:rsidRDefault="006A5A1F" w:rsidP="00480FB1">
      <w:pPr>
        <w:tabs>
          <w:tab w:val="left" w:pos="540"/>
          <w:tab w:val="left" w:pos="569"/>
        </w:tabs>
        <w:rPr>
          <w:b/>
          <w:bCs/>
          <w:sz w:val="22"/>
          <w:szCs w:val="22"/>
          <w:lang w:val="sr-Latn-ME"/>
        </w:rPr>
      </w:pPr>
    </w:p>
    <w:p w14:paraId="335361D0" w14:textId="28D4679D" w:rsidR="006A5A1F" w:rsidRPr="001A7371" w:rsidRDefault="006A5A1F" w:rsidP="006A5A1F">
      <w:pPr>
        <w:tabs>
          <w:tab w:val="left" w:pos="540"/>
          <w:tab w:val="left" w:pos="569"/>
        </w:tabs>
        <w:jc w:val="both"/>
        <w:rPr>
          <w:bCs/>
          <w:sz w:val="22"/>
          <w:szCs w:val="22"/>
          <w:lang w:val="sr-Latn-ME"/>
        </w:rPr>
      </w:pPr>
      <w:r w:rsidRPr="001A7371">
        <w:rPr>
          <w:bCs/>
          <w:sz w:val="22"/>
          <w:szCs w:val="22"/>
          <w:lang w:val="sr-Latn-ME"/>
        </w:rPr>
        <w:t>Kod predoziranja paklitakselom nema poznatog antidota. U slučaju predoziranja, pacijenta je</w:t>
      </w:r>
      <w:r w:rsidR="000F5EC0" w:rsidRPr="001A7371">
        <w:rPr>
          <w:bCs/>
          <w:sz w:val="22"/>
          <w:szCs w:val="22"/>
          <w:lang w:val="sr-Latn-ME"/>
        </w:rPr>
        <w:t xml:space="preserve"> </w:t>
      </w:r>
      <w:r w:rsidRPr="001A7371">
        <w:rPr>
          <w:bCs/>
          <w:sz w:val="22"/>
          <w:szCs w:val="22"/>
          <w:lang w:val="sr-Latn-ME"/>
        </w:rPr>
        <w:t>potrebno pažljivo pratiti. Liječenje bi trebalo usmjeriti primarno na očekivane toksične komplikacije, supresiju ko</w:t>
      </w:r>
      <w:r w:rsidR="000F5EC0" w:rsidRPr="001A7371">
        <w:rPr>
          <w:bCs/>
          <w:sz w:val="22"/>
          <w:szCs w:val="22"/>
          <w:lang w:val="sr-Latn-ME"/>
        </w:rPr>
        <w:t>stne</w:t>
      </w:r>
      <w:r w:rsidRPr="001A7371">
        <w:rPr>
          <w:bCs/>
          <w:sz w:val="22"/>
          <w:szCs w:val="22"/>
          <w:lang w:val="sr-Latn-ME"/>
        </w:rPr>
        <w:t xml:space="preserve"> srži, perifernu neurotoksičnost i mukozitis.</w:t>
      </w:r>
    </w:p>
    <w:p w14:paraId="20DC3704" w14:textId="77777777" w:rsidR="006A5A1F" w:rsidRPr="001A7371" w:rsidRDefault="006A5A1F" w:rsidP="006A5A1F">
      <w:pPr>
        <w:tabs>
          <w:tab w:val="left" w:pos="540"/>
          <w:tab w:val="left" w:pos="569"/>
        </w:tabs>
        <w:jc w:val="both"/>
        <w:rPr>
          <w:bCs/>
          <w:sz w:val="22"/>
          <w:szCs w:val="22"/>
          <w:lang w:val="sr-Latn-ME"/>
        </w:rPr>
      </w:pPr>
    </w:p>
    <w:p w14:paraId="3B374EBF" w14:textId="77777777" w:rsidR="006A5A1F" w:rsidRPr="001A7371" w:rsidRDefault="006A5A1F" w:rsidP="006A5A1F">
      <w:pPr>
        <w:tabs>
          <w:tab w:val="left" w:pos="540"/>
          <w:tab w:val="left" w:pos="569"/>
        </w:tabs>
        <w:jc w:val="both"/>
        <w:rPr>
          <w:bCs/>
          <w:sz w:val="22"/>
          <w:szCs w:val="22"/>
          <w:u w:val="single"/>
          <w:lang w:val="sr-Latn-ME"/>
        </w:rPr>
      </w:pPr>
      <w:r w:rsidRPr="001A7371">
        <w:rPr>
          <w:bCs/>
          <w:sz w:val="22"/>
          <w:szCs w:val="22"/>
          <w:u w:val="single"/>
          <w:lang w:val="sr-Latn-ME"/>
        </w:rPr>
        <w:t>Pedijatrijska populacija</w:t>
      </w:r>
    </w:p>
    <w:p w14:paraId="53D4DB5D" w14:textId="77777777" w:rsidR="00CD6F02" w:rsidRPr="001A7371" w:rsidRDefault="006A5A1F" w:rsidP="006A5A1F">
      <w:pPr>
        <w:tabs>
          <w:tab w:val="left" w:pos="540"/>
          <w:tab w:val="left" w:pos="569"/>
        </w:tabs>
        <w:jc w:val="both"/>
        <w:rPr>
          <w:bCs/>
          <w:sz w:val="22"/>
          <w:szCs w:val="22"/>
          <w:lang w:val="sr-Latn-ME"/>
        </w:rPr>
      </w:pPr>
      <w:r w:rsidRPr="001A7371">
        <w:rPr>
          <w:bCs/>
          <w:sz w:val="22"/>
          <w:szCs w:val="22"/>
          <w:lang w:val="sr-Latn-ME"/>
        </w:rPr>
        <w:t>Predoziranje kod pedijatrijske populacije može biti povezano sa akutnom toksičnošću koja je izazvana etanolom.</w:t>
      </w:r>
    </w:p>
    <w:p w14:paraId="27F060CB" w14:textId="32443AD3" w:rsidR="00227BDB" w:rsidRPr="001A7371" w:rsidRDefault="00227BDB" w:rsidP="00480FB1">
      <w:pPr>
        <w:tabs>
          <w:tab w:val="left" w:pos="540"/>
          <w:tab w:val="left" w:pos="569"/>
        </w:tabs>
        <w:rPr>
          <w:b/>
          <w:bCs/>
          <w:sz w:val="22"/>
          <w:szCs w:val="22"/>
          <w:lang w:val="sr-Latn-ME"/>
        </w:rPr>
      </w:pPr>
    </w:p>
    <w:p w14:paraId="7E918219" w14:textId="77777777" w:rsidR="00FF205C" w:rsidRPr="001A7371" w:rsidRDefault="00FF205C" w:rsidP="00480FB1">
      <w:pPr>
        <w:tabs>
          <w:tab w:val="left" w:pos="540"/>
          <w:tab w:val="left" w:pos="569"/>
        </w:tabs>
        <w:rPr>
          <w:b/>
          <w:bCs/>
          <w:sz w:val="22"/>
          <w:szCs w:val="22"/>
          <w:lang w:val="sr-Latn-ME"/>
        </w:rPr>
      </w:pPr>
    </w:p>
    <w:p w14:paraId="4BBE15B3" w14:textId="77777777" w:rsidR="0072020E" w:rsidRPr="001A7371" w:rsidRDefault="0072020E" w:rsidP="00480FB1">
      <w:pPr>
        <w:tabs>
          <w:tab w:val="left" w:pos="540"/>
          <w:tab w:val="left" w:pos="569"/>
        </w:tabs>
        <w:rPr>
          <w:b/>
          <w:bCs/>
          <w:sz w:val="22"/>
          <w:szCs w:val="22"/>
          <w:lang w:val="sr-Latn-ME"/>
        </w:rPr>
      </w:pPr>
      <w:r w:rsidRPr="001A7371">
        <w:rPr>
          <w:b/>
          <w:bCs/>
          <w:sz w:val="22"/>
          <w:szCs w:val="22"/>
          <w:lang w:val="sr-Latn-ME"/>
        </w:rPr>
        <w:t xml:space="preserve">5. </w:t>
      </w:r>
      <w:r w:rsidR="00480FB1" w:rsidRPr="001A7371">
        <w:rPr>
          <w:b/>
          <w:bCs/>
          <w:sz w:val="22"/>
          <w:szCs w:val="22"/>
          <w:lang w:val="sr-Latn-ME"/>
        </w:rPr>
        <w:tab/>
      </w:r>
      <w:r w:rsidRPr="001A7371">
        <w:rPr>
          <w:b/>
          <w:bCs/>
          <w:sz w:val="22"/>
          <w:szCs w:val="22"/>
          <w:lang w:val="sr-Latn-ME"/>
        </w:rPr>
        <w:t>FARMAKOLOŠK</w:t>
      </w:r>
      <w:r w:rsidR="000D425A" w:rsidRPr="001A7371">
        <w:rPr>
          <w:b/>
          <w:bCs/>
          <w:sz w:val="22"/>
          <w:szCs w:val="22"/>
          <w:lang w:val="sr-Latn-ME"/>
        </w:rPr>
        <w:t>I</w:t>
      </w:r>
      <w:r w:rsidRPr="001A7371">
        <w:rPr>
          <w:b/>
          <w:bCs/>
          <w:sz w:val="22"/>
          <w:szCs w:val="22"/>
          <w:lang w:val="sr-Latn-ME"/>
        </w:rPr>
        <w:t xml:space="preserve"> PODACI</w:t>
      </w:r>
    </w:p>
    <w:p w14:paraId="56535894" w14:textId="77777777" w:rsidR="0072020E" w:rsidRPr="001A7371" w:rsidRDefault="0072020E" w:rsidP="00480FB1">
      <w:pPr>
        <w:tabs>
          <w:tab w:val="left" w:pos="540"/>
          <w:tab w:val="left" w:pos="569"/>
        </w:tabs>
        <w:rPr>
          <w:b/>
          <w:bCs/>
          <w:sz w:val="22"/>
          <w:szCs w:val="22"/>
          <w:lang w:val="sr-Latn-ME"/>
        </w:rPr>
      </w:pPr>
    </w:p>
    <w:p w14:paraId="567A1CD3" w14:textId="77777777" w:rsidR="0072020E" w:rsidRPr="001A7371" w:rsidRDefault="0072020E" w:rsidP="00480FB1">
      <w:pPr>
        <w:tabs>
          <w:tab w:val="left" w:pos="540"/>
          <w:tab w:val="left" w:pos="569"/>
        </w:tabs>
        <w:rPr>
          <w:b/>
          <w:bCs/>
          <w:sz w:val="22"/>
          <w:szCs w:val="22"/>
          <w:lang w:val="sr-Latn-ME"/>
        </w:rPr>
      </w:pPr>
      <w:r w:rsidRPr="001A7371">
        <w:rPr>
          <w:b/>
          <w:bCs/>
          <w:sz w:val="22"/>
          <w:szCs w:val="22"/>
          <w:lang w:val="sr-Latn-ME"/>
        </w:rPr>
        <w:t xml:space="preserve">5.1. </w:t>
      </w:r>
      <w:r w:rsidR="00480FB1" w:rsidRPr="001A7371">
        <w:rPr>
          <w:b/>
          <w:bCs/>
          <w:sz w:val="22"/>
          <w:szCs w:val="22"/>
          <w:lang w:val="sr-Latn-ME"/>
        </w:rPr>
        <w:tab/>
      </w:r>
      <w:r w:rsidRPr="001A7371">
        <w:rPr>
          <w:b/>
          <w:bCs/>
          <w:sz w:val="22"/>
          <w:szCs w:val="22"/>
          <w:lang w:val="sr-Latn-ME"/>
        </w:rPr>
        <w:t>Farmakodinamski podaci</w:t>
      </w:r>
      <w:r w:rsidR="003A7059" w:rsidRPr="001A7371">
        <w:rPr>
          <w:b/>
          <w:bCs/>
          <w:sz w:val="22"/>
          <w:szCs w:val="22"/>
          <w:lang w:val="sr-Latn-ME"/>
        </w:rPr>
        <w:t xml:space="preserve"> </w:t>
      </w:r>
    </w:p>
    <w:p w14:paraId="25B0BC8C" w14:textId="77777777" w:rsidR="00F45F77" w:rsidRPr="001A7371" w:rsidRDefault="00F45F77" w:rsidP="00480FB1">
      <w:pPr>
        <w:tabs>
          <w:tab w:val="left" w:pos="540"/>
          <w:tab w:val="left" w:pos="569"/>
        </w:tabs>
        <w:rPr>
          <w:b/>
          <w:bCs/>
          <w:sz w:val="22"/>
          <w:szCs w:val="22"/>
          <w:lang w:val="sr-Latn-ME"/>
        </w:rPr>
      </w:pPr>
    </w:p>
    <w:p w14:paraId="083DFDEF" w14:textId="77777777" w:rsidR="0072020E" w:rsidRPr="001A7371" w:rsidRDefault="0072020E" w:rsidP="00480FB1">
      <w:pPr>
        <w:tabs>
          <w:tab w:val="left" w:pos="540"/>
          <w:tab w:val="left" w:pos="569"/>
        </w:tabs>
        <w:rPr>
          <w:bCs/>
          <w:sz w:val="22"/>
          <w:szCs w:val="22"/>
          <w:lang w:val="sr-Latn-ME"/>
        </w:rPr>
      </w:pPr>
      <w:r w:rsidRPr="001A7371">
        <w:rPr>
          <w:bCs/>
          <w:sz w:val="22"/>
          <w:szCs w:val="22"/>
          <w:lang w:val="sr-Latn-ME"/>
        </w:rPr>
        <w:t>Farmakoterapijska grupa:</w:t>
      </w:r>
      <w:r w:rsidR="00EA152F" w:rsidRPr="001A7371">
        <w:rPr>
          <w:bCs/>
          <w:sz w:val="22"/>
          <w:szCs w:val="22"/>
          <w:lang w:val="sr-Latn-ME"/>
        </w:rPr>
        <w:t xml:space="preserve"> Antineoplastični agensi, taksani.</w:t>
      </w:r>
    </w:p>
    <w:p w14:paraId="4D4380B5" w14:textId="77777777" w:rsidR="0072020E" w:rsidRPr="001A7371" w:rsidRDefault="0072020E" w:rsidP="00480FB1">
      <w:pPr>
        <w:tabs>
          <w:tab w:val="left" w:pos="540"/>
          <w:tab w:val="left" w:pos="569"/>
        </w:tabs>
        <w:rPr>
          <w:bCs/>
          <w:sz w:val="22"/>
          <w:szCs w:val="22"/>
          <w:lang w:val="sr-Latn-ME"/>
        </w:rPr>
      </w:pPr>
    </w:p>
    <w:p w14:paraId="31AD7326" w14:textId="77777777" w:rsidR="0072020E" w:rsidRPr="001A7371" w:rsidRDefault="0072020E" w:rsidP="00480FB1">
      <w:pPr>
        <w:tabs>
          <w:tab w:val="left" w:pos="540"/>
          <w:tab w:val="left" w:pos="569"/>
        </w:tabs>
        <w:rPr>
          <w:bCs/>
          <w:sz w:val="22"/>
          <w:szCs w:val="22"/>
          <w:lang w:val="sr-Latn-ME"/>
        </w:rPr>
      </w:pPr>
      <w:r w:rsidRPr="001A7371">
        <w:rPr>
          <w:bCs/>
          <w:sz w:val="22"/>
          <w:szCs w:val="22"/>
          <w:lang w:val="sr-Latn-ME"/>
        </w:rPr>
        <w:t>ATC kod:</w:t>
      </w:r>
      <w:r w:rsidR="00EA152F" w:rsidRPr="001A7371">
        <w:rPr>
          <w:bCs/>
          <w:sz w:val="22"/>
          <w:szCs w:val="22"/>
          <w:lang w:val="sr-Latn-ME"/>
        </w:rPr>
        <w:t xml:space="preserve"> L01CD01</w:t>
      </w:r>
    </w:p>
    <w:p w14:paraId="66275903" w14:textId="77777777" w:rsidR="00EA152F" w:rsidRPr="001A7371" w:rsidRDefault="00EA152F" w:rsidP="00480FB1">
      <w:pPr>
        <w:tabs>
          <w:tab w:val="left" w:pos="540"/>
          <w:tab w:val="left" w:pos="569"/>
        </w:tabs>
        <w:rPr>
          <w:bCs/>
          <w:sz w:val="22"/>
          <w:szCs w:val="22"/>
          <w:lang w:val="sr-Latn-ME"/>
        </w:rPr>
      </w:pPr>
    </w:p>
    <w:p w14:paraId="0E8EAAA0" w14:textId="77777777" w:rsidR="00EA152F" w:rsidRPr="001A7371" w:rsidRDefault="00EA152F" w:rsidP="00EA152F">
      <w:pPr>
        <w:tabs>
          <w:tab w:val="left" w:pos="540"/>
          <w:tab w:val="left" w:pos="569"/>
        </w:tabs>
        <w:jc w:val="both"/>
        <w:rPr>
          <w:bCs/>
          <w:sz w:val="22"/>
          <w:szCs w:val="22"/>
          <w:lang w:val="sr-Latn-ME"/>
        </w:rPr>
      </w:pPr>
      <w:r w:rsidRPr="001A7371">
        <w:rPr>
          <w:bCs/>
          <w:sz w:val="22"/>
          <w:szCs w:val="22"/>
          <w:lang w:val="sr-Latn-ME"/>
        </w:rPr>
        <w:t>Paklitaksel je antimikrotubularni lijek koji potstiče stvaranje mikrotubula od dimera tubulina i stabilizuje mikrotubule sprečavanjem depolimerizacije. Zbog stabilizacije inhibirana je normalna dinamika reorganizacije mreže mikrotubula, koja je neophodna za odvijanje vitalnih funkcija ćelije u interfazi i mitozi. Uz to, paklitaksel podstiče stvaranje abnormalnih nizova ili "snopova" mikrotubula tokom cijelog ćelijskog ciklusa, kao i mnogobrojnih mikrotubularnih ast</w:t>
      </w:r>
      <w:r w:rsidR="00985A62" w:rsidRPr="001A7371">
        <w:rPr>
          <w:bCs/>
          <w:sz w:val="22"/>
          <w:szCs w:val="22"/>
          <w:lang w:val="sr-Latn-ME"/>
        </w:rPr>
        <w:t>e</w:t>
      </w:r>
      <w:r w:rsidRPr="001A7371">
        <w:rPr>
          <w:bCs/>
          <w:sz w:val="22"/>
          <w:szCs w:val="22"/>
          <w:lang w:val="sr-Latn-ME"/>
        </w:rPr>
        <w:t>ra tokom mitoze.</w:t>
      </w:r>
    </w:p>
    <w:p w14:paraId="12346A22" w14:textId="77777777" w:rsidR="00EA152F" w:rsidRPr="001A7371" w:rsidRDefault="00EA152F" w:rsidP="00EA152F">
      <w:pPr>
        <w:tabs>
          <w:tab w:val="left" w:pos="540"/>
          <w:tab w:val="left" w:pos="569"/>
        </w:tabs>
        <w:jc w:val="both"/>
        <w:rPr>
          <w:bCs/>
          <w:sz w:val="22"/>
          <w:szCs w:val="22"/>
          <w:lang w:val="sr-Latn-ME"/>
        </w:rPr>
      </w:pPr>
    </w:p>
    <w:p w14:paraId="7FD8620E" w14:textId="77777777" w:rsidR="00EA152F" w:rsidRPr="001A7371" w:rsidRDefault="00EA152F" w:rsidP="00EA152F">
      <w:pPr>
        <w:tabs>
          <w:tab w:val="left" w:pos="540"/>
          <w:tab w:val="left" w:pos="569"/>
        </w:tabs>
        <w:jc w:val="both"/>
        <w:rPr>
          <w:bCs/>
          <w:sz w:val="22"/>
          <w:szCs w:val="22"/>
          <w:u w:val="single"/>
          <w:lang w:val="sr-Latn-ME"/>
        </w:rPr>
      </w:pPr>
      <w:r w:rsidRPr="001A7371">
        <w:rPr>
          <w:bCs/>
          <w:sz w:val="22"/>
          <w:szCs w:val="22"/>
          <w:u w:val="single"/>
          <w:lang w:val="sr-Latn-ME"/>
        </w:rPr>
        <w:t xml:space="preserve">Karcinom </w:t>
      </w:r>
      <w:r w:rsidR="004D2F08" w:rsidRPr="001A7371">
        <w:rPr>
          <w:bCs/>
          <w:sz w:val="22"/>
          <w:szCs w:val="22"/>
          <w:u w:val="single"/>
          <w:lang w:val="sr-Latn-ME"/>
        </w:rPr>
        <w:t>ovarijuma</w:t>
      </w:r>
    </w:p>
    <w:p w14:paraId="2B36ACC5" w14:textId="2BDA8211" w:rsidR="00EA152F" w:rsidRPr="001A7371" w:rsidRDefault="00EA152F" w:rsidP="00EA152F">
      <w:pPr>
        <w:tabs>
          <w:tab w:val="left" w:pos="540"/>
          <w:tab w:val="left" w:pos="569"/>
        </w:tabs>
        <w:jc w:val="both"/>
        <w:rPr>
          <w:bCs/>
          <w:sz w:val="22"/>
          <w:szCs w:val="22"/>
          <w:lang w:val="sr-Latn-ME"/>
        </w:rPr>
      </w:pPr>
      <w:r w:rsidRPr="001A7371">
        <w:rPr>
          <w:bCs/>
          <w:sz w:val="22"/>
          <w:szCs w:val="22"/>
          <w:lang w:val="sr-Latn-ME"/>
        </w:rPr>
        <w:t>Bezbjednost i efikasnost paklitaksela kao prve linije hemioterapije karcinoma jajnika ispitivani su u dvije velike randomizovane kontrolisane studije (u poređenju sa ciklofosfamidom 750 mg/m</w:t>
      </w:r>
      <w:r w:rsidRPr="001A7371">
        <w:rPr>
          <w:bCs/>
          <w:sz w:val="22"/>
          <w:szCs w:val="22"/>
          <w:vertAlign w:val="superscript"/>
          <w:lang w:val="sr-Latn-ME"/>
        </w:rPr>
        <w:t>2</w:t>
      </w:r>
      <w:r w:rsidRPr="001A7371">
        <w:rPr>
          <w:bCs/>
          <w:sz w:val="22"/>
          <w:szCs w:val="22"/>
          <w:lang w:val="sr-Latn-ME"/>
        </w:rPr>
        <w:t>/cisplatnom 75 mg/m</w:t>
      </w:r>
      <w:r w:rsidRPr="001A7371">
        <w:rPr>
          <w:bCs/>
          <w:sz w:val="22"/>
          <w:szCs w:val="22"/>
          <w:vertAlign w:val="superscript"/>
          <w:lang w:val="sr-Latn-ME"/>
        </w:rPr>
        <w:t>2</w:t>
      </w:r>
      <w:r w:rsidRPr="001A7371">
        <w:rPr>
          <w:bCs/>
          <w:sz w:val="22"/>
          <w:szCs w:val="22"/>
          <w:lang w:val="sr-Latn-ME"/>
        </w:rPr>
        <w:t>).</w:t>
      </w:r>
      <w:r w:rsidRPr="001A7371">
        <w:rPr>
          <w:lang w:val="sr-Latn-ME"/>
        </w:rPr>
        <w:t xml:space="preserve"> </w:t>
      </w:r>
      <w:r w:rsidRPr="001A7371">
        <w:rPr>
          <w:bCs/>
          <w:sz w:val="22"/>
          <w:szCs w:val="22"/>
          <w:lang w:val="sr-Latn-ME"/>
        </w:rPr>
        <w:t>U studiji Intergroup (BMS CA 139-209), više od 650 pacije</w:t>
      </w:r>
      <w:r w:rsidR="00503544" w:rsidRPr="001A7371">
        <w:rPr>
          <w:bCs/>
          <w:sz w:val="22"/>
          <w:szCs w:val="22"/>
          <w:lang w:val="sr-Latn-ME"/>
        </w:rPr>
        <w:t>ntkinja</w:t>
      </w:r>
      <w:r w:rsidRPr="001A7371">
        <w:rPr>
          <w:bCs/>
          <w:sz w:val="22"/>
          <w:szCs w:val="22"/>
          <w:lang w:val="sr-Latn-ME"/>
        </w:rPr>
        <w:t xml:space="preserve"> sa primarnim karcinomom jajnika stadijuma IIb-c, III ili IV primilo je maksimalno 9 ciklusa hemioterapije paklitakselom (175 mg/m</w:t>
      </w:r>
      <w:r w:rsidRPr="001A7371">
        <w:rPr>
          <w:bCs/>
          <w:sz w:val="22"/>
          <w:szCs w:val="22"/>
          <w:vertAlign w:val="superscript"/>
          <w:lang w:val="sr-Latn-ME"/>
        </w:rPr>
        <w:t>2</w:t>
      </w:r>
      <w:r w:rsidRPr="001A7371">
        <w:rPr>
          <w:bCs/>
          <w:sz w:val="22"/>
          <w:szCs w:val="22"/>
          <w:lang w:val="sr-Latn-ME"/>
        </w:rPr>
        <w:t xml:space="preserve"> tokom 3 sata), posle čega je primijenjen cisplatin (75 mg/m</w:t>
      </w:r>
      <w:r w:rsidRPr="001A7371">
        <w:rPr>
          <w:bCs/>
          <w:sz w:val="22"/>
          <w:szCs w:val="22"/>
          <w:vertAlign w:val="superscript"/>
          <w:lang w:val="sr-Latn-ME"/>
        </w:rPr>
        <w:t>2</w:t>
      </w:r>
      <w:r w:rsidRPr="001A7371">
        <w:rPr>
          <w:bCs/>
          <w:sz w:val="22"/>
          <w:szCs w:val="22"/>
          <w:lang w:val="sr-Latn-ME"/>
        </w:rPr>
        <w:t xml:space="preserve">) ili kontrola. U drugoj velikoj studiji (GOG-111/BMS CA 139- 022), primijenjeno je maksimalno 6 ciklusa paklitaksela </w:t>
      </w:r>
      <w:r w:rsidRPr="001A7371">
        <w:rPr>
          <w:bCs/>
          <w:sz w:val="22"/>
          <w:szCs w:val="22"/>
          <w:lang w:val="sr-Latn-ME"/>
        </w:rPr>
        <w:lastRenderedPageBreak/>
        <w:t>(135 mg/m</w:t>
      </w:r>
      <w:r w:rsidRPr="001A7371">
        <w:rPr>
          <w:bCs/>
          <w:sz w:val="22"/>
          <w:szCs w:val="22"/>
          <w:vertAlign w:val="superscript"/>
          <w:lang w:val="sr-Latn-ME"/>
        </w:rPr>
        <w:t>2</w:t>
      </w:r>
      <w:r w:rsidRPr="001A7371">
        <w:rPr>
          <w:bCs/>
          <w:sz w:val="22"/>
          <w:szCs w:val="22"/>
          <w:lang w:val="sr-Latn-ME"/>
        </w:rPr>
        <w:t xml:space="preserve"> tokom 24 sata), u kombinaciji sa cisplatinom (75 mg/m</w:t>
      </w:r>
      <w:r w:rsidRPr="001A7371">
        <w:rPr>
          <w:bCs/>
          <w:sz w:val="22"/>
          <w:szCs w:val="22"/>
          <w:vertAlign w:val="superscript"/>
          <w:lang w:val="sr-Latn-ME"/>
        </w:rPr>
        <w:t>2</w:t>
      </w:r>
      <w:r w:rsidRPr="001A7371">
        <w:rPr>
          <w:bCs/>
          <w:sz w:val="22"/>
          <w:szCs w:val="22"/>
          <w:lang w:val="sr-Latn-ME"/>
        </w:rPr>
        <w:t>) ili kontrolom; studija je obuhvatila više od 400 pacijen</w:t>
      </w:r>
      <w:r w:rsidR="00503544" w:rsidRPr="001A7371">
        <w:rPr>
          <w:bCs/>
          <w:sz w:val="22"/>
          <w:szCs w:val="22"/>
          <w:lang w:val="sr-Latn-ME"/>
        </w:rPr>
        <w:t>tkinja</w:t>
      </w:r>
      <w:r w:rsidRPr="001A7371">
        <w:rPr>
          <w:bCs/>
          <w:sz w:val="22"/>
          <w:szCs w:val="22"/>
          <w:lang w:val="sr-Latn-ME"/>
        </w:rPr>
        <w:t xml:space="preserve"> sa primarnim karcinomom jajnika stadijuma III/IV , sa više od 1 cm rezidualne bolesti posle izvođenja laparotomije ili sa udaljenim metastazama. Iako ova dva različita režima doziranja nisu direktno međusobno upoređivana, u obje studije pacijent</w:t>
      </w:r>
      <w:r w:rsidR="00503544" w:rsidRPr="001A7371">
        <w:rPr>
          <w:bCs/>
          <w:sz w:val="22"/>
          <w:szCs w:val="22"/>
          <w:lang w:val="sr-Latn-ME"/>
        </w:rPr>
        <w:t>kinje</w:t>
      </w:r>
      <w:r w:rsidRPr="001A7371">
        <w:rPr>
          <w:bCs/>
          <w:sz w:val="22"/>
          <w:szCs w:val="22"/>
          <w:lang w:val="sr-Latn-ME"/>
        </w:rPr>
        <w:t xml:space="preserve"> liječen</w:t>
      </w:r>
      <w:r w:rsidR="00503544" w:rsidRPr="001A7371">
        <w:rPr>
          <w:bCs/>
          <w:sz w:val="22"/>
          <w:szCs w:val="22"/>
          <w:lang w:val="sr-Latn-ME"/>
        </w:rPr>
        <w:t>e</w:t>
      </w:r>
      <w:r w:rsidRPr="001A7371">
        <w:rPr>
          <w:bCs/>
          <w:sz w:val="22"/>
          <w:szCs w:val="22"/>
          <w:lang w:val="sr-Latn-ME"/>
        </w:rPr>
        <w:t xml:space="preserve"> paklitakselom u kombina</w:t>
      </w:r>
      <w:r w:rsidR="00503544" w:rsidRPr="001A7371">
        <w:rPr>
          <w:bCs/>
          <w:sz w:val="22"/>
          <w:szCs w:val="22"/>
          <w:lang w:val="sr-Latn-ME"/>
        </w:rPr>
        <w:t>c</w:t>
      </w:r>
      <w:r w:rsidRPr="001A7371">
        <w:rPr>
          <w:bCs/>
          <w:sz w:val="22"/>
          <w:szCs w:val="22"/>
          <w:lang w:val="sr-Latn-ME"/>
        </w:rPr>
        <w:t>iji sa cisplatinom imal</w:t>
      </w:r>
      <w:r w:rsidR="00503544" w:rsidRPr="001A7371">
        <w:rPr>
          <w:bCs/>
          <w:sz w:val="22"/>
          <w:szCs w:val="22"/>
          <w:lang w:val="sr-Latn-ME"/>
        </w:rPr>
        <w:t>e</w:t>
      </w:r>
      <w:r w:rsidRPr="001A7371">
        <w:rPr>
          <w:bCs/>
          <w:sz w:val="22"/>
          <w:szCs w:val="22"/>
          <w:lang w:val="sr-Latn-ME"/>
        </w:rPr>
        <w:t xml:space="preserve"> su značajno veći stepen odgovora, duže vrijeme do progresije i duže vrijeme preživljavanja u poređenju sa standardnim liječenjem. Povećana neurotoksičnost, artralgija/mialgija, ali smanjena mijelosupresija, zapaženi su kod pacijentkinja sa uznapredovalim karcinomom jajnika koje su dobijale tročasovnu infuziju paklitaksela/cisplatina u poređenju sa pacijentkinjama koje su primale ciklofosfamid/cisplatin.</w:t>
      </w:r>
    </w:p>
    <w:p w14:paraId="6B8EDACE" w14:textId="77777777" w:rsidR="000F25CB" w:rsidRPr="001A7371" w:rsidRDefault="000F25CB" w:rsidP="00EA152F">
      <w:pPr>
        <w:tabs>
          <w:tab w:val="left" w:pos="540"/>
          <w:tab w:val="left" w:pos="569"/>
        </w:tabs>
        <w:jc w:val="both"/>
        <w:rPr>
          <w:bCs/>
          <w:sz w:val="22"/>
          <w:szCs w:val="22"/>
          <w:lang w:val="sr-Latn-ME"/>
        </w:rPr>
      </w:pPr>
    </w:p>
    <w:p w14:paraId="626CF77C" w14:textId="77777777" w:rsidR="000F25CB" w:rsidRPr="001A7371" w:rsidRDefault="000F25CB" w:rsidP="00EA152F">
      <w:pPr>
        <w:tabs>
          <w:tab w:val="left" w:pos="540"/>
          <w:tab w:val="left" w:pos="569"/>
        </w:tabs>
        <w:jc w:val="both"/>
        <w:rPr>
          <w:bCs/>
          <w:sz w:val="22"/>
          <w:szCs w:val="22"/>
          <w:u w:val="single"/>
          <w:lang w:val="sr-Latn-ME"/>
        </w:rPr>
      </w:pPr>
      <w:r w:rsidRPr="001A7371">
        <w:rPr>
          <w:bCs/>
          <w:sz w:val="22"/>
          <w:szCs w:val="22"/>
          <w:u w:val="single"/>
          <w:lang w:val="sr-Latn-ME"/>
        </w:rPr>
        <w:t>Karcinom dojke</w:t>
      </w:r>
    </w:p>
    <w:p w14:paraId="095F4A8F" w14:textId="5A753B72" w:rsidR="000F25CB" w:rsidRPr="001A7371" w:rsidRDefault="000F25CB" w:rsidP="000F25CB">
      <w:pPr>
        <w:tabs>
          <w:tab w:val="left" w:pos="540"/>
          <w:tab w:val="left" w:pos="569"/>
        </w:tabs>
        <w:jc w:val="both"/>
        <w:rPr>
          <w:bCs/>
          <w:sz w:val="22"/>
          <w:szCs w:val="22"/>
          <w:lang w:val="sr-Latn-ME"/>
        </w:rPr>
      </w:pPr>
      <w:r w:rsidRPr="001A7371">
        <w:rPr>
          <w:bCs/>
          <w:sz w:val="22"/>
          <w:szCs w:val="22"/>
          <w:lang w:val="sr-Latn-ME"/>
        </w:rPr>
        <w:t xml:space="preserve">U adjuvantnom liječenju karcinoma dojke, 3121 pacijentkinja sa karcinomom dojke i pozitivnim aksilarnim limfnim čvorovima bila je liječena paklitakselom kao adjuvantnom terapijom ili nikakvom hemioterapijom, posle 4 ciklusa </w:t>
      </w:r>
      <w:r w:rsidR="00503544" w:rsidRPr="001A7371">
        <w:rPr>
          <w:bCs/>
          <w:sz w:val="22"/>
          <w:szCs w:val="22"/>
          <w:lang w:val="sr-Latn-ME"/>
        </w:rPr>
        <w:t xml:space="preserve">liječenja </w:t>
      </w:r>
      <w:r w:rsidRPr="001A7371">
        <w:rPr>
          <w:bCs/>
          <w:sz w:val="22"/>
          <w:szCs w:val="22"/>
          <w:lang w:val="sr-Latn-ME"/>
        </w:rPr>
        <w:t>doksorubicinom i ciklofosfamidom (CALGB 9344, BMS CA 139-223). Medijana praćenja je bila 69 mjeseci. Ukupno, kod pacijentkinja na paklitakselu rizik recidiva bolesti bio je smanjen za 18% u odnosu na pacijentkinje koje su primale samo AC (p = 0,0014), a rizik smrti smanjen je za 19% (p=0,0044) u odnosu na pacijentkinje koje su primale samo AC. Retrospektivna analiza potvrdila je korist u svim podgrupama pacijenata. Kod pacijentkinja sa negativnim hormonskim receptorima/nepoznatim tumorima, smanjenje recidiva bolesti iznosilo je 28% (95% CI: 0,59-0,86). U grupi pacijentkinja sa pozitivnim hormonskim receptorima smanjenje rizika bolesti iznosilo je 9% (95%</w:t>
      </w:r>
      <w:r w:rsidR="00503544" w:rsidRPr="001A7371">
        <w:rPr>
          <w:bCs/>
          <w:sz w:val="22"/>
          <w:szCs w:val="22"/>
          <w:lang w:val="sr-Latn-ME"/>
        </w:rPr>
        <w:t xml:space="preserve"> CI</w:t>
      </w:r>
      <w:r w:rsidRPr="001A7371">
        <w:rPr>
          <w:bCs/>
          <w:sz w:val="22"/>
          <w:szCs w:val="22"/>
          <w:lang w:val="sr-Latn-ME"/>
        </w:rPr>
        <w:t xml:space="preserve">; 0,78-1,07). </w:t>
      </w:r>
    </w:p>
    <w:p w14:paraId="27BC02C1" w14:textId="77777777" w:rsidR="000F25CB" w:rsidRPr="001A7371" w:rsidRDefault="000F25CB" w:rsidP="000F25CB">
      <w:pPr>
        <w:tabs>
          <w:tab w:val="left" w:pos="540"/>
          <w:tab w:val="left" w:pos="569"/>
        </w:tabs>
        <w:jc w:val="both"/>
        <w:rPr>
          <w:bCs/>
          <w:sz w:val="22"/>
          <w:szCs w:val="22"/>
          <w:lang w:val="sr-Latn-ME"/>
        </w:rPr>
      </w:pPr>
      <w:r w:rsidRPr="001A7371">
        <w:rPr>
          <w:bCs/>
          <w:sz w:val="22"/>
          <w:szCs w:val="22"/>
          <w:lang w:val="sr-Latn-ME"/>
        </w:rPr>
        <w:t>Međutim, dizajn studije nije ispitivao dejstvo produženog AC liječenja, duže od 4 ciklusa. Na osnovu samo ove studije ne može se isključiti da je zapaženo dejstvo dijelom posljedica različite dužine trajanja hemioterapije u ove dvije grupe pacijentkinja (AC 4 ciklusa; AC + paklitaksel 8 ciklusa). Zbog toga, adjuvantno liječenje paklitakselom treba koristiti kao alternativu produženom AC liječenju.</w:t>
      </w:r>
    </w:p>
    <w:p w14:paraId="72C25F6E" w14:textId="77777777" w:rsidR="000F25CB" w:rsidRPr="001A7371" w:rsidRDefault="000F25CB" w:rsidP="000F25CB">
      <w:pPr>
        <w:tabs>
          <w:tab w:val="left" w:pos="540"/>
          <w:tab w:val="left" w:pos="569"/>
        </w:tabs>
        <w:jc w:val="both"/>
        <w:rPr>
          <w:bCs/>
          <w:sz w:val="22"/>
          <w:szCs w:val="22"/>
          <w:lang w:val="sr-Latn-ME"/>
        </w:rPr>
      </w:pPr>
    </w:p>
    <w:p w14:paraId="25D3FD71" w14:textId="77777777" w:rsidR="000F25CB" w:rsidRPr="001A7371" w:rsidRDefault="000F25CB" w:rsidP="000F25CB">
      <w:pPr>
        <w:tabs>
          <w:tab w:val="left" w:pos="540"/>
          <w:tab w:val="left" w:pos="569"/>
        </w:tabs>
        <w:jc w:val="both"/>
        <w:rPr>
          <w:bCs/>
          <w:sz w:val="22"/>
          <w:szCs w:val="22"/>
          <w:lang w:val="sr-Latn-ME"/>
        </w:rPr>
      </w:pPr>
      <w:r w:rsidRPr="001A7371">
        <w:rPr>
          <w:bCs/>
          <w:sz w:val="22"/>
          <w:szCs w:val="22"/>
          <w:lang w:val="sr-Latn-ME"/>
        </w:rPr>
        <w:t>U drugoj velikoj kliničkoj studiji u adjuvantnom liječenju karcinoma dojke sa pozitivnim aksilarnim limfnim  čvorovima, sličnog dizajna, 3060 pacijentkinja je randomizovano da primi ili ne, 4 ciklusa paklitaksela u većoj dozi (225 mg/m</w:t>
      </w:r>
      <w:r w:rsidRPr="001A7371">
        <w:rPr>
          <w:bCs/>
          <w:sz w:val="22"/>
          <w:szCs w:val="22"/>
          <w:vertAlign w:val="superscript"/>
          <w:lang w:val="sr-Latn-ME"/>
        </w:rPr>
        <w:t>2</w:t>
      </w:r>
      <w:r w:rsidRPr="001A7371">
        <w:rPr>
          <w:bCs/>
          <w:sz w:val="22"/>
          <w:szCs w:val="22"/>
          <w:lang w:val="sr-Latn-ME"/>
        </w:rPr>
        <w:t>) nakon 4 ciklusa AC (NSABP B-28, BMS CA 139-270). Posle medijane vremena praćenja od 64 mjeseca, kod pacijentkinja na paklitakselu rizik recidiva bolesti bio je smanjen za 17% u odnosu na pacijentkinje koje su primile samo AC (p=0,006); liječenje paklitakselom bilo je povezano sa smanjenjem rizika smrti za 7% (95% CI: 0,78-1,12). Sve analize podgrupa pokazale su prednost na strani paklitaksela. U ovoj studiji, pacijentkinje sa pozitivnim hormonskim receptorima imale su smanjen rizik recidiva bolesti sa 23% (95% CI: 0,6-0,92); dok je u grupi pacijentkinja sa negativnim hormonskim receptorima rizik recidiva bio smanjen za 10% (95% CI: 0,7-1,11).</w:t>
      </w:r>
    </w:p>
    <w:p w14:paraId="50AEA2E7" w14:textId="77777777" w:rsidR="000F25CB" w:rsidRPr="001A7371" w:rsidRDefault="000F25CB" w:rsidP="000F25CB">
      <w:pPr>
        <w:tabs>
          <w:tab w:val="left" w:pos="540"/>
          <w:tab w:val="left" w:pos="569"/>
        </w:tabs>
        <w:jc w:val="both"/>
        <w:rPr>
          <w:bCs/>
          <w:sz w:val="22"/>
          <w:szCs w:val="22"/>
          <w:lang w:val="sr-Latn-ME"/>
        </w:rPr>
      </w:pPr>
    </w:p>
    <w:p w14:paraId="56AC635D" w14:textId="73A1D5AC" w:rsidR="000F25CB" w:rsidRPr="001A7371" w:rsidRDefault="000F25CB" w:rsidP="000F25CB">
      <w:pPr>
        <w:tabs>
          <w:tab w:val="left" w:pos="540"/>
          <w:tab w:val="left" w:pos="569"/>
        </w:tabs>
        <w:jc w:val="both"/>
        <w:rPr>
          <w:bCs/>
          <w:sz w:val="22"/>
          <w:szCs w:val="22"/>
          <w:lang w:val="sr-Latn-ME"/>
        </w:rPr>
      </w:pPr>
      <w:r w:rsidRPr="001A7371">
        <w:rPr>
          <w:bCs/>
          <w:sz w:val="22"/>
          <w:szCs w:val="22"/>
          <w:lang w:val="sr-Latn-ME"/>
        </w:rPr>
        <w:t>Efikasnost i bezbjednost paklitaksela u prvoj liniji liječenja metastatskog karcinoma dojke, ispitivani su u dvije pivotalne randomizovane, kontrolisane otvorene studije faze III. U prvoj studiji (BMS CA 139-278), kombinacija bolusa doksorubicina (50 mg/m</w:t>
      </w:r>
      <w:r w:rsidRPr="001A7371">
        <w:rPr>
          <w:bCs/>
          <w:sz w:val="22"/>
          <w:szCs w:val="22"/>
          <w:vertAlign w:val="superscript"/>
          <w:lang w:val="sr-Latn-ME"/>
        </w:rPr>
        <w:t>2</w:t>
      </w:r>
      <w:r w:rsidRPr="001A7371">
        <w:rPr>
          <w:bCs/>
          <w:sz w:val="22"/>
          <w:szCs w:val="22"/>
          <w:lang w:val="sr-Latn-ME"/>
        </w:rPr>
        <w:t>), nakon čega je posle 24 sata primijenjen paklitaksel (220 mg/m</w:t>
      </w:r>
      <w:r w:rsidRPr="001A7371">
        <w:rPr>
          <w:bCs/>
          <w:sz w:val="22"/>
          <w:szCs w:val="22"/>
          <w:vertAlign w:val="superscript"/>
          <w:lang w:val="sr-Latn-ME"/>
        </w:rPr>
        <w:t>2</w:t>
      </w:r>
      <w:r w:rsidRPr="001A7371">
        <w:rPr>
          <w:bCs/>
          <w:sz w:val="22"/>
          <w:szCs w:val="22"/>
          <w:lang w:val="sr-Latn-ME"/>
        </w:rPr>
        <w:t xml:space="preserve"> kao tročasovna infuzija) (AT), je upoređena sa standardnom FAC </w:t>
      </w:r>
      <w:r w:rsidR="00503544" w:rsidRPr="001A7371">
        <w:rPr>
          <w:bCs/>
          <w:sz w:val="22"/>
          <w:szCs w:val="22"/>
          <w:lang w:val="sr-Latn-ME"/>
        </w:rPr>
        <w:t xml:space="preserve">grupom </w:t>
      </w:r>
      <w:r w:rsidRPr="001A7371">
        <w:rPr>
          <w:bCs/>
          <w:sz w:val="22"/>
          <w:szCs w:val="22"/>
          <w:lang w:val="sr-Latn-ME"/>
        </w:rPr>
        <w:t>(5-FU 500 mg/m</w:t>
      </w:r>
      <w:r w:rsidRPr="001A7371">
        <w:rPr>
          <w:bCs/>
          <w:sz w:val="22"/>
          <w:szCs w:val="22"/>
          <w:vertAlign w:val="superscript"/>
          <w:lang w:val="sr-Latn-ME"/>
        </w:rPr>
        <w:t>2</w:t>
      </w:r>
      <w:r w:rsidRPr="001A7371">
        <w:rPr>
          <w:bCs/>
          <w:sz w:val="22"/>
          <w:szCs w:val="22"/>
          <w:lang w:val="sr-Latn-ME"/>
        </w:rPr>
        <w:t>, doksorubicin 50 mg/m</w:t>
      </w:r>
      <w:r w:rsidRPr="001A7371">
        <w:rPr>
          <w:bCs/>
          <w:sz w:val="22"/>
          <w:szCs w:val="22"/>
          <w:vertAlign w:val="superscript"/>
          <w:lang w:val="sr-Latn-ME"/>
        </w:rPr>
        <w:t>2</w:t>
      </w:r>
      <w:r w:rsidRPr="001A7371">
        <w:rPr>
          <w:bCs/>
          <w:sz w:val="22"/>
          <w:szCs w:val="22"/>
          <w:lang w:val="sr-Latn-ME"/>
        </w:rPr>
        <w:t>, ciklofosfamid 500 mg/m</w:t>
      </w:r>
      <w:r w:rsidRPr="001A7371">
        <w:rPr>
          <w:bCs/>
          <w:sz w:val="22"/>
          <w:szCs w:val="22"/>
          <w:vertAlign w:val="superscript"/>
          <w:lang w:val="sr-Latn-ME"/>
        </w:rPr>
        <w:t>2</w:t>
      </w:r>
      <w:r w:rsidRPr="001A7371">
        <w:rPr>
          <w:bCs/>
          <w:sz w:val="22"/>
          <w:szCs w:val="22"/>
          <w:lang w:val="sr-Latn-ME"/>
        </w:rPr>
        <w:t xml:space="preserve">), pri čemu su oba lijeka davana svake tri nedjelje tokom osam ciklusa. U ovu randomizovanu studiju bilo je uključeno 267 pacijenata sa metastatskim karcinomom dojke, koji ili prethodno nisu primali hemioterapiju ili su primali samo neantraciklinsku adjuvantnu hemioterapiju. Rezultati su pokazali značajnu razliku u vremenu do progresije za pacijente koji su primali AT, u poređenju sa onima koji su dobijali FAC (8,2 </w:t>
      </w:r>
      <w:r w:rsidR="00457416" w:rsidRPr="001A7371">
        <w:rPr>
          <w:bCs/>
          <w:sz w:val="22"/>
          <w:szCs w:val="22"/>
          <w:lang w:val="sr-Latn-ME"/>
        </w:rPr>
        <w:t xml:space="preserve"> </w:t>
      </w:r>
      <w:r w:rsidRPr="001A7371">
        <w:rPr>
          <w:bCs/>
          <w:sz w:val="22"/>
          <w:szCs w:val="22"/>
          <w:lang w:val="sr-Latn-ME"/>
        </w:rPr>
        <w:t xml:space="preserve">nasuprot 6,2 mjeseci; p=0,029). Medijana preživljavanja bila je povoljnija kod kombinacije paklitaksel/doksorubicin nasuprot FAC (23,0 nasuprot 18,3 mjeseca; p=0,004). Dalju hemioterapiju primalo je 44% nasuprot 48% u grupi liječenoj sa AT, odnosno FAC, koja je uključivala taksane u 7%, odnosno 50% slučajeva. Ukupni odgovor na liječenje takođe je bio značajno veći u grupi AT u poređenju sa FAC grupom (68% nasuprot 55%). Potpuni odgovor zapažen je kod 19% pacijenata u paklitaksel/doksorubicin grupi, </w:t>
      </w:r>
      <w:r w:rsidRPr="001A7371">
        <w:rPr>
          <w:bCs/>
          <w:sz w:val="22"/>
          <w:szCs w:val="22"/>
          <w:lang w:val="sr-Latn-ME"/>
        </w:rPr>
        <w:lastRenderedPageBreak/>
        <w:t>nasuprot 8% pacijenata u FAC grupi. Svi rezultati efikasnosti bili su kasnije potvđeni od strane slijepe nezavisne procjene.</w:t>
      </w:r>
    </w:p>
    <w:p w14:paraId="2E6CD2C2" w14:textId="77777777" w:rsidR="00EA152F" w:rsidRPr="001A7371" w:rsidRDefault="00EA152F" w:rsidP="00EA152F">
      <w:pPr>
        <w:tabs>
          <w:tab w:val="left" w:pos="540"/>
          <w:tab w:val="left" w:pos="569"/>
        </w:tabs>
        <w:jc w:val="both"/>
        <w:rPr>
          <w:bCs/>
          <w:sz w:val="22"/>
          <w:szCs w:val="22"/>
          <w:lang w:val="sr-Latn-ME"/>
        </w:rPr>
      </w:pPr>
    </w:p>
    <w:p w14:paraId="1FDE2C81" w14:textId="62C90F53" w:rsidR="00EA152F" w:rsidRPr="001A7371" w:rsidRDefault="000F25CB" w:rsidP="00EA152F">
      <w:pPr>
        <w:tabs>
          <w:tab w:val="left" w:pos="540"/>
          <w:tab w:val="left" w:pos="569"/>
        </w:tabs>
        <w:jc w:val="both"/>
        <w:rPr>
          <w:bCs/>
          <w:sz w:val="22"/>
          <w:szCs w:val="22"/>
          <w:lang w:val="sr-Latn-ME"/>
        </w:rPr>
      </w:pPr>
      <w:r w:rsidRPr="001A7371">
        <w:rPr>
          <w:bCs/>
          <w:sz w:val="22"/>
          <w:szCs w:val="22"/>
          <w:lang w:val="sr-Latn-ME"/>
        </w:rPr>
        <w:t>Efikasnost i bezbjednost kombinacije paklitaksela i trastuzumaba</w:t>
      </w:r>
      <w:r w:rsidR="00457416" w:rsidRPr="001A7371">
        <w:rPr>
          <w:bCs/>
          <w:sz w:val="22"/>
          <w:szCs w:val="22"/>
          <w:lang w:val="sr-Latn-ME"/>
        </w:rPr>
        <w:t xml:space="preserve"> </w:t>
      </w:r>
      <w:r w:rsidRPr="001A7371">
        <w:rPr>
          <w:bCs/>
          <w:sz w:val="22"/>
          <w:szCs w:val="22"/>
          <w:lang w:val="sr-Latn-ME"/>
        </w:rPr>
        <w:t>je u drugoj studiji ocijenjena planiranom analizom podgrupe studije HO648g (pacijentkinje sa metastatskim karcinomom dojke koje su ranije dobijale adjuvantno antracikline). Efikasnost trastuzumaba u kombinaciji sa paklitakselom kod pacijenata koji prethodno nisu primali adjuvantne antracikline nije dokazana. Kombinacija trastuzumaba (4 mg/kg udarna doza, a zatim 2 mg/kg nedje</w:t>
      </w:r>
      <w:r w:rsidR="004D2F08" w:rsidRPr="001A7371">
        <w:rPr>
          <w:bCs/>
          <w:sz w:val="22"/>
          <w:szCs w:val="22"/>
          <w:lang w:val="sr-Latn-ME"/>
        </w:rPr>
        <w:t>ljno) i paklitaksela (175 mg/m</w:t>
      </w:r>
      <w:r w:rsidR="004D2F08" w:rsidRPr="001A7371">
        <w:rPr>
          <w:bCs/>
          <w:sz w:val="22"/>
          <w:szCs w:val="22"/>
          <w:vertAlign w:val="superscript"/>
          <w:lang w:val="sr-Latn-ME"/>
        </w:rPr>
        <w:t>2</w:t>
      </w:r>
      <w:r w:rsidRPr="001A7371">
        <w:rPr>
          <w:bCs/>
          <w:sz w:val="22"/>
          <w:szCs w:val="22"/>
          <w:lang w:val="sr-Latn-ME"/>
        </w:rPr>
        <w:t>) u tročasovnoj infuziji svake tri nedjelje, upoređena je sa monoterapijom paklitakselom (175 mg/m</w:t>
      </w:r>
      <w:r w:rsidRPr="001A7371">
        <w:rPr>
          <w:bCs/>
          <w:sz w:val="22"/>
          <w:szCs w:val="22"/>
          <w:vertAlign w:val="superscript"/>
          <w:lang w:val="sr-Latn-ME"/>
        </w:rPr>
        <w:t>2</w:t>
      </w:r>
      <w:r w:rsidRPr="001A7371">
        <w:rPr>
          <w:bCs/>
          <w:sz w:val="22"/>
          <w:szCs w:val="22"/>
          <w:lang w:val="sr-Latn-ME"/>
        </w:rPr>
        <w:t xml:space="preserve"> ) u tročasovnoj infuziji svake tri nedjelje, kod 188 pacijenata sa metastatskim karcinomom dojke koji su imali naglašenu ekspresiju HER2 (na imunohemijskom nivou 2+ ili 3+), a koji su prethodno liječeni antraciklinima. Paklitaksel je primjenjivan svake tri nedjelje najmanje šest ciklusa, dok je trastuzumab primjenjivan jednom nedjeljno sve do progresije bolesti. Studija je pokazala značajnu korist od kombinacije paklitaksel/trastuzumab u smislu vremena do progresije (6,9 nasuprot 3,0 mjeseca), stope odgovora (41% nasuprot 17%) i trajanja odgovora (10,5 nasuprot 4,5 mjeseci) u poređenju </w:t>
      </w:r>
      <w:r w:rsidR="004D2F08" w:rsidRPr="001A7371">
        <w:rPr>
          <w:bCs/>
          <w:sz w:val="22"/>
          <w:szCs w:val="22"/>
          <w:lang w:val="sr-Latn-ME"/>
        </w:rPr>
        <w:t xml:space="preserve">sa monoterapijom paklitakselom. </w:t>
      </w:r>
      <w:r w:rsidRPr="001A7371">
        <w:rPr>
          <w:bCs/>
          <w:sz w:val="22"/>
          <w:szCs w:val="22"/>
          <w:lang w:val="sr-Latn-ME"/>
        </w:rPr>
        <w:t>Najznačajnija to</w:t>
      </w:r>
      <w:r w:rsidR="004D2F08" w:rsidRPr="001A7371">
        <w:rPr>
          <w:bCs/>
          <w:sz w:val="22"/>
          <w:szCs w:val="22"/>
          <w:lang w:val="sr-Latn-ME"/>
        </w:rPr>
        <w:t xml:space="preserve">ksičnost zapažena u kombinaciji </w:t>
      </w:r>
      <w:r w:rsidRPr="001A7371">
        <w:rPr>
          <w:bCs/>
          <w:sz w:val="22"/>
          <w:szCs w:val="22"/>
          <w:lang w:val="sr-Latn-ME"/>
        </w:rPr>
        <w:t>paklitaksel/</w:t>
      </w:r>
      <w:r w:rsidR="004D2F08" w:rsidRPr="001A7371">
        <w:rPr>
          <w:bCs/>
          <w:sz w:val="22"/>
          <w:szCs w:val="22"/>
          <w:lang w:val="sr-Latn-ME"/>
        </w:rPr>
        <w:t xml:space="preserve"> </w:t>
      </w:r>
      <w:r w:rsidRPr="001A7371">
        <w:rPr>
          <w:bCs/>
          <w:sz w:val="22"/>
          <w:szCs w:val="22"/>
          <w:lang w:val="sr-Latn-ME"/>
        </w:rPr>
        <w:t>trastuzumab bila je poremećaj funkcije srca (vidjeti dio 4.8).</w:t>
      </w:r>
    </w:p>
    <w:p w14:paraId="295E040B" w14:textId="77777777" w:rsidR="004D2F08" w:rsidRPr="001A7371" w:rsidRDefault="004D2F08" w:rsidP="00EA152F">
      <w:pPr>
        <w:tabs>
          <w:tab w:val="left" w:pos="540"/>
          <w:tab w:val="left" w:pos="569"/>
        </w:tabs>
        <w:jc w:val="both"/>
        <w:rPr>
          <w:bCs/>
          <w:sz w:val="22"/>
          <w:szCs w:val="22"/>
          <w:lang w:val="sr-Latn-ME"/>
        </w:rPr>
      </w:pPr>
    </w:p>
    <w:p w14:paraId="16CDCFCC" w14:textId="77777777" w:rsidR="000F25CB" w:rsidRPr="001A7371" w:rsidRDefault="004D2F08" w:rsidP="00EA152F">
      <w:pPr>
        <w:tabs>
          <w:tab w:val="left" w:pos="540"/>
          <w:tab w:val="left" w:pos="569"/>
        </w:tabs>
        <w:jc w:val="both"/>
        <w:rPr>
          <w:bCs/>
          <w:sz w:val="22"/>
          <w:szCs w:val="22"/>
          <w:u w:val="single"/>
          <w:lang w:val="sr-Latn-ME"/>
        </w:rPr>
      </w:pPr>
      <w:r w:rsidRPr="001A7371">
        <w:rPr>
          <w:bCs/>
          <w:sz w:val="22"/>
          <w:szCs w:val="22"/>
          <w:u w:val="single"/>
          <w:lang w:val="sr-Latn-ME"/>
        </w:rPr>
        <w:t>Uznapredovali nemikrocelularni karcinom pluća</w:t>
      </w:r>
    </w:p>
    <w:p w14:paraId="70A9889E" w14:textId="565DC695" w:rsidR="000F25CB" w:rsidRPr="001A7371" w:rsidRDefault="004D2F08" w:rsidP="00EA152F">
      <w:pPr>
        <w:tabs>
          <w:tab w:val="left" w:pos="540"/>
          <w:tab w:val="left" w:pos="569"/>
        </w:tabs>
        <w:jc w:val="both"/>
        <w:rPr>
          <w:bCs/>
          <w:sz w:val="22"/>
          <w:szCs w:val="22"/>
          <w:lang w:val="sr-Latn-ME"/>
        </w:rPr>
      </w:pPr>
      <w:r w:rsidRPr="001A7371">
        <w:rPr>
          <w:bCs/>
          <w:sz w:val="22"/>
          <w:szCs w:val="22"/>
          <w:lang w:val="sr-Latn-ME"/>
        </w:rPr>
        <w:t>Liječenje uznapredovaog NSCLC paklitakselom u dozi od 175 mg/m</w:t>
      </w:r>
      <w:r w:rsidRPr="001A7371">
        <w:rPr>
          <w:bCs/>
          <w:sz w:val="22"/>
          <w:szCs w:val="22"/>
          <w:vertAlign w:val="superscript"/>
          <w:lang w:val="sr-Latn-ME"/>
        </w:rPr>
        <w:t>2</w:t>
      </w:r>
      <w:r w:rsidRPr="001A7371">
        <w:rPr>
          <w:bCs/>
          <w:sz w:val="22"/>
          <w:szCs w:val="22"/>
          <w:lang w:val="sr-Latn-ME"/>
        </w:rPr>
        <w:t xml:space="preserve"> posle koga slijedi cisplatin u dozi 80 mg/m</w:t>
      </w:r>
      <w:r w:rsidRPr="001A7371">
        <w:rPr>
          <w:bCs/>
          <w:sz w:val="22"/>
          <w:szCs w:val="22"/>
          <w:vertAlign w:val="superscript"/>
          <w:lang w:val="sr-Latn-ME"/>
        </w:rPr>
        <w:t>2</w:t>
      </w:r>
      <w:r w:rsidRPr="001A7371">
        <w:rPr>
          <w:bCs/>
          <w:sz w:val="22"/>
          <w:szCs w:val="22"/>
          <w:lang w:val="sr-Latn-ME"/>
        </w:rPr>
        <w:t xml:space="preserve"> procjenjivano je u dvije studije faze III (367 ispitanika liječenih prema protokolima koji sadrže paklitaksel). Obje studije bile su randomizovane. U jednoj od studija kontrolna grupa je primila cisplatin (100 mg/m</w:t>
      </w:r>
      <w:r w:rsidRPr="001A7371">
        <w:rPr>
          <w:bCs/>
          <w:sz w:val="22"/>
          <w:szCs w:val="22"/>
          <w:vertAlign w:val="superscript"/>
          <w:lang w:val="sr-Latn-ME"/>
        </w:rPr>
        <w:t>2</w:t>
      </w:r>
      <w:r w:rsidRPr="001A7371">
        <w:rPr>
          <w:bCs/>
          <w:sz w:val="22"/>
          <w:szCs w:val="22"/>
          <w:lang w:val="sr-Latn-ME"/>
        </w:rPr>
        <w:t>) a u drugoj, 100 mg/ m</w:t>
      </w:r>
      <w:r w:rsidRPr="001A7371">
        <w:rPr>
          <w:bCs/>
          <w:sz w:val="22"/>
          <w:szCs w:val="22"/>
          <w:vertAlign w:val="superscript"/>
          <w:lang w:val="sr-Latn-ME"/>
        </w:rPr>
        <w:t>2</w:t>
      </w:r>
      <w:r w:rsidRPr="001A7371">
        <w:rPr>
          <w:bCs/>
          <w:sz w:val="22"/>
          <w:szCs w:val="22"/>
          <w:lang w:val="sr-Latn-ME"/>
        </w:rPr>
        <w:t xml:space="preserve"> tenopozida posle čega slijedi 80 mg/ m</w:t>
      </w:r>
      <w:r w:rsidRPr="001A7371">
        <w:rPr>
          <w:bCs/>
          <w:sz w:val="22"/>
          <w:szCs w:val="22"/>
          <w:vertAlign w:val="superscript"/>
          <w:lang w:val="sr-Latn-ME"/>
        </w:rPr>
        <w:t>2</w:t>
      </w:r>
      <w:r w:rsidRPr="001A7371">
        <w:rPr>
          <w:bCs/>
          <w:sz w:val="22"/>
          <w:szCs w:val="22"/>
          <w:lang w:val="sr-Latn-ME"/>
        </w:rPr>
        <w:t xml:space="preserve"> cisplatina (367 pacijenata u kontrolnoj grupi). Rezultati su u obje studije bili slični. Nije zapažena statistički značajna razlika, ako se kao primarni rezultat uzme mortalitet, između protokola koji sadrže paklitaksel i onog koji sadrži kontrolnu terapiju (medijana vremena preživljavanja 8,1 i 9,5 mjeseci na protokolu koji sadrži paklitaksel, 8,6 i 9,9 mjeseci na protokolu koji sadrži kontrolnu terapiju). Slično tome, nije postojala statistički značajna razlika između različitih vrsta liječenja u vremenu do pojave progresije. Postojala je značajna korist u smislu procenta kliničkog odgovora. Studije o kvalitetu života ukazuju na to da je nedostatak apetita uzrokovan kombinovanom terapijom koja sadrži paklitaksel manji, ali takođe ukazuju na to da postoji povećana incidenca periferne neuropatije (p&lt;0,008) kod primjene kombinovane terapije.</w:t>
      </w:r>
    </w:p>
    <w:p w14:paraId="32EB087D" w14:textId="77777777" w:rsidR="004D2F08" w:rsidRPr="001A7371" w:rsidRDefault="004D2F08" w:rsidP="00EA152F">
      <w:pPr>
        <w:tabs>
          <w:tab w:val="left" w:pos="540"/>
          <w:tab w:val="left" w:pos="569"/>
        </w:tabs>
        <w:jc w:val="both"/>
        <w:rPr>
          <w:bCs/>
          <w:sz w:val="22"/>
          <w:szCs w:val="22"/>
          <w:lang w:val="sr-Latn-ME"/>
        </w:rPr>
      </w:pPr>
    </w:p>
    <w:p w14:paraId="7DB17D3F" w14:textId="77777777" w:rsidR="004D2F08" w:rsidRPr="001A7371" w:rsidRDefault="004D2F08" w:rsidP="004D2F08">
      <w:pPr>
        <w:tabs>
          <w:tab w:val="left" w:pos="540"/>
          <w:tab w:val="left" w:pos="569"/>
        </w:tabs>
        <w:jc w:val="both"/>
        <w:rPr>
          <w:bCs/>
          <w:sz w:val="22"/>
          <w:szCs w:val="22"/>
          <w:u w:val="single"/>
          <w:lang w:val="sr-Latn-ME"/>
        </w:rPr>
      </w:pPr>
      <w:r w:rsidRPr="001A7371">
        <w:rPr>
          <w:bCs/>
          <w:sz w:val="22"/>
          <w:szCs w:val="22"/>
          <w:u w:val="single"/>
          <w:lang w:val="sr-Latn-ME"/>
        </w:rPr>
        <w:t>Kapoši sarkom povezan sa AIDS-om:</w:t>
      </w:r>
    </w:p>
    <w:p w14:paraId="1D1ED1ED" w14:textId="66981D64" w:rsidR="004D2F08" w:rsidRPr="001A7371" w:rsidRDefault="004D2F08" w:rsidP="004D2F08">
      <w:pPr>
        <w:tabs>
          <w:tab w:val="left" w:pos="540"/>
          <w:tab w:val="left" w:pos="569"/>
        </w:tabs>
        <w:jc w:val="both"/>
        <w:rPr>
          <w:bCs/>
          <w:sz w:val="22"/>
          <w:szCs w:val="22"/>
          <w:lang w:val="sr-Latn-ME"/>
        </w:rPr>
      </w:pPr>
      <w:r w:rsidRPr="001A7371">
        <w:rPr>
          <w:bCs/>
          <w:sz w:val="22"/>
          <w:szCs w:val="22"/>
          <w:lang w:val="sr-Latn-ME"/>
        </w:rPr>
        <w:t xml:space="preserve">U liječenju KS povezanog sa AIDS-om, efikasnost i bezbjednost paklitaksela je ispitivana u nekomparativnoj studiji pacijenata sa uznapredovalim KS, prethodno liječenih sistemskom hemioterapijom. Primarni cilj efikasnosti je bio najbolji tumorski odgovor. Od 107 pacijenata, 63 je smatrano rezistentnim na lipozomske antracikline. Smatra se da ova podgrupa čini ključnu populaciju pacijenata u pogledu efikasnosti. Ukupni uspjeh (kompletni/djelimični odgovor) je posle 15 ciklusa liječenja bio 57% (CI 44-70%) kod pacijenata rezistentnih na lipozomske antracikline. Preko 50% odgovora bilo je vidljivo nakon prva 3 ciklusa. Kod pacijenata rezistentnih na lipozomske antracikline odgovor je bio upoređen sa pacijentkinjama koje nisu nikad primale inhibitore proteaze (55,6%) i onih koje su ih primale najmanje 2 mjeseca prije liječenja paklitakselom (60,9%). Medijana vremena </w:t>
      </w:r>
      <w:r w:rsidR="00457416" w:rsidRPr="001A7371">
        <w:rPr>
          <w:bCs/>
          <w:sz w:val="22"/>
          <w:szCs w:val="22"/>
          <w:lang w:val="sr-Latn-ME"/>
        </w:rPr>
        <w:t xml:space="preserve">do </w:t>
      </w:r>
      <w:r w:rsidRPr="001A7371">
        <w:rPr>
          <w:bCs/>
          <w:sz w:val="22"/>
          <w:szCs w:val="22"/>
          <w:lang w:val="sr-Latn-ME"/>
        </w:rPr>
        <w:t xml:space="preserve">progresije u bazičnoj populaciji je bila 468 dana (95% CI 257- NE). Medijana preživljavanja nije se mogla izračunati, ali donja 95%-tna granica je bila 617 dana u </w:t>
      </w:r>
      <w:r w:rsidR="00CC6B70" w:rsidRPr="001A7371">
        <w:rPr>
          <w:bCs/>
          <w:sz w:val="22"/>
          <w:szCs w:val="22"/>
          <w:lang w:val="sr-Latn-ME"/>
        </w:rPr>
        <w:t>ciljanoj</w:t>
      </w:r>
      <w:r w:rsidRPr="001A7371">
        <w:rPr>
          <w:bCs/>
          <w:sz w:val="22"/>
          <w:szCs w:val="22"/>
          <w:lang w:val="sr-Latn-ME"/>
        </w:rPr>
        <w:t xml:space="preserve"> populaciji.</w:t>
      </w:r>
    </w:p>
    <w:p w14:paraId="42682446" w14:textId="77777777" w:rsidR="002E37A5" w:rsidRPr="001A7371" w:rsidRDefault="002E37A5" w:rsidP="00EA152F">
      <w:pPr>
        <w:tabs>
          <w:tab w:val="left" w:pos="540"/>
          <w:tab w:val="left" w:pos="569"/>
        </w:tabs>
        <w:jc w:val="both"/>
        <w:rPr>
          <w:b/>
          <w:bCs/>
          <w:sz w:val="22"/>
          <w:szCs w:val="22"/>
          <w:lang w:val="sr-Latn-ME"/>
        </w:rPr>
      </w:pPr>
    </w:p>
    <w:p w14:paraId="30446D98" w14:textId="77777777" w:rsidR="0072020E" w:rsidRPr="001A7371" w:rsidRDefault="0072020E" w:rsidP="00480FB1">
      <w:pPr>
        <w:tabs>
          <w:tab w:val="left" w:pos="540"/>
          <w:tab w:val="left" w:pos="569"/>
        </w:tabs>
        <w:rPr>
          <w:b/>
          <w:bCs/>
          <w:sz w:val="22"/>
          <w:szCs w:val="22"/>
          <w:lang w:val="sr-Latn-ME"/>
        </w:rPr>
      </w:pPr>
      <w:r w:rsidRPr="001A7371">
        <w:rPr>
          <w:b/>
          <w:bCs/>
          <w:sz w:val="22"/>
          <w:szCs w:val="22"/>
          <w:lang w:val="sr-Latn-ME"/>
        </w:rPr>
        <w:t xml:space="preserve">5.2. </w:t>
      </w:r>
      <w:r w:rsidR="00480FB1" w:rsidRPr="001A7371">
        <w:rPr>
          <w:b/>
          <w:bCs/>
          <w:sz w:val="22"/>
          <w:szCs w:val="22"/>
          <w:lang w:val="sr-Latn-ME"/>
        </w:rPr>
        <w:tab/>
      </w:r>
      <w:r w:rsidRPr="001A7371">
        <w:rPr>
          <w:b/>
          <w:bCs/>
          <w:sz w:val="22"/>
          <w:szCs w:val="22"/>
          <w:lang w:val="sr-Latn-ME"/>
        </w:rPr>
        <w:t>Farmakokinetički podaci</w:t>
      </w:r>
      <w:r w:rsidR="003A7059" w:rsidRPr="001A7371">
        <w:rPr>
          <w:b/>
          <w:bCs/>
          <w:sz w:val="22"/>
          <w:szCs w:val="22"/>
          <w:lang w:val="sr-Latn-ME"/>
        </w:rPr>
        <w:t xml:space="preserve"> </w:t>
      </w:r>
    </w:p>
    <w:p w14:paraId="4C2D23BB" w14:textId="77777777" w:rsidR="00346E18" w:rsidRPr="001A7371" w:rsidRDefault="00346E18" w:rsidP="00480FB1">
      <w:pPr>
        <w:tabs>
          <w:tab w:val="left" w:pos="540"/>
          <w:tab w:val="left" w:pos="569"/>
        </w:tabs>
        <w:rPr>
          <w:b/>
          <w:bCs/>
          <w:sz w:val="22"/>
          <w:szCs w:val="22"/>
          <w:lang w:val="sr-Latn-ME"/>
        </w:rPr>
      </w:pPr>
    </w:p>
    <w:p w14:paraId="7AC089A8" w14:textId="77777777" w:rsidR="00346E18" w:rsidRPr="001A7371" w:rsidRDefault="00346E18" w:rsidP="00346E18">
      <w:pPr>
        <w:tabs>
          <w:tab w:val="left" w:pos="540"/>
          <w:tab w:val="left" w:pos="569"/>
        </w:tabs>
        <w:jc w:val="both"/>
        <w:rPr>
          <w:bCs/>
          <w:sz w:val="22"/>
          <w:szCs w:val="22"/>
          <w:lang w:val="sr-Latn-ME"/>
        </w:rPr>
      </w:pPr>
      <w:r w:rsidRPr="001A7371">
        <w:rPr>
          <w:bCs/>
          <w:sz w:val="22"/>
          <w:szCs w:val="22"/>
          <w:lang w:val="sr-Latn-ME"/>
        </w:rPr>
        <w:t>Resorpcija</w:t>
      </w:r>
    </w:p>
    <w:p w14:paraId="476DF23C" w14:textId="77777777" w:rsidR="00346E18" w:rsidRPr="001A7371" w:rsidRDefault="00346E18" w:rsidP="00346E18">
      <w:pPr>
        <w:tabs>
          <w:tab w:val="left" w:pos="540"/>
          <w:tab w:val="left" w:pos="569"/>
        </w:tabs>
        <w:jc w:val="both"/>
        <w:rPr>
          <w:bCs/>
          <w:sz w:val="22"/>
          <w:szCs w:val="22"/>
          <w:lang w:val="sr-Latn-ME"/>
        </w:rPr>
      </w:pPr>
      <w:r w:rsidRPr="001A7371">
        <w:rPr>
          <w:bCs/>
          <w:sz w:val="22"/>
          <w:szCs w:val="22"/>
          <w:lang w:val="sr-Latn-ME"/>
        </w:rPr>
        <w:t>Nakon intravenske primjene, paklitaksel ispoljava bifazno opadanje koncentracije u plazmi.</w:t>
      </w:r>
    </w:p>
    <w:p w14:paraId="5FF2B98B" w14:textId="7B35D649" w:rsidR="0072020E" w:rsidRPr="001A7371" w:rsidRDefault="00346E18" w:rsidP="00346E18">
      <w:pPr>
        <w:tabs>
          <w:tab w:val="left" w:pos="540"/>
          <w:tab w:val="left" w:pos="569"/>
        </w:tabs>
        <w:jc w:val="both"/>
        <w:rPr>
          <w:bCs/>
          <w:sz w:val="22"/>
          <w:szCs w:val="22"/>
          <w:lang w:val="sr-Latn-ME"/>
        </w:rPr>
      </w:pPr>
      <w:r w:rsidRPr="001A7371">
        <w:rPr>
          <w:bCs/>
          <w:sz w:val="22"/>
          <w:szCs w:val="22"/>
          <w:lang w:val="sr-Latn-ME"/>
        </w:rPr>
        <w:t>Famakokinetika paklitaksela je određivana posle primjene doze od 135 mg/m</w:t>
      </w:r>
      <w:r w:rsidRPr="001A7371">
        <w:rPr>
          <w:bCs/>
          <w:sz w:val="22"/>
          <w:szCs w:val="22"/>
          <w:vertAlign w:val="superscript"/>
          <w:lang w:val="sr-Latn-ME"/>
        </w:rPr>
        <w:t>2</w:t>
      </w:r>
      <w:r w:rsidRPr="001A7371">
        <w:rPr>
          <w:bCs/>
          <w:sz w:val="22"/>
          <w:szCs w:val="22"/>
          <w:lang w:val="sr-Latn-ME"/>
        </w:rPr>
        <w:t xml:space="preserve"> i 175mg/m</w:t>
      </w:r>
      <w:r w:rsidRPr="001A7371">
        <w:rPr>
          <w:bCs/>
          <w:sz w:val="22"/>
          <w:szCs w:val="22"/>
          <w:vertAlign w:val="superscript"/>
          <w:lang w:val="sr-Latn-ME"/>
        </w:rPr>
        <w:t>2</w:t>
      </w:r>
      <w:r w:rsidRPr="001A7371">
        <w:rPr>
          <w:bCs/>
          <w:sz w:val="22"/>
          <w:szCs w:val="22"/>
          <w:lang w:val="sr-Latn-ME"/>
        </w:rPr>
        <w:t xml:space="preserve"> 3-časovnom i 24- časovnom infuzijom. Srednj</w:t>
      </w:r>
      <w:r w:rsidR="00790617" w:rsidRPr="001A7371">
        <w:rPr>
          <w:bCs/>
          <w:sz w:val="22"/>
          <w:szCs w:val="22"/>
          <w:lang w:val="sr-Latn-ME"/>
        </w:rPr>
        <w:t>a vrijednost</w:t>
      </w:r>
      <w:r w:rsidRPr="001A7371">
        <w:rPr>
          <w:bCs/>
          <w:sz w:val="22"/>
          <w:szCs w:val="22"/>
          <w:lang w:val="sr-Latn-ME"/>
        </w:rPr>
        <w:t xml:space="preserve"> poluvr</w:t>
      </w:r>
      <w:r w:rsidR="00790617" w:rsidRPr="001A7371">
        <w:rPr>
          <w:bCs/>
          <w:sz w:val="22"/>
          <w:szCs w:val="22"/>
          <w:lang w:val="sr-Latn-ME"/>
        </w:rPr>
        <w:t>emena</w:t>
      </w:r>
      <w:r w:rsidRPr="001A7371">
        <w:rPr>
          <w:bCs/>
          <w:sz w:val="22"/>
          <w:szCs w:val="22"/>
          <w:lang w:val="sr-Latn-ME"/>
        </w:rPr>
        <w:t xml:space="preserve"> eliminacije kretal</w:t>
      </w:r>
      <w:r w:rsidR="00790617" w:rsidRPr="001A7371">
        <w:rPr>
          <w:bCs/>
          <w:sz w:val="22"/>
          <w:szCs w:val="22"/>
          <w:lang w:val="sr-Latn-ME"/>
        </w:rPr>
        <w:t>a</w:t>
      </w:r>
      <w:r w:rsidRPr="001A7371">
        <w:rPr>
          <w:bCs/>
          <w:sz w:val="22"/>
          <w:szCs w:val="22"/>
          <w:lang w:val="sr-Latn-ME"/>
        </w:rPr>
        <w:t xml:space="preserve"> se u rasponu od 3,0 do 52,7 sati, a srednje vrijednosti</w:t>
      </w:r>
      <w:r w:rsidR="00790617" w:rsidRPr="001A7371">
        <w:rPr>
          <w:bCs/>
          <w:sz w:val="22"/>
          <w:szCs w:val="22"/>
          <w:lang w:val="sr-Latn-ME"/>
        </w:rPr>
        <w:t xml:space="preserve"> izvedene iz ne-kompartmenta, za </w:t>
      </w:r>
      <w:r w:rsidRPr="001A7371">
        <w:rPr>
          <w:bCs/>
          <w:sz w:val="22"/>
          <w:szCs w:val="22"/>
          <w:lang w:val="sr-Latn-ME"/>
        </w:rPr>
        <w:t xml:space="preserve"> ukupn</w:t>
      </w:r>
      <w:r w:rsidR="00790617" w:rsidRPr="001A7371">
        <w:rPr>
          <w:bCs/>
          <w:sz w:val="22"/>
          <w:szCs w:val="22"/>
          <w:lang w:val="sr-Latn-ME"/>
        </w:rPr>
        <w:t>i</w:t>
      </w:r>
      <w:r w:rsidRPr="001A7371">
        <w:rPr>
          <w:bCs/>
          <w:sz w:val="22"/>
          <w:szCs w:val="22"/>
          <w:lang w:val="sr-Latn-ME"/>
        </w:rPr>
        <w:t xml:space="preserve"> klirens iznosile su od 11,6 do </w:t>
      </w:r>
      <w:r w:rsidRPr="001A7371">
        <w:rPr>
          <w:bCs/>
          <w:sz w:val="22"/>
          <w:szCs w:val="22"/>
          <w:lang w:val="sr-Latn-ME"/>
        </w:rPr>
        <w:lastRenderedPageBreak/>
        <w:t>24,0 L/čas/m</w:t>
      </w:r>
      <w:r w:rsidRPr="001A7371">
        <w:rPr>
          <w:bCs/>
          <w:sz w:val="22"/>
          <w:szCs w:val="22"/>
          <w:vertAlign w:val="superscript"/>
          <w:lang w:val="sr-Latn-ME"/>
        </w:rPr>
        <w:t>2</w:t>
      </w:r>
      <w:r w:rsidRPr="001A7371">
        <w:rPr>
          <w:bCs/>
          <w:sz w:val="22"/>
          <w:szCs w:val="22"/>
          <w:lang w:val="sr-Latn-ME"/>
        </w:rPr>
        <w:t xml:space="preserve">. Ukupni klirens se smanjuje sa povećanjem koncentracije paklitaksela u plazmi. Srednja vrijednost volumena distribucije u stanju ravnoteže (engl. </w:t>
      </w:r>
      <w:r w:rsidRPr="001A7371">
        <w:rPr>
          <w:bCs/>
          <w:i/>
          <w:sz w:val="22"/>
          <w:szCs w:val="22"/>
          <w:lang w:val="sr-Latn-ME"/>
        </w:rPr>
        <w:t>steady state</w:t>
      </w:r>
      <w:r w:rsidRPr="001A7371">
        <w:rPr>
          <w:bCs/>
          <w:sz w:val="22"/>
          <w:szCs w:val="22"/>
          <w:lang w:val="sr-Latn-ME"/>
        </w:rPr>
        <w:t>) se kreće u rasponu od 198 do 688 L/m</w:t>
      </w:r>
      <w:r w:rsidRPr="001A7371">
        <w:rPr>
          <w:bCs/>
          <w:sz w:val="22"/>
          <w:szCs w:val="22"/>
          <w:vertAlign w:val="superscript"/>
          <w:lang w:val="sr-Latn-ME"/>
        </w:rPr>
        <w:t>2</w:t>
      </w:r>
      <w:r w:rsidRPr="001A7371">
        <w:rPr>
          <w:bCs/>
          <w:sz w:val="22"/>
          <w:szCs w:val="22"/>
          <w:lang w:val="sr-Latn-ME"/>
        </w:rPr>
        <w:t>, što upućuje na obilnu ekstravaskularnu raspodjelu i/ili vezivanje u tkivima. Kod 3-časovne infuzije povećanje doze je dovelo do nelinearne farmakokinetike. Sa povećanjem doze za 30%, sa 135 mg/m</w:t>
      </w:r>
      <w:r w:rsidRPr="001A7371">
        <w:rPr>
          <w:bCs/>
          <w:sz w:val="22"/>
          <w:szCs w:val="22"/>
          <w:vertAlign w:val="superscript"/>
          <w:lang w:val="sr-Latn-ME"/>
        </w:rPr>
        <w:t>2</w:t>
      </w:r>
      <w:r w:rsidRPr="001A7371">
        <w:rPr>
          <w:bCs/>
          <w:sz w:val="22"/>
          <w:szCs w:val="22"/>
          <w:lang w:val="sr-Latn-ME"/>
        </w:rPr>
        <w:t xml:space="preserve"> na 175 mg/m</w:t>
      </w:r>
      <w:r w:rsidRPr="001A7371">
        <w:rPr>
          <w:bCs/>
          <w:sz w:val="22"/>
          <w:szCs w:val="22"/>
          <w:vertAlign w:val="superscript"/>
          <w:lang w:val="sr-Latn-ME"/>
        </w:rPr>
        <w:t>2</w:t>
      </w:r>
      <w:r w:rsidRPr="001A7371">
        <w:rPr>
          <w:bCs/>
          <w:sz w:val="22"/>
          <w:szCs w:val="22"/>
          <w:lang w:val="sr-Latn-ME"/>
        </w:rPr>
        <w:t xml:space="preserve"> , vrijednosti C</w:t>
      </w:r>
      <w:r w:rsidRPr="001A7371">
        <w:rPr>
          <w:bCs/>
          <w:sz w:val="22"/>
          <w:szCs w:val="22"/>
          <w:vertAlign w:val="subscript"/>
          <w:lang w:val="sr-Latn-ME"/>
        </w:rPr>
        <w:t>max</w:t>
      </w:r>
      <w:r w:rsidRPr="001A7371">
        <w:rPr>
          <w:bCs/>
          <w:sz w:val="22"/>
          <w:szCs w:val="22"/>
          <w:lang w:val="sr-Latn-ME"/>
        </w:rPr>
        <w:t xml:space="preserve"> su porasle za 75%, a vrijednost AUC za 81%.</w:t>
      </w:r>
    </w:p>
    <w:p w14:paraId="7DC4E9DA" w14:textId="77777777" w:rsidR="00346E18" w:rsidRPr="001A7371" w:rsidRDefault="00346E18" w:rsidP="00346E18">
      <w:pPr>
        <w:tabs>
          <w:tab w:val="left" w:pos="540"/>
          <w:tab w:val="left" w:pos="569"/>
        </w:tabs>
        <w:jc w:val="both"/>
        <w:rPr>
          <w:bCs/>
          <w:sz w:val="22"/>
          <w:szCs w:val="22"/>
          <w:lang w:val="sr-Latn-ME"/>
        </w:rPr>
      </w:pPr>
    </w:p>
    <w:p w14:paraId="064C40AB" w14:textId="25F769F4" w:rsidR="00346E18" w:rsidRPr="001A7371" w:rsidRDefault="00346E18" w:rsidP="00346E18">
      <w:pPr>
        <w:tabs>
          <w:tab w:val="left" w:pos="540"/>
          <w:tab w:val="left" w:pos="569"/>
        </w:tabs>
        <w:jc w:val="both"/>
        <w:rPr>
          <w:bCs/>
          <w:sz w:val="22"/>
          <w:szCs w:val="22"/>
          <w:lang w:val="sr-Latn-ME"/>
        </w:rPr>
      </w:pPr>
      <w:r w:rsidRPr="001A7371">
        <w:rPr>
          <w:bCs/>
          <w:sz w:val="22"/>
          <w:szCs w:val="22"/>
          <w:lang w:val="sr-Latn-ME"/>
        </w:rPr>
        <w:t>Nakon intravenske primjene doze od 100 mg/m</w:t>
      </w:r>
      <w:r w:rsidRPr="001A7371">
        <w:rPr>
          <w:bCs/>
          <w:sz w:val="22"/>
          <w:szCs w:val="22"/>
          <w:vertAlign w:val="superscript"/>
          <w:lang w:val="sr-Latn-ME"/>
        </w:rPr>
        <w:t>2</w:t>
      </w:r>
      <w:r w:rsidRPr="001A7371">
        <w:rPr>
          <w:bCs/>
          <w:sz w:val="22"/>
          <w:szCs w:val="22"/>
          <w:lang w:val="sr-Latn-ME"/>
        </w:rPr>
        <w:t xml:space="preserve"> 3-časovnom infuzijom kod 19 pacijenata sa KS, srednja vrijednost C</w:t>
      </w:r>
      <w:r w:rsidRPr="001A7371">
        <w:rPr>
          <w:bCs/>
          <w:sz w:val="22"/>
          <w:szCs w:val="22"/>
          <w:vertAlign w:val="subscript"/>
          <w:lang w:val="sr-Latn-ME"/>
        </w:rPr>
        <w:t>max</w:t>
      </w:r>
      <w:r w:rsidRPr="001A7371">
        <w:rPr>
          <w:bCs/>
          <w:sz w:val="22"/>
          <w:szCs w:val="22"/>
          <w:lang w:val="sr-Latn-ME"/>
        </w:rPr>
        <w:t xml:space="preserve"> bila je 1,530 ng/ml (opseg 761 - 2,860 ng/ml), a srednja AUC 5,619 ng.hr/ml (opseg 2,609 - 9,428 ng.hr/ml). Klirens je bio 20,</w:t>
      </w:r>
      <w:r w:rsidR="00790617" w:rsidRPr="001A7371">
        <w:rPr>
          <w:bCs/>
          <w:sz w:val="22"/>
          <w:szCs w:val="22"/>
          <w:lang w:val="sr-Latn-ME"/>
        </w:rPr>
        <w:t xml:space="preserve"> </w:t>
      </w:r>
      <w:r w:rsidRPr="001A7371">
        <w:rPr>
          <w:bCs/>
          <w:sz w:val="22"/>
          <w:szCs w:val="22"/>
          <w:lang w:val="sr-Latn-ME"/>
        </w:rPr>
        <w:t>6 L/h/m</w:t>
      </w:r>
      <w:r w:rsidRPr="001A7371">
        <w:rPr>
          <w:bCs/>
          <w:sz w:val="22"/>
          <w:szCs w:val="22"/>
          <w:vertAlign w:val="superscript"/>
          <w:lang w:val="sr-Latn-ME"/>
        </w:rPr>
        <w:t>2</w:t>
      </w:r>
      <w:r w:rsidRPr="001A7371">
        <w:rPr>
          <w:bCs/>
          <w:sz w:val="22"/>
          <w:szCs w:val="22"/>
          <w:lang w:val="sr-Latn-ME"/>
        </w:rPr>
        <w:t xml:space="preserve"> (opseg 11-38), a </w:t>
      </w:r>
      <w:r w:rsidR="00790617" w:rsidRPr="001A7371">
        <w:rPr>
          <w:bCs/>
          <w:sz w:val="22"/>
          <w:szCs w:val="22"/>
          <w:lang w:val="sr-Latn-ME"/>
        </w:rPr>
        <w:t>volumen</w:t>
      </w:r>
      <w:r w:rsidRPr="001A7371">
        <w:rPr>
          <w:bCs/>
          <w:sz w:val="22"/>
          <w:szCs w:val="22"/>
          <w:lang w:val="sr-Latn-ME"/>
        </w:rPr>
        <w:t xml:space="preserve"> distribucije je bil</w:t>
      </w:r>
      <w:r w:rsidR="00790617" w:rsidRPr="001A7371">
        <w:rPr>
          <w:bCs/>
          <w:sz w:val="22"/>
          <w:szCs w:val="22"/>
          <w:lang w:val="sr-Latn-ME"/>
        </w:rPr>
        <w:t>o</w:t>
      </w:r>
      <w:r w:rsidRPr="001A7371">
        <w:rPr>
          <w:bCs/>
          <w:sz w:val="22"/>
          <w:szCs w:val="22"/>
          <w:lang w:val="sr-Latn-ME"/>
        </w:rPr>
        <w:t xml:space="preserve"> 291 L/m</w:t>
      </w:r>
      <w:r w:rsidRPr="001A7371">
        <w:rPr>
          <w:bCs/>
          <w:sz w:val="22"/>
          <w:szCs w:val="22"/>
          <w:vertAlign w:val="superscript"/>
          <w:lang w:val="sr-Latn-ME"/>
        </w:rPr>
        <w:t>2</w:t>
      </w:r>
      <w:r w:rsidRPr="001A7371">
        <w:rPr>
          <w:bCs/>
          <w:sz w:val="22"/>
          <w:szCs w:val="22"/>
          <w:lang w:val="sr-Latn-ME"/>
        </w:rPr>
        <w:t xml:space="preserve"> (opseg 121-638). Terminalno poluvrijeme eliminacije je u prosjeku iznosilo 23,7 sati (opseg 12 -33).</w:t>
      </w:r>
    </w:p>
    <w:p w14:paraId="365985F6" w14:textId="77777777" w:rsidR="00346E18" w:rsidRPr="001A7371" w:rsidRDefault="00346E18" w:rsidP="00346E18">
      <w:pPr>
        <w:tabs>
          <w:tab w:val="left" w:pos="540"/>
          <w:tab w:val="left" w:pos="569"/>
        </w:tabs>
        <w:jc w:val="both"/>
        <w:rPr>
          <w:bCs/>
          <w:sz w:val="22"/>
          <w:szCs w:val="22"/>
          <w:lang w:val="sr-Latn-ME"/>
        </w:rPr>
      </w:pPr>
    </w:p>
    <w:p w14:paraId="2374FDCB" w14:textId="1F396302" w:rsidR="00346E18" w:rsidRPr="001A7371" w:rsidRDefault="00790617" w:rsidP="00346E18">
      <w:pPr>
        <w:tabs>
          <w:tab w:val="left" w:pos="540"/>
          <w:tab w:val="left" w:pos="569"/>
        </w:tabs>
        <w:jc w:val="both"/>
        <w:rPr>
          <w:bCs/>
          <w:sz w:val="22"/>
          <w:szCs w:val="22"/>
          <w:lang w:val="sr-Latn-ME"/>
        </w:rPr>
      </w:pPr>
      <w:r w:rsidRPr="001A7371">
        <w:rPr>
          <w:bCs/>
          <w:sz w:val="22"/>
          <w:szCs w:val="22"/>
          <w:lang w:val="sr-Latn-ME"/>
        </w:rPr>
        <w:t xml:space="preserve">Intraindividualna varijabilnost </w:t>
      </w:r>
      <w:r w:rsidR="00346E18" w:rsidRPr="001A7371">
        <w:rPr>
          <w:bCs/>
          <w:sz w:val="22"/>
          <w:szCs w:val="22"/>
          <w:lang w:val="sr-Latn-ME"/>
        </w:rPr>
        <w:t>je kod sistemskog izlaganja paklitakselu bila minimalna. Ne postoje dokazi o akumulaciji paklitaksela kod višestrukih terapijskih ciklusa.</w:t>
      </w:r>
    </w:p>
    <w:p w14:paraId="5A391CE7" w14:textId="77777777" w:rsidR="00346E18" w:rsidRPr="001A7371" w:rsidRDefault="00346E18" w:rsidP="00346E18">
      <w:pPr>
        <w:tabs>
          <w:tab w:val="left" w:pos="540"/>
          <w:tab w:val="left" w:pos="569"/>
        </w:tabs>
        <w:jc w:val="both"/>
        <w:rPr>
          <w:bCs/>
          <w:sz w:val="22"/>
          <w:szCs w:val="22"/>
          <w:lang w:val="sr-Latn-ME"/>
        </w:rPr>
      </w:pPr>
    </w:p>
    <w:p w14:paraId="5C16A0AF" w14:textId="77777777" w:rsidR="00E12067" w:rsidRPr="001A7371" w:rsidRDefault="00E12067" w:rsidP="00E12067">
      <w:pPr>
        <w:tabs>
          <w:tab w:val="left" w:pos="540"/>
          <w:tab w:val="left" w:pos="569"/>
        </w:tabs>
        <w:jc w:val="both"/>
        <w:rPr>
          <w:bCs/>
          <w:sz w:val="22"/>
          <w:szCs w:val="22"/>
          <w:lang w:val="sr-Latn-ME"/>
        </w:rPr>
      </w:pPr>
      <w:r w:rsidRPr="001A7371">
        <w:rPr>
          <w:bCs/>
          <w:sz w:val="22"/>
          <w:szCs w:val="22"/>
          <w:lang w:val="sr-Latn-ME"/>
        </w:rPr>
        <w:t>Distribucija</w:t>
      </w:r>
    </w:p>
    <w:p w14:paraId="6B1F4073" w14:textId="77777777" w:rsidR="00E12067" w:rsidRPr="001A7371" w:rsidRDefault="00E12067" w:rsidP="00E12067">
      <w:pPr>
        <w:tabs>
          <w:tab w:val="left" w:pos="540"/>
          <w:tab w:val="left" w:pos="569"/>
        </w:tabs>
        <w:jc w:val="both"/>
        <w:rPr>
          <w:bCs/>
          <w:sz w:val="22"/>
          <w:szCs w:val="22"/>
          <w:lang w:val="sr-Latn-ME"/>
        </w:rPr>
      </w:pPr>
      <w:r w:rsidRPr="001A7371">
        <w:rPr>
          <w:bCs/>
          <w:sz w:val="22"/>
          <w:szCs w:val="22"/>
          <w:lang w:val="sr-Latn-ME"/>
        </w:rPr>
        <w:t>In vitro ispitivanja pokazuju da se 89%-98% lijeka vezuje za proteine humanog seruma. Cimetidin, ranitidin, deksametazon ili difenhidramin ne utiču na vezivanje paklitaksela za proteine.</w:t>
      </w:r>
    </w:p>
    <w:p w14:paraId="28F864AE" w14:textId="77777777" w:rsidR="00E12067" w:rsidRPr="001A7371" w:rsidRDefault="00E12067" w:rsidP="00E12067">
      <w:pPr>
        <w:tabs>
          <w:tab w:val="left" w:pos="540"/>
          <w:tab w:val="left" w:pos="569"/>
        </w:tabs>
        <w:jc w:val="both"/>
        <w:rPr>
          <w:bCs/>
          <w:sz w:val="22"/>
          <w:szCs w:val="22"/>
          <w:lang w:val="sr-Latn-ME"/>
        </w:rPr>
      </w:pPr>
    </w:p>
    <w:p w14:paraId="5C3B2613" w14:textId="77777777" w:rsidR="00E12067" w:rsidRPr="001A7371" w:rsidRDefault="00E12067" w:rsidP="00E12067">
      <w:pPr>
        <w:tabs>
          <w:tab w:val="left" w:pos="540"/>
          <w:tab w:val="left" w:pos="569"/>
        </w:tabs>
        <w:jc w:val="both"/>
        <w:rPr>
          <w:bCs/>
          <w:sz w:val="22"/>
          <w:szCs w:val="22"/>
          <w:lang w:val="sr-Latn-ME"/>
        </w:rPr>
      </w:pPr>
      <w:r w:rsidRPr="001A7371">
        <w:rPr>
          <w:bCs/>
          <w:sz w:val="22"/>
          <w:szCs w:val="22"/>
          <w:lang w:val="sr-Latn-ME"/>
        </w:rPr>
        <w:t>Biotransformacija i eliminacija</w:t>
      </w:r>
    </w:p>
    <w:p w14:paraId="64308FF3" w14:textId="1BDF3878" w:rsidR="00E12067" w:rsidRPr="001A7371" w:rsidRDefault="00E12067" w:rsidP="00E12067">
      <w:pPr>
        <w:tabs>
          <w:tab w:val="left" w:pos="540"/>
          <w:tab w:val="left" w:pos="569"/>
        </w:tabs>
        <w:jc w:val="both"/>
        <w:rPr>
          <w:bCs/>
          <w:sz w:val="22"/>
          <w:szCs w:val="22"/>
          <w:lang w:val="sr-Latn-ME"/>
        </w:rPr>
      </w:pPr>
      <w:r w:rsidRPr="001A7371">
        <w:rPr>
          <w:bCs/>
          <w:sz w:val="22"/>
          <w:szCs w:val="22"/>
          <w:lang w:val="sr-Latn-ME"/>
        </w:rPr>
        <w:t xml:space="preserve">Distribucija i biotransformacija paklitaksela kod ljudi nije u potpunosti ispitana. </w:t>
      </w:r>
      <w:r w:rsidR="00790617" w:rsidRPr="001A7371">
        <w:rPr>
          <w:bCs/>
          <w:sz w:val="22"/>
          <w:szCs w:val="22"/>
          <w:lang w:val="sr-Latn-ME"/>
        </w:rPr>
        <w:t>Srednja vrijednost ukupno izlučenog</w:t>
      </w:r>
      <w:r w:rsidRPr="001A7371">
        <w:rPr>
          <w:bCs/>
          <w:sz w:val="22"/>
          <w:szCs w:val="22"/>
          <w:lang w:val="sr-Latn-ME"/>
        </w:rPr>
        <w:t xml:space="preserve"> neizmijenjenog paklitaksela u urinu bila je između 1,3 i 12,6% doze, što ukazuje na značajan nerenalni klirens. Moguće je da su hepatički metabolizam i bilijarni klirens glavni mehanizam eliminacije paklitaksela. Paklitaksel se </w:t>
      </w:r>
      <w:r w:rsidR="00790617" w:rsidRPr="001A7371">
        <w:rPr>
          <w:bCs/>
          <w:sz w:val="22"/>
          <w:szCs w:val="22"/>
          <w:lang w:val="sr-Latn-ME"/>
        </w:rPr>
        <w:t xml:space="preserve">vjerovatno </w:t>
      </w:r>
      <w:r w:rsidRPr="001A7371">
        <w:rPr>
          <w:bCs/>
          <w:sz w:val="22"/>
          <w:szCs w:val="22"/>
          <w:lang w:val="sr-Latn-ME"/>
        </w:rPr>
        <w:t>prvenstveno metaboliše pomoću citohrom P450 enzima. Prosječno 26% od radioaktivno obilježenog paklitaksela je eliminisano fecesom kao 6α- hidroksipaklitaksel, 2% kao 3'-p- dihidroksi-paklitaksela, i 6% kao 6α-3'-p-dihidroksi-paklitaksela.</w:t>
      </w:r>
    </w:p>
    <w:p w14:paraId="360F5071" w14:textId="7E0E5E10" w:rsidR="00E12067" w:rsidRPr="001A7371" w:rsidRDefault="00114C60" w:rsidP="00E12067">
      <w:pPr>
        <w:tabs>
          <w:tab w:val="left" w:pos="540"/>
          <w:tab w:val="left" w:pos="569"/>
        </w:tabs>
        <w:jc w:val="both"/>
        <w:rPr>
          <w:bCs/>
          <w:sz w:val="22"/>
          <w:szCs w:val="22"/>
          <w:lang w:val="sr-Latn-ME"/>
        </w:rPr>
      </w:pPr>
      <w:r w:rsidRPr="001A7371">
        <w:rPr>
          <w:bCs/>
          <w:sz w:val="22"/>
          <w:szCs w:val="22"/>
          <w:lang w:val="sr-Latn-ME"/>
        </w:rPr>
        <w:t>Stvaranje ovih hidroksiliranih metabolite katalizovano je djelovanjem CYP2C8, CYP3A4, te djelovanjem oba, CYP2C8 i CYP3A4.</w:t>
      </w:r>
    </w:p>
    <w:p w14:paraId="048DDFDD" w14:textId="77777777" w:rsidR="00E12067" w:rsidRPr="001A7371" w:rsidRDefault="00E12067" w:rsidP="00E12067">
      <w:pPr>
        <w:tabs>
          <w:tab w:val="left" w:pos="540"/>
          <w:tab w:val="left" w:pos="569"/>
        </w:tabs>
        <w:jc w:val="both"/>
        <w:rPr>
          <w:bCs/>
          <w:sz w:val="22"/>
          <w:szCs w:val="22"/>
          <w:lang w:val="sr-Latn-ME"/>
        </w:rPr>
      </w:pPr>
      <w:r w:rsidRPr="001A7371">
        <w:rPr>
          <w:bCs/>
          <w:sz w:val="22"/>
          <w:szCs w:val="22"/>
          <w:lang w:val="sr-Latn-ME"/>
        </w:rPr>
        <w:t>Uticaj poremećаја funkcije bubrega ili jetre na eliminaciju paklitaksela iz organizma posle tročasovne infuzije nije ispitan. Farmakokinetički parametri zabilježeni kod pacijenta na hemodijalizi koji je primio tročasovnu infuziju paklitaksela u dozi od 135 mg/m2 kretali su se unutar raspona određenih kod pacijenata koji nisu na dijalizi.</w:t>
      </w:r>
    </w:p>
    <w:p w14:paraId="51D1C879" w14:textId="77777777" w:rsidR="00E12067" w:rsidRPr="001A7371" w:rsidRDefault="00E12067" w:rsidP="00E12067">
      <w:pPr>
        <w:tabs>
          <w:tab w:val="left" w:pos="540"/>
          <w:tab w:val="left" w:pos="569"/>
        </w:tabs>
        <w:jc w:val="both"/>
        <w:rPr>
          <w:bCs/>
          <w:sz w:val="22"/>
          <w:szCs w:val="22"/>
          <w:lang w:val="sr-Latn-ME"/>
        </w:rPr>
      </w:pPr>
    </w:p>
    <w:p w14:paraId="7804A3B8" w14:textId="25EF7302" w:rsidR="00E12067" w:rsidRPr="001A7371" w:rsidRDefault="00E12067" w:rsidP="00E12067">
      <w:pPr>
        <w:tabs>
          <w:tab w:val="left" w:pos="540"/>
          <w:tab w:val="left" w:pos="569"/>
        </w:tabs>
        <w:jc w:val="both"/>
        <w:rPr>
          <w:bCs/>
          <w:sz w:val="22"/>
          <w:szCs w:val="22"/>
          <w:lang w:val="sr-Latn-ME"/>
        </w:rPr>
      </w:pPr>
      <w:r w:rsidRPr="001A7371">
        <w:rPr>
          <w:bCs/>
          <w:sz w:val="22"/>
          <w:szCs w:val="22"/>
          <w:lang w:val="sr-Latn-ME"/>
        </w:rPr>
        <w:t xml:space="preserve">U kliničkim studijama u kojima su paklitaksel i doksorubicin primjenjivani istovremeno, zapaženo je produženje distribucije i eliminacije doksorubicina i njegovih metabolita. Ukupna </w:t>
      </w:r>
      <w:r w:rsidR="00114C60" w:rsidRPr="001A7371">
        <w:rPr>
          <w:bCs/>
          <w:sz w:val="22"/>
          <w:szCs w:val="22"/>
          <w:lang w:val="sr-Latn-ME"/>
        </w:rPr>
        <w:t>izloženost plazme</w:t>
      </w:r>
      <w:r w:rsidRPr="001A7371">
        <w:rPr>
          <w:bCs/>
          <w:sz w:val="22"/>
          <w:szCs w:val="22"/>
          <w:lang w:val="sr-Latn-ME"/>
        </w:rPr>
        <w:t xml:space="preserve"> doksorubic</w:t>
      </w:r>
      <w:r w:rsidR="00114C60" w:rsidRPr="001A7371">
        <w:rPr>
          <w:bCs/>
          <w:sz w:val="22"/>
          <w:szCs w:val="22"/>
          <w:lang w:val="sr-Latn-ME"/>
        </w:rPr>
        <w:t>inu</w:t>
      </w:r>
      <w:r w:rsidRPr="001A7371">
        <w:rPr>
          <w:bCs/>
          <w:sz w:val="22"/>
          <w:szCs w:val="22"/>
          <w:lang w:val="sr-Latn-ME"/>
        </w:rPr>
        <w:t xml:space="preserve"> je bila 30% veća kada je paklitaksel davan odmah posle doksorubicina u poređenju sa šemom davanja sa razmakom od 24 sata između ljekova.</w:t>
      </w:r>
    </w:p>
    <w:p w14:paraId="6509BAE9" w14:textId="77777777" w:rsidR="00E12067" w:rsidRPr="001A7371" w:rsidRDefault="00E12067" w:rsidP="00E12067">
      <w:pPr>
        <w:tabs>
          <w:tab w:val="left" w:pos="540"/>
          <w:tab w:val="left" w:pos="569"/>
        </w:tabs>
        <w:jc w:val="both"/>
        <w:rPr>
          <w:bCs/>
          <w:sz w:val="22"/>
          <w:szCs w:val="22"/>
          <w:lang w:val="sr-Latn-ME"/>
        </w:rPr>
      </w:pPr>
    </w:p>
    <w:p w14:paraId="41545A3B" w14:textId="77777777" w:rsidR="00E12067" w:rsidRPr="001A7371" w:rsidRDefault="00E12067" w:rsidP="00E12067">
      <w:pPr>
        <w:tabs>
          <w:tab w:val="left" w:pos="540"/>
          <w:tab w:val="left" w:pos="569"/>
        </w:tabs>
        <w:jc w:val="both"/>
        <w:rPr>
          <w:bCs/>
          <w:sz w:val="22"/>
          <w:szCs w:val="22"/>
          <w:lang w:val="sr-Latn-ME"/>
        </w:rPr>
      </w:pPr>
      <w:r w:rsidRPr="001A7371">
        <w:rPr>
          <w:bCs/>
          <w:sz w:val="22"/>
          <w:szCs w:val="22"/>
          <w:lang w:val="sr-Latn-ME"/>
        </w:rPr>
        <w:t>Za upotrebu paklitaksela u kombinaciji sa drugim ljekovima pogledajte Sažetak karakteristika lijeka za cisplatin, doksorubicin ili trastuzumab.</w:t>
      </w:r>
    </w:p>
    <w:p w14:paraId="5C165E40" w14:textId="77777777" w:rsidR="00346E18" w:rsidRPr="001A7371" w:rsidRDefault="00346E18" w:rsidP="00346E18">
      <w:pPr>
        <w:tabs>
          <w:tab w:val="left" w:pos="540"/>
          <w:tab w:val="left" w:pos="569"/>
        </w:tabs>
        <w:jc w:val="both"/>
        <w:rPr>
          <w:bCs/>
          <w:sz w:val="22"/>
          <w:szCs w:val="22"/>
          <w:lang w:val="sr-Latn-ME"/>
        </w:rPr>
      </w:pPr>
    </w:p>
    <w:p w14:paraId="612AAEC4" w14:textId="77777777" w:rsidR="0072020E" w:rsidRPr="001A7371" w:rsidRDefault="0072020E" w:rsidP="00480FB1">
      <w:pPr>
        <w:tabs>
          <w:tab w:val="left" w:pos="540"/>
          <w:tab w:val="left" w:pos="569"/>
        </w:tabs>
        <w:rPr>
          <w:b/>
          <w:bCs/>
          <w:sz w:val="22"/>
          <w:szCs w:val="22"/>
          <w:lang w:val="sr-Latn-ME"/>
        </w:rPr>
      </w:pPr>
      <w:r w:rsidRPr="001A7371">
        <w:rPr>
          <w:b/>
          <w:bCs/>
          <w:sz w:val="22"/>
          <w:szCs w:val="22"/>
          <w:lang w:val="sr-Latn-ME"/>
        </w:rPr>
        <w:t xml:space="preserve">5.3. </w:t>
      </w:r>
      <w:r w:rsidR="00480FB1" w:rsidRPr="001A7371">
        <w:rPr>
          <w:b/>
          <w:bCs/>
          <w:sz w:val="22"/>
          <w:szCs w:val="22"/>
          <w:lang w:val="sr-Latn-ME"/>
        </w:rPr>
        <w:tab/>
      </w:r>
      <w:r w:rsidRPr="001A7371">
        <w:rPr>
          <w:b/>
          <w:bCs/>
          <w:sz w:val="22"/>
          <w:szCs w:val="22"/>
          <w:lang w:val="sr-Latn-ME"/>
        </w:rPr>
        <w:t xml:space="preserve">Pretklinički podaci o bezbjednosti </w:t>
      </w:r>
    </w:p>
    <w:p w14:paraId="3D7F7629" w14:textId="77777777" w:rsidR="003D4CFB" w:rsidRPr="001A7371" w:rsidRDefault="003D4CFB" w:rsidP="00480FB1">
      <w:pPr>
        <w:tabs>
          <w:tab w:val="left" w:pos="540"/>
          <w:tab w:val="left" w:pos="569"/>
        </w:tabs>
        <w:rPr>
          <w:b/>
          <w:bCs/>
          <w:sz w:val="22"/>
          <w:szCs w:val="22"/>
          <w:lang w:val="sr-Latn-ME"/>
        </w:rPr>
      </w:pPr>
    </w:p>
    <w:p w14:paraId="5DE4DE61" w14:textId="3F639D25" w:rsidR="003D4CFB" w:rsidRPr="001A7371" w:rsidRDefault="003D4CFB" w:rsidP="003D4CFB">
      <w:pPr>
        <w:tabs>
          <w:tab w:val="left" w:pos="540"/>
          <w:tab w:val="left" w:pos="569"/>
        </w:tabs>
        <w:jc w:val="both"/>
        <w:rPr>
          <w:bCs/>
          <w:sz w:val="22"/>
          <w:szCs w:val="22"/>
          <w:lang w:val="sr-Latn-ME"/>
        </w:rPr>
      </w:pPr>
      <w:r w:rsidRPr="001A7371">
        <w:rPr>
          <w:bCs/>
          <w:sz w:val="22"/>
          <w:szCs w:val="22"/>
          <w:lang w:val="sr-Latn-ME"/>
        </w:rPr>
        <w:t>Karcinogeni potencijal paklitaksela nije ispitivan. Ipak, uzevši u obzir objavljenu literatur</w:t>
      </w:r>
      <w:r w:rsidR="00114C60" w:rsidRPr="001A7371">
        <w:rPr>
          <w:bCs/>
          <w:sz w:val="22"/>
          <w:szCs w:val="22"/>
          <w:lang w:val="sr-Latn-ME"/>
        </w:rPr>
        <w:t>u</w:t>
      </w:r>
      <w:r w:rsidRPr="001A7371">
        <w:rPr>
          <w:bCs/>
          <w:sz w:val="22"/>
          <w:szCs w:val="22"/>
          <w:lang w:val="sr-Latn-ME"/>
        </w:rPr>
        <w:t xml:space="preserve"> i s obzirom na farmakodinamski mehanizam djelovanja, paklitaksel je </w:t>
      </w:r>
      <w:r w:rsidR="00114C60" w:rsidRPr="001A7371">
        <w:rPr>
          <w:bCs/>
          <w:sz w:val="22"/>
          <w:szCs w:val="22"/>
          <w:lang w:val="sr-Latn-ME"/>
        </w:rPr>
        <w:t>potencijalno</w:t>
      </w:r>
      <w:r w:rsidRPr="001A7371">
        <w:rPr>
          <w:bCs/>
          <w:sz w:val="22"/>
          <w:szCs w:val="22"/>
          <w:lang w:val="sr-Latn-ME"/>
        </w:rPr>
        <w:t xml:space="preserve"> karcinogeni i genotoksični agens. Paklitaksel se pokazao mutagenim u </w:t>
      </w:r>
      <w:r w:rsidRPr="001A7371">
        <w:rPr>
          <w:bCs/>
          <w:i/>
          <w:sz w:val="22"/>
          <w:szCs w:val="22"/>
          <w:lang w:val="sr-Latn-ME"/>
        </w:rPr>
        <w:t xml:space="preserve">in vivo </w:t>
      </w:r>
      <w:r w:rsidRPr="001A7371">
        <w:rPr>
          <w:bCs/>
          <w:sz w:val="22"/>
          <w:szCs w:val="22"/>
          <w:lang w:val="sr-Latn-ME"/>
        </w:rPr>
        <w:t xml:space="preserve">kao i </w:t>
      </w:r>
      <w:r w:rsidRPr="001A7371">
        <w:rPr>
          <w:bCs/>
          <w:i/>
          <w:sz w:val="22"/>
          <w:szCs w:val="22"/>
          <w:lang w:val="sr-Latn-ME"/>
        </w:rPr>
        <w:t xml:space="preserve">in vitro </w:t>
      </w:r>
      <w:r w:rsidRPr="001A7371">
        <w:rPr>
          <w:bCs/>
          <w:sz w:val="22"/>
          <w:szCs w:val="22"/>
          <w:lang w:val="sr-Latn-ME"/>
        </w:rPr>
        <w:t>eksperimentalnim ispitivanjima sisara.</w:t>
      </w:r>
    </w:p>
    <w:p w14:paraId="30342720" w14:textId="77777777" w:rsidR="003D4CFB" w:rsidRPr="001A7371" w:rsidRDefault="003D4CFB" w:rsidP="003D4CFB">
      <w:pPr>
        <w:tabs>
          <w:tab w:val="left" w:pos="540"/>
          <w:tab w:val="left" w:pos="569"/>
        </w:tabs>
        <w:rPr>
          <w:bCs/>
          <w:sz w:val="22"/>
          <w:szCs w:val="22"/>
          <w:lang w:val="sr-Latn-ME"/>
        </w:rPr>
      </w:pPr>
    </w:p>
    <w:p w14:paraId="5BCDC214" w14:textId="77777777" w:rsidR="003D4CFB" w:rsidRPr="001A7371" w:rsidRDefault="003D4CFB" w:rsidP="003D4CFB">
      <w:pPr>
        <w:tabs>
          <w:tab w:val="left" w:pos="540"/>
          <w:tab w:val="left" w:pos="569"/>
        </w:tabs>
        <w:jc w:val="both"/>
        <w:rPr>
          <w:bCs/>
          <w:sz w:val="22"/>
          <w:szCs w:val="22"/>
          <w:lang w:val="sr-Latn-ME"/>
        </w:rPr>
      </w:pPr>
      <w:r w:rsidRPr="001A7371">
        <w:rPr>
          <w:bCs/>
          <w:sz w:val="22"/>
          <w:szCs w:val="22"/>
          <w:lang w:val="sr-Latn-ME"/>
        </w:rPr>
        <w:t>Takođe se pokazalo da je paklitaksel i embriotoksičan i fetotoksičan kod zečeva kao i da smanjuje plodnost kod pacova.</w:t>
      </w:r>
    </w:p>
    <w:p w14:paraId="7F9B4FBB" w14:textId="6B907C5D" w:rsidR="00396DFD" w:rsidRPr="001A7371" w:rsidRDefault="003D4CFB" w:rsidP="003D4CFB">
      <w:pPr>
        <w:tabs>
          <w:tab w:val="left" w:pos="540"/>
          <w:tab w:val="left" w:pos="569"/>
        </w:tabs>
        <w:jc w:val="both"/>
        <w:rPr>
          <w:bCs/>
          <w:sz w:val="22"/>
          <w:szCs w:val="22"/>
          <w:lang w:val="sr-Latn-ME"/>
        </w:rPr>
      </w:pPr>
      <w:r w:rsidRPr="001A7371">
        <w:rPr>
          <w:bCs/>
          <w:sz w:val="22"/>
          <w:szCs w:val="22"/>
          <w:lang w:val="sr-Latn-ME"/>
        </w:rPr>
        <w:t xml:space="preserve">Neželjeno dejstvo na muške reproduktivne organe primijećeno je u malim dozama, a kod toksičnih doza primijećeno je smanjenje plodnosti muškaraca i žena. Embrio-fetalna toksičnost na koju ukazuje intrauterini mortalitet, povećana resorpcija i povećana smrtnost fetusa primijećena je kod doza toksičnih </w:t>
      </w:r>
      <w:r w:rsidRPr="001A7371">
        <w:rPr>
          <w:bCs/>
          <w:sz w:val="22"/>
          <w:szCs w:val="22"/>
          <w:lang w:val="sr-Latn-ME"/>
        </w:rPr>
        <w:lastRenderedPageBreak/>
        <w:t xml:space="preserve">za majku kod pacova i zečeva. Kod zečeva su primijećeni teratogeni efekti pri dozama manjim od </w:t>
      </w:r>
      <w:r w:rsidR="00114C60" w:rsidRPr="001A7371">
        <w:rPr>
          <w:bCs/>
          <w:sz w:val="22"/>
          <w:szCs w:val="22"/>
          <w:lang w:val="sr-Latn-ME"/>
        </w:rPr>
        <w:t xml:space="preserve">doza koje su </w:t>
      </w:r>
      <w:r w:rsidRPr="001A7371">
        <w:rPr>
          <w:bCs/>
          <w:sz w:val="22"/>
          <w:szCs w:val="22"/>
          <w:lang w:val="sr-Latn-ME"/>
        </w:rPr>
        <w:t>toksičn</w:t>
      </w:r>
      <w:r w:rsidR="00114C60" w:rsidRPr="001A7371">
        <w:rPr>
          <w:bCs/>
          <w:sz w:val="22"/>
          <w:szCs w:val="22"/>
          <w:lang w:val="sr-Latn-ME"/>
        </w:rPr>
        <w:t>e</w:t>
      </w:r>
      <w:r w:rsidRPr="001A7371">
        <w:rPr>
          <w:bCs/>
          <w:sz w:val="22"/>
          <w:szCs w:val="22"/>
          <w:lang w:val="sr-Latn-ME"/>
        </w:rPr>
        <w:t xml:space="preserve"> za majku. Ograničeno izlučivanje paklitaksela je otkriveno u mlijeku pacova u laktaciji. Paklitaksel nije bio mutagen ali je izazvao hromozomske aberacije </w:t>
      </w:r>
      <w:r w:rsidRPr="001A7371">
        <w:rPr>
          <w:bCs/>
          <w:i/>
          <w:sz w:val="22"/>
          <w:szCs w:val="22"/>
          <w:lang w:val="sr-Latn-ME"/>
        </w:rPr>
        <w:t xml:space="preserve">in vitro </w:t>
      </w:r>
      <w:r w:rsidRPr="001A7371">
        <w:rPr>
          <w:bCs/>
          <w:sz w:val="22"/>
          <w:szCs w:val="22"/>
          <w:lang w:val="sr-Latn-ME"/>
        </w:rPr>
        <w:t xml:space="preserve">i </w:t>
      </w:r>
      <w:r w:rsidRPr="001A7371">
        <w:rPr>
          <w:bCs/>
          <w:i/>
          <w:sz w:val="22"/>
          <w:szCs w:val="22"/>
          <w:lang w:val="sr-Latn-ME"/>
        </w:rPr>
        <w:t>in vivo</w:t>
      </w:r>
      <w:r w:rsidRPr="001A7371">
        <w:rPr>
          <w:bCs/>
          <w:sz w:val="22"/>
          <w:szCs w:val="22"/>
          <w:lang w:val="sr-Latn-ME"/>
        </w:rPr>
        <w:t>. Karcinogeni potencijal paklitaksela nije proučavan. Odloženi neurotoksični efekti su uočeni histopatološki nakon ponovljenog doziranja bez/ograničenih dokaza oporavka.</w:t>
      </w:r>
    </w:p>
    <w:p w14:paraId="044EAA4E" w14:textId="049C8A5D" w:rsidR="003D4CFB" w:rsidRPr="001A7371" w:rsidRDefault="003D4CFB" w:rsidP="003D4CFB">
      <w:pPr>
        <w:tabs>
          <w:tab w:val="left" w:pos="540"/>
          <w:tab w:val="left" w:pos="569"/>
        </w:tabs>
        <w:jc w:val="both"/>
        <w:rPr>
          <w:bCs/>
          <w:sz w:val="22"/>
          <w:szCs w:val="22"/>
          <w:lang w:val="sr-Latn-ME"/>
        </w:rPr>
      </w:pPr>
    </w:p>
    <w:p w14:paraId="0474D167" w14:textId="77777777" w:rsidR="004F3C59" w:rsidRPr="001A7371" w:rsidRDefault="004F3C59" w:rsidP="003D4CFB">
      <w:pPr>
        <w:tabs>
          <w:tab w:val="left" w:pos="540"/>
          <w:tab w:val="left" w:pos="569"/>
        </w:tabs>
        <w:jc w:val="both"/>
        <w:rPr>
          <w:bCs/>
          <w:sz w:val="22"/>
          <w:szCs w:val="22"/>
          <w:lang w:val="sr-Latn-ME"/>
        </w:rPr>
      </w:pPr>
    </w:p>
    <w:p w14:paraId="58E81F11" w14:textId="77777777" w:rsidR="0072020E" w:rsidRPr="001A7371" w:rsidRDefault="0072020E" w:rsidP="00480FB1">
      <w:pPr>
        <w:tabs>
          <w:tab w:val="left" w:pos="540"/>
          <w:tab w:val="left" w:pos="569"/>
        </w:tabs>
        <w:rPr>
          <w:b/>
          <w:bCs/>
          <w:sz w:val="22"/>
          <w:szCs w:val="22"/>
          <w:lang w:val="sr-Latn-ME"/>
        </w:rPr>
      </w:pPr>
      <w:r w:rsidRPr="001A7371">
        <w:rPr>
          <w:b/>
          <w:bCs/>
          <w:sz w:val="22"/>
          <w:szCs w:val="22"/>
          <w:lang w:val="sr-Latn-ME"/>
        </w:rPr>
        <w:t xml:space="preserve">6. </w:t>
      </w:r>
      <w:r w:rsidR="00480FB1" w:rsidRPr="001A7371">
        <w:rPr>
          <w:b/>
          <w:bCs/>
          <w:sz w:val="22"/>
          <w:szCs w:val="22"/>
          <w:lang w:val="sr-Latn-ME"/>
        </w:rPr>
        <w:tab/>
      </w:r>
      <w:r w:rsidRPr="001A7371">
        <w:rPr>
          <w:b/>
          <w:bCs/>
          <w:sz w:val="22"/>
          <w:szCs w:val="22"/>
          <w:lang w:val="sr-Latn-ME"/>
        </w:rPr>
        <w:t>FARMACEUTSKI PODACI</w:t>
      </w:r>
    </w:p>
    <w:p w14:paraId="5BFCB9DF" w14:textId="77777777" w:rsidR="00836B35" w:rsidRPr="001A7371" w:rsidRDefault="00836B35" w:rsidP="00480FB1">
      <w:pPr>
        <w:tabs>
          <w:tab w:val="left" w:pos="540"/>
          <w:tab w:val="left" w:pos="569"/>
        </w:tabs>
        <w:rPr>
          <w:bCs/>
          <w:sz w:val="22"/>
          <w:szCs w:val="22"/>
          <w:lang w:val="sr-Latn-ME"/>
        </w:rPr>
      </w:pPr>
    </w:p>
    <w:p w14:paraId="09739308" w14:textId="77777777" w:rsidR="0072020E" w:rsidRPr="001A7371" w:rsidRDefault="0072020E" w:rsidP="00480FB1">
      <w:pPr>
        <w:tabs>
          <w:tab w:val="left" w:pos="540"/>
          <w:tab w:val="left" w:pos="569"/>
        </w:tabs>
        <w:rPr>
          <w:b/>
          <w:bCs/>
          <w:sz w:val="22"/>
          <w:szCs w:val="22"/>
          <w:lang w:val="sr-Latn-ME"/>
        </w:rPr>
      </w:pPr>
      <w:r w:rsidRPr="001A7371">
        <w:rPr>
          <w:b/>
          <w:bCs/>
          <w:sz w:val="22"/>
          <w:szCs w:val="22"/>
          <w:lang w:val="sr-Latn-ME"/>
        </w:rPr>
        <w:t xml:space="preserve">6.1. </w:t>
      </w:r>
      <w:r w:rsidR="00480FB1" w:rsidRPr="001A7371">
        <w:rPr>
          <w:b/>
          <w:bCs/>
          <w:sz w:val="22"/>
          <w:szCs w:val="22"/>
          <w:lang w:val="sr-Latn-ME"/>
        </w:rPr>
        <w:tab/>
      </w:r>
      <w:r w:rsidRPr="001A7371">
        <w:rPr>
          <w:b/>
          <w:bCs/>
          <w:sz w:val="22"/>
          <w:szCs w:val="22"/>
          <w:lang w:val="sr-Latn-ME"/>
        </w:rPr>
        <w:t>Lista pomoćnih supstanci</w:t>
      </w:r>
      <w:r w:rsidR="002E0135" w:rsidRPr="001A7371">
        <w:rPr>
          <w:b/>
          <w:bCs/>
          <w:sz w:val="22"/>
          <w:szCs w:val="22"/>
          <w:lang w:val="sr-Latn-ME"/>
        </w:rPr>
        <w:t xml:space="preserve"> (ekscipijenasa)</w:t>
      </w:r>
    </w:p>
    <w:p w14:paraId="31DC466A" w14:textId="77777777" w:rsidR="003D4CFB" w:rsidRPr="001A7371" w:rsidRDefault="003D4CFB" w:rsidP="00480FB1">
      <w:pPr>
        <w:tabs>
          <w:tab w:val="left" w:pos="540"/>
          <w:tab w:val="left" w:pos="569"/>
        </w:tabs>
        <w:rPr>
          <w:b/>
          <w:bCs/>
          <w:sz w:val="22"/>
          <w:szCs w:val="22"/>
          <w:lang w:val="sr-Latn-ME"/>
        </w:rPr>
      </w:pPr>
    </w:p>
    <w:p w14:paraId="6A86264C" w14:textId="7943F7CE" w:rsidR="003D4CFB" w:rsidRPr="001A7371" w:rsidRDefault="003D4CFB" w:rsidP="003D4CFB">
      <w:pPr>
        <w:tabs>
          <w:tab w:val="left" w:pos="540"/>
          <w:tab w:val="left" w:pos="569"/>
        </w:tabs>
        <w:rPr>
          <w:bCs/>
          <w:sz w:val="22"/>
          <w:szCs w:val="22"/>
          <w:lang w:val="sr-Latn-ME"/>
        </w:rPr>
      </w:pPr>
      <w:r w:rsidRPr="001A7371">
        <w:rPr>
          <w:bCs/>
          <w:sz w:val="22"/>
          <w:szCs w:val="22"/>
          <w:lang w:val="sr-Latn-ME"/>
        </w:rPr>
        <w:t>Makrogolglicerol</w:t>
      </w:r>
      <w:r w:rsidR="004F3C59" w:rsidRPr="001A7371">
        <w:rPr>
          <w:bCs/>
          <w:sz w:val="22"/>
          <w:szCs w:val="22"/>
          <w:lang w:val="sr-Latn-ME"/>
        </w:rPr>
        <w:t xml:space="preserve"> </w:t>
      </w:r>
      <w:r w:rsidRPr="001A7371">
        <w:rPr>
          <w:bCs/>
          <w:sz w:val="22"/>
          <w:szCs w:val="22"/>
          <w:lang w:val="sr-Latn-ME"/>
        </w:rPr>
        <w:t xml:space="preserve">ricinoleat; </w:t>
      </w:r>
    </w:p>
    <w:p w14:paraId="377830FD" w14:textId="77777777" w:rsidR="003D4CFB" w:rsidRPr="001A7371" w:rsidRDefault="003D4CFB" w:rsidP="003D4CFB">
      <w:pPr>
        <w:tabs>
          <w:tab w:val="left" w:pos="540"/>
          <w:tab w:val="left" w:pos="569"/>
        </w:tabs>
        <w:rPr>
          <w:bCs/>
          <w:sz w:val="22"/>
          <w:szCs w:val="22"/>
          <w:lang w:val="sr-Latn-ME"/>
        </w:rPr>
      </w:pPr>
      <w:r w:rsidRPr="001A7371">
        <w:rPr>
          <w:bCs/>
          <w:sz w:val="22"/>
          <w:szCs w:val="22"/>
          <w:lang w:val="sr-Latn-ME"/>
        </w:rPr>
        <w:t>Etanol, apsolutni;</w:t>
      </w:r>
    </w:p>
    <w:p w14:paraId="18FC2BA9" w14:textId="20FFF984" w:rsidR="0072020E" w:rsidRPr="001A7371" w:rsidRDefault="003D4CFB" w:rsidP="003D4CFB">
      <w:pPr>
        <w:tabs>
          <w:tab w:val="left" w:pos="540"/>
          <w:tab w:val="left" w:pos="569"/>
        </w:tabs>
        <w:rPr>
          <w:bCs/>
          <w:sz w:val="22"/>
          <w:szCs w:val="22"/>
          <w:lang w:val="sr-Latn-ME"/>
        </w:rPr>
      </w:pPr>
      <w:r w:rsidRPr="001A7371">
        <w:rPr>
          <w:bCs/>
          <w:sz w:val="22"/>
          <w:szCs w:val="22"/>
          <w:lang w:val="sr-Latn-ME"/>
        </w:rPr>
        <w:t>Limunska kiselina, bezvodna.</w:t>
      </w:r>
    </w:p>
    <w:p w14:paraId="1D23AC64" w14:textId="77777777" w:rsidR="003D4CFB" w:rsidRPr="001A7371" w:rsidRDefault="003D4CFB" w:rsidP="003D4CFB">
      <w:pPr>
        <w:tabs>
          <w:tab w:val="left" w:pos="540"/>
          <w:tab w:val="left" w:pos="569"/>
        </w:tabs>
        <w:rPr>
          <w:bCs/>
          <w:sz w:val="22"/>
          <w:szCs w:val="22"/>
          <w:lang w:val="sr-Latn-ME"/>
        </w:rPr>
      </w:pPr>
    </w:p>
    <w:p w14:paraId="7C99426E" w14:textId="77777777" w:rsidR="0072020E" w:rsidRPr="001A7371" w:rsidRDefault="0072020E" w:rsidP="00480FB1">
      <w:pPr>
        <w:tabs>
          <w:tab w:val="left" w:pos="540"/>
          <w:tab w:val="left" w:pos="569"/>
        </w:tabs>
        <w:rPr>
          <w:b/>
          <w:bCs/>
          <w:sz w:val="22"/>
          <w:szCs w:val="22"/>
          <w:lang w:val="sr-Latn-ME"/>
        </w:rPr>
      </w:pPr>
      <w:r w:rsidRPr="001A7371">
        <w:rPr>
          <w:b/>
          <w:bCs/>
          <w:sz w:val="22"/>
          <w:szCs w:val="22"/>
          <w:lang w:val="sr-Latn-ME"/>
        </w:rPr>
        <w:t xml:space="preserve">6.2. </w:t>
      </w:r>
      <w:r w:rsidR="00480FB1" w:rsidRPr="001A7371">
        <w:rPr>
          <w:b/>
          <w:bCs/>
          <w:sz w:val="22"/>
          <w:szCs w:val="22"/>
          <w:lang w:val="sr-Latn-ME"/>
        </w:rPr>
        <w:tab/>
      </w:r>
      <w:r w:rsidRPr="001A7371">
        <w:rPr>
          <w:b/>
          <w:bCs/>
          <w:sz w:val="22"/>
          <w:szCs w:val="22"/>
          <w:lang w:val="sr-Latn-ME"/>
        </w:rPr>
        <w:t>Inkompatibilnost</w:t>
      </w:r>
      <w:r w:rsidR="002846DB" w:rsidRPr="001A7371">
        <w:rPr>
          <w:b/>
          <w:bCs/>
          <w:sz w:val="22"/>
          <w:szCs w:val="22"/>
          <w:lang w:val="sr-Latn-ME"/>
        </w:rPr>
        <w:t>i</w:t>
      </w:r>
    </w:p>
    <w:p w14:paraId="1E966874" w14:textId="77777777" w:rsidR="003D4CFB" w:rsidRPr="001A7371" w:rsidRDefault="003D4CFB" w:rsidP="00480FB1">
      <w:pPr>
        <w:tabs>
          <w:tab w:val="left" w:pos="540"/>
          <w:tab w:val="left" w:pos="569"/>
        </w:tabs>
        <w:rPr>
          <w:b/>
          <w:bCs/>
          <w:sz w:val="22"/>
          <w:szCs w:val="22"/>
          <w:lang w:val="sr-Latn-ME"/>
        </w:rPr>
      </w:pPr>
    </w:p>
    <w:p w14:paraId="0B31F29A" w14:textId="17140F01" w:rsidR="0072020E" w:rsidRPr="001A7371" w:rsidRDefault="003D4CFB" w:rsidP="003D4CFB">
      <w:pPr>
        <w:tabs>
          <w:tab w:val="left" w:pos="540"/>
          <w:tab w:val="left" w:pos="569"/>
        </w:tabs>
        <w:jc w:val="both"/>
        <w:rPr>
          <w:bCs/>
          <w:sz w:val="22"/>
          <w:szCs w:val="22"/>
          <w:lang w:val="sr-Latn-ME"/>
        </w:rPr>
      </w:pPr>
      <w:r w:rsidRPr="001A7371">
        <w:rPr>
          <w:bCs/>
          <w:sz w:val="22"/>
          <w:szCs w:val="22"/>
          <w:lang w:val="sr-Latn-ME"/>
        </w:rPr>
        <w:t>Pomoćna supstanca makrogolglicerol</w:t>
      </w:r>
      <w:r w:rsidR="00743438" w:rsidRPr="001A7371">
        <w:rPr>
          <w:bCs/>
          <w:sz w:val="22"/>
          <w:szCs w:val="22"/>
          <w:lang w:val="sr-Latn-ME"/>
        </w:rPr>
        <w:t xml:space="preserve"> </w:t>
      </w:r>
      <w:r w:rsidRPr="001A7371">
        <w:rPr>
          <w:bCs/>
          <w:sz w:val="22"/>
          <w:szCs w:val="22"/>
          <w:lang w:val="sr-Latn-ME"/>
        </w:rPr>
        <w:t>ricinoleat može dovesti do oslobađanja supstance DEHP [di-(2- etilheksil)</w:t>
      </w:r>
      <w:r w:rsidR="00743438" w:rsidRPr="001A7371">
        <w:rPr>
          <w:bCs/>
          <w:sz w:val="22"/>
          <w:szCs w:val="22"/>
          <w:lang w:val="sr-Latn-ME"/>
        </w:rPr>
        <w:t xml:space="preserve"> </w:t>
      </w:r>
      <w:r w:rsidRPr="001A7371">
        <w:rPr>
          <w:bCs/>
          <w:sz w:val="22"/>
          <w:szCs w:val="22"/>
          <w:lang w:val="sr-Latn-ME"/>
        </w:rPr>
        <w:t>ftalata] iz plastificiranih PVC kontejnera, u količini koja se povećava sa vremenom i koncentracijom. Zbog toga za pripremu, čuvanje i primjenu razblaženog rastvora treba koristiti opremu koja ne sadrži PVC (polivinilhlorid), već opremu od stakla, polipropilena ili poliolefina.</w:t>
      </w:r>
    </w:p>
    <w:p w14:paraId="1634A3DD" w14:textId="77777777" w:rsidR="003D4CFB" w:rsidRPr="001A7371" w:rsidRDefault="003D4CFB" w:rsidP="00480FB1">
      <w:pPr>
        <w:tabs>
          <w:tab w:val="left" w:pos="540"/>
          <w:tab w:val="left" w:pos="569"/>
        </w:tabs>
        <w:rPr>
          <w:bCs/>
          <w:sz w:val="22"/>
          <w:szCs w:val="22"/>
          <w:lang w:val="sr-Latn-ME"/>
        </w:rPr>
      </w:pPr>
    </w:p>
    <w:p w14:paraId="7C7F0550" w14:textId="77777777" w:rsidR="0072020E" w:rsidRPr="001A7371" w:rsidRDefault="0072020E" w:rsidP="00480FB1">
      <w:pPr>
        <w:tabs>
          <w:tab w:val="left" w:pos="540"/>
          <w:tab w:val="left" w:pos="569"/>
        </w:tabs>
        <w:rPr>
          <w:b/>
          <w:bCs/>
          <w:sz w:val="22"/>
          <w:szCs w:val="22"/>
          <w:lang w:val="sr-Latn-ME"/>
        </w:rPr>
      </w:pPr>
      <w:r w:rsidRPr="001A7371">
        <w:rPr>
          <w:b/>
          <w:bCs/>
          <w:sz w:val="22"/>
          <w:szCs w:val="22"/>
          <w:lang w:val="sr-Latn-ME"/>
        </w:rPr>
        <w:t>6.3.</w:t>
      </w:r>
      <w:r w:rsidR="00C05DF8" w:rsidRPr="001A7371">
        <w:rPr>
          <w:b/>
          <w:bCs/>
          <w:sz w:val="22"/>
          <w:szCs w:val="22"/>
          <w:lang w:val="sr-Latn-ME"/>
        </w:rPr>
        <w:t xml:space="preserve"> </w:t>
      </w:r>
      <w:r w:rsidR="00480FB1" w:rsidRPr="001A7371">
        <w:rPr>
          <w:b/>
          <w:bCs/>
          <w:sz w:val="22"/>
          <w:szCs w:val="22"/>
          <w:lang w:val="sr-Latn-ME"/>
        </w:rPr>
        <w:tab/>
      </w:r>
      <w:r w:rsidRPr="001A7371">
        <w:rPr>
          <w:b/>
          <w:bCs/>
          <w:sz w:val="22"/>
          <w:szCs w:val="22"/>
          <w:lang w:val="sr-Latn-ME"/>
        </w:rPr>
        <w:t>Rok upotrebe</w:t>
      </w:r>
    </w:p>
    <w:p w14:paraId="2FFBB876" w14:textId="77777777" w:rsidR="0072020E" w:rsidRPr="001A7371" w:rsidRDefault="0072020E" w:rsidP="00480FB1">
      <w:pPr>
        <w:tabs>
          <w:tab w:val="left" w:pos="540"/>
          <w:tab w:val="left" w:pos="569"/>
        </w:tabs>
        <w:rPr>
          <w:bCs/>
          <w:sz w:val="22"/>
          <w:szCs w:val="22"/>
          <w:lang w:val="sr-Latn-ME"/>
        </w:rPr>
      </w:pPr>
    </w:p>
    <w:p w14:paraId="66E05E02" w14:textId="77777777" w:rsidR="00D8718A" w:rsidRPr="001A7371" w:rsidRDefault="00D8718A" w:rsidP="00D8718A">
      <w:pPr>
        <w:tabs>
          <w:tab w:val="left" w:pos="540"/>
          <w:tab w:val="left" w:pos="569"/>
        </w:tabs>
        <w:jc w:val="both"/>
        <w:rPr>
          <w:b/>
          <w:bCs/>
          <w:sz w:val="22"/>
          <w:szCs w:val="22"/>
          <w:lang w:val="sr-Latn-ME"/>
        </w:rPr>
      </w:pPr>
      <w:r w:rsidRPr="001A7371">
        <w:rPr>
          <w:b/>
          <w:bCs/>
          <w:sz w:val="22"/>
          <w:szCs w:val="22"/>
          <w:lang w:val="sr-Latn-ME"/>
        </w:rPr>
        <w:t>Rok upotrebe prije prvog otvaranja bočice:</w:t>
      </w:r>
    </w:p>
    <w:p w14:paraId="48835615" w14:textId="77777777" w:rsidR="00D8718A" w:rsidRPr="001A7371" w:rsidRDefault="00D8718A" w:rsidP="00D8718A">
      <w:pPr>
        <w:tabs>
          <w:tab w:val="left" w:pos="540"/>
          <w:tab w:val="left" w:pos="569"/>
        </w:tabs>
        <w:jc w:val="both"/>
        <w:rPr>
          <w:bCs/>
          <w:sz w:val="22"/>
          <w:szCs w:val="22"/>
          <w:lang w:val="sr-Latn-ME"/>
        </w:rPr>
      </w:pPr>
      <w:r w:rsidRPr="001A7371">
        <w:rPr>
          <w:bCs/>
          <w:sz w:val="22"/>
          <w:szCs w:val="22"/>
          <w:lang w:val="sr-Latn-ME"/>
        </w:rPr>
        <w:t>3 (tri) godine.</w:t>
      </w:r>
    </w:p>
    <w:p w14:paraId="718A37EC" w14:textId="77777777" w:rsidR="00D8718A" w:rsidRPr="001A7371" w:rsidRDefault="00D8718A" w:rsidP="00D8718A">
      <w:pPr>
        <w:tabs>
          <w:tab w:val="left" w:pos="540"/>
          <w:tab w:val="left" w:pos="569"/>
        </w:tabs>
        <w:jc w:val="both"/>
        <w:rPr>
          <w:bCs/>
          <w:sz w:val="22"/>
          <w:szCs w:val="22"/>
          <w:lang w:val="sr-Latn-ME"/>
        </w:rPr>
      </w:pPr>
    </w:p>
    <w:p w14:paraId="5E903FD6" w14:textId="77777777" w:rsidR="00D8718A" w:rsidRPr="001A7371" w:rsidRDefault="00D8718A" w:rsidP="00D8718A">
      <w:pPr>
        <w:tabs>
          <w:tab w:val="left" w:pos="540"/>
          <w:tab w:val="left" w:pos="569"/>
        </w:tabs>
        <w:jc w:val="both"/>
        <w:rPr>
          <w:b/>
          <w:bCs/>
          <w:sz w:val="22"/>
          <w:szCs w:val="22"/>
          <w:lang w:val="sr-Latn-ME"/>
        </w:rPr>
      </w:pPr>
      <w:r w:rsidRPr="001A7371">
        <w:rPr>
          <w:b/>
          <w:bCs/>
          <w:sz w:val="22"/>
          <w:szCs w:val="22"/>
          <w:lang w:val="sr-Latn-ME"/>
        </w:rPr>
        <w:t>Rok upotrebe nakon prvog otvaranja bočice:</w:t>
      </w:r>
    </w:p>
    <w:p w14:paraId="5EEDCC2F" w14:textId="77777777" w:rsidR="00D8718A" w:rsidRPr="001A7371" w:rsidRDefault="00D8718A" w:rsidP="00D8718A">
      <w:pPr>
        <w:tabs>
          <w:tab w:val="left" w:pos="540"/>
          <w:tab w:val="left" w:pos="569"/>
        </w:tabs>
        <w:jc w:val="both"/>
        <w:rPr>
          <w:bCs/>
          <w:sz w:val="22"/>
          <w:szCs w:val="22"/>
          <w:lang w:val="sr-Latn-ME"/>
        </w:rPr>
      </w:pPr>
      <w:r w:rsidRPr="001A7371">
        <w:rPr>
          <w:bCs/>
          <w:sz w:val="22"/>
          <w:szCs w:val="22"/>
          <w:lang w:val="sr-Latn-ME"/>
        </w:rPr>
        <w:t>28 dana, na temperaturi do 25</w:t>
      </w:r>
      <w:r w:rsidRPr="001A7371">
        <w:rPr>
          <w:rFonts w:ascii="Calibri" w:hAnsi="Calibri" w:cs="Calibri"/>
          <w:bCs/>
          <w:sz w:val="22"/>
          <w:szCs w:val="22"/>
          <w:lang w:val="sr-Latn-ME"/>
        </w:rPr>
        <w:t>⁰</w:t>
      </w:r>
      <w:r w:rsidRPr="001A7371">
        <w:rPr>
          <w:bCs/>
          <w:sz w:val="22"/>
          <w:szCs w:val="22"/>
          <w:lang w:val="sr-Latn-ME"/>
        </w:rPr>
        <w:t>C.</w:t>
      </w:r>
    </w:p>
    <w:p w14:paraId="63BEFFF0" w14:textId="77777777" w:rsidR="00D8718A" w:rsidRPr="001A7371" w:rsidRDefault="00D8718A" w:rsidP="00D8718A">
      <w:pPr>
        <w:tabs>
          <w:tab w:val="left" w:pos="540"/>
          <w:tab w:val="left" w:pos="569"/>
        </w:tabs>
        <w:jc w:val="both"/>
        <w:rPr>
          <w:bCs/>
          <w:sz w:val="22"/>
          <w:szCs w:val="22"/>
          <w:lang w:val="sr-Latn-ME"/>
        </w:rPr>
      </w:pPr>
    </w:p>
    <w:p w14:paraId="316D845D" w14:textId="77777777" w:rsidR="00D8718A" w:rsidRPr="001A7371" w:rsidRDefault="00D8718A" w:rsidP="00D8718A">
      <w:pPr>
        <w:tabs>
          <w:tab w:val="left" w:pos="540"/>
          <w:tab w:val="left" w:pos="569"/>
        </w:tabs>
        <w:jc w:val="both"/>
        <w:rPr>
          <w:b/>
          <w:bCs/>
          <w:sz w:val="22"/>
          <w:szCs w:val="22"/>
          <w:lang w:val="sr-Latn-ME"/>
        </w:rPr>
      </w:pPr>
      <w:r w:rsidRPr="001A7371">
        <w:rPr>
          <w:b/>
          <w:bCs/>
          <w:sz w:val="22"/>
          <w:szCs w:val="22"/>
          <w:lang w:val="sr-Latn-ME"/>
        </w:rPr>
        <w:t>Rok upotrebe nakon razblaživanja:</w:t>
      </w:r>
    </w:p>
    <w:p w14:paraId="517BA605" w14:textId="53F40284" w:rsidR="00D8718A" w:rsidRPr="001A7371" w:rsidRDefault="00D8718A" w:rsidP="00D8718A">
      <w:pPr>
        <w:tabs>
          <w:tab w:val="left" w:pos="540"/>
          <w:tab w:val="left" w:pos="569"/>
        </w:tabs>
        <w:jc w:val="both"/>
        <w:rPr>
          <w:bCs/>
          <w:sz w:val="22"/>
          <w:szCs w:val="22"/>
          <w:lang w:val="sr-Latn-ME"/>
        </w:rPr>
      </w:pPr>
      <w:r w:rsidRPr="001A7371">
        <w:rPr>
          <w:bCs/>
          <w:sz w:val="22"/>
          <w:szCs w:val="22"/>
          <w:lang w:val="sr-Latn-ME"/>
        </w:rPr>
        <w:t>Hemijska i fizička stabilnost pripremljenog rastvora za infuziju dokazana je na 5°C i na 25°C tokom 7 dana posle raz</w:t>
      </w:r>
      <w:r w:rsidR="004A6CFE" w:rsidRPr="001A7371">
        <w:rPr>
          <w:bCs/>
          <w:sz w:val="22"/>
          <w:szCs w:val="22"/>
          <w:lang w:val="sr-Latn-ME"/>
        </w:rPr>
        <w:t>blaživanja</w:t>
      </w:r>
      <w:r w:rsidRPr="001A7371">
        <w:rPr>
          <w:bCs/>
          <w:sz w:val="22"/>
          <w:szCs w:val="22"/>
          <w:lang w:val="sr-Latn-ME"/>
        </w:rPr>
        <w:t xml:space="preserve"> u 5%</w:t>
      </w:r>
      <w:r w:rsidR="00743438" w:rsidRPr="001A7371">
        <w:rPr>
          <w:bCs/>
          <w:sz w:val="22"/>
          <w:szCs w:val="22"/>
          <w:lang w:val="sr-Latn-ME"/>
        </w:rPr>
        <w:t xml:space="preserve"> </w:t>
      </w:r>
      <w:r w:rsidRPr="001A7371">
        <w:rPr>
          <w:bCs/>
          <w:sz w:val="22"/>
          <w:szCs w:val="22"/>
          <w:lang w:val="sr-Latn-ME"/>
        </w:rPr>
        <w:t>-</w:t>
      </w:r>
      <w:r w:rsidR="00743438" w:rsidRPr="001A7371">
        <w:rPr>
          <w:bCs/>
          <w:sz w:val="22"/>
          <w:szCs w:val="22"/>
          <w:lang w:val="sr-Latn-ME"/>
        </w:rPr>
        <w:t xml:space="preserve"> </w:t>
      </w:r>
      <w:r w:rsidRPr="001A7371">
        <w:rPr>
          <w:bCs/>
          <w:sz w:val="22"/>
          <w:szCs w:val="22"/>
          <w:lang w:val="sr-Latn-ME"/>
        </w:rPr>
        <w:t xml:space="preserve">tnom rastvoru </w:t>
      </w:r>
      <w:r w:rsidR="004A6CFE" w:rsidRPr="001A7371">
        <w:rPr>
          <w:bCs/>
          <w:sz w:val="22"/>
          <w:szCs w:val="22"/>
          <w:lang w:val="sr-Latn-ME"/>
        </w:rPr>
        <w:t xml:space="preserve">glukoze </w:t>
      </w:r>
      <w:r w:rsidRPr="001A7371">
        <w:rPr>
          <w:bCs/>
          <w:sz w:val="22"/>
          <w:szCs w:val="22"/>
          <w:lang w:val="sr-Latn-ME"/>
        </w:rPr>
        <w:t>za infuziju  ili 5%</w:t>
      </w:r>
      <w:r w:rsidR="004A6CFE" w:rsidRPr="001A7371">
        <w:rPr>
          <w:bCs/>
          <w:sz w:val="22"/>
          <w:szCs w:val="22"/>
          <w:lang w:val="sr-Latn-ME"/>
        </w:rPr>
        <w:t xml:space="preserve"> </w:t>
      </w:r>
      <w:r w:rsidRPr="001A7371">
        <w:rPr>
          <w:bCs/>
          <w:sz w:val="22"/>
          <w:szCs w:val="22"/>
          <w:lang w:val="sr-Latn-ME"/>
        </w:rPr>
        <w:t>-</w:t>
      </w:r>
      <w:r w:rsidR="004A6CFE" w:rsidRPr="001A7371">
        <w:rPr>
          <w:bCs/>
          <w:sz w:val="22"/>
          <w:szCs w:val="22"/>
          <w:lang w:val="sr-Latn-ME"/>
        </w:rPr>
        <w:t xml:space="preserve"> </w:t>
      </w:r>
      <w:r w:rsidRPr="001A7371">
        <w:rPr>
          <w:bCs/>
          <w:sz w:val="22"/>
          <w:szCs w:val="22"/>
          <w:lang w:val="sr-Latn-ME"/>
        </w:rPr>
        <w:t xml:space="preserve">tnoj </w:t>
      </w:r>
      <w:r w:rsidR="004A6CFE" w:rsidRPr="001A7371">
        <w:rPr>
          <w:bCs/>
          <w:sz w:val="22"/>
          <w:szCs w:val="22"/>
          <w:lang w:val="sr-Latn-ME"/>
        </w:rPr>
        <w:t xml:space="preserve">rastvoru </w:t>
      </w:r>
      <w:r w:rsidRPr="001A7371">
        <w:rPr>
          <w:bCs/>
          <w:sz w:val="22"/>
          <w:szCs w:val="22"/>
          <w:lang w:val="sr-Latn-ME"/>
        </w:rPr>
        <w:t>glukoz</w:t>
      </w:r>
      <w:r w:rsidR="004A6CFE" w:rsidRPr="001A7371">
        <w:rPr>
          <w:bCs/>
          <w:sz w:val="22"/>
          <w:szCs w:val="22"/>
          <w:lang w:val="sr-Latn-ME"/>
        </w:rPr>
        <w:t>e</w:t>
      </w:r>
      <w:r w:rsidRPr="001A7371">
        <w:rPr>
          <w:bCs/>
          <w:sz w:val="22"/>
          <w:szCs w:val="22"/>
          <w:lang w:val="sr-Latn-ME"/>
        </w:rPr>
        <w:t xml:space="preserve"> u Ringerovom rastvoru za injekcij</w:t>
      </w:r>
      <w:r w:rsidR="004A6CFE" w:rsidRPr="001A7371">
        <w:rPr>
          <w:bCs/>
          <w:sz w:val="22"/>
          <w:szCs w:val="22"/>
          <w:lang w:val="sr-Latn-ME"/>
        </w:rPr>
        <w:t>u</w:t>
      </w:r>
      <w:r w:rsidRPr="001A7371">
        <w:rPr>
          <w:bCs/>
          <w:sz w:val="22"/>
          <w:szCs w:val="22"/>
          <w:lang w:val="sr-Latn-ME"/>
        </w:rPr>
        <w:t>, i tokom 14 dana posle raz</w:t>
      </w:r>
      <w:r w:rsidR="004A6CFE" w:rsidRPr="001A7371">
        <w:rPr>
          <w:bCs/>
          <w:sz w:val="22"/>
          <w:szCs w:val="22"/>
          <w:lang w:val="sr-Latn-ME"/>
        </w:rPr>
        <w:t>blaživanja</w:t>
      </w:r>
      <w:r w:rsidRPr="001A7371">
        <w:rPr>
          <w:bCs/>
          <w:sz w:val="22"/>
          <w:szCs w:val="22"/>
          <w:lang w:val="sr-Latn-ME"/>
        </w:rPr>
        <w:t xml:space="preserve"> u 0,9%</w:t>
      </w:r>
      <w:r w:rsidR="004A6CFE" w:rsidRPr="001A7371">
        <w:rPr>
          <w:bCs/>
          <w:sz w:val="22"/>
          <w:szCs w:val="22"/>
          <w:lang w:val="sr-Latn-ME"/>
        </w:rPr>
        <w:t xml:space="preserve"> </w:t>
      </w:r>
      <w:r w:rsidRPr="001A7371">
        <w:rPr>
          <w:bCs/>
          <w:sz w:val="22"/>
          <w:szCs w:val="22"/>
          <w:lang w:val="sr-Latn-ME"/>
        </w:rPr>
        <w:t>-</w:t>
      </w:r>
      <w:r w:rsidR="004A6CFE" w:rsidRPr="001A7371">
        <w:rPr>
          <w:bCs/>
          <w:sz w:val="22"/>
          <w:szCs w:val="22"/>
          <w:lang w:val="sr-Latn-ME"/>
        </w:rPr>
        <w:t xml:space="preserve"> </w:t>
      </w:r>
      <w:r w:rsidRPr="001A7371">
        <w:rPr>
          <w:bCs/>
          <w:sz w:val="22"/>
          <w:szCs w:val="22"/>
          <w:lang w:val="sr-Latn-ME"/>
        </w:rPr>
        <w:t>tnom rastvoru za infuziju natrijum</w:t>
      </w:r>
      <w:r w:rsidR="004A6CFE" w:rsidRPr="001A7371">
        <w:rPr>
          <w:bCs/>
          <w:sz w:val="22"/>
          <w:szCs w:val="22"/>
          <w:lang w:val="sr-Latn-ME"/>
        </w:rPr>
        <w:t xml:space="preserve"> </w:t>
      </w:r>
      <w:r w:rsidRPr="001A7371">
        <w:rPr>
          <w:bCs/>
          <w:sz w:val="22"/>
          <w:szCs w:val="22"/>
          <w:lang w:val="sr-Latn-ME"/>
        </w:rPr>
        <w:t>hlorida. Sa mikrobiološke tačke gledišta, rastvor se mora primijeniti odmah nakon pripreme za upotrebu. Ako se odmah ne upotrijebi, vrijeme i uslovi čuvanja prije upotrebe su odgovornost korisnika, i ne bi smjeli biti duži od 24 sata na temperaturi od 2</w:t>
      </w:r>
      <w:r w:rsidR="00D15724" w:rsidRPr="001A7371">
        <w:rPr>
          <w:bCs/>
          <w:sz w:val="22"/>
          <w:szCs w:val="22"/>
          <w:lang w:val="sr-Latn-ME"/>
        </w:rPr>
        <w:t>°C</w:t>
      </w:r>
      <w:r w:rsidRPr="001A7371">
        <w:rPr>
          <w:bCs/>
          <w:sz w:val="22"/>
          <w:szCs w:val="22"/>
          <w:lang w:val="sr-Latn-ME"/>
        </w:rPr>
        <w:t xml:space="preserve"> - 8°C, osim ako se rastvaranje/razblaženje vrši u kontrolisanim i validiranim aseptičnim uslovima.</w:t>
      </w:r>
    </w:p>
    <w:p w14:paraId="0F9CFD8A" w14:textId="77777777" w:rsidR="00D8718A" w:rsidRPr="001A7371" w:rsidRDefault="00D8718A" w:rsidP="00480FB1">
      <w:pPr>
        <w:tabs>
          <w:tab w:val="left" w:pos="540"/>
          <w:tab w:val="left" w:pos="569"/>
        </w:tabs>
        <w:rPr>
          <w:bCs/>
          <w:sz w:val="22"/>
          <w:szCs w:val="22"/>
          <w:lang w:val="sr-Latn-ME"/>
        </w:rPr>
      </w:pPr>
    </w:p>
    <w:p w14:paraId="14B743F1" w14:textId="77777777" w:rsidR="0072020E" w:rsidRPr="001A7371" w:rsidRDefault="0072020E" w:rsidP="00480FB1">
      <w:pPr>
        <w:tabs>
          <w:tab w:val="left" w:pos="540"/>
          <w:tab w:val="left" w:pos="569"/>
        </w:tabs>
        <w:rPr>
          <w:b/>
          <w:bCs/>
          <w:sz w:val="22"/>
          <w:szCs w:val="22"/>
          <w:lang w:val="sr-Latn-ME"/>
        </w:rPr>
      </w:pPr>
      <w:r w:rsidRPr="001A7371">
        <w:rPr>
          <w:b/>
          <w:bCs/>
          <w:sz w:val="22"/>
          <w:szCs w:val="22"/>
          <w:lang w:val="sr-Latn-ME"/>
        </w:rPr>
        <w:t xml:space="preserve">6.4. </w:t>
      </w:r>
      <w:r w:rsidR="00480FB1" w:rsidRPr="001A7371">
        <w:rPr>
          <w:b/>
          <w:bCs/>
          <w:sz w:val="22"/>
          <w:szCs w:val="22"/>
          <w:lang w:val="sr-Latn-ME"/>
        </w:rPr>
        <w:tab/>
      </w:r>
      <w:r w:rsidRPr="001A7371">
        <w:rPr>
          <w:b/>
          <w:bCs/>
          <w:sz w:val="22"/>
          <w:szCs w:val="22"/>
          <w:lang w:val="sr-Latn-ME"/>
        </w:rPr>
        <w:t>Posebne mjere upozorenja pri čuvanju</w:t>
      </w:r>
      <w:r w:rsidR="00F8570A" w:rsidRPr="001A7371">
        <w:rPr>
          <w:b/>
          <w:bCs/>
          <w:sz w:val="22"/>
          <w:szCs w:val="22"/>
          <w:lang w:val="sr-Latn-ME"/>
        </w:rPr>
        <w:t xml:space="preserve"> lijeka</w:t>
      </w:r>
    </w:p>
    <w:p w14:paraId="55B63FDA" w14:textId="77777777" w:rsidR="00D8718A" w:rsidRPr="001A7371" w:rsidRDefault="00D8718A" w:rsidP="00480FB1">
      <w:pPr>
        <w:tabs>
          <w:tab w:val="left" w:pos="540"/>
          <w:tab w:val="left" w:pos="569"/>
        </w:tabs>
        <w:rPr>
          <w:b/>
          <w:bCs/>
          <w:sz w:val="22"/>
          <w:szCs w:val="22"/>
          <w:lang w:val="sr-Latn-ME"/>
        </w:rPr>
      </w:pPr>
    </w:p>
    <w:p w14:paraId="4BBC7D17" w14:textId="77777777" w:rsidR="00D8718A" w:rsidRPr="001A7371" w:rsidRDefault="00D8718A" w:rsidP="00D8718A">
      <w:pPr>
        <w:tabs>
          <w:tab w:val="left" w:pos="540"/>
          <w:tab w:val="left" w:pos="569"/>
        </w:tabs>
        <w:rPr>
          <w:bCs/>
          <w:sz w:val="22"/>
          <w:szCs w:val="22"/>
          <w:lang w:val="sr-Latn-ME"/>
        </w:rPr>
      </w:pPr>
      <w:r w:rsidRPr="001A7371">
        <w:rPr>
          <w:bCs/>
          <w:sz w:val="22"/>
          <w:szCs w:val="22"/>
          <w:lang w:val="sr-Latn-ME"/>
        </w:rPr>
        <w:t xml:space="preserve">Čuvati u originalnom pakovanju, zaštićeno od svjetlosti. </w:t>
      </w:r>
    </w:p>
    <w:p w14:paraId="37F84616" w14:textId="2E04AB20" w:rsidR="00FF205C" w:rsidRPr="001A7371" w:rsidRDefault="00D8718A" w:rsidP="00D8718A">
      <w:pPr>
        <w:tabs>
          <w:tab w:val="left" w:pos="540"/>
          <w:tab w:val="left" w:pos="569"/>
        </w:tabs>
        <w:rPr>
          <w:bCs/>
          <w:sz w:val="22"/>
          <w:szCs w:val="22"/>
          <w:lang w:val="sr-Latn-ME"/>
        </w:rPr>
      </w:pPr>
      <w:r w:rsidRPr="001A7371">
        <w:rPr>
          <w:bCs/>
          <w:sz w:val="22"/>
          <w:szCs w:val="22"/>
          <w:lang w:val="sr-Latn-ME"/>
        </w:rPr>
        <w:t>Držati lijek van domašaja i vidokruga djece!</w:t>
      </w:r>
    </w:p>
    <w:p w14:paraId="4D275943" w14:textId="77777777" w:rsidR="00FF205C" w:rsidRPr="001A7371" w:rsidRDefault="00FF205C" w:rsidP="00D8718A">
      <w:pPr>
        <w:tabs>
          <w:tab w:val="left" w:pos="540"/>
          <w:tab w:val="left" w:pos="569"/>
        </w:tabs>
        <w:rPr>
          <w:bCs/>
          <w:sz w:val="22"/>
          <w:szCs w:val="22"/>
          <w:lang w:val="sr-Latn-ME"/>
        </w:rPr>
      </w:pPr>
    </w:p>
    <w:p w14:paraId="3C921C38" w14:textId="77777777" w:rsidR="00D8718A" w:rsidRPr="001A7371" w:rsidRDefault="00D8718A" w:rsidP="00D8718A">
      <w:pPr>
        <w:tabs>
          <w:tab w:val="left" w:pos="540"/>
          <w:tab w:val="left" w:pos="569"/>
        </w:tabs>
        <w:rPr>
          <w:bCs/>
          <w:sz w:val="22"/>
          <w:szCs w:val="22"/>
          <w:lang w:val="sr-Latn-ME"/>
        </w:rPr>
      </w:pPr>
      <w:r w:rsidRPr="001A7371">
        <w:rPr>
          <w:bCs/>
          <w:sz w:val="22"/>
          <w:szCs w:val="22"/>
          <w:lang w:val="sr-Latn-ME"/>
        </w:rPr>
        <w:t>Lijek ne treba koristiti posle isteka datuma koji je naznačen na spoljašnjem, kartonskom pakovanju.</w:t>
      </w:r>
    </w:p>
    <w:p w14:paraId="4C5154C1" w14:textId="77777777" w:rsidR="00EC2532" w:rsidRPr="001A7371" w:rsidRDefault="00EC2532" w:rsidP="00480FB1">
      <w:pPr>
        <w:tabs>
          <w:tab w:val="left" w:pos="540"/>
          <w:tab w:val="left" w:pos="569"/>
        </w:tabs>
        <w:rPr>
          <w:bCs/>
          <w:sz w:val="22"/>
          <w:szCs w:val="22"/>
          <w:lang w:val="sr-Latn-ME"/>
        </w:rPr>
      </w:pPr>
    </w:p>
    <w:p w14:paraId="672D43BB" w14:textId="77777777" w:rsidR="0072020E" w:rsidRPr="001A7371" w:rsidRDefault="0072020E" w:rsidP="00480FB1">
      <w:pPr>
        <w:tabs>
          <w:tab w:val="left" w:pos="540"/>
          <w:tab w:val="left" w:pos="569"/>
        </w:tabs>
        <w:rPr>
          <w:b/>
          <w:bCs/>
          <w:sz w:val="22"/>
          <w:szCs w:val="22"/>
          <w:lang w:val="sr-Latn-ME"/>
        </w:rPr>
      </w:pPr>
      <w:r w:rsidRPr="001A7371">
        <w:rPr>
          <w:b/>
          <w:bCs/>
          <w:sz w:val="22"/>
          <w:szCs w:val="22"/>
          <w:lang w:val="sr-Latn-ME"/>
        </w:rPr>
        <w:t xml:space="preserve">6.5. </w:t>
      </w:r>
      <w:r w:rsidR="00480FB1" w:rsidRPr="001A7371">
        <w:rPr>
          <w:b/>
          <w:bCs/>
          <w:sz w:val="22"/>
          <w:szCs w:val="22"/>
          <w:lang w:val="sr-Latn-ME"/>
        </w:rPr>
        <w:tab/>
      </w:r>
      <w:r w:rsidR="002846DB" w:rsidRPr="001A7371">
        <w:rPr>
          <w:b/>
          <w:bCs/>
          <w:sz w:val="22"/>
          <w:szCs w:val="22"/>
          <w:lang w:val="sr-Latn-ME"/>
        </w:rPr>
        <w:t xml:space="preserve">Vrsta i sadržaj </w:t>
      </w:r>
      <w:r w:rsidR="00F8570A" w:rsidRPr="001A7371">
        <w:rPr>
          <w:b/>
          <w:bCs/>
          <w:sz w:val="22"/>
          <w:szCs w:val="22"/>
          <w:lang w:val="sr-Latn-ME"/>
        </w:rPr>
        <w:t>pakovanja</w:t>
      </w:r>
      <w:r w:rsidR="00C06864" w:rsidRPr="001A7371">
        <w:rPr>
          <w:b/>
          <w:bCs/>
          <w:sz w:val="22"/>
          <w:szCs w:val="22"/>
          <w:lang w:val="sr-Latn-ME"/>
        </w:rPr>
        <w:t xml:space="preserve"> </w:t>
      </w:r>
    </w:p>
    <w:p w14:paraId="4E8C520C" w14:textId="28F044AC" w:rsidR="00D8718A" w:rsidRPr="001A7371" w:rsidRDefault="00D8718A" w:rsidP="00480FB1">
      <w:pPr>
        <w:tabs>
          <w:tab w:val="left" w:pos="540"/>
          <w:tab w:val="left" w:pos="569"/>
        </w:tabs>
        <w:rPr>
          <w:b/>
          <w:bCs/>
          <w:sz w:val="22"/>
          <w:szCs w:val="22"/>
          <w:lang w:val="sr-Latn-ME"/>
        </w:rPr>
      </w:pPr>
    </w:p>
    <w:p w14:paraId="24874BDC" w14:textId="59667270" w:rsidR="0096255D" w:rsidRPr="001A7371" w:rsidRDefault="0096255D" w:rsidP="00480FB1">
      <w:pPr>
        <w:tabs>
          <w:tab w:val="left" w:pos="540"/>
          <w:tab w:val="left" w:pos="569"/>
        </w:tabs>
        <w:rPr>
          <w:bCs/>
          <w:i/>
          <w:sz w:val="22"/>
          <w:szCs w:val="22"/>
          <w:lang w:val="sr-Latn-ME"/>
        </w:rPr>
      </w:pPr>
      <w:r w:rsidRPr="001A7371">
        <w:rPr>
          <w:bCs/>
          <w:i/>
          <w:sz w:val="22"/>
          <w:szCs w:val="22"/>
          <w:lang w:val="sr-Latn-ME"/>
        </w:rPr>
        <w:t>Sindaxel 30mg/5ml</w:t>
      </w:r>
    </w:p>
    <w:p w14:paraId="78346C86" w14:textId="3F0F11DD" w:rsidR="00D8718A" w:rsidRPr="001A7371" w:rsidRDefault="00D8718A" w:rsidP="00D8718A">
      <w:pPr>
        <w:tabs>
          <w:tab w:val="left" w:pos="540"/>
          <w:tab w:val="left" w:pos="569"/>
        </w:tabs>
        <w:jc w:val="both"/>
        <w:rPr>
          <w:bCs/>
          <w:sz w:val="22"/>
          <w:szCs w:val="22"/>
          <w:lang w:val="sr-Latn-ME"/>
        </w:rPr>
      </w:pPr>
      <w:r w:rsidRPr="001A7371">
        <w:rPr>
          <w:bCs/>
          <w:sz w:val="22"/>
          <w:szCs w:val="22"/>
          <w:lang w:val="sr-Latn-ME"/>
        </w:rPr>
        <w:t>Unutrašnje pakovanje lijeka</w:t>
      </w:r>
      <w:r w:rsidR="0096255D" w:rsidRPr="001A7371">
        <w:rPr>
          <w:bCs/>
          <w:sz w:val="22"/>
          <w:szCs w:val="22"/>
          <w:lang w:val="sr-Latn-ME"/>
        </w:rPr>
        <w:t xml:space="preserve"> </w:t>
      </w:r>
      <w:r w:rsidRPr="001A7371">
        <w:rPr>
          <w:bCs/>
          <w:sz w:val="22"/>
          <w:szCs w:val="22"/>
          <w:lang w:val="sr-Latn-ME"/>
        </w:rPr>
        <w:t>je bočica od bezbojnog borsilikatnog stakla,</w:t>
      </w:r>
      <w:r w:rsidR="00FF205C" w:rsidRPr="001A7371">
        <w:rPr>
          <w:bCs/>
          <w:sz w:val="22"/>
          <w:szCs w:val="22"/>
          <w:lang w:val="sr-Latn-ME"/>
        </w:rPr>
        <w:t xml:space="preserve"> </w:t>
      </w:r>
      <w:r w:rsidRPr="001A7371">
        <w:rPr>
          <w:bCs/>
          <w:sz w:val="22"/>
          <w:szCs w:val="22"/>
          <w:lang w:val="sr-Latn-ME"/>
        </w:rPr>
        <w:t>hidrolitičke grupe I. Bočica je zatvorena zatvaračem od sive bromobutil-gume sa silikonskim punjenjem, tipa I. Zatvarač je fiksiran aluminijumskom kapicom i polipropilenskim diskom.</w:t>
      </w:r>
    </w:p>
    <w:p w14:paraId="0E344C8A" w14:textId="402D1BC2" w:rsidR="00D8718A" w:rsidRPr="001A7371" w:rsidRDefault="00D8718A" w:rsidP="00D8718A">
      <w:pPr>
        <w:tabs>
          <w:tab w:val="left" w:pos="540"/>
          <w:tab w:val="left" w:pos="569"/>
        </w:tabs>
        <w:jc w:val="both"/>
        <w:rPr>
          <w:bCs/>
          <w:sz w:val="22"/>
          <w:szCs w:val="22"/>
          <w:lang w:val="sr-Latn-ME"/>
        </w:rPr>
      </w:pPr>
      <w:r w:rsidRPr="001A7371">
        <w:rPr>
          <w:bCs/>
          <w:sz w:val="22"/>
          <w:szCs w:val="22"/>
          <w:lang w:val="sr-Latn-ME"/>
        </w:rPr>
        <w:lastRenderedPageBreak/>
        <w:t>Spoljašnje pakovanje lijeka je složiva kartonska kutija.</w:t>
      </w:r>
    </w:p>
    <w:p w14:paraId="0769075A" w14:textId="77777777" w:rsidR="00D8718A" w:rsidRPr="001A7371" w:rsidRDefault="00D8718A" w:rsidP="00D8718A">
      <w:pPr>
        <w:tabs>
          <w:tab w:val="left" w:pos="540"/>
          <w:tab w:val="left" w:pos="569"/>
        </w:tabs>
        <w:jc w:val="both"/>
        <w:rPr>
          <w:b/>
          <w:bCs/>
          <w:sz w:val="22"/>
          <w:szCs w:val="22"/>
          <w:lang w:val="sr-Latn-ME"/>
        </w:rPr>
      </w:pPr>
      <w:r w:rsidRPr="001A7371">
        <w:rPr>
          <w:b/>
          <w:bCs/>
          <w:sz w:val="22"/>
          <w:szCs w:val="22"/>
          <w:lang w:val="sr-Latn-ME"/>
        </w:rPr>
        <w:t>Bočice mogu biti pakovane sa ili bez zaštitnog, plastičnog, providnog omotača.</w:t>
      </w:r>
    </w:p>
    <w:p w14:paraId="6145FFCD" w14:textId="77777777" w:rsidR="0096255D" w:rsidRPr="001A7371" w:rsidRDefault="0096255D" w:rsidP="0096255D">
      <w:pPr>
        <w:tabs>
          <w:tab w:val="left" w:pos="540"/>
          <w:tab w:val="left" w:pos="569"/>
        </w:tabs>
        <w:rPr>
          <w:b/>
          <w:bCs/>
          <w:sz w:val="22"/>
          <w:szCs w:val="22"/>
          <w:lang w:val="sr-Latn-ME"/>
        </w:rPr>
      </w:pPr>
    </w:p>
    <w:p w14:paraId="408EE4AB" w14:textId="77777777" w:rsidR="0096255D" w:rsidRPr="001A7371" w:rsidRDefault="0096255D" w:rsidP="004F5E63">
      <w:pPr>
        <w:tabs>
          <w:tab w:val="left" w:pos="540"/>
          <w:tab w:val="left" w:pos="569"/>
        </w:tabs>
        <w:rPr>
          <w:bCs/>
          <w:i/>
          <w:sz w:val="22"/>
          <w:szCs w:val="22"/>
          <w:lang w:val="sr-Latn-ME"/>
        </w:rPr>
      </w:pPr>
    </w:p>
    <w:p w14:paraId="634BCA88" w14:textId="40DFC8B0" w:rsidR="00D8718A" w:rsidRPr="001A7371" w:rsidRDefault="0096255D" w:rsidP="004F5E63">
      <w:pPr>
        <w:tabs>
          <w:tab w:val="left" w:pos="540"/>
          <w:tab w:val="left" w:pos="569"/>
        </w:tabs>
        <w:rPr>
          <w:bCs/>
          <w:i/>
          <w:sz w:val="22"/>
          <w:szCs w:val="22"/>
          <w:lang w:val="sr-Latn-ME"/>
        </w:rPr>
      </w:pPr>
      <w:r w:rsidRPr="001A7371">
        <w:rPr>
          <w:bCs/>
          <w:i/>
          <w:sz w:val="22"/>
          <w:szCs w:val="22"/>
          <w:lang w:val="sr-Latn-ME"/>
        </w:rPr>
        <w:t>Sindaxel 100mg/16.67ml</w:t>
      </w:r>
    </w:p>
    <w:p w14:paraId="6DA59E24" w14:textId="592CCBE1" w:rsidR="00D8718A" w:rsidRPr="001A7371" w:rsidRDefault="00D8718A" w:rsidP="00D8718A">
      <w:pPr>
        <w:tabs>
          <w:tab w:val="left" w:pos="540"/>
          <w:tab w:val="left" w:pos="569"/>
        </w:tabs>
        <w:jc w:val="both"/>
        <w:rPr>
          <w:bCs/>
          <w:sz w:val="22"/>
          <w:szCs w:val="22"/>
          <w:lang w:val="sr-Latn-ME"/>
        </w:rPr>
      </w:pPr>
      <w:r w:rsidRPr="001A7371">
        <w:rPr>
          <w:bCs/>
          <w:sz w:val="22"/>
          <w:szCs w:val="22"/>
          <w:lang w:val="sr-Latn-ME"/>
        </w:rPr>
        <w:t>Unutrašnje pakovanje lijeka je bočica od bezbojnog borsilikatnog stakla, hidrolitičke grupe I. Bočica je zatvorena zatvaračem od sive bromobutil</w:t>
      </w:r>
      <w:r w:rsidR="001907DC" w:rsidRPr="001A7371">
        <w:rPr>
          <w:bCs/>
          <w:sz w:val="22"/>
          <w:szCs w:val="22"/>
          <w:lang w:val="sr-Latn-ME"/>
        </w:rPr>
        <w:t xml:space="preserve"> - </w:t>
      </w:r>
      <w:r w:rsidRPr="001A7371">
        <w:rPr>
          <w:bCs/>
          <w:sz w:val="22"/>
          <w:szCs w:val="22"/>
          <w:lang w:val="sr-Latn-ME"/>
        </w:rPr>
        <w:t>gume sa silikonskim punjenjem, tipa I. Zatvarač je fiksiran aluminijumskom kapicom i polipropilenskim diskom.</w:t>
      </w:r>
    </w:p>
    <w:p w14:paraId="05B0CA03" w14:textId="77777777" w:rsidR="00D8718A" w:rsidRPr="001A7371" w:rsidRDefault="00D8718A" w:rsidP="00D8718A">
      <w:pPr>
        <w:tabs>
          <w:tab w:val="left" w:pos="540"/>
          <w:tab w:val="left" w:pos="569"/>
        </w:tabs>
        <w:jc w:val="both"/>
        <w:rPr>
          <w:bCs/>
          <w:sz w:val="22"/>
          <w:szCs w:val="22"/>
          <w:lang w:val="sr-Latn-ME"/>
        </w:rPr>
      </w:pPr>
      <w:r w:rsidRPr="001A7371">
        <w:rPr>
          <w:bCs/>
          <w:sz w:val="22"/>
          <w:szCs w:val="22"/>
          <w:lang w:val="sr-Latn-ME"/>
        </w:rPr>
        <w:t>Spoljašnje pakovanje lijeka je složiva kartonska kutija.</w:t>
      </w:r>
    </w:p>
    <w:p w14:paraId="6A427D2D" w14:textId="77777777" w:rsidR="0072020E" w:rsidRPr="001A7371" w:rsidRDefault="00D8718A" w:rsidP="00D8718A">
      <w:pPr>
        <w:tabs>
          <w:tab w:val="left" w:pos="540"/>
          <w:tab w:val="left" w:pos="569"/>
        </w:tabs>
        <w:rPr>
          <w:b/>
          <w:bCs/>
          <w:sz w:val="22"/>
          <w:szCs w:val="22"/>
          <w:lang w:val="sr-Latn-ME"/>
        </w:rPr>
      </w:pPr>
      <w:r w:rsidRPr="001A7371">
        <w:rPr>
          <w:b/>
          <w:bCs/>
          <w:sz w:val="22"/>
          <w:szCs w:val="22"/>
          <w:lang w:val="sr-Latn-ME"/>
        </w:rPr>
        <w:t>Bočice mogu biti pakovane sa ili bez zaštitnog, plastičnog, providnog omotača.</w:t>
      </w:r>
    </w:p>
    <w:p w14:paraId="70A62EB0" w14:textId="77777777" w:rsidR="00743438" w:rsidRPr="001A7371" w:rsidRDefault="00743438" w:rsidP="00480FB1">
      <w:pPr>
        <w:tabs>
          <w:tab w:val="left" w:pos="540"/>
          <w:tab w:val="left" w:pos="569"/>
        </w:tabs>
        <w:rPr>
          <w:b/>
          <w:bCs/>
          <w:sz w:val="22"/>
          <w:szCs w:val="22"/>
          <w:lang w:val="sr-Latn-ME"/>
        </w:rPr>
      </w:pPr>
    </w:p>
    <w:p w14:paraId="13C90802" w14:textId="37591C79" w:rsidR="002846DB" w:rsidRPr="001A7371" w:rsidRDefault="0072020E" w:rsidP="00480FB1">
      <w:pPr>
        <w:tabs>
          <w:tab w:val="left" w:pos="540"/>
          <w:tab w:val="left" w:pos="569"/>
        </w:tabs>
        <w:rPr>
          <w:b/>
          <w:bCs/>
          <w:sz w:val="22"/>
          <w:szCs w:val="22"/>
          <w:lang w:val="sr-Latn-ME"/>
        </w:rPr>
      </w:pPr>
      <w:r w:rsidRPr="001A7371">
        <w:rPr>
          <w:b/>
          <w:bCs/>
          <w:sz w:val="22"/>
          <w:szCs w:val="22"/>
          <w:lang w:val="sr-Latn-ME"/>
        </w:rPr>
        <w:t xml:space="preserve">6.6. </w:t>
      </w:r>
      <w:r w:rsidR="00480FB1" w:rsidRPr="001A7371">
        <w:rPr>
          <w:b/>
          <w:bCs/>
          <w:sz w:val="22"/>
          <w:szCs w:val="22"/>
          <w:lang w:val="sr-Latn-ME"/>
        </w:rPr>
        <w:tab/>
      </w:r>
      <w:r w:rsidRPr="001A7371">
        <w:rPr>
          <w:b/>
          <w:bCs/>
          <w:color w:val="000000"/>
          <w:sz w:val="22"/>
          <w:szCs w:val="22"/>
          <w:lang w:val="sr-Latn-ME"/>
        </w:rPr>
        <w:t>Posebne mjere opreza pri odlaganju materijala koji treba odbaciti nakon primjene lijeka</w:t>
      </w:r>
      <w:r w:rsidRPr="001A7371">
        <w:rPr>
          <w:b/>
          <w:bCs/>
          <w:sz w:val="22"/>
          <w:szCs w:val="22"/>
          <w:lang w:val="sr-Latn-ME"/>
        </w:rPr>
        <w:t xml:space="preserve"> </w:t>
      </w:r>
      <w:r w:rsidR="00310F03" w:rsidRPr="001A7371">
        <w:rPr>
          <w:b/>
          <w:bCs/>
          <w:sz w:val="22"/>
          <w:szCs w:val="22"/>
          <w:lang w:val="sr-Latn-ME"/>
        </w:rPr>
        <w:t>(i druga uputs</w:t>
      </w:r>
      <w:r w:rsidR="004109FA" w:rsidRPr="001A7371">
        <w:rPr>
          <w:b/>
          <w:bCs/>
          <w:sz w:val="22"/>
          <w:szCs w:val="22"/>
          <w:lang w:val="sr-Latn-ME"/>
        </w:rPr>
        <w:t>t</w:t>
      </w:r>
      <w:r w:rsidR="00310F03" w:rsidRPr="001A7371">
        <w:rPr>
          <w:b/>
          <w:bCs/>
          <w:sz w:val="22"/>
          <w:szCs w:val="22"/>
          <w:lang w:val="sr-Latn-ME"/>
        </w:rPr>
        <w:t xml:space="preserve">va za rukovanje lijekom) </w:t>
      </w:r>
    </w:p>
    <w:p w14:paraId="2244F458" w14:textId="77777777" w:rsidR="00B66A70" w:rsidRPr="001A7371" w:rsidRDefault="00B66A70" w:rsidP="00480FB1">
      <w:pPr>
        <w:tabs>
          <w:tab w:val="left" w:pos="540"/>
          <w:tab w:val="left" w:pos="569"/>
        </w:tabs>
        <w:rPr>
          <w:b/>
          <w:bCs/>
          <w:sz w:val="22"/>
          <w:szCs w:val="22"/>
          <w:lang w:val="sr-Latn-ME"/>
        </w:rPr>
      </w:pPr>
    </w:p>
    <w:p w14:paraId="4A5E8F9D" w14:textId="77777777" w:rsidR="00D8718A" w:rsidRPr="001A7371" w:rsidRDefault="00D8718A" w:rsidP="00D8718A">
      <w:pPr>
        <w:tabs>
          <w:tab w:val="left" w:pos="540"/>
          <w:tab w:val="left" w:pos="569"/>
        </w:tabs>
        <w:jc w:val="both"/>
        <w:rPr>
          <w:bCs/>
          <w:sz w:val="22"/>
          <w:szCs w:val="22"/>
          <w:lang w:val="sr-Latn-ME"/>
        </w:rPr>
      </w:pPr>
      <w:r w:rsidRPr="001A7371">
        <w:rPr>
          <w:bCs/>
          <w:sz w:val="22"/>
          <w:szCs w:val="22"/>
          <w:lang w:val="sr-Latn-ME"/>
        </w:rPr>
        <w:t>Kao i kod svih drugih antineoplastika, i rukovanje lijekom Sindaxel zahtjeva posebne mjere opreza.</w:t>
      </w:r>
    </w:p>
    <w:p w14:paraId="28B843FE" w14:textId="77777777" w:rsidR="00D8718A" w:rsidRPr="001A7371" w:rsidRDefault="00D8718A" w:rsidP="00D8718A">
      <w:pPr>
        <w:tabs>
          <w:tab w:val="left" w:pos="540"/>
          <w:tab w:val="left" w:pos="569"/>
        </w:tabs>
        <w:jc w:val="both"/>
        <w:rPr>
          <w:bCs/>
          <w:sz w:val="22"/>
          <w:szCs w:val="22"/>
          <w:lang w:val="sr-Latn-ME"/>
        </w:rPr>
      </w:pPr>
    </w:p>
    <w:p w14:paraId="40152577" w14:textId="269654B3" w:rsidR="0072020E" w:rsidRPr="001A7371" w:rsidRDefault="00D8718A" w:rsidP="00D8718A">
      <w:pPr>
        <w:tabs>
          <w:tab w:val="left" w:pos="540"/>
          <w:tab w:val="left" w:pos="569"/>
        </w:tabs>
        <w:jc w:val="both"/>
        <w:rPr>
          <w:bCs/>
          <w:sz w:val="22"/>
          <w:szCs w:val="22"/>
          <w:lang w:val="sr-Latn-ME"/>
        </w:rPr>
      </w:pPr>
      <w:r w:rsidRPr="001A7371">
        <w:rPr>
          <w:bCs/>
          <w:sz w:val="22"/>
          <w:szCs w:val="22"/>
          <w:lang w:val="sr-Latn-ME"/>
        </w:rPr>
        <w:t>Pripremu rastvora mora da obavi posebno obučen stručni kadar u aseptičnim uslovima, u za to posebno namijenjenim prostorijama. Neophodno je nositi odgovarajuće zaštitne rukavice. Treba preduzeti mjere opreza da bi se izbjegao kontakt sa kožom i sluzokožom. U slučaju da rastvor dođe u kontakt sa kožom, zahvaćenu površinu treba odmah, temeljno isprati vodom i sapunom. Uočene su sledeće reakcije na koži: peckanje, osjećaj bockanja i crvenilo. U slučaju kontakta rastvora sa sluzokožom, zahvaćenu površinu sluzokože treba temeljno isprati vodom. U slučaju inhalacije prijavljeni su dispneja, bol u grudima, pečenje u grlu i mučnina.</w:t>
      </w:r>
    </w:p>
    <w:p w14:paraId="064B16EF" w14:textId="77777777" w:rsidR="00D8718A" w:rsidRPr="001A7371" w:rsidRDefault="00D8718A" w:rsidP="00D8718A">
      <w:pPr>
        <w:tabs>
          <w:tab w:val="left" w:pos="540"/>
          <w:tab w:val="left" w:pos="569"/>
        </w:tabs>
        <w:jc w:val="both"/>
        <w:rPr>
          <w:bCs/>
          <w:sz w:val="22"/>
          <w:szCs w:val="22"/>
          <w:lang w:val="sr-Latn-ME"/>
        </w:rPr>
      </w:pPr>
    </w:p>
    <w:p w14:paraId="09BB73FE" w14:textId="77777777" w:rsidR="00D8718A" w:rsidRPr="001A7371" w:rsidRDefault="00D8718A" w:rsidP="00D8718A">
      <w:pPr>
        <w:tabs>
          <w:tab w:val="left" w:pos="540"/>
          <w:tab w:val="left" w:pos="569"/>
        </w:tabs>
        <w:jc w:val="both"/>
        <w:rPr>
          <w:bCs/>
          <w:i/>
          <w:sz w:val="22"/>
          <w:szCs w:val="22"/>
          <w:lang w:val="sr-Latn-ME"/>
        </w:rPr>
      </w:pPr>
      <w:r w:rsidRPr="001A7371">
        <w:rPr>
          <w:bCs/>
          <w:i/>
          <w:sz w:val="22"/>
          <w:szCs w:val="22"/>
          <w:lang w:val="sr-Latn-ME"/>
        </w:rPr>
        <w:t>Priprema rastvora za intravensku infuziju</w:t>
      </w:r>
    </w:p>
    <w:p w14:paraId="775D8E58" w14:textId="77777777" w:rsidR="00D8718A" w:rsidRPr="001A7371" w:rsidRDefault="00D8718A" w:rsidP="00D8718A">
      <w:pPr>
        <w:tabs>
          <w:tab w:val="left" w:pos="540"/>
          <w:tab w:val="left" w:pos="569"/>
        </w:tabs>
        <w:jc w:val="both"/>
        <w:rPr>
          <w:bCs/>
          <w:sz w:val="22"/>
          <w:szCs w:val="22"/>
          <w:lang w:val="sr-Latn-ME"/>
        </w:rPr>
      </w:pPr>
      <w:r w:rsidRPr="001A7371">
        <w:rPr>
          <w:bCs/>
          <w:sz w:val="22"/>
          <w:szCs w:val="22"/>
          <w:lang w:val="sr-Latn-ME"/>
        </w:rPr>
        <w:t>Takozvani "zatvoreni sistemi" ne bi trebalo da se upotrebljavaju za izvlačenje koncentrata iz bočice budući da može da dođe do kolabiranja gumenog zatvarača i posljedično gubitka sterilnosti.</w:t>
      </w:r>
    </w:p>
    <w:p w14:paraId="5B2AB336" w14:textId="77777777" w:rsidR="00D8718A" w:rsidRPr="001A7371" w:rsidRDefault="00D8718A" w:rsidP="00D8718A">
      <w:pPr>
        <w:tabs>
          <w:tab w:val="left" w:pos="540"/>
          <w:tab w:val="left" w:pos="569"/>
        </w:tabs>
        <w:jc w:val="both"/>
        <w:rPr>
          <w:bCs/>
          <w:sz w:val="22"/>
          <w:szCs w:val="22"/>
          <w:lang w:val="sr-Latn-ME"/>
        </w:rPr>
      </w:pPr>
    </w:p>
    <w:p w14:paraId="102A1887" w14:textId="77777777" w:rsidR="00D8718A" w:rsidRPr="001A7371" w:rsidRDefault="00D8718A" w:rsidP="00D8718A">
      <w:pPr>
        <w:tabs>
          <w:tab w:val="left" w:pos="540"/>
          <w:tab w:val="left" w:pos="569"/>
        </w:tabs>
        <w:jc w:val="both"/>
        <w:rPr>
          <w:bCs/>
          <w:sz w:val="22"/>
          <w:szCs w:val="22"/>
          <w:lang w:val="sr-Latn-ME"/>
        </w:rPr>
      </w:pPr>
      <w:r w:rsidRPr="001A7371">
        <w:rPr>
          <w:bCs/>
          <w:sz w:val="22"/>
          <w:szCs w:val="22"/>
          <w:lang w:val="sr-Latn-ME"/>
        </w:rPr>
        <w:t>Lijek Sindaxel mora da bude razblažen u aseptičnim uslovima sa sljedećim rastvorima za infuziju:</w:t>
      </w:r>
    </w:p>
    <w:p w14:paraId="39FBBAD3" w14:textId="2980D4A2" w:rsidR="00D8718A" w:rsidRPr="001A7371" w:rsidRDefault="00D8718A" w:rsidP="00D8718A">
      <w:pPr>
        <w:tabs>
          <w:tab w:val="left" w:pos="540"/>
          <w:tab w:val="left" w:pos="569"/>
        </w:tabs>
        <w:jc w:val="both"/>
        <w:rPr>
          <w:bCs/>
          <w:sz w:val="22"/>
          <w:szCs w:val="22"/>
          <w:lang w:val="sr-Latn-ME"/>
        </w:rPr>
      </w:pPr>
      <w:r w:rsidRPr="001A7371">
        <w:rPr>
          <w:bCs/>
          <w:sz w:val="22"/>
          <w:szCs w:val="22"/>
          <w:lang w:val="sr-Latn-ME"/>
        </w:rPr>
        <w:t>•</w:t>
      </w:r>
      <w:r w:rsidRPr="001A7371">
        <w:rPr>
          <w:bCs/>
          <w:sz w:val="22"/>
          <w:szCs w:val="22"/>
          <w:lang w:val="sr-Latn-ME"/>
        </w:rPr>
        <w:tab/>
        <w:t>0.9% rastvor NaCl</w:t>
      </w:r>
      <w:r w:rsidR="00965BD0" w:rsidRPr="001A7371">
        <w:rPr>
          <w:bCs/>
          <w:sz w:val="22"/>
          <w:szCs w:val="22"/>
          <w:lang w:val="sr-Latn-ME"/>
        </w:rPr>
        <w:t>, rastvor za infuziju</w:t>
      </w:r>
      <w:r w:rsidRPr="001A7371">
        <w:rPr>
          <w:bCs/>
          <w:sz w:val="22"/>
          <w:szCs w:val="22"/>
          <w:lang w:val="sr-Latn-ME"/>
        </w:rPr>
        <w:t>;</w:t>
      </w:r>
    </w:p>
    <w:p w14:paraId="093B0AF2" w14:textId="7C60AC4E" w:rsidR="00D8718A" w:rsidRPr="001A7371" w:rsidRDefault="00D8718A" w:rsidP="00D8718A">
      <w:pPr>
        <w:tabs>
          <w:tab w:val="left" w:pos="540"/>
          <w:tab w:val="left" w:pos="569"/>
        </w:tabs>
        <w:jc w:val="both"/>
        <w:rPr>
          <w:bCs/>
          <w:sz w:val="22"/>
          <w:szCs w:val="22"/>
          <w:lang w:val="sr-Latn-ME"/>
        </w:rPr>
      </w:pPr>
      <w:r w:rsidRPr="001A7371">
        <w:rPr>
          <w:bCs/>
          <w:sz w:val="22"/>
          <w:szCs w:val="22"/>
          <w:lang w:val="sr-Latn-ME"/>
        </w:rPr>
        <w:t>•</w:t>
      </w:r>
      <w:r w:rsidRPr="001A7371">
        <w:rPr>
          <w:bCs/>
          <w:sz w:val="22"/>
          <w:szCs w:val="22"/>
          <w:lang w:val="sr-Latn-ME"/>
        </w:rPr>
        <w:tab/>
        <w:t>5% rastvor glukoze</w:t>
      </w:r>
      <w:r w:rsidR="00965BD0" w:rsidRPr="001A7371">
        <w:rPr>
          <w:bCs/>
          <w:sz w:val="22"/>
          <w:szCs w:val="22"/>
          <w:lang w:val="sr-Latn-ME"/>
        </w:rPr>
        <w:t>, rastvor za infuziju</w:t>
      </w:r>
      <w:r w:rsidRPr="001A7371">
        <w:rPr>
          <w:bCs/>
          <w:sz w:val="22"/>
          <w:szCs w:val="22"/>
          <w:lang w:val="sr-Latn-ME"/>
        </w:rPr>
        <w:t>;</w:t>
      </w:r>
    </w:p>
    <w:p w14:paraId="391F94AC" w14:textId="703C2852" w:rsidR="00D8718A" w:rsidRPr="001A7371" w:rsidRDefault="00D8718A" w:rsidP="00D8718A">
      <w:pPr>
        <w:tabs>
          <w:tab w:val="left" w:pos="540"/>
          <w:tab w:val="left" w:pos="569"/>
        </w:tabs>
        <w:jc w:val="both"/>
        <w:rPr>
          <w:bCs/>
          <w:sz w:val="22"/>
          <w:szCs w:val="22"/>
          <w:lang w:val="sr-Latn-ME"/>
        </w:rPr>
      </w:pPr>
      <w:r w:rsidRPr="001A7371">
        <w:rPr>
          <w:bCs/>
          <w:sz w:val="22"/>
          <w:szCs w:val="22"/>
          <w:lang w:val="sr-Latn-ME"/>
        </w:rPr>
        <w:t>•</w:t>
      </w:r>
      <w:r w:rsidRPr="001A7371">
        <w:rPr>
          <w:bCs/>
          <w:sz w:val="22"/>
          <w:szCs w:val="22"/>
          <w:lang w:val="sr-Latn-ME"/>
        </w:rPr>
        <w:tab/>
      </w:r>
      <w:r w:rsidR="00965BD0" w:rsidRPr="001A7371">
        <w:rPr>
          <w:bCs/>
          <w:sz w:val="22"/>
          <w:szCs w:val="22"/>
          <w:lang w:val="sr-Latn-ME"/>
        </w:rPr>
        <w:t xml:space="preserve">smješa </w:t>
      </w:r>
      <w:r w:rsidRPr="001A7371">
        <w:rPr>
          <w:bCs/>
          <w:sz w:val="22"/>
          <w:szCs w:val="22"/>
          <w:lang w:val="sr-Latn-ME"/>
        </w:rPr>
        <w:t xml:space="preserve">5% </w:t>
      </w:r>
      <w:r w:rsidR="00965BD0" w:rsidRPr="001A7371">
        <w:rPr>
          <w:bCs/>
          <w:sz w:val="22"/>
          <w:szCs w:val="22"/>
          <w:lang w:val="sr-Latn-ME"/>
        </w:rPr>
        <w:t xml:space="preserve">rastvora </w:t>
      </w:r>
      <w:r w:rsidRPr="001A7371">
        <w:rPr>
          <w:bCs/>
          <w:sz w:val="22"/>
          <w:szCs w:val="22"/>
          <w:lang w:val="sr-Latn-ME"/>
        </w:rPr>
        <w:t>glukoz</w:t>
      </w:r>
      <w:r w:rsidR="00965BD0" w:rsidRPr="001A7371">
        <w:rPr>
          <w:bCs/>
          <w:sz w:val="22"/>
          <w:szCs w:val="22"/>
          <w:lang w:val="sr-Latn-ME"/>
        </w:rPr>
        <w:t>e</w:t>
      </w:r>
      <w:r w:rsidRPr="001A7371">
        <w:rPr>
          <w:bCs/>
          <w:sz w:val="22"/>
          <w:szCs w:val="22"/>
          <w:lang w:val="sr-Latn-ME"/>
        </w:rPr>
        <w:t xml:space="preserve"> i 0.9% </w:t>
      </w:r>
      <w:r w:rsidR="00965BD0" w:rsidRPr="001A7371">
        <w:rPr>
          <w:bCs/>
          <w:sz w:val="22"/>
          <w:szCs w:val="22"/>
          <w:lang w:val="sr-Latn-ME"/>
        </w:rPr>
        <w:t xml:space="preserve">rastvora </w:t>
      </w:r>
      <w:r w:rsidRPr="001A7371">
        <w:rPr>
          <w:bCs/>
          <w:sz w:val="22"/>
          <w:szCs w:val="22"/>
          <w:lang w:val="sr-Latn-ME"/>
        </w:rPr>
        <w:t>NaCl</w:t>
      </w:r>
      <w:r w:rsidR="00965BD0" w:rsidRPr="001A7371">
        <w:rPr>
          <w:bCs/>
          <w:sz w:val="22"/>
          <w:szCs w:val="22"/>
          <w:lang w:val="sr-Latn-ME"/>
        </w:rPr>
        <w:t xml:space="preserve"> za infuziju</w:t>
      </w:r>
      <w:r w:rsidRPr="001A7371">
        <w:rPr>
          <w:bCs/>
          <w:sz w:val="22"/>
          <w:szCs w:val="22"/>
          <w:lang w:val="sr-Latn-ME"/>
        </w:rPr>
        <w:t>;</w:t>
      </w:r>
    </w:p>
    <w:p w14:paraId="0B974B27" w14:textId="4EE3D510" w:rsidR="00D8718A" w:rsidRPr="001A7371" w:rsidRDefault="00D8718A" w:rsidP="00D8718A">
      <w:pPr>
        <w:tabs>
          <w:tab w:val="left" w:pos="540"/>
          <w:tab w:val="left" w:pos="569"/>
        </w:tabs>
        <w:jc w:val="both"/>
        <w:rPr>
          <w:bCs/>
          <w:sz w:val="22"/>
          <w:szCs w:val="22"/>
          <w:lang w:val="sr-Latn-ME"/>
        </w:rPr>
      </w:pPr>
      <w:r w:rsidRPr="001A7371">
        <w:rPr>
          <w:bCs/>
          <w:sz w:val="22"/>
          <w:szCs w:val="22"/>
          <w:lang w:val="sr-Latn-ME"/>
        </w:rPr>
        <w:t>•</w:t>
      </w:r>
      <w:r w:rsidRPr="001A7371">
        <w:rPr>
          <w:bCs/>
          <w:sz w:val="22"/>
          <w:szCs w:val="22"/>
          <w:lang w:val="sr-Latn-ME"/>
        </w:rPr>
        <w:tab/>
        <w:t>5% glukoza u Ringerovom rastvoru</w:t>
      </w:r>
      <w:r w:rsidR="00965BD0" w:rsidRPr="001A7371">
        <w:rPr>
          <w:bCs/>
          <w:sz w:val="22"/>
          <w:szCs w:val="22"/>
          <w:lang w:val="sr-Latn-ME"/>
        </w:rPr>
        <w:t xml:space="preserve"> za infuziju</w:t>
      </w:r>
    </w:p>
    <w:p w14:paraId="462AC147" w14:textId="77777777" w:rsidR="00D8718A" w:rsidRPr="001A7371" w:rsidRDefault="00D8718A" w:rsidP="00D8718A">
      <w:pPr>
        <w:tabs>
          <w:tab w:val="left" w:pos="540"/>
          <w:tab w:val="left" w:pos="569"/>
        </w:tabs>
        <w:jc w:val="both"/>
        <w:rPr>
          <w:bCs/>
          <w:sz w:val="22"/>
          <w:szCs w:val="22"/>
          <w:lang w:val="sr-Latn-ME"/>
        </w:rPr>
      </w:pPr>
    </w:p>
    <w:p w14:paraId="71459DC7" w14:textId="77777777" w:rsidR="00D8718A" w:rsidRPr="001A7371" w:rsidRDefault="00D8718A" w:rsidP="00D8718A">
      <w:pPr>
        <w:tabs>
          <w:tab w:val="left" w:pos="540"/>
          <w:tab w:val="left" w:pos="569"/>
        </w:tabs>
        <w:jc w:val="both"/>
        <w:rPr>
          <w:bCs/>
          <w:sz w:val="22"/>
          <w:szCs w:val="22"/>
          <w:lang w:val="sr-Latn-ME"/>
        </w:rPr>
      </w:pPr>
      <w:r w:rsidRPr="001A7371">
        <w:rPr>
          <w:bCs/>
          <w:sz w:val="22"/>
          <w:szCs w:val="22"/>
          <w:lang w:val="sr-Latn-ME"/>
        </w:rPr>
        <w:t>Finalna koncentracija rastvora mora da se kreće od 0,3 do 1,2 mg/ml.</w:t>
      </w:r>
    </w:p>
    <w:p w14:paraId="16C2C518" w14:textId="77777777" w:rsidR="00D8718A" w:rsidRPr="001A7371" w:rsidRDefault="00D8718A" w:rsidP="00D8718A">
      <w:pPr>
        <w:tabs>
          <w:tab w:val="left" w:pos="540"/>
          <w:tab w:val="left" w:pos="569"/>
        </w:tabs>
        <w:jc w:val="both"/>
        <w:rPr>
          <w:bCs/>
          <w:sz w:val="22"/>
          <w:szCs w:val="22"/>
          <w:lang w:val="sr-Latn-ME"/>
        </w:rPr>
      </w:pPr>
    </w:p>
    <w:p w14:paraId="490FEF7A" w14:textId="1571A9A5" w:rsidR="00D8718A" w:rsidRPr="001A7371" w:rsidRDefault="00D8718A" w:rsidP="00D8718A">
      <w:pPr>
        <w:tabs>
          <w:tab w:val="left" w:pos="540"/>
          <w:tab w:val="left" w:pos="569"/>
        </w:tabs>
        <w:jc w:val="both"/>
        <w:rPr>
          <w:bCs/>
          <w:sz w:val="22"/>
          <w:szCs w:val="22"/>
          <w:lang w:val="sr-Latn-ME"/>
        </w:rPr>
      </w:pPr>
      <w:r w:rsidRPr="001A7371">
        <w:rPr>
          <w:bCs/>
          <w:sz w:val="22"/>
          <w:szCs w:val="22"/>
          <w:lang w:val="sr-Latn-ME"/>
        </w:rPr>
        <w:t>Hemijska i fizička stabilnost pripremljenog rastvora za infuziju dokazana je na 5°C i na 25°C tokom 7 dana nakon razređivanja u 5%</w:t>
      </w:r>
      <w:r w:rsidR="00965BD0" w:rsidRPr="001A7371">
        <w:rPr>
          <w:bCs/>
          <w:sz w:val="22"/>
          <w:szCs w:val="22"/>
          <w:lang w:val="sr-Latn-ME"/>
        </w:rPr>
        <w:t xml:space="preserve"> </w:t>
      </w:r>
      <w:r w:rsidRPr="001A7371">
        <w:rPr>
          <w:bCs/>
          <w:sz w:val="22"/>
          <w:szCs w:val="22"/>
          <w:lang w:val="sr-Latn-ME"/>
        </w:rPr>
        <w:t>-</w:t>
      </w:r>
      <w:r w:rsidR="00965BD0" w:rsidRPr="001A7371">
        <w:rPr>
          <w:bCs/>
          <w:sz w:val="22"/>
          <w:szCs w:val="22"/>
          <w:lang w:val="sr-Latn-ME"/>
        </w:rPr>
        <w:t xml:space="preserve"> </w:t>
      </w:r>
      <w:r w:rsidRPr="001A7371">
        <w:rPr>
          <w:bCs/>
          <w:sz w:val="22"/>
          <w:szCs w:val="22"/>
          <w:lang w:val="sr-Latn-ME"/>
        </w:rPr>
        <w:t>tnom rastvoru za infuziju glukoze ili 5%</w:t>
      </w:r>
      <w:r w:rsidR="00965BD0" w:rsidRPr="001A7371">
        <w:rPr>
          <w:bCs/>
          <w:sz w:val="22"/>
          <w:szCs w:val="22"/>
          <w:lang w:val="sr-Latn-ME"/>
        </w:rPr>
        <w:t xml:space="preserve"> </w:t>
      </w:r>
      <w:r w:rsidRPr="001A7371">
        <w:rPr>
          <w:bCs/>
          <w:sz w:val="22"/>
          <w:szCs w:val="22"/>
          <w:lang w:val="sr-Latn-ME"/>
        </w:rPr>
        <w:t>-</w:t>
      </w:r>
      <w:r w:rsidR="00965BD0" w:rsidRPr="001A7371">
        <w:rPr>
          <w:bCs/>
          <w:sz w:val="22"/>
          <w:szCs w:val="22"/>
          <w:lang w:val="sr-Latn-ME"/>
        </w:rPr>
        <w:t xml:space="preserve"> </w:t>
      </w:r>
      <w:r w:rsidRPr="001A7371">
        <w:rPr>
          <w:bCs/>
          <w:sz w:val="22"/>
          <w:szCs w:val="22"/>
          <w:lang w:val="sr-Latn-ME"/>
        </w:rPr>
        <w:t>tnoj glukozi u Ringerovom rastvoru za injekcije, i tokom 14 dana posle razređivanja u 0,9%</w:t>
      </w:r>
      <w:r w:rsidR="00965BD0" w:rsidRPr="001A7371">
        <w:rPr>
          <w:bCs/>
          <w:sz w:val="22"/>
          <w:szCs w:val="22"/>
          <w:lang w:val="sr-Latn-ME"/>
        </w:rPr>
        <w:t xml:space="preserve"> </w:t>
      </w:r>
      <w:r w:rsidRPr="001A7371">
        <w:rPr>
          <w:bCs/>
          <w:sz w:val="22"/>
          <w:szCs w:val="22"/>
          <w:lang w:val="sr-Latn-ME"/>
        </w:rPr>
        <w:t>-</w:t>
      </w:r>
      <w:r w:rsidR="00965BD0" w:rsidRPr="001A7371">
        <w:rPr>
          <w:bCs/>
          <w:sz w:val="22"/>
          <w:szCs w:val="22"/>
          <w:lang w:val="sr-Latn-ME"/>
        </w:rPr>
        <w:t xml:space="preserve"> </w:t>
      </w:r>
      <w:r w:rsidRPr="001A7371">
        <w:rPr>
          <w:bCs/>
          <w:sz w:val="22"/>
          <w:szCs w:val="22"/>
          <w:lang w:val="sr-Latn-ME"/>
        </w:rPr>
        <w:t>tnom rastvoru za infuziju natrijum</w:t>
      </w:r>
      <w:r w:rsidR="00965BD0" w:rsidRPr="001A7371">
        <w:rPr>
          <w:bCs/>
          <w:sz w:val="22"/>
          <w:szCs w:val="22"/>
          <w:lang w:val="sr-Latn-ME"/>
        </w:rPr>
        <w:t xml:space="preserve"> </w:t>
      </w:r>
      <w:r w:rsidRPr="001A7371">
        <w:rPr>
          <w:bCs/>
          <w:sz w:val="22"/>
          <w:szCs w:val="22"/>
          <w:lang w:val="sr-Latn-ME"/>
        </w:rPr>
        <w:t>-hlorida.</w:t>
      </w:r>
    </w:p>
    <w:p w14:paraId="0362F949" w14:textId="77777777" w:rsidR="00D8718A" w:rsidRPr="001A7371" w:rsidRDefault="00D8718A" w:rsidP="00D8718A">
      <w:pPr>
        <w:tabs>
          <w:tab w:val="left" w:pos="540"/>
          <w:tab w:val="left" w:pos="569"/>
        </w:tabs>
        <w:jc w:val="both"/>
        <w:rPr>
          <w:bCs/>
          <w:sz w:val="22"/>
          <w:szCs w:val="22"/>
          <w:lang w:val="sr-Latn-ME"/>
        </w:rPr>
      </w:pPr>
      <w:r w:rsidRPr="001A7371">
        <w:rPr>
          <w:bCs/>
          <w:sz w:val="22"/>
          <w:szCs w:val="22"/>
          <w:lang w:val="sr-Latn-ME"/>
        </w:rPr>
        <w:t>Sa mikrobiološke tačke gledišta, rastvor se mora primijeniti odmah nakon pripreme za upotrebu.</w:t>
      </w:r>
    </w:p>
    <w:p w14:paraId="07021075" w14:textId="5B772509" w:rsidR="00D8718A" w:rsidRPr="001A7371" w:rsidRDefault="00D8718A" w:rsidP="00D8718A">
      <w:pPr>
        <w:tabs>
          <w:tab w:val="left" w:pos="540"/>
          <w:tab w:val="left" w:pos="569"/>
        </w:tabs>
        <w:jc w:val="both"/>
        <w:rPr>
          <w:bCs/>
          <w:sz w:val="22"/>
          <w:szCs w:val="22"/>
          <w:lang w:val="sr-Latn-ME"/>
        </w:rPr>
      </w:pPr>
      <w:r w:rsidRPr="001A7371">
        <w:rPr>
          <w:bCs/>
          <w:sz w:val="22"/>
          <w:szCs w:val="22"/>
          <w:lang w:val="sr-Latn-ME"/>
        </w:rPr>
        <w:t>Ako se odmah ne upotrebi, vrijeme i uslovi čuvanja prije upotrebe su odgovornost korisnika, i ne bi smjeli biti  duži od 24 sata na temperaturi od 2</w:t>
      </w:r>
      <w:r w:rsidR="00D85EDE" w:rsidRPr="001A7371">
        <w:rPr>
          <w:bCs/>
          <w:sz w:val="22"/>
          <w:szCs w:val="22"/>
          <w:lang w:val="sr-Latn-ME"/>
        </w:rPr>
        <w:t>°C</w:t>
      </w:r>
      <w:r w:rsidRPr="001A7371">
        <w:rPr>
          <w:bCs/>
          <w:sz w:val="22"/>
          <w:szCs w:val="22"/>
          <w:lang w:val="sr-Latn-ME"/>
        </w:rPr>
        <w:t xml:space="preserve"> - 8°C, osim ako se rastvaranje/razblaženje vrši u kontrolisanim i validiranim aseptičnim uslovima.</w:t>
      </w:r>
    </w:p>
    <w:p w14:paraId="753E0F0C" w14:textId="77777777" w:rsidR="00D8718A" w:rsidRPr="001A7371" w:rsidRDefault="00D8718A" w:rsidP="00D8718A">
      <w:pPr>
        <w:tabs>
          <w:tab w:val="left" w:pos="540"/>
          <w:tab w:val="left" w:pos="569"/>
        </w:tabs>
        <w:jc w:val="both"/>
        <w:rPr>
          <w:bCs/>
          <w:sz w:val="22"/>
          <w:szCs w:val="22"/>
          <w:lang w:val="sr-Latn-ME"/>
        </w:rPr>
      </w:pPr>
    </w:p>
    <w:p w14:paraId="68D4488D" w14:textId="77777777" w:rsidR="00D8718A" w:rsidRPr="001A7371" w:rsidRDefault="00D8718A" w:rsidP="00D8718A">
      <w:pPr>
        <w:tabs>
          <w:tab w:val="left" w:pos="540"/>
          <w:tab w:val="left" w:pos="569"/>
        </w:tabs>
        <w:jc w:val="both"/>
        <w:rPr>
          <w:bCs/>
          <w:sz w:val="22"/>
          <w:szCs w:val="22"/>
          <w:lang w:val="sr-Latn-ME"/>
        </w:rPr>
      </w:pPr>
      <w:r w:rsidRPr="001A7371">
        <w:rPr>
          <w:bCs/>
          <w:sz w:val="22"/>
          <w:szCs w:val="22"/>
          <w:lang w:val="sr-Latn-ME"/>
        </w:rPr>
        <w:t>Posle pripreme rastvor se može zamutiti što se pripisuje nosaču lijeka, koji se ne može ukloniti filtriranjem. Međutim, zamućenost ne utiče na aktivnost lijeka. Sindaxel rastvor treba dati kroz linijski filter koji je uključen u infuzionu liniju, sa mikroporoznom membranom sa dijametrom mrežice od maksimalno 0,22 mikrometra. Nije uočen značajniji gubitak jačine lijeka posle simulirane primjene rastvora kroz i.v. cjevčice koje u sebi sadrže filter (0,22 mikrometara).</w:t>
      </w:r>
    </w:p>
    <w:p w14:paraId="32F0398B" w14:textId="77777777" w:rsidR="00D8718A" w:rsidRPr="001A7371" w:rsidRDefault="00D8718A" w:rsidP="00D8718A">
      <w:pPr>
        <w:tabs>
          <w:tab w:val="left" w:pos="540"/>
          <w:tab w:val="left" w:pos="569"/>
        </w:tabs>
        <w:jc w:val="both"/>
        <w:rPr>
          <w:bCs/>
          <w:sz w:val="22"/>
          <w:szCs w:val="22"/>
          <w:lang w:val="sr-Latn-ME"/>
        </w:rPr>
      </w:pPr>
    </w:p>
    <w:p w14:paraId="44DC47B0" w14:textId="77777777" w:rsidR="00D8718A" w:rsidRPr="001A7371" w:rsidRDefault="00D8718A" w:rsidP="00D8718A">
      <w:pPr>
        <w:tabs>
          <w:tab w:val="left" w:pos="540"/>
          <w:tab w:val="left" w:pos="569"/>
        </w:tabs>
        <w:jc w:val="both"/>
        <w:rPr>
          <w:bCs/>
          <w:sz w:val="22"/>
          <w:szCs w:val="22"/>
          <w:lang w:val="sr-Latn-ME"/>
        </w:rPr>
      </w:pPr>
      <w:r w:rsidRPr="001A7371">
        <w:rPr>
          <w:bCs/>
          <w:sz w:val="22"/>
          <w:szCs w:val="22"/>
          <w:lang w:val="sr-Latn-ME"/>
        </w:rPr>
        <w:lastRenderedPageBreak/>
        <w:t>Bilo je rijetkih izvještaja o precipitaciji lijeka za vrijeme infuzije, obično prema kraju 24-časovnog infuzionog perioda. Iako uzrok ove precipitacije nije razjašnjen, ona je najvjerovatnije povezana sa prezasićenošću razblaženog rastvora. Da bi se smanjio rizik precipitacije, Sindaxel rastvor treba upotrebiti što je prije</w:t>
      </w:r>
      <w:r w:rsidR="009A48A9" w:rsidRPr="001A7371">
        <w:rPr>
          <w:bCs/>
          <w:sz w:val="22"/>
          <w:szCs w:val="22"/>
          <w:lang w:val="sr-Latn-ME"/>
        </w:rPr>
        <w:t xml:space="preserve"> moguće </w:t>
      </w:r>
      <w:r w:rsidRPr="001A7371">
        <w:rPr>
          <w:bCs/>
          <w:sz w:val="22"/>
          <w:szCs w:val="22"/>
          <w:lang w:val="sr-Latn-ME"/>
        </w:rPr>
        <w:t>posle razblaženja, a prekomjerno mućkanje, protresivanje ili vibracije treba izbjegavati. Infuzioni set mora da bude detaljno ispran prije upotrebe. Za vrijeme infuzije, izgled rastvora mora se redovno provjeravati i infuziju treba prekinuti ako se pojavi precipitat.</w:t>
      </w:r>
    </w:p>
    <w:p w14:paraId="51B6FBA2" w14:textId="77777777" w:rsidR="00D8718A" w:rsidRPr="001A7371" w:rsidRDefault="00D8718A" w:rsidP="00D8718A">
      <w:pPr>
        <w:tabs>
          <w:tab w:val="left" w:pos="540"/>
          <w:tab w:val="left" w:pos="569"/>
        </w:tabs>
        <w:jc w:val="both"/>
        <w:rPr>
          <w:bCs/>
          <w:sz w:val="22"/>
          <w:szCs w:val="22"/>
          <w:lang w:val="sr-Latn-ME"/>
        </w:rPr>
      </w:pPr>
    </w:p>
    <w:p w14:paraId="73E067BD" w14:textId="77777777" w:rsidR="00D8718A" w:rsidRPr="001A7371" w:rsidRDefault="00D8718A" w:rsidP="00D8718A">
      <w:pPr>
        <w:tabs>
          <w:tab w:val="left" w:pos="540"/>
          <w:tab w:val="left" w:pos="569"/>
        </w:tabs>
        <w:jc w:val="both"/>
        <w:rPr>
          <w:bCs/>
          <w:sz w:val="22"/>
          <w:szCs w:val="22"/>
          <w:lang w:val="sr-Latn-ME"/>
        </w:rPr>
      </w:pPr>
      <w:r w:rsidRPr="001A7371">
        <w:rPr>
          <w:bCs/>
          <w:sz w:val="22"/>
          <w:szCs w:val="22"/>
          <w:lang w:val="sr-Latn-ME"/>
        </w:rPr>
        <w:t>Da bi se smanjila ekspozicija pacijenata na DEHP, koji može da se otpušta iz PVC infuzionih kesa, setova ili drugih medicinskih instrumenata, razblaženi rastvor paklitaksela treba čuvati isključivo u ambalaži koja nije od PVC-a, već u staklenim ili polipropilenskim bočicama ili plastičnim kesama (polipropilen, poliolefin) i primijeniti kroz set za</w:t>
      </w:r>
      <w:r w:rsidR="009A48A9" w:rsidRPr="001A7371">
        <w:rPr>
          <w:bCs/>
          <w:sz w:val="22"/>
          <w:szCs w:val="22"/>
          <w:lang w:val="sr-Latn-ME"/>
        </w:rPr>
        <w:t xml:space="preserve"> primjenu obložen polietilenom. </w:t>
      </w:r>
      <w:r w:rsidRPr="001A7371">
        <w:rPr>
          <w:bCs/>
          <w:sz w:val="22"/>
          <w:szCs w:val="22"/>
          <w:lang w:val="sr-Latn-ME"/>
        </w:rPr>
        <w:t>Upotreba filtera koji sadrže kratke ulazne i/ili izlazne plastificirane PVC cjevčice nije dov</w:t>
      </w:r>
      <w:r w:rsidR="009A48A9" w:rsidRPr="001A7371">
        <w:rPr>
          <w:bCs/>
          <w:sz w:val="22"/>
          <w:szCs w:val="22"/>
          <w:lang w:val="sr-Latn-ME"/>
        </w:rPr>
        <w:t>ela do značajnijeg curenja DEHP-</w:t>
      </w:r>
      <w:r w:rsidRPr="001A7371">
        <w:rPr>
          <w:bCs/>
          <w:sz w:val="22"/>
          <w:szCs w:val="22"/>
          <w:lang w:val="sr-Latn-ME"/>
        </w:rPr>
        <w:t>a.</w:t>
      </w:r>
    </w:p>
    <w:p w14:paraId="02F8C177" w14:textId="77777777" w:rsidR="00D8718A" w:rsidRPr="001A7371" w:rsidRDefault="00D8718A" w:rsidP="00D8718A">
      <w:pPr>
        <w:tabs>
          <w:tab w:val="left" w:pos="540"/>
          <w:tab w:val="left" w:pos="569"/>
        </w:tabs>
        <w:jc w:val="both"/>
        <w:rPr>
          <w:bCs/>
          <w:sz w:val="22"/>
          <w:szCs w:val="22"/>
          <w:lang w:val="sr-Latn-ME"/>
        </w:rPr>
      </w:pPr>
    </w:p>
    <w:p w14:paraId="1C2292D4" w14:textId="4485E8D2" w:rsidR="00D8718A" w:rsidRPr="001A7371" w:rsidRDefault="00D8718A" w:rsidP="00D8718A">
      <w:pPr>
        <w:tabs>
          <w:tab w:val="left" w:pos="540"/>
          <w:tab w:val="left" w:pos="569"/>
        </w:tabs>
        <w:jc w:val="both"/>
        <w:rPr>
          <w:bCs/>
          <w:sz w:val="22"/>
          <w:szCs w:val="22"/>
          <w:lang w:val="sr-Latn-ME"/>
        </w:rPr>
      </w:pPr>
      <w:r w:rsidRPr="001A7371">
        <w:rPr>
          <w:b/>
          <w:bCs/>
          <w:sz w:val="22"/>
          <w:szCs w:val="22"/>
          <w:lang w:val="sr-Latn-ME"/>
        </w:rPr>
        <w:t>Uklanjanje</w:t>
      </w:r>
      <w:r w:rsidRPr="001A7371">
        <w:rPr>
          <w:bCs/>
          <w:sz w:val="22"/>
          <w:szCs w:val="22"/>
          <w:lang w:val="sr-Latn-ME"/>
        </w:rPr>
        <w:t>: sva oprema neophodna za pripremu, primjenu infuzije ili opremu koja je na bilo kakav način došla u kontakt sa lijekom Sindaxel, mora biti odstranjena prema lokalnim propisima za rukovanje citotoksič</w:t>
      </w:r>
      <w:r w:rsidR="009A48A9" w:rsidRPr="001A7371">
        <w:rPr>
          <w:bCs/>
          <w:sz w:val="22"/>
          <w:szCs w:val="22"/>
          <w:lang w:val="sr-Latn-ME"/>
        </w:rPr>
        <w:t>nim otpadom</w:t>
      </w:r>
      <w:r w:rsidRPr="001A7371">
        <w:rPr>
          <w:bCs/>
          <w:sz w:val="22"/>
          <w:szCs w:val="22"/>
          <w:lang w:val="sr-Latn-ME"/>
        </w:rPr>
        <w:t>.</w:t>
      </w:r>
    </w:p>
    <w:p w14:paraId="75678304" w14:textId="77777777" w:rsidR="009A48A9" w:rsidRPr="001A7371" w:rsidRDefault="009A48A9" w:rsidP="00D8718A">
      <w:pPr>
        <w:tabs>
          <w:tab w:val="left" w:pos="540"/>
          <w:tab w:val="left" w:pos="569"/>
        </w:tabs>
        <w:jc w:val="both"/>
        <w:rPr>
          <w:bCs/>
          <w:sz w:val="22"/>
          <w:szCs w:val="22"/>
          <w:lang w:val="sr-Latn-ME"/>
        </w:rPr>
      </w:pPr>
    </w:p>
    <w:p w14:paraId="1F1A238C" w14:textId="0B9B892F" w:rsidR="009A48A9" w:rsidRPr="001A7371" w:rsidRDefault="009A48A9" w:rsidP="009A48A9">
      <w:pPr>
        <w:tabs>
          <w:tab w:val="left" w:pos="540"/>
          <w:tab w:val="left" w:pos="569"/>
        </w:tabs>
        <w:jc w:val="both"/>
        <w:rPr>
          <w:b/>
          <w:bCs/>
          <w:i/>
          <w:sz w:val="22"/>
          <w:szCs w:val="22"/>
          <w:lang w:val="sr-Latn-ME"/>
        </w:rPr>
      </w:pPr>
      <w:r w:rsidRPr="001A7371">
        <w:rPr>
          <w:b/>
          <w:bCs/>
          <w:i/>
          <w:sz w:val="22"/>
          <w:szCs w:val="22"/>
          <w:lang w:val="sr-Latn-ME"/>
        </w:rPr>
        <w:t>Instrukcije za zaštitu na radu u toku pripreme rastvora za infuziju</w:t>
      </w:r>
    </w:p>
    <w:p w14:paraId="68EA80ED" w14:textId="77777777" w:rsidR="00705FCB" w:rsidRPr="001A7371" w:rsidRDefault="00705FCB" w:rsidP="009A48A9">
      <w:pPr>
        <w:tabs>
          <w:tab w:val="left" w:pos="540"/>
          <w:tab w:val="left" w:pos="569"/>
        </w:tabs>
        <w:jc w:val="both"/>
        <w:rPr>
          <w:bCs/>
          <w:i/>
          <w:sz w:val="22"/>
          <w:szCs w:val="22"/>
          <w:lang w:val="sr-Latn-ME"/>
        </w:rPr>
      </w:pPr>
    </w:p>
    <w:p w14:paraId="48D26556" w14:textId="77777777" w:rsidR="009A48A9" w:rsidRPr="001A7371" w:rsidRDefault="009A48A9" w:rsidP="009A48A9">
      <w:pPr>
        <w:tabs>
          <w:tab w:val="left" w:pos="540"/>
          <w:tab w:val="left" w:pos="569"/>
        </w:tabs>
        <w:jc w:val="both"/>
        <w:rPr>
          <w:bCs/>
          <w:sz w:val="22"/>
          <w:szCs w:val="22"/>
          <w:lang w:val="sr-Latn-ME"/>
        </w:rPr>
      </w:pPr>
      <w:r w:rsidRPr="001A7371">
        <w:rPr>
          <w:bCs/>
          <w:sz w:val="22"/>
          <w:szCs w:val="22"/>
          <w:lang w:val="sr-Latn-ME"/>
        </w:rPr>
        <w:t>1.</w:t>
      </w:r>
      <w:r w:rsidRPr="001A7371">
        <w:rPr>
          <w:bCs/>
          <w:sz w:val="22"/>
          <w:szCs w:val="22"/>
          <w:lang w:val="sr-Latn-ME"/>
        </w:rPr>
        <w:tab/>
        <w:t>Obavezna je upotreba zaštitnih rukavica, zaštitnog ogrtača i maske.</w:t>
      </w:r>
    </w:p>
    <w:p w14:paraId="4A8665EA" w14:textId="77777777" w:rsidR="009A48A9" w:rsidRPr="001A7371" w:rsidRDefault="009A48A9" w:rsidP="009A48A9">
      <w:pPr>
        <w:tabs>
          <w:tab w:val="left" w:pos="540"/>
          <w:tab w:val="left" w:pos="569"/>
        </w:tabs>
        <w:jc w:val="both"/>
        <w:rPr>
          <w:bCs/>
          <w:sz w:val="22"/>
          <w:szCs w:val="22"/>
          <w:lang w:val="sr-Latn-ME"/>
        </w:rPr>
      </w:pPr>
      <w:r w:rsidRPr="001A7371">
        <w:rPr>
          <w:bCs/>
          <w:sz w:val="22"/>
          <w:szCs w:val="22"/>
          <w:lang w:val="sr-Latn-ME"/>
        </w:rPr>
        <w:t>2.</w:t>
      </w:r>
      <w:r w:rsidRPr="001A7371">
        <w:rPr>
          <w:bCs/>
          <w:sz w:val="22"/>
          <w:szCs w:val="22"/>
          <w:lang w:val="sr-Latn-ME"/>
        </w:rPr>
        <w:tab/>
        <w:t>Trudne žene, kao i one koje planiraju da zatrudne, ne treba da rukuju ovim proizvodom.</w:t>
      </w:r>
    </w:p>
    <w:p w14:paraId="21009B66" w14:textId="60419DDF" w:rsidR="009A48A9" w:rsidRPr="001A7371" w:rsidRDefault="009A48A9" w:rsidP="009A48A9">
      <w:pPr>
        <w:tabs>
          <w:tab w:val="left" w:pos="540"/>
          <w:tab w:val="left" w:pos="569"/>
        </w:tabs>
        <w:ind w:left="540" w:hanging="540"/>
        <w:jc w:val="both"/>
        <w:rPr>
          <w:bCs/>
          <w:sz w:val="22"/>
          <w:szCs w:val="22"/>
          <w:lang w:val="sr-Latn-ME"/>
        </w:rPr>
      </w:pPr>
      <w:r w:rsidRPr="001A7371">
        <w:rPr>
          <w:bCs/>
          <w:sz w:val="22"/>
          <w:szCs w:val="22"/>
          <w:lang w:val="sr-Latn-ME"/>
        </w:rPr>
        <w:t>3.</w:t>
      </w:r>
      <w:r w:rsidRPr="001A7371">
        <w:rPr>
          <w:bCs/>
          <w:sz w:val="22"/>
          <w:szCs w:val="22"/>
          <w:lang w:val="sr-Latn-ME"/>
        </w:rPr>
        <w:tab/>
        <w:t>Injekcione bočice, infuzione boce, upotrebljene kanile, kateteri i ostalo, kao i ostatak citostatika se moraju smatrati opasnim otpadom</w:t>
      </w:r>
      <w:r w:rsidR="00705FCB" w:rsidRPr="001A7371">
        <w:rPr>
          <w:bCs/>
          <w:sz w:val="22"/>
          <w:szCs w:val="22"/>
          <w:lang w:val="sr-Latn-ME"/>
        </w:rPr>
        <w:t xml:space="preserve"> i odlažu se u skladu sa propisima koji važe za postupanje sa opasnim otpadom.</w:t>
      </w:r>
    </w:p>
    <w:p w14:paraId="2F566648" w14:textId="77777777" w:rsidR="009A48A9" w:rsidRPr="001A7371" w:rsidRDefault="009A48A9" w:rsidP="009A48A9">
      <w:pPr>
        <w:tabs>
          <w:tab w:val="left" w:pos="540"/>
          <w:tab w:val="left" w:pos="569"/>
        </w:tabs>
        <w:jc w:val="both"/>
        <w:rPr>
          <w:bCs/>
          <w:sz w:val="22"/>
          <w:szCs w:val="22"/>
          <w:lang w:val="sr-Latn-ME"/>
        </w:rPr>
      </w:pPr>
      <w:r w:rsidRPr="001A7371">
        <w:rPr>
          <w:bCs/>
          <w:sz w:val="22"/>
          <w:szCs w:val="22"/>
          <w:lang w:val="sr-Latn-ME"/>
        </w:rPr>
        <w:t>4.</w:t>
      </w:r>
      <w:r w:rsidRPr="001A7371">
        <w:rPr>
          <w:bCs/>
          <w:sz w:val="22"/>
          <w:szCs w:val="22"/>
          <w:lang w:val="sr-Latn-ME"/>
        </w:rPr>
        <w:tab/>
        <w:t>Instrukcije u slučaju prosipanja, rasipanja:</w:t>
      </w:r>
    </w:p>
    <w:p w14:paraId="209EA3E9" w14:textId="77777777" w:rsidR="009A48A9" w:rsidRPr="001A7371" w:rsidRDefault="009A48A9" w:rsidP="009A48A9">
      <w:pPr>
        <w:tabs>
          <w:tab w:val="left" w:pos="540"/>
          <w:tab w:val="left" w:pos="569"/>
        </w:tabs>
        <w:jc w:val="both"/>
        <w:rPr>
          <w:bCs/>
          <w:sz w:val="22"/>
          <w:szCs w:val="22"/>
          <w:lang w:val="sr-Latn-ME"/>
        </w:rPr>
      </w:pPr>
      <w:r w:rsidRPr="001A7371">
        <w:rPr>
          <w:bCs/>
          <w:sz w:val="22"/>
          <w:szCs w:val="22"/>
          <w:lang w:val="sr-Latn-ME"/>
        </w:rPr>
        <w:t>-</w:t>
      </w:r>
      <w:r w:rsidRPr="001A7371">
        <w:rPr>
          <w:bCs/>
          <w:sz w:val="22"/>
          <w:szCs w:val="22"/>
          <w:lang w:val="sr-Latn-ME"/>
        </w:rPr>
        <w:tab/>
        <w:t>koristiti zaštitnu odjeću;</w:t>
      </w:r>
    </w:p>
    <w:p w14:paraId="0102EDA0" w14:textId="77777777" w:rsidR="009A48A9" w:rsidRPr="001A7371" w:rsidRDefault="009A48A9" w:rsidP="009A48A9">
      <w:pPr>
        <w:tabs>
          <w:tab w:val="left" w:pos="540"/>
          <w:tab w:val="left" w:pos="569"/>
        </w:tabs>
        <w:jc w:val="both"/>
        <w:rPr>
          <w:bCs/>
          <w:sz w:val="22"/>
          <w:szCs w:val="22"/>
          <w:lang w:val="sr-Latn-ME"/>
        </w:rPr>
      </w:pPr>
      <w:r w:rsidRPr="001A7371">
        <w:rPr>
          <w:bCs/>
          <w:sz w:val="22"/>
          <w:szCs w:val="22"/>
          <w:lang w:val="sr-Latn-ME"/>
        </w:rPr>
        <w:t>-</w:t>
      </w:r>
      <w:r w:rsidRPr="001A7371">
        <w:rPr>
          <w:bCs/>
          <w:sz w:val="22"/>
          <w:szCs w:val="22"/>
          <w:lang w:val="sr-Latn-ME"/>
        </w:rPr>
        <w:tab/>
        <w:t>slomljeno staklo odložiti u kontejner za odlaganje opasnog otpada;</w:t>
      </w:r>
    </w:p>
    <w:p w14:paraId="6862CDA4" w14:textId="77777777" w:rsidR="009A48A9" w:rsidRPr="001A7371" w:rsidRDefault="009A48A9" w:rsidP="009A48A9">
      <w:pPr>
        <w:tabs>
          <w:tab w:val="left" w:pos="540"/>
          <w:tab w:val="left" w:pos="569"/>
        </w:tabs>
        <w:jc w:val="both"/>
        <w:rPr>
          <w:bCs/>
          <w:sz w:val="22"/>
          <w:szCs w:val="22"/>
          <w:lang w:val="sr-Latn-ME"/>
        </w:rPr>
      </w:pPr>
      <w:r w:rsidRPr="001A7371">
        <w:rPr>
          <w:bCs/>
          <w:sz w:val="22"/>
          <w:szCs w:val="22"/>
          <w:lang w:val="sr-Latn-ME"/>
        </w:rPr>
        <w:t>-</w:t>
      </w:r>
      <w:r w:rsidRPr="001A7371">
        <w:rPr>
          <w:bCs/>
          <w:sz w:val="22"/>
          <w:szCs w:val="22"/>
          <w:lang w:val="sr-Latn-ME"/>
        </w:rPr>
        <w:tab/>
        <w:t>kontaminiranu površinu je potrebno temeljno isprati hladnom vodom i zatim obrisati;</w:t>
      </w:r>
    </w:p>
    <w:p w14:paraId="31780777" w14:textId="77777777" w:rsidR="009A48A9" w:rsidRPr="001A7371" w:rsidRDefault="009A48A9" w:rsidP="009A48A9">
      <w:pPr>
        <w:tabs>
          <w:tab w:val="left" w:pos="540"/>
          <w:tab w:val="left" w:pos="569"/>
        </w:tabs>
        <w:jc w:val="both"/>
        <w:rPr>
          <w:bCs/>
          <w:sz w:val="22"/>
          <w:szCs w:val="22"/>
          <w:lang w:val="sr-Latn-ME"/>
        </w:rPr>
      </w:pPr>
      <w:r w:rsidRPr="001A7371">
        <w:rPr>
          <w:bCs/>
          <w:sz w:val="22"/>
          <w:szCs w:val="22"/>
          <w:lang w:val="sr-Latn-ME"/>
        </w:rPr>
        <w:t>-</w:t>
      </w:r>
      <w:r w:rsidRPr="001A7371">
        <w:rPr>
          <w:bCs/>
          <w:sz w:val="22"/>
          <w:szCs w:val="22"/>
          <w:lang w:val="sr-Latn-ME"/>
        </w:rPr>
        <w:tab/>
        <w:t>materijal korišćen za brisanje takođe baciti po uputstvu za odlaganje opasnog otpada.</w:t>
      </w:r>
    </w:p>
    <w:p w14:paraId="64C31AF9" w14:textId="77777777" w:rsidR="009A48A9" w:rsidRPr="001A7371" w:rsidRDefault="009A48A9" w:rsidP="009A48A9">
      <w:pPr>
        <w:tabs>
          <w:tab w:val="left" w:pos="540"/>
          <w:tab w:val="left" w:pos="569"/>
        </w:tabs>
        <w:ind w:left="540" w:hanging="540"/>
        <w:jc w:val="both"/>
        <w:rPr>
          <w:bCs/>
          <w:sz w:val="22"/>
          <w:szCs w:val="22"/>
          <w:lang w:val="sr-Latn-ME"/>
        </w:rPr>
      </w:pPr>
      <w:r w:rsidRPr="001A7371">
        <w:rPr>
          <w:bCs/>
          <w:sz w:val="22"/>
          <w:szCs w:val="22"/>
          <w:lang w:val="sr-Latn-ME"/>
        </w:rPr>
        <w:t>5.</w:t>
      </w:r>
      <w:r w:rsidRPr="001A7371">
        <w:rPr>
          <w:bCs/>
          <w:sz w:val="22"/>
          <w:szCs w:val="22"/>
          <w:lang w:val="sr-Latn-ME"/>
        </w:rPr>
        <w:tab/>
        <w:t>U slučaju da rastvor dođe u kontakt sa kožom, površinu je potrebno isprati temeljno tekućom vodom, a zatim sapunom i vodom. U slučaju kontakta sa mukoznim membranama, isprati zahvaćenu površinu temeljno vodom.</w:t>
      </w:r>
    </w:p>
    <w:p w14:paraId="2BEEABE2" w14:textId="77777777" w:rsidR="009A48A9" w:rsidRPr="001A7371" w:rsidRDefault="009A48A9" w:rsidP="009A48A9">
      <w:pPr>
        <w:tabs>
          <w:tab w:val="left" w:pos="540"/>
          <w:tab w:val="left" w:pos="569"/>
        </w:tabs>
        <w:ind w:left="540" w:hanging="540"/>
        <w:jc w:val="both"/>
        <w:rPr>
          <w:bCs/>
          <w:sz w:val="22"/>
          <w:szCs w:val="22"/>
          <w:lang w:val="sr-Latn-ME"/>
        </w:rPr>
      </w:pPr>
      <w:r w:rsidRPr="001A7371">
        <w:rPr>
          <w:bCs/>
          <w:sz w:val="22"/>
          <w:szCs w:val="22"/>
          <w:lang w:val="sr-Latn-ME"/>
        </w:rPr>
        <w:t>6.</w:t>
      </w:r>
      <w:r w:rsidRPr="001A7371">
        <w:rPr>
          <w:bCs/>
          <w:sz w:val="22"/>
          <w:szCs w:val="22"/>
          <w:lang w:val="sr-Latn-ME"/>
        </w:rPr>
        <w:tab/>
        <w:t>U slučaju kontakta sa očima, temeljno ih isperite sa puno hladne vode. Kontaktirajte odmah oftalmologa.</w:t>
      </w:r>
    </w:p>
    <w:p w14:paraId="7E44C661" w14:textId="749C8AAD" w:rsidR="00D8718A" w:rsidRPr="001A7371" w:rsidRDefault="00D8718A" w:rsidP="00D8718A">
      <w:pPr>
        <w:tabs>
          <w:tab w:val="left" w:pos="540"/>
          <w:tab w:val="left" w:pos="569"/>
        </w:tabs>
        <w:jc w:val="both"/>
        <w:rPr>
          <w:bCs/>
          <w:sz w:val="22"/>
          <w:szCs w:val="22"/>
          <w:lang w:val="sr-Latn-ME"/>
        </w:rPr>
      </w:pPr>
    </w:p>
    <w:p w14:paraId="3480FEDE" w14:textId="228AEE64" w:rsidR="00705FCB" w:rsidRPr="001A7371" w:rsidRDefault="00705FCB" w:rsidP="00D8718A">
      <w:pPr>
        <w:tabs>
          <w:tab w:val="left" w:pos="540"/>
          <w:tab w:val="left" w:pos="569"/>
        </w:tabs>
        <w:jc w:val="both"/>
        <w:rPr>
          <w:bCs/>
          <w:sz w:val="22"/>
          <w:szCs w:val="22"/>
          <w:lang w:val="sr-Latn-ME"/>
        </w:rPr>
      </w:pPr>
      <w:r w:rsidRPr="001A7371">
        <w:rPr>
          <w:bCs/>
          <w:sz w:val="22"/>
          <w:szCs w:val="22"/>
          <w:lang w:val="sr-Latn-ME"/>
        </w:rPr>
        <w:t>Neiskorišćeni lijek ili otpadni material treba ukloniti u skladu sa propisima.</w:t>
      </w:r>
    </w:p>
    <w:p w14:paraId="30C74EA8" w14:textId="1C8406FE" w:rsidR="00743438" w:rsidRPr="001A7371" w:rsidRDefault="00743438" w:rsidP="00D8718A">
      <w:pPr>
        <w:tabs>
          <w:tab w:val="left" w:pos="540"/>
          <w:tab w:val="left" w:pos="569"/>
        </w:tabs>
        <w:jc w:val="both"/>
        <w:rPr>
          <w:bCs/>
          <w:sz w:val="22"/>
          <w:szCs w:val="22"/>
          <w:lang w:val="sr-Latn-ME"/>
        </w:rPr>
      </w:pPr>
    </w:p>
    <w:p w14:paraId="100CEED5" w14:textId="77777777" w:rsidR="00705FCB" w:rsidRPr="001A7371" w:rsidRDefault="00705FCB" w:rsidP="00D8718A">
      <w:pPr>
        <w:tabs>
          <w:tab w:val="left" w:pos="540"/>
          <w:tab w:val="left" w:pos="569"/>
        </w:tabs>
        <w:jc w:val="both"/>
        <w:rPr>
          <w:bCs/>
          <w:sz w:val="22"/>
          <w:szCs w:val="22"/>
          <w:lang w:val="sr-Latn-ME"/>
        </w:rPr>
      </w:pPr>
    </w:p>
    <w:p w14:paraId="2F7B69CE" w14:textId="77777777" w:rsidR="00F8570A" w:rsidRPr="001A7371" w:rsidRDefault="0072020E" w:rsidP="00480FB1">
      <w:pPr>
        <w:tabs>
          <w:tab w:val="left" w:pos="540"/>
          <w:tab w:val="left" w:pos="569"/>
        </w:tabs>
        <w:rPr>
          <w:b/>
          <w:bCs/>
          <w:sz w:val="22"/>
          <w:szCs w:val="22"/>
          <w:lang w:val="sr-Latn-ME"/>
        </w:rPr>
      </w:pPr>
      <w:r w:rsidRPr="001A7371">
        <w:rPr>
          <w:b/>
          <w:bCs/>
          <w:sz w:val="22"/>
          <w:szCs w:val="22"/>
          <w:lang w:val="sr-Latn-ME"/>
        </w:rPr>
        <w:t xml:space="preserve">7. </w:t>
      </w:r>
      <w:r w:rsidR="00480FB1" w:rsidRPr="001A7371">
        <w:rPr>
          <w:b/>
          <w:bCs/>
          <w:sz w:val="22"/>
          <w:szCs w:val="22"/>
          <w:lang w:val="sr-Latn-ME"/>
        </w:rPr>
        <w:tab/>
      </w:r>
      <w:r w:rsidRPr="001A7371">
        <w:rPr>
          <w:b/>
          <w:bCs/>
          <w:sz w:val="22"/>
          <w:szCs w:val="22"/>
          <w:lang w:val="sr-Latn-ME"/>
        </w:rPr>
        <w:t>NOSILAC DOZVOLE</w:t>
      </w:r>
      <w:r w:rsidR="00483928" w:rsidRPr="001A7371">
        <w:rPr>
          <w:b/>
          <w:bCs/>
          <w:sz w:val="22"/>
          <w:szCs w:val="22"/>
          <w:lang w:val="sr-Latn-ME"/>
        </w:rPr>
        <w:t xml:space="preserve"> </w:t>
      </w:r>
    </w:p>
    <w:p w14:paraId="2C96D356" w14:textId="77777777" w:rsidR="009A48A9" w:rsidRPr="001A7371" w:rsidRDefault="009A48A9" w:rsidP="00480FB1">
      <w:pPr>
        <w:tabs>
          <w:tab w:val="left" w:pos="540"/>
          <w:tab w:val="left" w:pos="569"/>
        </w:tabs>
        <w:rPr>
          <w:b/>
          <w:bCs/>
          <w:sz w:val="22"/>
          <w:szCs w:val="22"/>
          <w:lang w:val="sr-Latn-ME"/>
        </w:rPr>
      </w:pPr>
    </w:p>
    <w:p w14:paraId="3136595E" w14:textId="77777777" w:rsidR="009A48A9" w:rsidRPr="001A7371" w:rsidRDefault="009A48A9" w:rsidP="009A48A9">
      <w:pPr>
        <w:tabs>
          <w:tab w:val="left" w:pos="540"/>
          <w:tab w:val="left" w:pos="569"/>
        </w:tabs>
        <w:rPr>
          <w:bCs/>
          <w:sz w:val="22"/>
          <w:szCs w:val="22"/>
          <w:lang w:val="sr-Latn-ME"/>
        </w:rPr>
      </w:pPr>
      <w:r w:rsidRPr="001A7371">
        <w:rPr>
          <w:bCs/>
          <w:sz w:val="22"/>
          <w:szCs w:val="22"/>
          <w:lang w:val="sr-Latn-ME"/>
        </w:rPr>
        <w:t>Evropa Lek Pharma d.o.o. Podgorica</w:t>
      </w:r>
    </w:p>
    <w:p w14:paraId="0D0F3DCC" w14:textId="77777777" w:rsidR="009A48A9" w:rsidRPr="001A7371" w:rsidRDefault="009A48A9" w:rsidP="009A48A9">
      <w:pPr>
        <w:tabs>
          <w:tab w:val="left" w:pos="540"/>
          <w:tab w:val="left" w:pos="569"/>
        </w:tabs>
        <w:rPr>
          <w:bCs/>
          <w:sz w:val="22"/>
          <w:szCs w:val="22"/>
          <w:lang w:val="sr-Latn-ME"/>
        </w:rPr>
      </w:pPr>
      <w:r w:rsidRPr="001A7371">
        <w:rPr>
          <w:bCs/>
          <w:sz w:val="22"/>
          <w:szCs w:val="22"/>
          <w:lang w:val="sr-Latn-ME"/>
        </w:rPr>
        <w:t>Kritskog odreda 4/1, 81000 Podgorica, Crna Gora</w:t>
      </w:r>
    </w:p>
    <w:p w14:paraId="1CC27C00" w14:textId="361B1C7C" w:rsidR="00C37FD7" w:rsidRPr="001A7371" w:rsidRDefault="00C37FD7" w:rsidP="00480FB1">
      <w:pPr>
        <w:tabs>
          <w:tab w:val="left" w:pos="540"/>
          <w:tab w:val="left" w:pos="569"/>
        </w:tabs>
        <w:rPr>
          <w:bCs/>
          <w:sz w:val="22"/>
          <w:szCs w:val="22"/>
          <w:lang w:val="sr-Latn-ME"/>
        </w:rPr>
      </w:pPr>
    </w:p>
    <w:p w14:paraId="49209125" w14:textId="77777777" w:rsidR="00743438" w:rsidRPr="001A7371" w:rsidRDefault="00743438" w:rsidP="00480FB1">
      <w:pPr>
        <w:tabs>
          <w:tab w:val="left" w:pos="540"/>
          <w:tab w:val="left" w:pos="569"/>
        </w:tabs>
        <w:rPr>
          <w:bCs/>
          <w:sz w:val="22"/>
          <w:szCs w:val="22"/>
          <w:lang w:val="sr-Latn-ME"/>
        </w:rPr>
      </w:pPr>
    </w:p>
    <w:p w14:paraId="6C1BCB03" w14:textId="77777777" w:rsidR="0072020E" w:rsidRPr="001A7371" w:rsidRDefault="0072020E" w:rsidP="00480FB1">
      <w:pPr>
        <w:tabs>
          <w:tab w:val="left" w:pos="540"/>
          <w:tab w:val="left" w:pos="569"/>
        </w:tabs>
        <w:rPr>
          <w:b/>
          <w:bCs/>
          <w:sz w:val="22"/>
          <w:szCs w:val="22"/>
          <w:lang w:val="sr-Latn-ME"/>
        </w:rPr>
      </w:pPr>
      <w:r w:rsidRPr="001A7371">
        <w:rPr>
          <w:b/>
          <w:bCs/>
          <w:sz w:val="22"/>
          <w:szCs w:val="22"/>
          <w:lang w:val="sr-Latn-ME"/>
        </w:rPr>
        <w:t xml:space="preserve">8. </w:t>
      </w:r>
      <w:r w:rsidR="00480FB1" w:rsidRPr="001A7371">
        <w:rPr>
          <w:b/>
          <w:bCs/>
          <w:sz w:val="22"/>
          <w:szCs w:val="22"/>
          <w:lang w:val="sr-Latn-ME"/>
        </w:rPr>
        <w:tab/>
      </w:r>
      <w:r w:rsidRPr="001A7371">
        <w:rPr>
          <w:b/>
          <w:bCs/>
          <w:sz w:val="22"/>
          <w:szCs w:val="22"/>
          <w:lang w:val="sr-Latn-ME"/>
        </w:rPr>
        <w:t>BROJ DOZVOLE</w:t>
      </w:r>
      <w:r w:rsidR="008A6D43" w:rsidRPr="001A7371">
        <w:rPr>
          <w:b/>
          <w:bCs/>
          <w:sz w:val="22"/>
          <w:szCs w:val="22"/>
          <w:lang w:val="sr-Latn-ME"/>
        </w:rPr>
        <w:t xml:space="preserve"> ZA STAVLJANJE LIJEKA U PROMET</w:t>
      </w:r>
    </w:p>
    <w:p w14:paraId="01482915" w14:textId="77777777" w:rsidR="009A48A9" w:rsidRPr="001A7371" w:rsidRDefault="009A48A9" w:rsidP="00480FB1">
      <w:pPr>
        <w:tabs>
          <w:tab w:val="left" w:pos="540"/>
          <w:tab w:val="left" w:pos="569"/>
        </w:tabs>
        <w:rPr>
          <w:b/>
          <w:bCs/>
          <w:sz w:val="22"/>
          <w:szCs w:val="22"/>
          <w:lang w:val="sr-Latn-ME"/>
        </w:rPr>
      </w:pPr>
    </w:p>
    <w:p w14:paraId="485CA8D3" w14:textId="24DBB46E" w:rsidR="009A48A9" w:rsidRPr="001A7371" w:rsidRDefault="009A48A9" w:rsidP="009A48A9">
      <w:pPr>
        <w:tabs>
          <w:tab w:val="left" w:pos="540"/>
          <w:tab w:val="left" w:pos="569"/>
        </w:tabs>
        <w:rPr>
          <w:bCs/>
          <w:sz w:val="22"/>
          <w:szCs w:val="22"/>
          <w:lang w:val="sr-Latn-ME"/>
        </w:rPr>
      </w:pPr>
      <w:r w:rsidRPr="001A7371">
        <w:rPr>
          <w:bCs/>
          <w:sz w:val="22"/>
          <w:szCs w:val="22"/>
          <w:lang w:val="sr-Latn-ME"/>
        </w:rPr>
        <w:t xml:space="preserve">Sindaxel, </w:t>
      </w:r>
      <w:r w:rsidR="00E1558E" w:rsidRPr="001A7371">
        <w:rPr>
          <w:bCs/>
          <w:sz w:val="22"/>
          <w:szCs w:val="22"/>
          <w:lang w:val="sr-Latn-ME"/>
        </w:rPr>
        <w:t xml:space="preserve">koncentrat za rastvor za infuziju, </w:t>
      </w:r>
      <w:r w:rsidRPr="001A7371">
        <w:rPr>
          <w:bCs/>
          <w:sz w:val="22"/>
          <w:szCs w:val="22"/>
          <w:lang w:val="sr-Latn-ME"/>
        </w:rPr>
        <w:t xml:space="preserve">30 mg/5 ml, bočica, 1x5 ml: </w:t>
      </w:r>
      <w:r w:rsidR="006B79A8" w:rsidRPr="00933E8C">
        <w:rPr>
          <w:bCs/>
          <w:sz w:val="22"/>
          <w:szCs w:val="22"/>
          <w:lang w:val="sr-Latn-ME"/>
        </w:rPr>
        <w:t>2030/23/726 - 6671</w:t>
      </w:r>
    </w:p>
    <w:p w14:paraId="25C58836" w14:textId="76BBA1DD" w:rsidR="0072020E" w:rsidRPr="001A7371" w:rsidRDefault="009A48A9" w:rsidP="009A48A9">
      <w:pPr>
        <w:tabs>
          <w:tab w:val="left" w:pos="540"/>
          <w:tab w:val="left" w:pos="569"/>
        </w:tabs>
        <w:rPr>
          <w:bCs/>
          <w:sz w:val="22"/>
          <w:szCs w:val="22"/>
          <w:lang w:val="sr-Latn-ME"/>
        </w:rPr>
      </w:pPr>
      <w:r w:rsidRPr="001A7371">
        <w:rPr>
          <w:bCs/>
          <w:sz w:val="22"/>
          <w:szCs w:val="22"/>
          <w:lang w:val="sr-Latn-ME"/>
        </w:rPr>
        <w:t xml:space="preserve">Sindaxel, </w:t>
      </w:r>
      <w:r w:rsidR="00E1558E" w:rsidRPr="001A7371">
        <w:rPr>
          <w:bCs/>
          <w:sz w:val="22"/>
          <w:szCs w:val="22"/>
          <w:lang w:val="sr-Latn-ME"/>
        </w:rPr>
        <w:t xml:space="preserve">koncentrat za rastvor za infuziju, </w:t>
      </w:r>
      <w:r w:rsidRPr="001A7371">
        <w:rPr>
          <w:bCs/>
          <w:sz w:val="22"/>
          <w:szCs w:val="22"/>
          <w:lang w:val="sr-Latn-ME"/>
        </w:rPr>
        <w:t xml:space="preserve">100 mg/16,67 ml, bočica, 1x16,67 ml: </w:t>
      </w:r>
      <w:r w:rsidR="006B79A8" w:rsidRPr="00933E8C">
        <w:rPr>
          <w:bCs/>
          <w:sz w:val="22"/>
          <w:szCs w:val="22"/>
          <w:lang w:val="sr-Latn-ME"/>
        </w:rPr>
        <w:t xml:space="preserve">2030/23/1297 - </w:t>
      </w:r>
      <w:bookmarkStart w:id="0" w:name="_GoBack"/>
      <w:bookmarkEnd w:id="0"/>
      <w:r w:rsidR="006B79A8" w:rsidRPr="00933E8C">
        <w:rPr>
          <w:bCs/>
          <w:sz w:val="22"/>
          <w:szCs w:val="22"/>
          <w:lang w:val="sr-Latn-ME"/>
        </w:rPr>
        <w:t>6672</w:t>
      </w:r>
    </w:p>
    <w:p w14:paraId="26075197" w14:textId="08D2A66F" w:rsidR="00F45F77" w:rsidRPr="001A7371" w:rsidRDefault="00F45F77" w:rsidP="00480FB1">
      <w:pPr>
        <w:tabs>
          <w:tab w:val="left" w:pos="540"/>
          <w:tab w:val="left" w:pos="569"/>
        </w:tabs>
        <w:rPr>
          <w:bCs/>
          <w:sz w:val="22"/>
          <w:szCs w:val="22"/>
          <w:lang w:val="sr-Latn-ME"/>
        </w:rPr>
      </w:pPr>
    </w:p>
    <w:p w14:paraId="1447B184" w14:textId="77777777" w:rsidR="00743438" w:rsidRPr="001A7371" w:rsidRDefault="00743438" w:rsidP="00480FB1">
      <w:pPr>
        <w:tabs>
          <w:tab w:val="left" w:pos="540"/>
          <w:tab w:val="left" w:pos="569"/>
        </w:tabs>
        <w:rPr>
          <w:bCs/>
          <w:sz w:val="22"/>
          <w:szCs w:val="22"/>
          <w:lang w:val="sr-Latn-ME"/>
        </w:rPr>
      </w:pPr>
    </w:p>
    <w:p w14:paraId="01D1DCC2" w14:textId="77777777" w:rsidR="0072020E" w:rsidRPr="001A7371" w:rsidRDefault="0072020E" w:rsidP="00480FB1">
      <w:pPr>
        <w:tabs>
          <w:tab w:val="left" w:pos="540"/>
          <w:tab w:val="left" w:pos="569"/>
        </w:tabs>
        <w:rPr>
          <w:b/>
          <w:bCs/>
          <w:sz w:val="22"/>
          <w:szCs w:val="22"/>
          <w:lang w:val="sr-Latn-ME"/>
        </w:rPr>
      </w:pPr>
      <w:r w:rsidRPr="001A7371">
        <w:rPr>
          <w:b/>
          <w:bCs/>
          <w:sz w:val="22"/>
          <w:szCs w:val="22"/>
          <w:lang w:val="sr-Latn-ME"/>
        </w:rPr>
        <w:lastRenderedPageBreak/>
        <w:t xml:space="preserve">9. </w:t>
      </w:r>
      <w:r w:rsidR="00480FB1" w:rsidRPr="001A7371">
        <w:rPr>
          <w:b/>
          <w:bCs/>
          <w:sz w:val="22"/>
          <w:szCs w:val="22"/>
          <w:lang w:val="sr-Latn-ME"/>
        </w:rPr>
        <w:tab/>
      </w:r>
      <w:r w:rsidRPr="001A7371">
        <w:rPr>
          <w:b/>
          <w:bCs/>
          <w:sz w:val="22"/>
          <w:szCs w:val="22"/>
          <w:lang w:val="sr-Latn-ME"/>
        </w:rPr>
        <w:t xml:space="preserve">DATUM </w:t>
      </w:r>
      <w:r w:rsidR="00C05DF8" w:rsidRPr="001A7371">
        <w:rPr>
          <w:b/>
          <w:bCs/>
          <w:sz w:val="22"/>
          <w:szCs w:val="22"/>
          <w:lang w:val="sr-Latn-ME"/>
        </w:rPr>
        <w:t xml:space="preserve">PRVE </w:t>
      </w:r>
      <w:r w:rsidR="008A6D43" w:rsidRPr="001A7371">
        <w:rPr>
          <w:b/>
          <w:bCs/>
          <w:sz w:val="22"/>
          <w:szCs w:val="22"/>
          <w:lang w:val="sr-Latn-ME"/>
        </w:rPr>
        <w:t>DOZVOLE</w:t>
      </w:r>
      <w:r w:rsidR="00C05DF8" w:rsidRPr="001A7371">
        <w:rPr>
          <w:b/>
          <w:bCs/>
          <w:sz w:val="22"/>
          <w:szCs w:val="22"/>
          <w:lang w:val="sr-Latn-ME"/>
        </w:rPr>
        <w:t>/OBNOVE DOZVOLE</w:t>
      </w:r>
      <w:r w:rsidR="008A6D43" w:rsidRPr="001A7371">
        <w:rPr>
          <w:b/>
          <w:bCs/>
          <w:sz w:val="22"/>
          <w:szCs w:val="22"/>
          <w:lang w:val="sr-Latn-ME"/>
        </w:rPr>
        <w:t xml:space="preserve"> ZA STAVLJANJE LIJEKA U PROMET</w:t>
      </w:r>
    </w:p>
    <w:p w14:paraId="6B0EBC37" w14:textId="77777777" w:rsidR="0072020E" w:rsidRPr="001A7371" w:rsidRDefault="0072020E" w:rsidP="00480FB1">
      <w:pPr>
        <w:tabs>
          <w:tab w:val="left" w:pos="540"/>
          <w:tab w:val="left" w:pos="569"/>
        </w:tabs>
        <w:rPr>
          <w:bCs/>
          <w:sz w:val="22"/>
          <w:szCs w:val="22"/>
          <w:lang w:val="sr-Latn-ME"/>
        </w:rPr>
      </w:pPr>
    </w:p>
    <w:p w14:paraId="3F56327E" w14:textId="4AEB55CE" w:rsidR="00743438" w:rsidRPr="001A7371" w:rsidRDefault="009A48A9" w:rsidP="009A48A9">
      <w:pPr>
        <w:tabs>
          <w:tab w:val="left" w:pos="540"/>
          <w:tab w:val="left" w:pos="569"/>
        </w:tabs>
        <w:rPr>
          <w:bCs/>
          <w:sz w:val="22"/>
          <w:szCs w:val="22"/>
          <w:lang w:val="sr-Latn-ME"/>
        </w:rPr>
      </w:pPr>
      <w:r w:rsidRPr="001A7371">
        <w:rPr>
          <w:bCs/>
          <w:sz w:val="22"/>
          <w:szCs w:val="22"/>
          <w:lang w:val="sr-Latn-ME"/>
        </w:rPr>
        <w:t>Datum prve dozvole za lijek:</w:t>
      </w:r>
      <w:r w:rsidR="0073144F">
        <w:rPr>
          <w:bCs/>
          <w:sz w:val="22"/>
          <w:szCs w:val="22"/>
          <w:lang w:val="sr-Latn-ME"/>
        </w:rPr>
        <w:t xml:space="preserve"> </w:t>
      </w:r>
      <w:r w:rsidRPr="001A7371">
        <w:rPr>
          <w:bCs/>
          <w:sz w:val="22"/>
          <w:szCs w:val="22"/>
          <w:lang w:val="sr-Latn-ME"/>
        </w:rPr>
        <w:t>01.09.2010.</w:t>
      </w:r>
      <w:r w:rsidR="00FF205C" w:rsidRPr="001A7371">
        <w:rPr>
          <w:bCs/>
          <w:sz w:val="22"/>
          <w:szCs w:val="22"/>
          <w:lang w:val="sr-Latn-ME"/>
        </w:rPr>
        <w:t xml:space="preserve"> godine</w:t>
      </w:r>
    </w:p>
    <w:p w14:paraId="257B0F8B" w14:textId="726B5E2F" w:rsidR="001A7371" w:rsidRPr="0073144F" w:rsidRDefault="00743438" w:rsidP="0073144F">
      <w:pPr>
        <w:tabs>
          <w:tab w:val="left" w:pos="540"/>
          <w:tab w:val="left" w:pos="569"/>
        </w:tabs>
        <w:rPr>
          <w:bCs/>
          <w:sz w:val="22"/>
          <w:szCs w:val="22"/>
          <w:lang w:val="sr-Latn-ME"/>
        </w:rPr>
      </w:pPr>
      <w:r w:rsidRPr="001A7371">
        <w:rPr>
          <w:bCs/>
          <w:sz w:val="22"/>
          <w:szCs w:val="22"/>
          <w:lang w:val="sr-Latn-ME"/>
        </w:rPr>
        <w:t>Datum poslednje obnove za lijek:</w:t>
      </w:r>
      <w:r w:rsidR="0073144F">
        <w:rPr>
          <w:bCs/>
          <w:sz w:val="22"/>
          <w:szCs w:val="22"/>
          <w:lang w:val="sr-Latn-ME"/>
        </w:rPr>
        <w:t xml:space="preserve"> 31.03.2023. godine</w:t>
      </w:r>
    </w:p>
    <w:p w14:paraId="518424C0" w14:textId="77777777" w:rsidR="001A7371" w:rsidRPr="001A7371" w:rsidRDefault="001A7371" w:rsidP="00C05DF8">
      <w:pPr>
        <w:tabs>
          <w:tab w:val="left" w:pos="540"/>
          <w:tab w:val="left" w:pos="569"/>
        </w:tabs>
        <w:ind w:left="540" w:hanging="540"/>
        <w:rPr>
          <w:b/>
          <w:bCs/>
          <w:sz w:val="22"/>
          <w:szCs w:val="22"/>
          <w:lang w:val="sr-Latn-ME"/>
        </w:rPr>
      </w:pPr>
    </w:p>
    <w:p w14:paraId="473418D7" w14:textId="52F07B17" w:rsidR="00743438" w:rsidRPr="001A7371" w:rsidRDefault="0072020E" w:rsidP="004F5E63">
      <w:pPr>
        <w:tabs>
          <w:tab w:val="left" w:pos="540"/>
          <w:tab w:val="left" w:pos="569"/>
        </w:tabs>
        <w:ind w:left="540" w:hanging="540"/>
        <w:rPr>
          <w:bCs/>
          <w:sz w:val="22"/>
          <w:szCs w:val="22"/>
          <w:lang w:val="sr-Latn-ME"/>
        </w:rPr>
      </w:pPr>
      <w:r w:rsidRPr="001A7371">
        <w:rPr>
          <w:b/>
          <w:bCs/>
          <w:sz w:val="22"/>
          <w:szCs w:val="22"/>
          <w:lang w:val="sr-Latn-ME"/>
        </w:rPr>
        <w:t xml:space="preserve">10. </w:t>
      </w:r>
      <w:r w:rsidR="00480FB1" w:rsidRPr="001A7371">
        <w:rPr>
          <w:b/>
          <w:bCs/>
          <w:sz w:val="22"/>
          <w:szCs w:val="22"/>
          <w:lang w:val="sr-Latn-ME"/>
        </w:rPr>
        <w:tab/>
      </w:r>
      <w:r w:rsidR="002846DB" w:rsidRPr="001A7371">
        <w:rPr>
          <w:b/>
          <w:bCs/>
          <w:sz w:val="22"/>
          <w:szCs w:val="22"/>
          <w:lang w:val="sr-Latn-ME"/>
        </w:rPr>
        <w:t>D</w:t>
      </w:r>
      <w:r w:rsidR="00EC2532" w:rsidRPr="001A7371">
        <w:rPr>
          <w:b/>
          <w:bCs/>
          <w:sz w:val="22"/>
          <w:szCs w:val="22"/>
          <w:lang w:val="sr-Latn-ME"/>
        </w:rPr>
        <w:t xml:space="preserve">ATUM REVIZIJE TEKSTA </w:t>
      </w:r>
    </w:p>
    <w:p w14:paraId="4818B6AA" w14:textId="77777777" w:rsidR="00743438" w:rsidRPr="001A7371" w:rsidRDefault="00743438" w:rsidP="00C05DF8">
      <w:pPr>
        <w:tabs>
          <w:tab w:val="left" w:pos="540"/>
          <w:tab w:val="left" w:pos="569"/>
        </w:tabs>
        <w:ind w:left="540" w:hanging="540"/>
        <w:rPr>
          <w:bCs/>
          <w:sz w:val="22"/>
          <w:szCs w:val="22"/>
          <w:lang w:val="sr-Latn-ME"/>
        </w:rPr>
      </w:pPr>
    </w:p>
    <w:p w14:paraId="3714D92A" w14:textId="27F94CF1" w:rsidR="003F6A59" w:rsidRPr="001A7371" w:rsidRDefault="00743438" w:rsidP="004F5E63">
      <w:pPr>
        <w:tabs>
          <w:tab w:val="left" w:pos="540"/>
          <w:tab w:val="left" w:pos="569"/>
        </w:tabs>
        <w:ind w:left="540" w:hanging="540"/>
        <w:rPr>
          <w:sz w:val="22"/>
          <w:szCs w:val="22"/>
          <w:lang w:val="sr-Latn-ME"/>
        </w:rPr>
      </w:pPr>
      <w:r w:rsidRPr="001A7371">
        <w:rPr>
          <w:bCs/>
          <w:sz w:val="22"/>
          <w:szCs w:val="22"/>
          <w:lang w:val="sr-Latn-ME"/>
        </w:rPr>
        <w:t>Mart</w:t>
      </w:r>
      <w:r w:rsidR="009A48A9" w:rsidRPr="001A7371">
        <w:rPr>
          <w:bCs/>
          <w:sz w:val="22"/>
          <w:szCs w:val="22"/>
          <w:lang w:val="sr-Latn-ME"/>
        </w:rPr>
        <w:t>, 202</w:t>
      </w:r>
      <w:r w:rsidRPr="001A7371">
        <w:rPr>
          <w:bCs/>
          <w:sz w:val="22"/>
          <w:szCs w:val="22"/>
          <w:lang w:val="sr-Latn-ME"/>
        </w:rPr>
        <w:t>3</w:t>
      </w:r>
      <w:r w:rsidR="009A48A9" w:rsidRPr="001A7371">
        <w:rPr>
          <w:bCs/>
          <w:sz w:val="22"/>
          <w:szCs w:val="22"/>
          <w:lang w:val="sr-Latn-ME"/>
        </w:rPr>
        <w:t xml:space="preserve">. </w:t>
      </w:r>
      <w:r w:rsidRPr="001A7371">
        <w:rPr>
          <w:bCs/>
          <w:sz w:val="22"/>
          <w:szCs w:val="22"/>
          <w:lang w:val="sr-Latn-ME"/>
        </w:rPr>
        <w:t>g</w:t>
      </w:r>
      <w:r w:rsidR="009A48A9" w:rsidRPr="001A7371">
        <w:rPr>
          <w:bCs/>
          <w:sz w:val="22"/>
          <w:szCs w:val="22"/>
          <w:lang w:val="sr-Latn-ME"/>
        </w:rPr>
        <w:t>odine</w:t>
      </w:r>
      <w:r w:rsidRPr="001A7371">
        <w:rPr>
          <w:bCs/>
          <w:sz w:val="22"/>
          <w:szCs w:val="22"/>
          <w:lang w:val="sr-Latn-ME"/>
        </w:rPr>
        <w:t xml:space="preserve"> </w:t>
      </w:r>
    </w:p>
    <w:sectPr w:rsidR="003F6A59" w:rsidRPr="001A7371" w:rsidSect="006B5404">
      <w:footerReference w:type="default" r:id="rId10"/>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B8E1E8" w14:textId="77777777" w:rsidR="008E7D98" w:rsidRDefault="008E7D98">
      <w:r>
        <w:separator/>
      </w:r>
    </w:p>
  </w:endnote>
  <w:endnote w:type="continuationSeparator" w:id="0">
    <w:p w14:paraId="26DA4F2D" w14:textId="77777777" w:rsidR="008E7D98" w:rsidRDefault="008E7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F8340" w14:textId="67C0A705" w:rsidR="00D27CCB" w:rsidRPr="00B23F69" w:rsidRDefault="00D27CCB"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6B79A8">
      <w:rPr>
        <w:noProof/>
        <w:sz w:val="22"/>
        <w:szCs w:val="22"/>
      </w:rPr>
      <w:t>21</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6B79A8">
      <w:rPr>
        <w:noProof/>
        <w:sz w:val="22"/>
        <w:szCs w:val="22"/>
      </w:rPr>
      <w:t>21</w:t>
    </w:r>
    <w:r w:rsidRPr="00B23F69">
      <w:rPr>
        <w:sz w:val="22"/>
        <w:szCs w:val="22"/>
      </w:rPr>
      <w:fldChar w:fldCharType="end"/>
    </w:r>
  </w:p>
  <w:p w14:paraId="4BDAE193" w14:textId="77777777" w:rsidR="00D27CCB" w:rsidRDefault="00D27CCB"/>
  <w:p w14:paraId="270CAE81" w14:textId="77777777" w:rsidR="00D27CCB" w:rsidRDefault="00D27CCB"/>
  <w:p w14:paraId="2C8F4622" w14:textId="77777777" w:rsidR="00D27CCB" w:rsidRDefault="00D27CCB"/>
  <w:p w14:paraId="0F8253D5" w14:textId="77777777" w:rsidR="00D27CCB" w:rsidRDefault="00D27CCB"/>
  <w:p w14:paraId="15D6BED0" w14:textId="77777777" w:rsidR="00D27CCB" w:rsidRDefault="00D27CC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276438" w14:textId="77777777" w:rsidR="008E7D98" w:rsidRDefault="008E7D98">
      <w:r>
        <w:separator/>
      </w:r>
    </w:p>
  </w:footnote>
  <w:footnote w:type="continuationSeparator" w:id="0">
    <w:p w14:paraId="3F488333" w14:textId="77777777" w:rsidR="008E7D98" w:rsidRDefault="008E7D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5.6pt;height:13.4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0"/>
  </w:num>
  <w:num w:numId="4">
    <w:abstractNumId w:val="8"/>
  </w:num>
  <w:num w:numId="5">
    <w:abstractNumId w:val="4"/>
  </w:num>
  <w:num w:numId="6">
    <w:abstractNumId w:val="1"/>
  </w:num>
  <w:num w:numId="7">
    <w:abstractNumId w:val="7"/>
  </w:num>
  <w:num w:numId="8">
    <w:abstractNumId w:val="3"/>
  </w:num>
  <w:num w:numId="9">
    <w:abstractNumId w:val="6"/>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2069B"/>
    <w:rsid w:val="00031394"/>
    <w:rsid w:val="00036FA0"/>
    <w:rsid w:val="0003793F"/>
    <w:rsid w:val="00057E35"/>
    <w:rsid w:val="00076726"/>
    <w:rsid w:val="00080303"/>
    <w:rsid w:val="000834E9"/>
    <w:rsid w:val="000A3F58"/>
    <w:rsid w:val="000D2343"/>
    <w:rsid w:val="000D3449"/>
    <w:rsid w:val="000D425A"/>
    <w:rsid w:val="000D60CC"/>
    <w:rsid w:val="000E2084"/>
    <w:rsid w:val="000E6F55"/>
    <w:rsid w:val="000F25CB"/>
    <w:rsid w:val="000F5EC0"/>
    <w:rsid w:val="000F77FA"/>
    <w:rsid w:val="00107BF7"/>
    <w:rsid w:val="0011042E"/>
    <w:rsid w:val="00114C60"/>
    <w:rsid w:val="00126F53"/>
    <w:rsid w:val="0014766D"/>
    <w:rsid w:val="001536CC"/>
    <w:rsid w:val="00164656"/>
    <w:rsid w:val="001824D9"/>
    <w:rsid w:val="001907DC"/>
    <w:rsid w:val="001A2A73"/>
    <w:rsid w:val="001A3FBA"/>
    <w:rsid w:val="001A5518"/>
    <w:rsid w:val="001A7371"/>
    <w:rsid w:val="001B1C6A"/>
    <w:rsid w:val="001C1263"/>
    <w:rsid w:val="001C1417"/>
    <w:rsid w:val="001E390B"/>
    <w:rsid w:val="001E6EBD"/>
    <w:rsid w:val="001F370F"/>
    <w:rsid w:val="001F42FB"/>
    <w:rsid w:val="001F719A"/>
    <w:rsid w:val="002031B3"/>
    <w:rsid w:val="002076E4"/>
    <w:rsid w:val="00215931"/>
    <w:rsid w:val="00224C91"/>
    <w:rsid w:val="00227BDB"/>
    <w:rsid w:val="00234CB1"/>
    <w:rsid w:val="002352F8"/>
    <w:rsid w:val="002362BA"/>
    <w:rsid w:val="00240A8F"/>
    <w:rsid w:val="00240E30"/>
    <w:rsid w:val="002510A5"/>
    <w:rsid w:val="00254A0A"/>
    <w:rsid w:val="00266046"/>
    <w:rsid w:val="002846DB"/>
    <w:rsid w:val="00284CCD"/>
    <w:rsid w:val="002B589C"/>
    <w:rsid w:val="002C3499"/>
    <w:rsid w:val="002C6637"/>
    <w:rsid w:val="002D5614"/>
    <w:rsid w:val="002D5ACC"/>
    <w:rsid w:val="002E0135"/>
    <w:rsid w:val="002E37A5"/>
    <w:rsid w:val="002F6500"/>
    <w:rsid w:val="00310F03"/>
    <w:rsid w:val="003247D2"/>
    <w:rsid w:val="003445C1"/>
    <w:rsid w:val="00346E18"/>
    <w:rsid w:val="00355B61"/>
    <w:rsid w:val="00362686"/>
    <w:rsid w:val="00371510"/>
    <w:rsid w:val="00396DFD"/>
    <w:rsid w:val="003A7059"/>
    <w:rsid w:val="003B7A36"/>
    <w:rsid w:val="003C17AB"/>
    <w:rsid w:val="003C7823"/>
    <w:rsid w:val="003D280F"/>
    <w:rsid w:val="003D4CFB"/>
    <w:rsid w:val="003E1DCC"/>
    <w:rsid w:val="003F11A1"/>
    <w:rsid w:val="003F16E2"/>
    <w:rsid w:val="003F6A59"/>
    <w:rsid w:val="004065C8"/>
    <w:rsid w:val="00410753"/>
    <w:rsid w:val="004109FA"/>
    <w:rsid w:val="00411B4B"/>
    <w:rsid w:val="00415BEE"/>
    <w:rsid w:val="00427F85"/>
    <w:rsid w:val="00436F42"/>
    <w:rsid w:val="004378B4"/>
    <w:rsid w:val="00451314"/>
    <w:rsid w:val="00452E9D"/>
    <w:rsid w:val="004534C7"/>
    <w:rsid w:val="00457416"/>
    <w:rsid w:val="004671AA"/>
    <w:rsid w:val="00472473"/>
    <w:rsid w:val="00480FB1"/>
    <w:rsid w:val="00483928"/>
    <w:rsid w:val="0049639C"/>
    <w:rsid w:val="004A49EB"/>
    <w:rsid w:val="004A6CFE"/>
    <w:rsid w:val="004A7F8F"/>
    <w:rsid w:val="004B3F62"/>
    <w:rsid w:val="004C331F"/>
    <w:rsid w:val="004D2F08"/>
    <w:rsid w:val="004D6103"/>
    <w:rsid w:val="004E0CF6"/>
    <w:rsid w:val="004E1B6E"/>
    <w:rsid w:val="004E3BCE"/>
    <w:rsid w:val="004E70AD"/>
    <w:rsid w:val="004F0E97"/>
    <w:rsid w:val="004F3C59"/>
    <w:rsid w:val="004F5E63"/>
    <w:rsid w:val="00501DD1"/>
    <w:rsid w:val="00503544"/>
    <w:rsid w:val="00515C21"/>
    <w:rsid w:val="00530BD7"/>
    <w:rsid w:val="00545CD2"/>
    <w:rsid w:val="005476F3"/>
    <w:rsid w:val="00552FB9"/>
    <w:rsid w:val="00560E48"/>
    <w:rsid w:val="00572527"/>
    <w:rsid w:val="00573E40"/>
    <w:rsid w:val="00576348"/>
    <w:rsid w:val="005A0B2E"/>
    <w:rsid w:val="005A23D2"/>
    <w:rsid w:val="005A36CB"/>
    <w:rsid w:val="005B49B8"/>
    <w:rsid w:val="005C0741"/>
    <w:rsid w:val="005C5EF4"/>
    <w:rsid w:val="005E2E0B"/>
    <w:rsid w:val="005E7A7D"/>
    <w:rsid w:val="00602457"/>
    <w:rsid w:val="00621EE5"/>
    <w:rsid w:val="00622FC9"/>
    <w:rsid w:val="006243B5"/>
    <w:rsid w:val="00632FF6"/>
    <w:rsid w:val="00644FC3"/>
    <w:rsid w:val="00646BD1"/>
    <w:rsid w:val="006561C2"/>
    <w:rsid w:val="00671CB3"/>
    <w:rsid w:val="00674BAF"/>
    <w:rsid w:val="00682200"/>
    <w:rsid w:val="00692BF6"/>
    <w:rsid w:val="006A1497"/>
    <w:rsid w:val="006A5A1F"/>
    <w:rsid w:val="006B0BD1"/>
    <w:rsid w:val="006B4A75"/>
    <w:rsid w:val="006B5404"/>
    <w:rsid w:val="006B79A8"/>
    <w:rsid w:val="006D20A5"/>
    <w:rsid w:val="006D37BF"/>
    <w:rsid w:val="00700C91"/>
    <w:rsid w:val="00702E22"/>
    <w:rsid w:val="007034D6"/>
    <w:rsid w:val="00704537"/>
    <w:rsid w:val="00705FCB"/>
    <w:rsid w:val="0072020E"/>
    <w:rsid w:val="0073144F"/>
    <w:rsid w:val="00743438"/>
    <w:rsid w:val="00753D61"/>
    <w:rsid w:val="00786071"/>
    <w:rsid w:val="00790617"/>
    <w:rsid w:val="007A3ECB"/>
    <w:rsid w:val="007D7BB3"/>
    <w:rsid w:val="00824AB9"/>
    <w:rsid w:val="00835992"/>
    <w:rsid w:val="00836B35"/>
    <w:rsid w:val="00843BDE"/>
    <w:rsid w:val="0087116F"/>
    <w:rsid w:val="0087588C"/>
    <w:rsid w:val="00875ADE"/>
    <w:rsid w:val="0088038F"/>
    <w:rsid w:val="0089705C"/>
    <w:rsid w:val="008A6D43"/>
    <w:rsid w:val="008B491E"/>
    <w:rsid w:val="008C1A28"/>
    <w:rsid w:val="008C2E98"/>
    <w:rsid w:val="008E49BD"/>
    <w:rsid w:val="008E53E9"/>
    <w:rsid w:val="008E5771"/>
    <w:rsid w:val="008E7D98"/>
    <w:rsid w:val="008F4ACF"/>
    <w:rsid w:val="00924166"/>
    <w:rsid w:val="00926831"/>
    <w:rsid w:val="00935F5A"/>
    <w:rsid w:val="009363CD"/>
    <w:rsid w:val="00940B9B"/>
    <w:rsid w:val="00950C59"/>
    <w:rsid w:val="00950EDC"/>
    <w:rsid w:val="0095676E"/>
    <w:rsid w:val="00956983"/>
    <w:rsid w:val="0096255D"/>
    <w:rsid w:val="00963CF0"/>
    <w:rsid w:val="00964BB1"/>
    <w:rsid w:val="00965BD0"/>
    <w:rsid w:val="0096681E"/>
    <w:rsid w:val="009775D9"/>
    <w:rsid w:val="00985A62"/>
    <w:rsid w:val="00997175"/>
    <w:rsid w:val="00997EBB"/>
    <w:rsid w:val="009A1847"/>
    <w:rsid w:val="009A48A9"/>
    <w:rsid w:val="009B062A"/>
    <w:rsid w:val="009C7C12"/>
    <w:rsid w:val="009E2220"/>
    <w:rsid w:val="009E7C6F"/>
    <w:rsid w:val="009F1793"/>
    <w:rsid w:val="009F2D23"/>
    <w:rsid w:val="00A01D69"/>
    <w:rsid w:val="00A02335"/>
    <w:rsid w:val="00A20F49"/>
    <w:rsid w:val="00A46C9A"/>
    <w:rsid w:val="00A619F3"/>
    <w:rsid w:val="00A62A73"/>
    <w:rsid w:val="00A6688E"/>
    <w:rsid w:val="00A87FF6"/>
    <w:rsid w:val="00AA0A3B"/>
    <w:rsid w:val="00AA2763"/>
    <w:rsid w:val="00AA33B6"/>
    <w:rsid w:val="00AA6877"/>
    <w:rsid w:val="00AB25A4"/>
    <w:rsid w:val="00AB50CA"/>
    <w:rsid w:val="00AB6D64"/>
    <w:rsid w:val="00AC53CE"/>
    <w:rsid w:val="00AD2193"/>
    <w:rsid w:val="00AF2AC7"/>
    <w:rsid w:val="00AF74CE"/>
    <w:rsid w:val="00B208DB"/>
    <w:rsid w:val="00B23F69"/>
    <w:rsid w:val="00B359EA"/>
    <w:rsid w:val="00B60619"/>
    <w:rsid w:val="00B66A70"/>
    <w:rsid w:val="00B67366"/>
    <w:rsid w:val="00B724B9"/>
    <w:rsid w:val="00B765EF"/>
    <w:rsid w:val="00B80EE1"/>
    <w:rsid w:val="00B84135"/>
    <w:rsid w:val="00B975EE"/>
    <w:rsid w:val="00BD456C"/>
    <w:rsid w:val="00BE1608"/>
    <w:rsid w:val="00C04D34"/>
    <w:rsid w:val="00C05DF8"/>
    <w:rsid w:val="00C06864"/>
    <w:rsid w:val="00C10F54"/>
    <w:rsid w:val="00C23D8D"/>
    <w:rsid w:val="00C37AA3"/>
    <w:rsid w:val="00C37FD7"/>
    <w:rsid w:val="00C43419"/>
    <w:rsid w:val="00C44CF3"/>
    <w:rsid w:val="00C46E3C"/>
    <w:rsid w:val="00C61BE0"/>
    <w:rsid w:val="00C65020"/>
    <w:rsid w:val="00C6707E"/>
    <w:rsid w:val="00C70B0E"/>
    <w:rsid w:val="00C712B5"/>
    <w:rsid w:val="00C773CA"/>
    <w:rsid w:val="00C83785"/>
    <w:rsid w:val="00C93F61"/>
    <w:rsid w:val="00C94C0D"/>
    <w:rsid w:val="00CA1FEB"/>
    <w:rsid w:val="00CB2F9E"/>
    <w:rsid w:val="00CC6B70"/>
    <w:rsid w:val="00CD4F85"/>
    <w:rsid w:val="00CD6F02"/>
    <w:rsid w:val="00CE14E5"/>
    <w:rsid w:val="00CE246D"/>
    <w:rsid w:val="00CE5486"/>
    <w:rsid w:val="00CF07A0"/>
    <w:rsid w:val="00CF3E03"/>
    <w:rsid w:val="00CF72BF"/>
    <w:rsid w:val="00D0082A"/>
    <w:rsid w:val="00D07F81"/>
    <w:rsid w:val="00D15724"/>
    <w:rsid w:val="00D21455"/>
    <w:rsid w:val="00D2618A"/>
    <w:rsid w:val="00D27CCB"/>
    <w:rsid w:val="00D47634"/>
    <w:rsid w:val="00D709B3"/>
    <w:rsid w:val="00D743FD"/>
    <w:rsid w:val="00D85EDE"/>
    <w:rsid w:val="00D8718A"/>
    <w:rsid w:val="00DA2ED6"/>
    <w:rsid w:val="00DA3DB9"/>
    <w:rsid w:val="00DB76B8"/>
    <w:rsid w:val="00DC2EA1"/>
    <w:rsid w:val="00DD6AAF"/>
    <w:rsid w:val="00DE3265"/>
    <w:rsid w:val="00DE3F5C"/>
    <w:rsid w:val="00DF007F"/>
    <w:rsid w:val="00DF1D20"/>
    <w:rsid w:val="00E12067"/>
    <w:rsid w:val="00E1558E"/>
    <w:rsid w:val="00E15CCE"/>
    <w:rsid w:val="00E21324"/>
    <w:rsid w:val="00E246B9"/>
    <w:rsid w:val="00E31FEA"/>
    <w:rsid w:val="00E41844"/>
    <w:rsid w:val="00E45169"/>
    <w:rsid w:val="00E47787"/>
    <w:rsid w:val="00E51C30"/>
    <w:rsid w:val="00E64180"/>
    <w:rsid w:val="00E74AEE"/>
    <w:rsid w:val="00E868E5"/>
    <w:rsid w:val="00E9237A"/>
    <w:rsid w:val="00E939FA"/>
    <w:rsid w:val="00E9618D"/>
    <w:rsid w:val="00EA152F"/>
    <w:rsid w:val="00EA5765"/>
    <w:rsid w:val="00EC2532"/>
    <w:rsid w:val="00ED7812"/>
    <w:rsid w:val="00EF3B86"/>
    <w:rsid w:val="00EF4064"/>
    <w:rsid w:val="00F317E9"/>
    <w:rsid w:val="00F34554"/>
    <w:rsid w:val="00F45F77"/>
    <w:rsid w:val="00F5167F"/>
    <w:rsid w:val="00F52258"/>
    <w:rsid w:val="00F835B4"/>
    <w:rsid w:val="00F8570A"/>
    <w:rsid w:val="00F91C7B"/>
    <w:rsid w:val="00F94A68"/>
    <w:rsid w:val="00F96673"/>
    <w:rsid w:val="00FD2972"/>
    <w:rsid w:val="00FD34DC"/>
    <w:rsid w:val="00FE4CF3"/>
    <w:rsid w:val="00FF205C"/>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17DEF5"/>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styleId="BodyText">
    <w:name w:val="Body Text"/>
    <w:basedOn w:val="Normal"/>
    <w:link w:val="BodyTextChar"/>
    <w:rsid w:val="000834E9"/>
    <w:pPr>
      <w:spacing w:after="120"/>
    </w:pPr>
  </w:style>
  <w:style w:type="character" w:customStyle="1" w:styleId="BodyTextChar">
    <w:name w:val="Body Text Char"/>
    <w:basedOn w:val="DefaultParagraphFont"/>
    <w:link w:val="BodyText"/>
    <w:rsid w:val="000834E9"/>
    <w:rPr>
      <w:sz w:val="24"/>
      <w:szCs w:val="24"/>
      <w:lang w:val="en-US" w:eastAsia="en-US"/>
    </w:rPr>
  </w:style>
  <w:style w:type="paragraph" w:customStyle="1" w:styleId="TableParagraph">
    <w:name w:val="Table Paragraph"/>
    <w:basedOn w:val="Normal"/>
    <w:uiPriority w:val="1"/>
    <w:qFormat/>
    <w:rsid w:val="009E2220"/>
    <w:pPr>
      <w:widowControl w:val="0"/>
      <w:autoSpaceDE w:val="0"/>
      <w:autoSpaceDN w:val="0"/>
      <w:ind w:left="110"/>
    </w:pPr>
    <w:rPr>
      <w:sz w:val="22"/>
      <w:szCs w:val="22"/>
    </w:rPr>
  </w:style>
  <w:style w:type="paragraph" w:styleId="Revision">
    <w:name w:val="Revision"/>
    <w:hidden/>
    <w:uiPriority w:val="99"/>
    <w:semiHidden/>
    <w:rsid w:val="00985A62"/>
    <w:rPr>
      <w:sz w:val="24"/>
      <w:szCs w:val="24"/>
      <w:lang w:val="en-US" w:eastAsia="en-US"/>
    </w:rPr>
  </w:style>
  <w:style w:type="character" w:customStyle="1" w:styleId="markedcontent">
    <w:name w:val="markedcontent"/>
    <w:basedOn w:val="DefaultParagraphFont"/>
    <w:rsid w:val="00D85E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ezeljenadejstva@cinmed.m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FF70EA-0CAB-476E-A918-669EF92A6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21</Pages>
  <Words>8556</Words>
  <Characters>48770</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57212</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Anđela Drašković</cp:lastModifiedBy>
  <cp:revision>6</cp:revision>
  <dcterms:created xsi:type="dcterms:W3CDTF">2023-03-31T12:02:00Z</dcterms:created>
  <dcterms:modified xsi:type="dcterms:W3CDTF">2023-03-31T12:13:00Z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