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641C6D" w:rsidRDefault="002510A5" w:rsidP="0081748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41C6D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641C6D" w:rsidRDefault="002510A5" w:rsidP="0081748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C37FD7" w:rsidRPr="00641C6D" w:rsidRDefault="00C37FD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>1.</w:t>
      </w:r>
      <w:r w:rsidR="00F5167F" w:rsidRPr="00641C6D">
        <w:rPr>
          <w:b/>
          <w:bCs/>
          <w:sz w:val="22"/>
          <w:szCs w:val="22"/>
          <w:lang w:val="sr-Latn-ME"/>
        </w:rPr>
        <w:tab/>
      </w:r>
      <w:r w:rsidR="002846DB" w:rsidRPr="00641C6D">
        <w:rPr>
          <w:b/>
          <w:bCs/>
          <w:sz w:val="22"/>
          <w:szCs w:val="22"/>
          <w:lang w:val="sr-Latn-ME"/>
        </w:rPr>
        <w:t xml:space="preserve">NAZIV </w:t>
      </w:r>
      <w:r w:rsidRPr="00641C6D">
        <w:rPr>
          <w:b/>
          <w:bCs/>
          <w:sz w:val="22"/>
          <w:szCs w:val="22"/>
          <w:lang w:val="sr-Latn-ME"/>
        </w:rPr>
        <w:t>LIJEKA</w:t>
      </w:r>
    </w:p>
    <w:p w:rsidR="00EC2532" w:rsidRPr="00641C6D" w:rsidRDefault="00EC2532" w:rsidP="00817486">
      <w:pPr>
        <w:jc w:val="both"/>
        <w:rPr>
          <w:sz w:val="22"/>
          <w:szCs w:val="22"/>
          <w:lang w:val="sr-Latn-ME"/>
        </w:rPr>
      </w:pPr>
    </w:p>
    <w:p w:rsidR="000D425A" w:rsidRPr="00641C6D" w:rsidRDefault="00A375D1" w:rsidP="00817486">
      <w:pPr>
        <w:jc w:val="both"/>
        <w:rPr>
          <w:sz w:val="22"/>
          <w:szCs w:val="22"/>
          <w:lang w:val="sr-Latn-ME"/>
        </w:rPr>
      </w:pP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>, 40 mg, prašak za rastvor za injekciju</w:t>
      </w:r>
    </w:p>
    <w:p w:rsidR="00A375D1" w:rsidRPr="00641C6D" w:rsidRDefault="00A375D1" w:rsidP="00817486">
      <w:pPr>
        <w:jc w:val="both"/>
        <w:rPr>
          <w:sz w:val="22"/>
          <w:szCs w:val="22"/>
          <w:lang w:val="sr-Latn-ME"/>
        </w:rPr>
      </w:pPr>
    </w:p>
    <w:p w:rsidR="006D20A5" w:rsidRPr="00641C6D" w:rsidRDefault="00A375D1" w:rsidP="00817486">
      <w:pPr>
        <w:jc w:val="both"/>
        <w:rPr>
          <w:sz w:val="22"/>
          <w:szCs w:val="22"/>
          <w:lang w:val="sr-Latn-ME"/>
        </w:rPr>
      </w:pPr>
      <w:proofErr w:type="spellStart"/>
      <w:r w:rsidRPr="00641C6D">
        <w:rPr>
          <w:sz w:val="22"/>
          <w:szCs w:val="22"/>
          <w:lang w:val="sr-Latn-ME"/>
        </w:rPr>
        <w:t>INN</w:t>
      </w:r>
      <w:proofErr w:type="spellEnd"/>
      <w:r w:rsidRPr="00641C6D">
        <w:rPr>
          <w:sz w:val="22"/>
          <w:szCs w:val="22"/>
          <w:lang w:val="sr-Latn-ME"/>
        </w:rPr>
        <w:t xml:space="preserve">: </w:t>
      </w:r>
      <w:proofErr w:type="spellStart"/>
      <w:r w:rsidRPr="00641C6D">
        <w:rPr>
          <w:sz w:val="22"/>
          <w:szCs w:val="22"/>
          <w:lang w:val="sr-Latn-ME"/>
        </w:rPr>
        <w:t>pantoprazol</w:t>
      </w:r>
      <w:proofErr w:type="spellEnd"/>
    </w:p>
    <w:p w:rsidR="006D20A5" w:rsidRPr="00641C6D" w:rsidRDefault="006D20A5" w:rsidP="00817486">
      <w:pPr>
        <w:jc w:val="both"/>
        <w:rPr>
          <w:bCs/>
          <w:sz w:val="22"/>
          <w:szCs w:val="22"/>
          <w:lang w:val="sr-Latn-ME"/>
        </w:rPr>
      </w:pPr>
    </w:p>
    <w:p w:rsidR="00530BD7" w:rsidRPr="00641C6D" w:rsidRDefault="00530BD7" w:rsidP="00817486">
      <w:pPr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2. </w:t>
      </w:r>
      <w:r w:rsidR="00F5167F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KVALITATIVNI I KVANTITATIVNI SASTAV</w:t>
      </w:r>
    </w:p>
    <w:p w:rsidR="00A375D1" w:rsidRPr="00641C6D" w:rsidRDefault="00A375D1" w:rsidP="00817486">
      <w:pPr>
        <w:jc w:val="both"/>
        <w:rPr>
          <w:sz w:val="22"/>
          <w:szCs w:val="22"/>
          <w:lang w:val="sr-Latn-ME"/>
        </w:rPr>
      </w:pPr>
    </w:p>
    <w:p w:rsidR="005A0B2E" w:rsidRPr="00641C6D" w:rsidRDefault="00A375D1" w:rsidP="00817486">
      <w:pPr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Jedna bočica sadrži 40 mg </w:t>
      </w:r>
      <w:proofErr w:type="spellStart"/>
      <w:r w:rsidRPr="00641C6D">
        <w:rPr>
          <w:sz w:val="22"/>
          <w:szCs w:val="22"/>
          <w:lang w:val="sr-Latn-ME"/>
        </w:rPr>
        <w:t>pan</w:t>
      </w:r>
      <w:r w:rsidR="00D810B5" w:rsidRPr="00641C6D">
        <w:rPr>
          <w:sz w:val="22"/>
          <w:szCs w:val="22"/>
          <w:lang w:val="sr-Latn-ME"/>
        </w:rPr>
        <w:t>toprazola</w:t>
      </w:r>
      <w:proofErr w:type="spellEnd"/>
      <w:r w:rsidR="00D810B5" w:rsidRPr="00641C6D">
        <w:rPr>
          <w:sz w:val="22"/>
          <w:szCs w:val="22"/>
          <w:lang w:val="sr-Latn-ME"/>
        </w:rPr>
        <w:t xml:space="preserve"> (u obliku </w:t>
      </w:r>
      <w:proofErr w:type="spellStart"/>
      <w:r w:rsidR="00D810B5" w:rsidRPr="00641C6D">
        <w:rPr>
          <w:sz w:val="22"/>
          <w:szCs w:val="22"/>
          <w:lang w:val="sr-Latn-ME"/>
        </w:rPr>
        <w:t>pantoprazol</w:t>
      </w:r>
      <w:proofErr w:type="spellEnd"/>
      <w:r w:rsidR="00D810B5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natrijum </w:t>
      </w:r>
      <w:proofErr w:type="spellStart"/>
      <w:r w:rsidRPr="00641C6D">
        <w:rPr>
          <w:sz w:val="22"/>
          <w:szCs w:val="22"/>
          <w:lang w:val="sr-Latn-ME"/>
        </w:rPr>
        <w:t>seskvihidrata</w:t>
      </w:r>
      <w:proofErr w:type="spellEnd"/>
      <w:r w:rsidRPr="00641C6D">
        <w:rPr>
          <w:sz w:val="22"/>
          <w:szCs w:val="22"/>
          <w:lang w:val="sr-Latn-ME"/>
        </w:rPr>
        <w:t>).</w:t>
      </w:r>
    </w:p>
    <w:p w:rsidR="00A375D1" w:rsidRPr="00641C6D" w:rsidRDefault="00A375D1" w:rsidP="00817486">
      <w:pPr>
        <w:jc w:val="both"/>
        <w:rPr>
          <w:sz w:val="22"/>
          <w:szCs w:val="22"/>
          <w:lang w:val="sr-Latn-ME"/>
        </w:rPr>
      </w:pPr>
    </w:p>
    <w:p w:rsidR="0003793F" w:rsidRPr="00641C6D" w:rsidRDefault="0003793F" w:rsidP="00817486">
      <w:pPr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Za spisak svih </w:t>
      </w:r>
      <w:proofErr w:type="spellStart"/>
      <w:r w:rsidRPr="00641C6D">
        <w:rPr>
          <w:sz w:val="22"/>
          <w:szCs w:val="22"/>
          <w:lang w:val="sr-Latn-ME"/>
        </w:rPr>
        <w:t>ekscipijenasa</w:t>
      </w:r>
      <w:proofErr w:type="spellEnd"/>
      <w:r w:rsidRPr="00641C6D">
        <w:rPr>
          <w:sz w:val="22"/>
          <w:szCs w:val="22"/>
          <w:lang w:val="sr-Latn-ME"/>
        </w:rPr>
        <w:t>, pogledati dio 6.1.</w:t>
      </w:r>
    </w:p>
    <w:p w:rsidR="0003793F" w:rsidRPr="00641C6D" w:rsidRDefault="0003793F" w:rsidP="00817486">
      <w:pPr>
        <w:jc w:val="both"/>
        <w:rPr>
          <w:sz w:val="22"/>
          <w:szCs w:val="22"/>
          <w:lang w:val="sr-Latn-ME"/>
        </w:rPr>
      </w:pPr>
    </w:p>
    <w:p w:rsidR="00C37FD7" w:rsidRPr="00641C6D" w:rsidRDefault="00C37FD7" w:rsidP="00817486">
      <w:pPr>
        <w:jc w:val="both"/>
        <w:rPr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3. </w:t>
      </w:r>
      <w:r w:rsidR="00F5167F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FARMACEUTSKI OBLIK</w:t>
      </w:r>
      <w:r w:rsidR="009F2D23" w:rsidRPr="00641C6D">
        <w:rPr>
          <w:b/>
          <w:bCs/>
          <w:sz w:val="22"/>
          <w:szCs w:val="22"/>
          <w:lang w:val="sr-Latn-ME"/>
        </w:rPr>
        <w:t xml:space="preserve"> </w:t>
      </w:r>
    </w:p>
    <w:p w:rsidR="00411B4B" w:rsidRPr="00641C6D" w:rsidRDefault="00411B4B" w:rsidP="00817486">
      <w:pPr>
        <w:jc w:val="both"/>
        <w:rPr>
          <w:bCs/>
          <w:sz w:val="22"/>
          <w:szCs w:val="22"/>
          <w:lang w:val="sr-Latn-ME"/>
        </w:rPr>
      </w:pPr>
    </w:p>
    <w:p w:rsidR="00B56A87" w:rsidRDefault="00A375D1" w:rsidP="00817486">
      <w:pPr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Prašak za rastvor za injekciju. </w:t>
      </w:r>
    </w:p>
    <w:p w:rsidR="00F5502D" w:rsidRPr="00641C6D" w:rsidRDefault="00F5502D" w:rsidP="00817486">
      <w:pPr>
        <w:jc w:val="both"/>
        <w:rPr>
          <w:sz w:val="22"/>
          <w:szCs w:val="22"/>
          <w:lang w:val="sr-Latn-ME"/>
        </w:rPr>
      </w:pPr>
    </w:p>
    <w:p w:rsidR="00EC2532" w:rsidRPr="00641C6D" w:rsidRDefault="00A375D1" w:rsidP="00817486">
      <w:pPr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B</w:t>
      </w:r>
      <w:r w:rsidR="0001196C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>e</w:t>
      </w:r>
      <w:r w:rsidR="0001196C" w:rsidRPr="00641C6D">
        <w:rPr>
          <w:sz w:val="22"/>
          <w:szCs w:val="22"/>
          <w:lang w:val="sr-Latn-ME"/>
        </w:rPr>
        <w:t>li</w:t>
      </w:r>
      <w:r w:rsidRPr="00641C6D">
        <w:rPr>
          <w:sz w:val="22"/>
          <w:szCs w:val="22"/>
          <w:lang w:val="sr-Latn-ME"/>
        </w:rPr>
        <w:t xml:space="preserve"> ili skoro b</w:t>
      </w:r>
      <w:r w:rsidR="0001196C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>e</w:t>
      </w:r>
      <w:r w:rsidR="0001196C" w:rsidRPr="00641C6D">
        <w:rPr>
          <w:sz w:val="22"/>
          <w:szCs w:val="22"/>
          <w:lang w:val="sr-Latn-ME"/>
        </w:rPr>
        <w:t>li</w:t>
      </w:r>
      <w:r w:rsidRPr="00641C6D">
        <w:rPr>
          <w:sz w:val="22"/>
          <w:szCs w:val="22"/>
          <w:lang w:val="sr-Latn-ME"/>
        </w:rPr>
        <w:t xml:space="preserve"> prašak.</w:t>
      </w:r>
    </w:p>
    <w:p w:rsidR="00B56A87" w:rsidRPr="00641C6D" w:rsidRDefault="00B56A87" w:rsidP="00817486">
      <w:pPr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jc w:val="both"/>
        <w:rPr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KLINIČKI PODACI</w:t>
      </w:r>
    </w:p>
    <w:p w:rsidR="00CD6F02" w:rsidRPr="00641C6D" w:rsidRDefault="00CD6F0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4.1.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Terapijske indikacije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01196C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-</w:t>
      </w:r>
      <w:r w:rsidR="0001196C" w:rsidRPr="00641C6D">
        <w:rPr>
          <w:sz w:val="22"/>
          <w:szCs w:val="22"/>
          <w:lang w:val="sr-Latn-ME"/>
        </w:rPr>
        <w:t xml:space="preserve"> </w:t>
      </w:r>
      <w:proofErr w:type="spellStart"/>
      <w:r w:rsidR="0001196C" w:rsidRPr="00641C6D">
        <w:rPr>
          <w:sz w:val="22"/>
          <w:szCs w:val="22"/>
          <w:lang w:val="sr-Latn-ME"/>
        </w:rPr>
        <w:t>Refluksni</w:t>
      </w:r>
      <w:proofErr w:type="spellEnd"/>
      <w:r w:rsidR="0001196C" w:rsidRPr="00641C6D">
        <w:rPr>
          <w:sz w:val="22"/>
          <w:szCs w:val="22"/>
          <w:lang w:val="sr-Latn-ME"/>
        </w:rPr>
        <w:t xml:space="preserve"> </w:t>
      </w:r>
      <w:proofErr w:type="spellStart"/>
      <w:r w:rsidR="0001196C" w:rsidRPr="00641C6D">
        <w:rPr>
          <w:sz w:val="22"/>
          <w:szCs w:val="22"/>
          <w:lang w:val="sr-Latn-ME"/>
        </w:rPr>
        <w:t>ezofagitis</w:t>
      </w:r>
      <w:proofErr w:type="spellEnd"/>
      <w:r w:rsidR="0001196C" w:rsidRPr="00641C6D">
        <w:rPr>
          <w:sz w:val="22"/>
          <w:szCs w:val="22"/>
          <w:lang w:val="sr-Latn-ME"/>
        </w:rPr>
        <w:t>.</w:t>
      </w:r>
    </w:p>
    <w:p w:rsidR="00A375D1" w:rsidRPr="00641C6D" w:rsidRDefault="0001196C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- </w:t>
      </w:r>
      <w:proofErr w:type="spellStart"/>
      <w:r w:rsidRPr="00641C6D">
        <w:rPr>
          <w:sz w:val="22"/>
          <w:szCs w:val="22"/>
          <w:lang w:val="sr-Latn-ME"/>
        </w:rPr>
        <w:t>U</w:t>
      </w:r>
      <w:r w:rsidR="00A375D1" w:rsidRPr="00641C6D">
        <w:rPr>
          <w:sz w:val="22"/>
          <w:szCs w:val="22"/>
          <w:lang w:val="sr-Latn-ME"/>
        </w:rPr>
        <w:t>lkus</w:t>
      </w:r>
      <w:proofErr w:type="spellEnd"/>
      <w:r w:rsidR="00A375D1" w:rsidRPr="00641C6D">
        <w:rPr>
          <w:sz w:val="22"/>
          <w:szCs w:val="22"/>
          <w:lang w:val="sr-Latn-ME"/>
        </w:rPr>
        <w:t xml:space="preserve"> želuca i </w:t>
      </w:r>
      <w:proofErr w:type="spellStart"/>
      <w:r w:rsidR="00A375D1" w:rsidRPr="00641C6D">
        <w:rPr>
          <w:sz w:val="22"/>
          <w:szCs w:val="22"/>
          <w:lang w:val="sr-Latn-ME"/>
        </w:rPr>
        <w:t>duodenuma</w:t>
      </w:r>
      <w:proofErr w:type="spellEnd"/>
      <w:r w:rsidRPr="00641C6D">
        <w:rPr>
          <w:sz w:val="22"/>
          <w:szCs w:val="22"/>
          <w:lang w:val="sr-Latn-ME"/>
        </w:rPr>
        <w:t>.</w:t>
      </w:r>
      <w:r w:rsidR="00A375D1" w:rsidRPr="00641C6D">
        <w:rPr>
          <w:sz w:val="22"/>
          <w:szCs w:val="22"/>
          <w:lang w:val="sr-Latn-ME"/>
        </w:rPr>
        <w:t xml:space="preserve"> </w:t>
      </w:r>
    </w:p>
    <w:p w:rsidR="00411B4B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- </w:t>
      </w:r>
      <w:proofErr w:type="spellStart"/>
      <w:r w:rsidRPr="00641C6D">
        <w:rPr>
          <w:sz w:val="22"/>
          <w:szCs w:val="22"/>
          <w:lang w:val="sr-Latn-ME"/>
        </w:rPr>
        <w:t>Zollinger</w:t>
      </w:r>
      <w:proofErr w:type="spellEnd"/>
      <w:r w:rsidRPr="00641C6D">
        <w:rPr>
          <w:sz w:val="22"/>
          <w:szCs w:val="22"/>
          <w:lang w:val="sr-Latn-ME"/>
        </w:rPr>
        <w:t>–</w:t>
      </w:r>
      <w:proofErr w:type="spellStart"/>
      <w:r w:rsidRPr="00641C6D">
        <w:rPr>
          <w:sz w:val="22"/>
          <w:szCs w:val="22"/>
          <w:lang w:val="sr-Latn-ME"/>
        </w:rPr>
        <w:t>Ellisonov</w:t>
      </w:r>
      <w:proofErr w:type="spellEnd"/>
      <w:r w:rsidRPr="00641C6D">
        <w:rPr>
          <w:sz w:val="22"/>
          <w:szCs w:val="22"/>
          <w:lang w:val="sr-Latn-ME"/>
        </w:rPr>
        <w:t xml:space="preserve"> sindrom i druga stanja patološke </w:t>
      </w:r>
      <w:proofErr w:type="spellStart"/>
      <w:r w:rsidRPr="00641C6D">
        <w:rPr>
          <w:sz w:val="22"/>
          <w:szCs w:val="22"/>
          <w:lang w:val="sr-Latn-ME"/>
        </w:rPr>
        <w:t>hipersekrecije</w:t>
      </w:r>
      <w:proofErr w:type="spellEnd"/>
      <w:r w:rsidR="0001196C" w:rsidRPr="00641C6D">
        <w:rPr>
          <w:sz w:val="22"/>
          <w:szCs w:val="22"/>
          <w:lang w:val="sr-Latn-ME"/>
        </w:rPr>
        <w:t>.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4.2.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Doziranje i način primjene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Ovaj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 treba da </w:t>
      </w:r>
      <w:r w:rsidR="00253054" w:rsidRPr="00641C6D">
        <w:rPr>
          <w:sz w:val="22"/>
          <w:szCs w:val="22"/>
          <w:lang w:val="sr-Latn-ME"/>
        </w:rPr>
        <w:t xml:space="preserve">primjenjuje </w:t>
      </w:r>
      <w:r w:rsidRPr="00641C6D">
        <w:rPr>
          <w:sz w:val="22"/>
          <w:szCs w:val="22"/>
          <w:lang w:val="sr-Latn-ME"/>
        </w:rPr>
        <w:t xml:space="preserve"> zdravstveni radnik pod odgovarajućim medicinskim nadzorom. </w:t>
      </w:r>
      <w:proofErr w:type="spellStart"/>
      <w:r w:rsidRPr="00641C6D">
        <w:rPr>
          <w:sz w:val="22"/>
          <w:szCs w:val="22"/>
          <w:lang w:val="sr-Latn-ME"/>
        </w:rPr>
        <w:t>Intravenska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r w:rsidR="00D810B5" w:rsidRPr="00641C6D">
        <w:rPr>
          <w:sz w:val="22"/>
          <w:szCs w:val="22"/>
          <w:lang w:val="sr-Latn-ME"/>
        </w:rPr>
        <w:t>primjena</w:t>
      </w:r>
      <w:r w:rsidRPr="00641C6D">
        <w:rPr>
          <w:sz w:val="22"/>
          <w:szCs w:val="22"/>
          <w:lang w:val="sr-Latn-ME"/>
        </w:rPr>
        <w:t xml:space="preserve">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="007A3952" w:rsidRPr="00641C6D">
        <w:rPr>
          <w:sz w:val="22"/>
          <w:szCs w:val="22"/>
          <w:lang w:val="sr-Latn-ME"/>
        </w:rPr>
        <w:t>PORTORIN</w:t>
      </w:r>
      <w:proofErr w:type="spellEnd"/>
      <w:r w:rsidR="007A3952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preporučuje se samo ukoliko oralna </w:t>
      </w:r>
      <w:r w:rsidR="00D810B5" w:rsidRPr="00641C6D">
        <w:rPr>
          <w:sz w:val="22"/>
          <w:szCs w:val="22"/>
          <w:lang w:val="sr-Latn-ME"/>
        </w:rPr>
        <w:t>primjena</w:t>
      </w:r>
      <w:r w:rsidRPr="00641C6D">
        <w:rPr>
          <w:sz w:val="22"/>
          <w:szCs w:val="22"/>
          <w:lang w:val="sr-Latn-ME"/>
        </w:rPr>
        <w:t xml:space="preserve"> nije moguća. Dostupni</w:t>
      </w:r>
      <w:r w:rsidR="007A3952" w:rsidRPr="00641C6D">
        <w:rPr>
          <w:sz w:val="22"/>
          <w:szCs w:val="22"/>
          <w:lang w:val="sr-Latn-ME"/>
        </w:rPr>
        <w:t xml:space="preserve"> su</w:t>
      </w:r>
      <w:r w:rsidRPr="00641C6D">
        <w:rPr>
          <w:sz w:val="22"/>
          <w:szCs w:val="22"/>
          <w:lang w:val="sr-Latn-ME"/>
        </w:rPr>
        <w:t xml:space="preserve"> </w:t>
      </w:r>
      <w:r w:rsidR="007A3952" w:rsidRPr="00641C6D">
        <w:rPr>
          <w:sz w:val="22"/>
          <w:szCs w:val="22"/>
          <w:lang w:val="sr-Latn-ME"/>
        </w:rPr>
        <w:t xml:space="preserve">podaci o </w:t>
      </w:r>
      <w:proofErr w:type="spellStart"/>
      <w:r w:rsidR="007A3952" w:rsidRPr="00641C6D">
        <w:rPr>
          <w:sz w:val="22"/>
          <w:szCs w:val="22"/>
          <w:lang w:val="sr-Latn-ME"/>
        </w:rPr>
        <w:t>intravenskoj</w:t>
      </w:r>
      <w:proofErr w:type="spellEnd"/>
      <w:r w:rsidR="007A3952" w:rsidRPr="00641C6D">
        <w:rPr>
          <w:sz w:val="22"/>
          <w:szCs w:val="22"/>
          <w:lang w:val="sr-Latn-ME"/>
        </w:rPr>
        <w:t xml:space="preserve"> primjeni </w:t>
      </w:r>
      <w:r w:rsidRPr="00641C6D">
        <w:rPr>
          <w:sz w:val="22"/>
          <w:szCs w:val="22"/>
          <w:lang w:val="sr-Latn-ME"/>
        </w:rPr>
        <w:t xml:space="preserve"> za period do 7 dana. Odmah pošto se steknu klinički uslovi za opravdanu oralnu prim</w:t>
      </w:r>
      <w:r w:rsidR="007A3952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enu,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prim</w:t>
      </w:r>
      <w:r w:rsidR="007A3952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enjen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intravenski</w:t>
      </w:r>
      <w:proofErr w:type="spellEnd"/>
      <w:r w:rsidRPr="00641C6D">
        <w:rPr>
          <w:sz w:val="22"/>
          <w:szCs w:val="22"/>
          <w:lang w:val="sr-Latn-ME"/>
        </w:rPr>
        <w:t xml:space="preserve"> treba zam</w:t>
      </w:r>
      <w:r w:rsidR="007A3952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 xml:space="preserve">eniti </w:t>
      </w:r>
      <w:proofErr w:type="spellStart"/>
      <w:r w:rsidRPr="00641C6D">
        <w:rPr>
          <w:sz w:val="22"/>
          <w:szCs w:val="22"/>
          <w:lang w:val="sr-Latn-ME"/>
        </w:rPr>
        <w:t>pantoprazolom</w:t>
      </w:r>
      <w:proofErr w:type="spellEnd"/>
      <w:r w:rsidRPr="00641C6D">
        <w:rPr>
          <w:sz w:val="22"/>
          <w:szCs w:val="22"/>
          <w:lang w:val="sr-Latn-ME"/>
        </w:rPr>
        <w:t xml:space="preserve"> za oralnu upotrebu.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641C6D" w:rsidRDefault="00452E9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41C6D">
        <w:rPr>
          <w:bCs/>
          <w:sz w:val="22"/>
          <w:szCs w:val="22"/>
          <w:u w:val="single"/>
          <w:lang w:val="sr-Latn-ME"/>
        </w:rPr>
        <w:t>Doziranje</w:t>
      </w:r>
    </w:p>
    <w:p w:rsidR="007A3952" w:rsidRPr="00641C6D" w:rsidRDefault="007A395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641C6D">
        <w:rPr>
          <w:sz w:val="22"/>
          <w:szCs w:val="22"/>
          <w:u w:val="single"/>
          <w:lang w:val="sr-Latn-ME"/>
        </w:rPr>
        <w:t>Ulkus</w:t>
      </w:r>
      <w:proofErr w:type="spellEnd"/>
      <w:r w:rsidRPr="00641C6D">
        <w:rPr>
          <w:sz w:val="22"/>
          <w:szCs w:val="22"/>
          <w:u w:val="single"/>
          <w:lang w:val="sr-Latn-ME"/>
        </w:rPr>
        <w:t xml:space="preserve"> želuca i </w:t>
      </w:r>
      <w:proofErr w:type="spellStart"/>
      <w:r w:rsidRPr="00641C6D">
        <w:rPr>
          <w:sz w:val="22"/>
          <w:szCs w:val="22"/>
          <w:u w:val="single"/>
          <w:lang w:val="sr-Latn-ME"/>
        </w:rPr>
        <w:t>duodenuma</w:t>
      </w:r>
      <w:proofErr w:type="spellEnd"/>
      <w:r w:rsidRPr="00641C6D">
        <w:rPr>
          <w:sz w:val="22"/>
          <w:szCs w:val="22"/>
          <w:u w:val="single"/>
          <w:lang w:val="sr-Latn-ME"/>
        </w:rPr>
        <w:t xml:space="preserve">, </w:t>
      </w:r>
      <w:proofErr w:type="spellStart"/>
      <w:r w:rsidRPr="00641C6D">
        <w:rPr>
          <w:sz w:val="22"/>
          <w:szCs w:val="22"/>
          <w:u w:val="single"/>
          <w:lang w:val="sr-Latn-ME"/>
        </w:rPr>
        <w:t>refluksni</w:t>
      </w:r>
      <w:proofErr w:type="spellEnd"/>
      <w:r w:rsidRPr="00641C6D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641C6D">
        <w:rPr>
          <w:sz w:val="22"/>
          <w:szCs w:val="22"/>
          <w:u w:val="single"/>
          <w:lang w:val="sr-Latn-ME"/>
        </w:rPr>
        <w:t>ezofagitis</w:t>
      </w:r>
      <w:proofErr w:type="spellEnd"/>
      <w:r w:rsidRPr="00641C6D">
        <w:rPr>
          <w:sz w:val="22"/>
          <w:szCs w:val="22"/>
          <w:u w:val="single"/>
          <w:lang w:val="sr-Latn-ME"/>
        </w:rPr>
        <w:t xml:space="preserve">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Preporučena </w:t>
      </w:r>
      <w:proofErr w:type="spellStart"/>
      <w:r w:rsidRPr="00641C6D">
        <w:rPr>
          <w:sz w:val="22"/>
          <w:szCs w:val="22"/>
          <w:lang w:val="sr-Latn-ME"/>
        </w:rPr>
        <w:t>intravenska</w:t>
      </w:r>
      <w:proofErr w:type="spellEnd"/>
      <w:r w:rsidRPr="00641C6D">
        <w:rPr>
          <w:sz w:val="22"/>
          <w:szCs w:val="22"/>
          <w:lang w:val="sr-Latn-ME"/>
        </w:rPr>
        <w:t xml:space="preserve"> doza je jedna bočica (40 mg </w:t>
      </w:r>
      <w:proofErr w:type="spellStart"/>
      <w:r w:rsidRPr="00641C6D">
        <w:rPr>
          <w:sz w:val="22"/>
          <w:szCs w:val="22"/>
          <w:lang w:val="sr-Latn-ME"/>
        </w:rPr>
        <w:t>pantoprazola</w:t>
      </w:r>
      <w:proofErr w:type="spellEnd"/>
      <w:r w:rsidRPr="00641C6D">
        <w:rPr>
          <w:sz w:val="22"/>
          <w:szCs w:val="22"/>
          <w:lang w:val="sr-Latn-ME"/>
        </w:rPr>
        <w:t xml:space="preserve">)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dnevno. </w:t>
      </w:r>
    </w:p>
    <w:p w:rsidR="007A3952" w:rsidRPr="00641C6D" w:rsidRDefault="007A3952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641C6D">
        <w:rPr>
          <w:sz w:val="22"/>
          <w:szCs w:val="22"/>
          <w:u w:val="single"/>
          <w:lang w:val="sr-Latn-ME"/>
        </w:rPr>
        <w:t>Zollinger-Ellisonov</w:t>
      </w:r>
      <w:proofErr w:type="spellEnd"/>
      <w:r w:rsidRPr="00641C6D">
        <w:rPr>
          <w:sz w:val="22"/>
          <w:szCs w:val="22"/>
          <w:u w:val="single"/>
          <w:lang w:val="sr-Latn-ME"/>
        </w:rPr>
        <w:t xml:space="preserve"> sindrom i druga stanja patološke </w:t>
      </w:r>
      <w:proofErr w:type="spellStart"/>
      <w:r w:rsidRPr="00641C6D">
        <w:rPr>
          <w:sz w:val="22"/>
          <w:szCs w:val="22"/>
          <w:u w:val="single"/>
          <w:lang w:val="sr-Latn-ME"/>
        </w:rPr>
        <w:t>hipersekrecije</w:t>
      </w:r>
      <w:proofErr w:type="spellEnd"/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Za dugotrajno </w:t>
      </w:r>
      <w:r w:rsidR="007A3952" w:rsidRPr="00641C6D">
        <w:rPr>
          <w:sz w:val="22"/>
          <w:szCs w:val="22"/>
          <w:lang w:val="sr-Latn-ME"/>
        </w:rPr>
        <w:t>liječenje</w:t>
      </w:r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Zollinger-Ellison</w:t>
      </w:r>
      <w:proofErr w:type="spellEnd"/>
      <w:r w:rsidRPr="00641C6D">
        <w:rPr>
          <w:sz w:val="22"/>
          <w:szCs w:val="22"/>
          <w:lang w:val="sr-Latn-ME"/>
        </w:rPr>
        <w:t xml:space="preserve"> sindroma i drugih stanja patološke </w:t>
      </w:r>
      <w:proofErr w:type="spellStart"/>
      <w:r w:rsidRPr="00641C6D">
        <w:rPr>
          <w:sz w:val="22"/>
          <w:szCs w:val="22"/>
          <w:lang w:val="sr-Latn-ME"/>
        </w:rPr>
        <w:t>hi</w:t>
      </w:r>
      <w:r w:rsidR="007A3952" w:rsidRPr="00641C6D">
        <w:rPr>
          <w:sz w:val="22"/>
          <w:szCs w:val="22"/>
          <w:lang w:val="sr-Latn-ME"/>
        </w:rPr>
        <w:t>persekrecije</w:t>
      </w:r>
      <w:proofErr w:type="spellEnd"/>
      <w:r w:rsidR="007A3952" w:rsidRPr="00641C6D">
        <w:rPr>
          <w:sz w:val="22"/>
          <w:szCs w:val="22"/>
          <w:lang w:val="sr-Latn-ME"/>
        </w:rPr>
        <w:t xml:space="preserve"> pacijenti treba da </w:t>
      </w:r>
      <w:r w:rsidRPr="00641C6D">
        <w:rPr>
          <w:sz w:val="22"/>
          <w:szCs w:val="22"/>
          <w:lang w:val="sr-Latn-ME"/>
        </w:rPr>
        <w:t xml:space="preserve">započnu </w:t>
      </w:r>
      <w:r w:rsidR="007A3952" w:rsidRPr="00641C6D">
        <w:rPr>
          <w:sz w:val="22"/>
          <w:szCs w:val="22"/>
          <w:lang w:val="sr-Latn-ME"/>
        </w:rPr>
        <w:t>liječenje</w:t>
      </w:r>
      <w:r w:rsidRPr="00641C6D">
        <w:rPr>
          <w:sz w:val="22"/>
          <w:szCs w:val="22"/>
          <w:lang w:val="sr-Latn-ME"/>
        </w:rPr>
        <w:t xml:space="preserve"> sa 80 mg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dnevno. Doza potom prema potrebi može da se povećava ili smanji zavisno od dobijenih rezultata m</w:t>
      </w:r>
      <w:r w:rsidR="007A3952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erenja sekrecije želudačne kiseline. Doze veće od 80 mg dnevno, </w:t>
      </w:r>
      <w:r w:rsidR="00BB7083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>treba pod</w:t>
      </w:r>
      <w:r w:rsidR="00BB7083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>eliti i prim</w:t>
      </w:r>
      <w:r w:rsidR="00BB7083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enjivati dva puta dnevno. Moguće je privremeno povećanje doze na </w:t>
      </w:r>
      <w:proofErr w:type="spellStart"/>
      <w:r w:rsidRPr="00641C6D">
        <w:rPr>
          <w:sz w:val="22"/>
          <w:szCs w:val="22"/>
          <w:lang w:val="sr-Latn-ME"/>
        </w:rPr>
        <w:t>preko</w:t>
      </w:r>
      <w:proofErr w:type="spellEnd"/>
      <w:r w:rsidRPr="00641C6D">
        <w:rPr>
          <w:sz w:val="22"/>
          <w:szCs w:val="22"/>
          <w:lang w:val="sr-Latn-ME"/>
        </w:rPr>
        <w:t xml:space="preserve"> 160 mg </w:t>
      </w:r>
      <w:r w:rsidR="00BB7083"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pantoprazola</w:t>
      </w:r>
      <w:proofErr w:type="spellEnd"/>
      <w:r w:rsidRPr="00641C6D">
        <w:rPr>
          <w:sz w:val="22"/>
          <w:szCs w:val="22"/>
          <w:lang w:val="sr-Latn-ME"/>
        </w:rPr>
        <w:t xml:space="preserve">, ali ovo ne treba praktikovati duže nego što je potrebno za odgovarajuću kontrolu želudačne </w:t>
      </w:r>
      <w:r w:rsidR="00BB7083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kiseline.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U slučaju da je potrebna brza kontrola želudačne kiseline, kod većine pacijena</w:t>
      </w:r>
      <w:r w:rsidR="005A0D73" w:rsidRPr="00641C6D">
        <w:rPr>
          <w:sz w:val="22"/>
          <w:szCs w:val="22"/>
          <w:lang w:val="sr-Latn-ME"/>
        </w:rPr>
        <w:t xml:space="preserve">ta dovoljna je početna doza od  </w:t>
      </w:r>
      <w:r w:rsidRPr="00641C6D">
        <w:rPr>
          <w:sz w:val="22"/>
          <w:szCs w:val="22"/>
          <w:lang w:val="sr-Latn-ME"/>
        </w:rPr>
        <w:t xml:space="preserve">2 x 80 mg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za kontrolu smanjenja produkcije kiseline u željenom rasponu u toku jednog sata (&lt;10 </w:t>
      </w:r>
      <w:proofErr w:type="spellStart"/>
      <w:r w:rsidRPr="00641C6D">
        <w:rPr>
          <w:sz w:val="22"/>
          <w:szCs w:val="22"/>
          <w:lang w:val="sr-Latn-ME"/>
        </w:rPr>
        <w:t>mEq</w:t>
      </w:r>
      <w:proofErr w:type="spellEnd"/>
      <w:r w:rsidRPr="00641C6D">
        <w:rPr>
          <w:sz w:val="22"/>
          <w:szCs w:val="22"/>
          <w:lang w:val="sr-Latn-ME"/>
        </w:rPr>
        <w:t>/h).</w:t>
      </w:r>
    </w:p>
    <w:p w:rsidR="005A0D73" w:rsidRPr="00641C6D" w:rsidRDefault="005A0D7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5502D" w:rsidRDefault="00F5502D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lastRenderedPageBreak/>
        <w:t>Pacijenti sa oštećenjem funkcije jetre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Kod pacijenata sa teškim oštećenjem funkcije jetre ne treba prekoračiti dnevnu dozu od 20 mg </w:t>
      </w:r>
      <w:proofErr w:type="spellStart"/>
      <w:r w:rsidRPr="00641C6D">
        <w:rPr>
          <w:sz w:val="22"/>
          <w:szCs w:val="22"/>
          <w:lang w:val="sr-Latn-ME"/>
        </w:rPr>
        <w:t>pantop</w:t>
      </w:r>
      <w:r w:rsidR="005A0D73" w:rsidRPr="00641C6D">
        <w:rPr>
          <w:sz w:val="22"/>
          <w:szCs w:val="22"/>
          <w:lang w:val="sr-Latn-ME"/>
        </w:rPr>
        <w:t>razola</w:t>
      </w:r>
      <w:proofErr w:type="spellEnd"/>
      <w:r w:rsidR="005A0D73" w:rsidRPr="00641C6D">
        <w:rPr>
          <w:sz w:val="22"/>
          <w:szCs w:val="22"/>
          <w:lang w:val="sr-Latn-ME"/>
        </w:rPr>
        <w:t xml:space="preserve">  </w:t>
      </w:r>
      <w:r w:rsidRPr="00641C6D">
        <w:rPr>
          <w:sz w:val="22"/>
          <w:szCs w:val="22"/>
          <w:lang w:val="sr-Latn-ME"/>
        </w:rPr>
        <w:t xml:space="preserve">(polovina bočice sa 40 mg </w:t>
      </w:r>
      <w:proofErr w:type="spellStart"/>
      <w:r w:rsidRPr="00641C6D">
        <w:rPr>
          <w:sz w:val="22"/>
          <w:szCs w:val="22"/>
          <w:lang w:val="sr-Latn-ME"/>
        </w:rPr>
        <w:t>pantoprazola</w:t>
      </w:r>
      <w:proofErr w:type="spellEnd"/>
      <w:r w:rsidRPr="00641C6D">
        <w:rPr>
          <w:sz w:val="22"/>
          <w:szCs w:val="22"/>
          <w:lang w:val="sr-Latn-ME"/>
        </w:rPr>
        <w:t>)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4.4).</w:t>
      </w:r>
    </w:p>
    <w:p w:rsidR="005A0D73" w:rsidRPr="00641C6D" w:rsidRDefault="005A0D7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A0D73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>Pacijenti sa oštećenjem funkcije bubrega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Kod pacijenata sa oštećenjem funkcije bubrega, nije potrebno prilagođavanje doze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5.2). </w:t>
      </w:r>
    </w:p>
    <w:p w:rsidR="001D332F" w:rsidRPr="00641C6D" w:rsidRDefault="001D332F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>Stariji pacijenti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Kod starijih pacijenata nema potrebe za prilagođavanjem doze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5.2). </w:t>
      </w:r>
    </w:p>
    <w:p w:rsidR="001D332F" w:rsidRPr="00641C6D" w:rsidRDefault="001D332F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>Pedijatrijska populacija</w:t>
      </w:r>
    </w:p>
    <w:p w:rsidR="00A375D1" w:rsidRPr="00641C6D" w:rsidRDefault="001D332F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Bezbjednost</w:t>
      </w:r>
      <w:r w:rsidR="00A375D1" w:rsidRPr="00641C6D">
        <w:rPr>
          <w:sz w:val="22"/>
          <w:szCs w:val="22"/>
          <w:lang w:val="sr-Latn-ME"/>
        </w:rPr>
        <w:t xml:space="preserve"> i efikasnost </w:t>
      </w:r>
      <w:r w:rsidRPr="00641C6D">
        <w:rPr>
          <w:sz w:val="22"/>
          <w:szCs w:val="22"/>
          <w:lang w:val="sr-Latn-ME"/>
        </w:rPr>
        <w:t>primjene</w:t>
      </w:r>
      <w:r w:rsidR="00A375D1" w:rsidRPr="00641C6D">
        <w:rPr>
          <w:sz w:val="22"/>
          <w:szCs w:val="22"/>
          <w:lang w:val="sr-Latn-ME"/>
        </w:rPr>
        <w:t xml:space="preserve"> </w:t>
      </w:r>
      <w:r w:rsidR="00D810B5" w:rsidRPr="00641C6D">
        <w:rPr>
          <w:sz w:val="22"/>
          <w:szCs w:val="22"/>
          <w:lang w:val="sr-Latn-ME"/>
        </w:rPr>
        <w:t>lijek</w:t>
      </w:r>
      <w:r w:rsidR="00A375D1" w:rsidRPr="00641C6D">
        <w:rPr>
          <w:sz w:val="22"/>
          <w:szCs w:val="22"/>
          <w:lang w:val="sr-Latn-ME"/>
        </w:rPr>
        <w:t xml:space="preserve">a </w:t>
      </w:r>
      <w:proofErr w:type="spellStart"/>
      <w:r w:rsidR="00A375D1" w:rsidRPr="00641C6D">
        <w:rPr>
          <w:sz w:val="22"/>
          <w:szCs w:val="22"/>
          <w:lang w:val="sr-Latn-ME"/>
        </w:rPr>
        <w:t>PORTORIN</w:t>
      </w:r>
      <w:proofErr w:type="spellEnd"/>
      <w:r w:rsidR="00A375D1" w:rsidRPr="00641C6D">
        <w:rPr>
          <w:sz w:val="22"/>
          <w:szCs w:val="22"/>
          <w:lang w:val="sr-Latn-ME"/>
        </w:rPr>
        <w:t>, kod d</w:t>
      </w:r>
      <w:r w:rsidR="00937A06" w:rsidRPr="00641C6D">
        <w:rPr>
          <w:sz w:val="22"/>
          <w:szCs w:val="22"/>
          <w:lang w:val="sr-Latn-ME"/>
        </w:rPr>
        <w:t>j</w:t>
      </w:r>
      <w:r w:rsidR="00A375D1" w:rsidRPr="00641C6D">
        <w:rPr>
          <w:sz w:val="22"/>
          <w:szCs w:val="22"/>
          <w:lang w:val="sr-Latn-ME"/>
        </w:rPr>
        <w:t xml:space="preserve">ece </w:t>
      </w:r>
      <w:r w:rsidR="00937A06" w:rsidRPr="00641C6D">
        <w:rPr>
          <w:sz w:val="22"/>
          <w:szCs w:val="22"/>
          <w:lang w:val="sr-Latn-ME"/>
        </w:rPr>
        <w:t>ml</w:t>
      </w:r>
      <w:r w:rsidR="00A375D1" w:rsidRPr="00641C6D">
        <w:rPr>
          <w:sz w:val="22"/>
          <w:szCs w:val="22"/>
          <w:lang w:val="sr-Latn-ME"/>
        </w:rPr>
        <w:t xml:space="preserve">ađe od 18 </w:t>
      </w:r>
      <w:r w:rsidR="00937A06" w:rsidRPr="00641C6D">
        <w:rPr>
          <w:sz w:val="22"/>
          <w:szCs w:val="22"/>
          <w:lang w:val="sr-Latn-ME"/>
        </w:rPr>
        <w:t>godina</w:t>
      </w:r>
      <w:r w:rsidR="00A375D1" w:rsidRPr="00641C6D">
        <w:rPr>
          <w:sz w:val="22"/>
          <w:szCs w:val="22"/>
          <w:lang w:val="sr-Latn-ME"/>
        </w:rPr>
        <w:t xml:space="preserve">, nije utvrđena. Zbog toga, </w:t>
      </w:r>
      <w:r w:rsidR="00D810B5" w:rsidRPr="00641C6D">
        <w:rPr>
          <w:sz w:val="22"/>
          <w:szCs w:val="22"/>
          <w:lang w:val="sr-Latn-ME"/>
        </w:rPr>
        <w:t>primjena</w:t>
      </w:r>
      <w:r w:rsidR="00A375D1" w:rsidRPr="00641C6D">
        <w:rPr>
          <w:sz w:val="22"/>
          <w:szCs w:val="22"/>
          <w:lang w:val="sr-Latn-ME"/>
        </w:rPr>
        <w:t xml:space="preserve"> </w:t>
      </w:r>
      <w:r w:rsidR="00D810B5" w:rsidRPr="00641C6D">
        <w:rPr>
          <w:sz w:val="22"/>
          <w:szCs w:val="22"/>
          <w:lang w:val="sr-Latn-ME"/>
        </w:rPr>
        <w:t>lijek</w:t>
      </w:r>
      <w:r w:rsidR="00A375D1" w:rsidRPr="00641C6D">
        <w:rPr>
          <w:sz w:val="22"/>
          <w:szCs w:val="22"/>
          <w:lang w:val="sr-Latn-ME"/>
        </w:rPr>
        <w:t xml:space="preserve">a </w:t>
      </w:r>
      <w:proofErr w:type="spellStart"/>
      <w:r w:rsidR="00A375D1" w:rsidRPr="00641C6D">
        <w:rPr>
          <w:sz w:val="22"/>
          <w:szCs w:val="22"/>
          <w:lang w:val="sr-Latn-ME"/>
        </w:rPr>
        <w:t>PORTORIN</w:t>
      </w:r>
      <w:proofErr w:type="spellEnd"/>
      <w:r w:rsidR="00A375D1" w:rsidRPr="00641C6D">
        <w:rPr>
          <w:sz w:val="22"/>
          <w:szCs w:val="22"/>
          <w:lang w:val="sr-Latn-ME"/>
        </w:rPr>
        <w:t>, 40 mg, prašak za rastvor za injekciju se ne preporučuje za prim</w:t>
      </w:r>
      <w:r w:rsidR="00937A06" w:rsidRPr="00641C6D">
        <w:rPr>
          <w:sz w:val="22"/>
          <w:szCs w:val="22"/>
          <w:lang w:val="sr-Latn-ME"/>
        </w:rPr>
        <w:t>j</w:t>
      </w:r>
      <w:r w:rsidR="00A375D1" w:rsidRPr="00641C6D">
        <w:rPr>
          <w:sz w:val="22"/>
          <w:szCs w:val="22"/>
          <w:lang w:val="sr-Latn-ME"/>
        </w:rPr>
        <w:t xml:space="preserve">enu kod pacijenata </w:t>
      </w:r>
      <w:r w:rsidR="00937A06" w:rsidRPr="00641C6D">
        <w:rPr>
          <w:sz w:val="22"/>
          <w:szCs w:val="22"/>
          <w:lang w:val="sr-Latn-ME"/>
        </w:rPr>
        <w:t>ml</w:t>
      </w:r>
      <w:r w:rsidR="00A375D1" w:rsidRPr="00641C6D">
        <w:rPr>
          <w:sz w:val="22"/>
          <w:szCs w:val="22"/>
          <w:lang w:val="sr-Latn-ME"/>
        </w:rPr>
        <w:t>ađih od 18 godina.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Trenutno dostupni podaci su opisani u </w:t>
      </w:r>
      <w:r w:rsidR="00937A06" w:rsidRPr="00641C6D">
        <w:rPr>
          <w:sz w:val="22"/>
          <w:szCs w:val="22"/>
          <w:lang w:val="sr-Latn-ME"/>
        </w:rPr>
        <w:t xml:space="preserve">dijelu </w:t>
      </w:r>
      <w:r w:rsidRPr="00641C6D">
        <w:rPr>
          <w:sz w:val="22"/>
          <w:szCs w:val="22"/>
          <w:lang w:val="sr-Latn-ME"/>
        </w:rPr>
        <w:t xml:space="preserve">5.2, ali preporuke o doziranju se ne mogu zaključiti iz </w:t>
      </w:r>
      <w:r w:rsidR="00052462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navedenih informacija. </w:t>
      </w:r>
    </w:p>
    <w:p w:rsidR="00937A06" w:rsidRPr="00641C6D" w:rsidRDefault="00937A06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452E9D" w:rsidRPr="00641C6D" w:rsidRDefault="00452E9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41C6D">
        <w:rPr>
          <w:bCs/>
          <w:sz w:val="22"/>
          <w:szCs w:val="22"/>
          <w:u w:val="single"/>
          <w:lang w:val="sr-Latn-ME"/>
        </w:rPr>
        <w:t>Način primjene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Rastvor spreman za upotrebu priprema se u 10 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 xml:space="preserve"> </w:t>
      </w:r>
      <w:r w:rsidR="00AA585A" w:rsidRPr="00641C6D">
        <w:rPr>
          <w:sz w:val="22"/>
          <w:szCs w:val="22"/>
          <w:lang w:val="sr-Latn-ME"/>
        </w:rPr>
        <w:t xml:space="preserve">rastvora </w:t>
      </w:r>
      <w:r w:rsidR="00F40D92" w:rsidRPr="00641C6D">
        <w:rPr>
          <w:sz w:val="22"/>
          <w:szCs w:val="22"/>
          <w:lang w:val="sr-Latn-ME"/>
        </w:rPr>
        <w:t>natrijum hlorid</w:t>
      </w:r>
      <w:r w:rsidR="00AA585A" w:rsidRPr="00641C6D">
        <w:rPr>
          <w:sz w:val="22"/>
          <w:szCs w:val="22"/>
          <w:lang w:val="sr-Latn-ME"/>
        </w:rPr>
        <w:t>a</w:t>
      </w:r>
      <w:r w:rsidR="00F40D92" w:rsidRPr="00641C6D">
        <w:rPr>
          <w:sz w:val="22"/>
          <w:szCs w:val="22"/>
          <w:lang w:val="sr-Latn-ME"/>
        </w:rPr>
        <w:t xml:space="preserve"> 9 mg/ml (0,9%)</w:t>
      </w:r>
      <w:r w:rsidR="00B76814" w:rsidRPr="00641C6D">
        <w:rPr>
          <w:sz w:val="22"/>
          <w:szCs w:val="22"/>
          <w:lang w:val="sr-Latn-ME"/>
        </w:rPr>
        <w:t>, rastvor za injekciju,</w:t>
      </w:r>
      <w:r w:rsidR="00F40D92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>u bočic</w:t>
      </w:r>
      <w:r w:rsidR="00B76814" w:rsidRPr="00641C6D">
        <w:rPr>
          <w:sz w:val="22"/>
          <w:szCs w:val="22"/>
          <w:lang w:val="sr-Latn-ME"/>
        </w:rPr>
        <w:t>i</w:t>
      </w:r>
      <w:r w:rsidRPr="00641C6D">
        <w:rPr>
          <w:sz w:val="22"/>
          <w:szCs w:val="22"/>
          <w:lang w:val="sr-Latn-ME"/>
        </w:rPr>
        <w:t xml:space="preserve"> koja sadrži prašak. </w:t>
      </w:r>
      <w:r w:rsidR="00F40D92" w:rsidRPr="00641C6D">
        <w:rPr>
          <w:sz w:val="22"/>
          <w:szCs w:val="22"/>
          <w:lang w:val="sr-Latn-ME"/>
        </w:rPr>
        <w:t>Za instrukcije za pripremu</w:t>
      </w:r>
      <w:r w:rsidRPr="00641C6D">
        <w:rPr>
          <w:sz w:val="22"/>
          <w:szCs w:val="22"/>
          <w:lang w:val="sr-Latn-ME"/>
        </w:rPr>
        <w:t xml:space="preserve">, 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6.6.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Pripre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>jeni rastvor može da se prim</w:t>
      </w:r>
      <w:r w:rsidR="00F40D92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eni direktno ili posle m</w:t>
      </w:r>
      <w:r w:rsidR="00F40D92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 xml:space="preserve">ešanja sa 100 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 xml:space="preserve"> fiziološkog rastvora 0,9% (natrijum-hlorid 9 mg/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>, rastvor za i</w:t>
      </w:r>
      <w:r w:rsidR="00AA585A" w:rsidRPr="00641C6D">
        <w:rPr>
          <w:sz w:val="22"/>
          <w:szCs w:val="22"/>
          <w:lang w:val="sr-Latn-ME"/>
        </w:rPr>
        <w:t>njekciju</w:t>
      </w:r>
      <w:r w:rsidRPr="00641C6D">
        <w:rPr>
          <w:sz w:val="22"/>
          <w:szCs w:val="22"/>
          <w:lang w:val="sr-Latn-ME"/>
        </w:rPr>
        <w:t>) ili 5% rastvorom glukoze (55 mg/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>), rastvor za in</w:t>
      </w:r>
      <w:r w:rsidR="00AA585A" w:rsidRPr="00641C6D">
        <w:rPr>
          <w:sz w:val="22"/>
          <w:szCs w:val="22"/>
          <w:lang w:val="sr-Latn-ME"/>
        </w:rPr>
        <w:t>jekciju</w:t>
      </w:r>
      <w:r w:rsidRPr="00641C6D">
        <w:rPr>
          <w:sz w:val="22"/>
          <w:szCs w:val="22"/>
          <w:lang w:val="sr-Latn-ME"/>
        </w:rPr>
        <w:t>.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Pripre</w:t>
      </w:r>
      <w:r w:rsidR="00937A06" w:rsidRPr="00641C6D">
        <w:rPr>
          <w:sz w:val="22"/>
          <w:szCs w:val="22"/>
          <w:lang w:val="sr-Latn-ME"/>
        </w:rPr>
        <w:t>ml</w:t>
      </w:r>
      <w:r w:rsidRPr="00641C6D">
        <w:rPr>
          <w:sz w:val="22"/>
          <w:szCs w:val="22"/>
          <w:lang w:val="sr-Latn-ME"/>
        </w:rPr>
        <w:t xml:space="preserve">jeni rastvor </w:t>
      </w:r>
      <w:r w:rsidR="00AA585A" w:rsidRPr="00641C6D">
        <w:rPr>
          <w:sz w:val="22"/>
          <w:szCs w:val="22"/>
          <w:lang w:val="sr-Latn-ME"/>
        </w:rPr>
        <w:t xml:space="preserve">se </w:t>
      </w:r>
      <w:r w:rsidRPr="00641C6D">
        <w:rPr>
          <w:sz w:val="22"/>
          <w:szCs w:val="22"/>
          <w:lang w:val="sr-Latn-ME"/>
        </w:rPr>
        <w:t>mora upotr</w:t>
      </w:r>
      <w:r w:rsidR="00AA585A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 xml:space="preserve">ebiti tokom 12 sati.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Ovaj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 treba prim</w:t>
      </w:r>
      <w:r w:rsidR="00AA585A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 xml:space="preserve">eniti </w:t>
      </w:r>
      <w:proofErr w:type="spellStart"/>
      <w:r w:rsidRPr="00641C6D">
        <w:rPr>
          <w:sz w:val="22"/>
          <w:szCs w:val="22"/>
          <w:lang w:val="sr-Latn-ME"/>
        </w:rPr>
        <w:t>intravenski</w:t>
      </w:r>
      <w:proofErr w:type="spellEnd"/>
      <w:r w:rsidRPr="00641C6D">
        <w:rPr>
          <w:sz w:val="22"/>
          <w:szCs w:val="22"/>
          <w:lang w:val="sr-Latn-ME"/>
        </w:rPr>
        <w:t xml:space="preserve"> tokom 2 - 15 minuta.</w:t>
      </w:r>
    </w:p>
    <w:p w:rsidR="00452E9D" w:rsidRPr="00641C6D" w:rsidRDefault="00452E9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4.3.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proofErr w:type="spellStart"/>
      <w:r w:rsidRPr="00641C6D">
        <w:rPr>
          <w:b/>
          <w:bCs/>
          <w:sz w:val="22"/>
          <w:szCs w:val="22"/>
          <w:lang w:val="sr-Latn-ME"/>
        </w:rPr>
        <w:t>Kontraindikacije</w:t>
      </w:r>
      <w:proofErr w:type="spellEnd"/>
    </w:p>
    <w:p w:rsidR="00920B7D" w:rsidRPr="00641C6D" w:rsidRDefault="00920B7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Preos</w:t>
      </w:r>
      <w:r w:rsidR="00920B7D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etljivost na aktivnu supstancu, supstituisane </w:t>
      </w:r>
      <w:proofErr w:type="spellStart"/>
      <w:r w:rsidRPr="00641C6D">
        <w:rPr>
          <w:bCs/>
          <w:sz w:val="22"/>
          <w:szCs w:val="22"/>
          <w:lang w:val="sr-Latn-ME"/>
        </w:rPr>
        <w:t>benzimidazole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na bilo koju od pomoćnih supstanci </w:t>
      </w:r>
      <w:r w:rsidR="00920B7D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navedenih u </w:t>
      </w:r>
      <w:r w:rsidR="00920B7D" w:rsidRPr="00641C6D">
        <w:rPr>
          <w:bCs/>
          <w:sz w:val="22"/>
          <w:szCs w:val="22"/>
          <w:lang w:val="sr-Latn-ME"/>
        </w:rPr>
        <w:t>dijelu</w:t>
      </w:r>
      <w:r w:rsidRPr="00641C6D">
        <w:rPr>
          <w:bCs/>
          <w:sz w:val="22"/>
          <w:szCs w:val="22"/>
          <w:lang w:val="sr-Latn-ME"/>
        </w:rPr>
        <w:t xml:space="preserve"> 6.1.</w:t>
      </w:r>
    </w:p>
    <w:p w:rsidR="00920B7D" w:rsidRPr="00641C6D" w:rsidRDefault="00920B7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4.4.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641C6D">
        <w:rPr>
          <w:i/>
          <w:sz w:val="22"/>
          <w:szCs w:val="22"/>
          <w:lang w:val="sr-Latn-ME"/>
        </w:rPr>
        <w:t>Malignitet</w:t>
      </w:r>
      <w:proofErr w:type="spellEnd"/>
      <w:r w:rsidRPr="00641C6D">
        <w:rPr>
          <w:i/>
          <w:sz w:val="22"/>
          <w:szCs w:val="22"/>
          <w:lang w:val="sr-Latn-ME"/>
        </w:rPr>
        <w:t xml:space="preserve"> želuca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641C6D">
        <w:rPr>
          <w:sz w:val="22"/>
          <w:szCs w:val="22"/>
          <w:lang w:val="sr-Latn-ME"/>
        </w:rPr>
        <w:t>Simptomatski</w:t>
      </w:r>
      <w:proofErr w:type="spellEnd"/>
      <w:r w:rsidRPr="00641C6D">
        <w:rPr>
          <w:sz w:val="22"/>
          <w:szCs w:val="22"/>
          <w:lang w:val="sr-Latn-ME"/>
        </w:rPr>
        <w:t xml:space="preserve"> odgovor na prim</w:t>
      </w:r>
      <w:r w:rsidR="00704F68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enu </w:t>
      </w:r>
      <w:proofErr w:type="spellStart"/>
      <w:r w:rsidRPr="00641C6D">
        <w:rPr>
          <w:sz w:val="22"/>
          <w:szCs w:val="22"/>
          <w:lang w:val="sr-Latn-ME"/>
        </w:rPr>
        <w:t>pantoprazola</w:t>
      </w:r>
      <w:proofErr w:type="spellEnd"/>
      <w:r w:rsidRPr="00641C6D">
        <w:rPr>
          <w:sz w:val="22"/>
          <w:szCs w:val="22"/>
          <w:lang w:val="sr-Latn-ME"/>
        </w:rPr>
        <w:t xml:space="preserve"> može maskirati simptome pojave </w:t>
      </w:r>
      <w:proofErr w:type="spellStart"/>
      <w:r w:rsidRPr="00641C6D">
        <w:rPr>
          <w:sz w:val="22"/>
          <w:szCs w:val="22"/>
          <w:lang w:val="sr-Latn-ME"/>
        </w:rPr>
        <w:t>maligniteta</w:t>
      </w:r>
      <w:proofErr w:type="spellEnd"/>
      <w:r w:rsidRPr="00641C6D">
        <w:rPr>
          <w:sz w:val="22"/>
          <w:szCs w:val="22"/>
          <w:lang w:val="sr-Latn-ME"/>
        </w:rPr>
        <w:t xml:space="preserve"> želuca i može odložiti postavljanje dijagnoze. Kod pojave bilo kog upozoravajućeg simptoma (npr. značajan, nenam</w:t>
      </w:r>
      <w:r w:rsidR="00704F68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eran gubitak t</w:t>
      </w:r>
      <w:r w:rsidR="00704F68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elesne mase, ponavljano povraćanje, </w:t>
      </w:r>
      <w:proofErr w:type="spellStart"/>
      <w:r w:rsidRPr="00641C6D">
        <w:rPr>
          <w:sz w:val="22"/>
          <w:szCs w:val="22"/>
          <w:lang w:val="sr-Latn-ME"/>
        </w:rPr>
        <w:t>disfagija</w:t>
      </w:r>
      <w:proofErr w:type="spellEnd"/>
      <w:r w:rsidRPr="00641C6D">
        <w:rPr>
          <w:sz w:val="22"/>
          <w:szCs w:val="22"/>
          <w:lang w:val="sr-Latn-ME"/>
        </w:rPr>
        <w:t xml:space="preserve">, </w:t>
      </w:r>
      <w:proofErr w:type="spellStart"/>
      <w:r w:rsidRPr="00641C6D">
        <w:rPr>
          <w:sz w:val="22"/>
          <w:szCs w:val="22"/>
          <w:lang w:val="sr-Latn-ME"/>
        </w:rPr>
        <w:t>hematemeza</w:t>
      </w:r>
      <w:proofErr w:type="spellEnd"/>
      <w:r w:rsidRPr="00641C6D">
        <w:rPr>
          <w:sz w:val="22"/>
          <w:szCs w:val="22"/>
          <w:lang w:val="sr-Latn-ME"/>
        </w:rPr>
        <w:t xml:space="preserve">, anemija ili </w:t>
      </w:r>
      <w:proofErr w:type="spellStart"/>
      <w:r w:rsidRPr="00641C6D">
        <w:rPr>
          <w:sz w:val="22"/>
          <w:szCs w:val="22"/>
          <w:lang w:val="sr-Latn-ME"/>
        </w:rPr>
        <w:t>melena</w:t>
      </w:r>
      <w:proofErr w:type="spellEnd"/>
      <w:r w:rsidRPr="00641C6D">
        <w:rPr>
          <w:sz w:val="22"/>
          <w:szCs w:val="22"/>
          <w:lang w:val="sr-Latn-ME"/>
        </w:rPr>
        <w:t xml:space="preserve">) i kada je </w:t>
      </w:r>
      <w:proofErr w:type="spellStart"/>
      <w:r w:rsidRPr="00641C6D">
        <w:rPr>
          <w:sz w:val="22"/>
          <w:szCs w:val="22"/>
          <w:lang w:val="sr-Latn-ME"/>
        </w:rPr>
        <w:t>gastrični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ulkus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suspektan</w:t>
      </w:r>
      <w:proofErr w:type="spellEnd"/>
      <w:r w:rsidRPr="00641C6D">
        <w:rPr>
          <w:sz w:val="22"/>
          <w:szCs w:val="22"/>
          <w:lang w:val="sr-Latn-ME"/>
        </w:rPr>
        <w:t xml:space="preserve"> ili prisutan, potrebno je isključiti </w:t>
      </w:r>
      <w:proofErr w:type="spellStart"/>
      <w:r w:rsidRPr="00641C6D">
        <w:rPr>
          <w:sz w:val="22"/>
          <w:szCs w:val="22"/>
          <w:lang w:val="sr-Latn-ME"/>
        </w:rPr>
        <w:t>malignitet</w:t>
      </w:r>
      <w:proofErr w:type="spellEnd"/>
      <w:r w:rsidRPr="00641C6D">
        <w:rPr>
          <w:sz w:val="22"/>
          <w:szCs w:val="22"/>
          <w:lang w:val="sr-Latn-ME"/>
        </w:rPr>
        <w:t>.</w:t>
      </w:r>
    </w:p>
    <w:p w:rsidR="00704F68" w:rsidRPr="00641C6D" w:rsidRDefault="00704F68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Ako se i pored odgovarajuće terapije simptomi ne povlače, potrebno je izvršiti dodatna ispitivanja. </w:t>
      </w:r>
    </w:p>
    <w:p w:rsidR="00704F68" w:rsidRPr="00641C6D" w:rsidRDefault="00704F68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641C6D">
        <w:rPr>
          <w:i/>
          <w:sz w:val="22"/>
          <w:szCs w:val="22"/>
          <w:lang w:val="sr-Latn-ME"/>
        </w:rPr>
        <w:t>Oštećenje funkcije jetre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Kod pacijenata sa teškim oštećenjem funkcije jetre, potrebno je redovno pratiti </w:t>
      </w:r>
      <w:r w:rsidR="007744DD" w:rsidRPr="00641C6D">
        <w:rPr>
          <w:sz w:val="22"/>
          <w:szCs w:val="22"/>
          <w:lang w:val="sr-Latn-ME"/>
        </w:rPr>
        <w:t xml:space="preserve">vrijednosti </w:t>
      </w:r>
      <w:r w:rsidRPr="00641C6D">
        <w:rPr>
          <w:sz w:val="22"/>
          <w:szCs w:val="22"/>
          <w:lang w:val="sr-Latn-ME"/>
        </w:rPr>
        <w:t xml:space="preserve"> enzima jetre u toku terapije </w:t>
      </w:r>
      <w:proofErr w:type="spellStart"/>
      <w:r w:rsidRPr="00641C6D">
        <w:rPr>
          <w:sz w:val="22"/>
          <w:szCs w:val="22"/>
          <w:lang w:val="sr-Latn-ME"/>
        </w:rPr>
        <w:t>pantoprazolom</w:t>
      </w:r>
      <w:proofErr w:type="spellEnd"/>
      <w:r w:rsidRPr="00641C6D">
        <w:rPr>
          <w:sz w:val="22"/>
          <w:szCs w:val="22"/>
          <w:lang w:val="sr-Latn-ME"/>
        </w:rPr>
        <w:t xml:space="preserve">. U slučaju povećanja </w:t>
      </w:r>
      <w:r w:rsidR="007744DD" w:rsidRPr="00641C6D">
        <w:rPr>
          <w:sz w:val="22"/>
          <w:szCs w:val="22"/>
          <w:lang w:val="sr-Latn-ME"/>
        </w:rPr>
        <w:t xml:space="preserve">vrijednosti </w:t>
      </w:r>
      <w:r w:rsidRPr="00641C6D">
        <w:rPr>
          <w:sz w:val="22"/>
          <w:szCs w:val="22"/>
          <w:lang w:val="sr-Latn-ME"/>
        </w:rPr>
        <w:t xml:space="preserve"> enzima jetre, ovu terapiju treba prekinuti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4.2). </w:t>
      </w:r>
    </w:p>
    <w:p w:rsidR="007744DD" w:rsidRPr="00641C6D" w:rsidRDefault="007744DD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641C6D">
        <w:rPr>
          <w:i/>
          <w:sz w:val="22"/>
          <w:szCs w:val="22"/>
          <w:lang w:val="sr-Latn-ME"/>
        </w:rPr>
        <w:t xml:space="preserve">Istovremena </w:t>
      </w:r>
      <w:r w:rsidR="00D810B5" w:rsidRPr="00641C6D">
        <w:rPr>
          <w:i/>
          <w:sz w:val="22"/>
          <w:szCs w:val="22"/>
          <w:lang w:val="sr-Latn-ME"/>
        </w:rPr>
        <w:t>primjena</w:t>
      </w:r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inhibitora</w:t>
      </w:r>
      <w:proofErr w:type="spellEnd"/>
      <w:r w:rsidRPr="00641C6D">
        <w:rPr>
          <w:i/>
          <w:sz w:val="22"/>
          <w:szCs w:val="22"/>
          <w:lang w:val="sr-Latn-ME"/>
        </w:rPr>
        <w:t xml:space="preserve"> HIV </w:t>
      </w:r>
      <w:proofErr w:type="spellStart"/>
      <w:r w:rsidRPr="00641C6D">
        <w:rPr>
          <w:i/>
          <w:sz w:val="22"/>
          <w:szCs w:val="22"/>
          <w:lang w:val="sr-Latn-ME"/>
        </w:rPr>
        <w:t>proteaze</w:t>
      </w:r>
      <w:proofErr w:type="spellEnd"/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Ne preporučuje se istovremena </w:t>
      </w:r>
      <w:r w:rsidR="00D810B5" w:rsidRPr="00641C6D">
        <w:rPr>
          <w:sz w:val="22"/>
          <w:szCs w:val="22"/>
          <w:lang w:val="sr-Latn-ME"/>
        </w:rPr>
        <w:t>primjena</w:t>
      </w:r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pantoprazola</w:t>
      </w:r>
      <w:proofErr w:type="spellEnd"/>
      <w:r w:rsidRPr="00641C6D">
        <w:rPr>
          <w:sz w:val="22"/>
          <w:szCs w:val="22"/>
          <w:lang w:val="sr-Latn-ME"/>
        </w:rPr>
        <w:t xml:space="preserve"> i </w:t>
      </w:r>
      <w:proofErr w:type="spellStart"/>
      <w:r w:rsidRPr="00641C6D">
        <w:rPr>
          <w:sz w:val="22"/>
          <w:szCs w:val="22"/>
          <w:lang w:val="sr-Latn-ME"/>
        </w:rPr>
        <w:t>inhibitora</w:t>
      </w:r>
      <w:proofErr w:type="spellEnd"/>
      <w:r w:rsidRPr="00641C6D">
        <w:rPr>
          <w:sz w:val="22"/>
          <w:szCs w:val="22"/>
          <w:lang w:val="sr-Latn-ME"/>
        </w:rPr>
        <w:t xml:space="preserve"> HIV </w:t>
      </w:r>
      <w:proofErr w:type="spellStart"/>
      <w:r w:rsidRPr="00641C6D">
        <w:rPr>
          <w:sz w:val="22"/>
          <w:szCs w:val="22"/>
          <w:lang w:val="sr-Latn-ME"/>
        </w:rPr>
        <w:t>proteaze</w:t>
      </w:r>
      <w:proofErr w:type="spellEnd"/>
      <w:r w:rsidRPr="00641C6D">
        <w:rPr>
          <w:sz w:val="22"/>
          <w:szCs w:val="22"/>
          <w:lang w:val="sr-Latn-ME"/>
        </w:rPr>
        <w:t xml:space="preserve"> čija je resorpcija zavisna od </w:t>
      </w:r>
      <w:proofErr w:type="spellStart"/>
      <w:r w:rsidRPr="00641C6D">
        <w:rPr>
          <w:sz w:val="22"/>
          <w:szCs w:val="22"/>
          <w:lang w:val="sr-Latn-ME"/>
        </w:rPr>
        <w:t>pH</w:t>
      </w:r>
      <w:proofErr w:type="spellEnd"/>
      <w:r w:rsidRPr="00641C6D">
        <w:rPr>
          <w:sz w:val="22"/>
          <w:szCs w:val="22"/>
          <w:lang w:val="sr-Latn-ME"/>
        </w:rPr>
        <w:t xml:space="preserve"> želudačnog sadržaja, kao što je </w:t>
      </w:r>
      <w:proofErr w:type="spellStart"/>
      <w:r w:rsidRPr="00641C6D">
        <w:rPr>
          <w:sz w:val="22"/>
          <w:szCs w:val="22"/>
          <w:lang w:val="sr-Latn-ME"/>
        </w:rPr>
        <w:t>atazanavir</w:t>
      </w:r>
      <w:proofErr w:type="spellEnd"/>
      <w:r w:rsidRPr="00641C6D">
        <w:rPr>
          <w:sz w:val="22"/>
          <w:szCs w:val="22"/>
          <w:lang w:val="sr-Latn-ME"/>
        </w:rPr>
        <w:t xml:space="preserve">, a </w:t>
      </w:r>
      <w:proofErr w:type="spellStart"/>
      <w:r w:rsidRPr="00641C6D">
        <w:rPr>
          <w:sz w:val="22"/>
          <w:szCs w:val="22"/>
          <w:lang w:val="sr-Latn-ME"/>
        </w:rPr>
        <w:t>usl</w:t>
      </w:r>
      <w:r w:rsidR="00FC2A23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ed</w:t>
      </w:r>
      <w:proofErr w:type="spellEnd"/>
      <w:r w:rsidRPr="00641C6D">
        <w:rPr>
          <w:sz w:val="22"/>
          <w:szCs w:val="22"/>
          <w:lang w:val="sr-Latn-ME"/>
        </w:rPr>
        <w:t xml:space="preserve"> značajnog smanjenja </w:t>
      </w:r>
      <w:proofErr w:type="spellStart"/>
      <w:r w:rsidRPr="00641C6D">
        <w:rPr>
          <w:sz w:val="22"/>
          <w:szCs w:val="22"/>
          <w:lang w:val="sr-Latn-ME"/>
        </w:rPr>
        <w:t>bioraspoloživosti</w:t>
      </w:r>
      <w:proofErr w:type="spellEnd"/>
      <w:r w:rsidRPr="00641C6D">
        <w:rPr>
          <w:sz w:val="22"/>
          <w:szCs w:val="22"/>
          <w:lang w:val="sr-Latn-ME"/>
        </w:rPr>
        <w:t xml:space="preserve">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="007744DD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4.5). </w:t>
      </w:r>
    </w:p>
    <w:p w:rsidR="007744DD" w:rsidRPr="00641C6D" w:rsidRDefault="007744DD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641C6D">
        <w:rPr>
          <w:i/>
          <w:sz w:val="22"/>
          <w:szCs w:val="22"/>
          <w:lang w:val="sr-Latn-ME"/>
        </w:rPr>
        <w:t>Gatrointestinalne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bakterijske</w:t>
      </w:r>
      <w:proofErr w:type="spellEnd"/>
      <w:r w:rsidRPr="00641C6D">
        <w:rPr>
          <w:i/>
          <w:sz w:val="22"/>
          <w:szCs w:val="22"/>
          <w:lang w:val="sr-Latn-ME"/>
        </w:rPr>
        <w:t xml:space="preserve"> infekcije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Terapija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om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može da dovede do blagog povećanja rizika od nastanka gastrointestinalnih </w:t>
      </w:r>
      <w:r w:rsidR="00D07AE7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infekcija prouzrokovanih bakterijama kao što su </w:t>
      </w:r>
      <w:proofErr w:type="spellStart"/>
      <w:r w:rsidRPr="00641C6D">
        <w:rPr>
          <w:i/>
          <w:sz w:val="22"/>
          <w:szCs w:val="22"/>
          <w:lang w:val="sr-Latn-ME"/>
        </w:rPr>
        <w:t>Salmonella</w:t>
      </w:r>
      <w:proofErr w:type="spellEnd"/>
      <w:r w:rsidRPr="00641C6D">
        <w:rPr>
          <w:sz w:val="22"/>
          <w:szCs w:val="22"/>
          <w:lang w:val="sr-Latn-ME"/>
        </w:rPr>
        <w:t xml:space="preserve"> i </w:t>
      </w:r>
      <w:proofErr w:type="spellStart"/>
      <w:r w:rsidRPr="00641C6D">
        <w:rPr>
          <w:i/>
          <w:sz w:val="22"/>
          <w:szCs w:val="22"/>
          <w:lang w:val="sr-Latn-ME"/>
        </w:rPr>
        <w:t>Campylobacter</w:t>
      </w:r>
      <w:proofErr w:type="spellEnd"/>
      <w:r w:rsidRPr="00641C6D">
        <w:rPr>
          <w:sz w:val="22"/>
          <w:szCs w:val="22"/>
          <w:lang w:val="sr-Latn-ME"/>
        </w:rPr>
        <w:t xml:space="preserve"> ili </w:t>
      </w:r>
      <w:r w:rsidRPr="00641C6D">
        <w:rPr>
          <w:i/>
          <w:sz w:val="22"/>
          <w:szCs w:val="22"/>
          <w:lang w:val="sr-Latn-ME"/>
        </w:rPr>
        <w:t xml:space="preserve">C. </w:t>
      </w:r>
      <w:proofErr w:type="spellStart"/>
      <w:r w:rsidRPr="00641C6D">
        <w:rPr>
          <w:i/>
          <w:sz w:val="22"/>
          <w:szCs w:val="22"/>
          <w:lang w:val="sr-Latn-ME"/>
        </w:rPr>
        <w:t>difficile</w:t>
      </w:r>
      <w:proofErr w:type="spellEnd"/>
      <w:r w:rsidRPr="00641C6D">
        <w:rPr>
          <w:i/>
          <w:sz w:val="22"/>
          <w:szCs w:val="22"/>
          <w:lang w:val="sr-Latn-ME"/>
        </w:rPr>
        <w:t>.</w:t>
      </w:r>
      <w:r w:rsidRPr="00641C6D">
        <w:rPr>
          <w:sz w:val="22"/>
          <w:szCs w:val="22"/>
          <w:lang w:val="sr-Latn-ME"/>
        </w:rPr>
        <w:t xml:space="preserve"> </w:t>
      </w:r>
    </w:p>
    <w:p w:rsidR="00D07AE7" w:rsidRPr="00641C6D" w:rsidRDefault="00D07AE7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D07AE7" w:rsidRPr="00641C6D" w:rsidRDefault="00D07AE7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D07AE7" w:rsidRPr="00641C6D" w:rsidRDefault="00D07AE7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641C6D">
        <w:rPr>
          <w:i/>
          <w:sz w:val="22"/>
          <w:szCs w:val="22"/>
          <w:lang w:val="sr-Latn-ME"/>
        </w:rPr>
        <w:lastRenderedPageBreak/>
        <w:t xml:space="preserve">Natrijum </w:t>
      </w:r>
    </w:p>
    <w:p w:rsidR="00D07AE7" w:rsidRPr="00641C6D" w:rsidRDefault="00D07AE7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641C6D">
        <w:rPr>
          <w:sz w:val="22"/>
          <w:szCs w:val="22"/>
          <w:lang w:val="sr-Latn-ME"/>
        </w:rPr>
        <w:t>mmol</w:t>
      </w:r>
      <w:proofErr w:type="spellEnd"/>
      <w:r w:rsidRPr="00641C6D">
        <w:rPr>
          <w:sz w:val="22"/>
          <w:szCs w:val="22"/>
          <w:lang w:val="sr-Latn-ME"/>
        </w:rPr>
        <w:t xml:space="preserve"> natrijuma (23 mg) u jednoj bočici, tj. suštinski je „bez natrijuma“.</w:t>
      </w:r>
    </w:p>
    <w:p w:rsidR="00D07AE7" w:rsidRPr="00641C6D" w:rsidRDefault="00D07AE7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641C6D">
        <w:rPr>
          <w:i/>
          <w:sz w:val="22"/>
          <w:szCs w:val="22"/>
          <w:lang w:val="sr-Latn-ME"/>
        </w:rPr>
        <w:t>Hipomagnezemija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Kod pacijenata l</w:t>
      </w:r>
      <w:r w:rsidR="00D07AE7" w:rsidRPr="00641C6D">
        <w:rPr>
          <w:sz w:val="22"/>
          <w:szCs w:val="22"/>
          <w:lang w:val="sr-Latn-ME"/>
        </w:rPr>
        <w:t>i</w:t>
      </w:r>
      <w:r w:rsidR="00FC2A23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ečenih </w:t>
      </w:r>
      <w:proofErr w:type="spellStart"/>
      <w:r w:rsidRPr="00641C6D">
        <w:rPr>
          <w:sz w:val="22"/>
          <w:szCs w:val="22"/>
          <w:lang w:val="sr-Latn-ME"/>
        </w:rPr>
        <w:t>inhibitorima</w:t>
      </w:r>
      <w:proofErr w:type="spellEnd"/>
      <w:r w:rsidRPr="00641C6D">
        <w:rPr>
          <w:sz w:val="22"/>
          <w:szCs w:val="22"/>
          <w:lang w:val="sr-Latn-ME"/>
        </w:rPr>
        <w:t xml:space="preserve"> protonske pumpe (</w:t>
      </w:r>
      <w:proofErr w:type="spellStart"/>
      <w:r w:rsidRPr="00641C6D">
        <w:rPr>
          <w:sz w:val="22"/>
          <w:szCs w:val="22"/>
          <w:lang w:val="sr-Latn-ME"/>
        </w:rPr>
        <w:t>IPP</w:t>
      </w:r>
      <w:proofErr w:type="spellEnd"/>
      <w:r w:rsidRPr="00641C6D">
        <w:rPr>
          <w:sz w:val="22"/>
          <w:szCs w:val="22"/>
          <w:lang w:val="sr-Latn-ME"/>
        </w:rPr>
        <w:t xml:space="preserve">) kao što je </w:t>
      </w:r>
      <w:proofErr w:type="spellStart"/>
      <w:r w:rsidRPr="00641C6D">
        <w:rPr>
          <w:sz w:val="22"/>
          <w:szCs w:val="22"/>
          <w:lang w:val="sr-Latn-ME"/>
        </w:rPr>
        <w:t>pantoprazol</w:t>
      </w:r>
      <w:proofErr w:type="spellEnd"/>
      <w:r w:rsidRPr="00641C6D">
        <w:rPr>
          <w:sz w:val="22"/>
          <w:szCs w:val="22"/>
          <w:lang w:val="sr-Latn-ME"/>
        </w:rPr>
        <w:t>, u periodu od najmanje tri m</w:t>
      </w:r>
      <w:r w:rsidR="00D07AE7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eseca, a u većini slučajeva tokom godinu dana, može se javiti težak oblik </w:t>
      </w:r>
      <w:proofErr w:type="spellStart"/>
      <w:r w:rsidRPr="00641C6D">
        <w:rPr>
          <w:sz w:val="22"/>
          <w:szCs w:val="22"/>
          <w:lang w:val="sr-Latn-ME"/>
        </w:rPr>
        <w:t>hipomagnezemije</w:t>
      </w:r>
      <w:proofErr w:type="spellEnd"/>
      <w:r w:rsidRPr="00641C6D">
        <w:rPr>
          <w:sz w:val="22"/>
          <w:szCs w:val="22"/>
          <w:lang w:val="sr-Latn-ME"/>
        </w:rPr>
        <w:t xml:space="preserve">. Ozbiljne manifestacije </w:t>
      </w:r>
      <w:proofErr w:type="spellStart"/>
      <w:r w:rsidRPr="00641C6D">
        <w:rPr>
          <w:sz w:val="22"/>
          <w:szCs w:val="22"/>
          <w:lang w:val="sr-Latn-ME"/>
        </w:rPr>
        <w:t>hipomagnezemije</w:t>
      </w:r>
      <w:proofErr w:type="spellEnd"/>
      <w:r w:rsidRPr="00641C6D">
        <w:rPr>
          <w:sz w:val="22"/>
          <w:szCs w:val="22"/>
          <w:lang w:val="sr-Latn-ME"/>
        </w:rPr>
        <w:t xml:space="preserve"> kao što su umor, grčevi, delirijum, konvulzije, vrtoglavica i </w:t>
      </w:r>
      <w:proofErr w:type="spellStart"/>
      <w:r w:rsidRPr="00641C6D">
        <w:rPr>
          <w:sz w:val="22"/>
          <w:szCs w:val="22"/>
          <w:lang w:val="sr-Latn-ME"/>
        </w:rPr>
        <w:t>ventrikularne</w:t>
      </w:r>
      <w:proofErr w:type="spellEnd"/>
      <w:r w:rsidRPr="00641C6D">
        <w:rPr>
          <w:sz w:val="22"/>
          <w:szCs w:val="22"/>
          <w:lang w:val="sr-Latn-ME"/>
        </w:rPr>
        <w:t xml:space="preserve"> aritmije, u početku mogu biti prikriveni i zato se mogu lako pre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. </w:t>
      </w:r>
      <w:proofErr w:type="spellStart"/>
      <w:r w:rsidRPr="00641C6D">
        <w:rPr>
          <w:sz w:val="22"/>
          <w:szCs w:val="22"/>
          <w:lang w:val="sr-Latn-ME"/>
        </w:rPr>
        <w:t>Hipomagnezemija</w:t>
      </w:r>
      <w:proofErr w:type="spellEnd"/>
      <w:r w:rsidRPr="00641C6D">
        <w:rPr>
          <w:sz w:val="22"/>
          <w:szCs w:val="22"/>
          <w:lang w:val="sr-Latn-ME"/>
        </w:rPr>
        <w:t xml:space="preserve"> može dovesti do </w:t>
      </w:r>
      <w:proofErr w:type="spellStart"/>
      <w:r w:rsidRPr="00641C6D">
        <w:rPr>
          <w:sz w:val="22"/>
          <w:szCs w:val="22"/>
          <w:lang w:val="sr-Latn-ME"/>
        </w:rPr>
        <w:t>hipokalcemije</w:t>
      </w:r>
      <w:proofErr w:type="spellEnd"/>
      <w:r w:rsidRPr="00641C6D">
        <w:rPr>
          <w:sz w:val="22"/>
          <w:szCs w:val="22"/>
          <w:lang w:val="sr-Latn-ME"/>
        </w:rPr>
        <w:t xml:space="preserve"> i/ili </w:t>
      </w:r>
      <w:proofErr w:type="spellStart"/>
      <w:r w:rsidRPr="00641C6D">
        <w:rPr>
          <w:sz w:val="22"/>
          <w:szCs w:val="22"/>
          <w:lang w:val="sr-Latn-ME"/>
        </w:rPr>
        <w:t>hipokalemije</w:t>
      </w:r>
      <w:proofErr w:type="spellEnd"/>
      <w:r w:rsidRPr="00641C6D">
        <w:rPr>
          <w:sz w:val="22"/>
          <w:szCs w:val="22"/>
          <w:lang w:val="sr-Latn-ME"/>
        </w:rPr>
        <w:t xml:space="preserve">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4.8). Kod većine ovih pacijenata, </w:t>
      </w:r>
      <w:proofErr w:type="spellStart"/>
      <w:r w:rsidRPr="00641C6D">
        <w:rPr>
          <w:sz w:val="22"/>
          <w:szCs w:val="22"/>
          <w:lang w:val="sr-Latn-ME"/>
        </w:rPr>
        <w:t>hipomagnezemija</w:t>
      </w:r>
      <w:proofErr w:type="spellEnd"/>
      <w:r w:rsidRPr="00641C6D">
        <w:rPr>
          <w:sz w:val="22"/>
          <w:szCs w:val="22"/>
          <w:lang w:val="sr-Latn-ME"/>
        </w:rPr>
        <w:t xml:space="preserve"> se može korigovati nadoknadom magnezijuma i prekidom terapije </w:t>
      </w:r>
      <w:proofErr w:type="spellStart"/>
      <w:r w:rsidRPr="00641C6D">
        <w:rPr>
          <w:sz w:val="22"/>
          <w:szCs w:val="22"/>
          <w:lang w:val="sr-Latn-ME"/>
        </w:rPr>
        <w:t>inhibitorima</w:t>
      </w:r>
      <w:proofErr w:type="spellEnd"/>
      <w:r w:rsidRPr="00641C6D">
        <w:rPr>
          <w:sz w:val="22"/>
          <w:szCs w:val="22"/>
          <w:lang w:val="sr-Latn-ME"/>
        </w:rPr>
        <w:t xml:space="preserve"> protonske pumpe.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Kod pacijenata za koje se očekuje da će biti na dugotrajnoj terapiji </w:t>
      </w:r>
      <w:proofErr w:type="spellStart"/>
      <w:r w:rsidRPr="00641C6D">
        <w:rPr>
          <w:sz w:val="22"/>
          <w:szCs w:val="22"/>
          <w:lang w:val="sr-Latn-ME"/>
        </w:rPr>
        <w:t>inhibitorom</w:t>
      </w:r>
      <w:proofErr w:type="spellEnd"/>
      <w:r w:rsidRPr="00641C6D">
        <w:rPr>
          <w:sz w:val="22"/>
          <w:szCs w:val="22"/>
          <w:lang w:val="sr-Latn-ME"/>
        </w:rPr>
        <w:t xml:space="preserve"> protonske pumpe ili za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pacijente koji su istovremeno na terapiji </w:t>
      </w:r>
      <w:proofErr w:type="spellStart"/>
      <w:r w:rsidRPr="00641C6D">
        <w:rPr>
          <w:sz w:val="22"/>
          <w:szCs w:val="22"/>
          <w:lang w:val="sr-Latn-ME"/>
        </w:rPr>
        <w:t>digoksinom</w:t>
      </w:r>
      <w:proofErr w:type="spellEnd"/>
      <w:r w:rsidRPr="00641C6D">
        <w:rPr>
          <w:sz w:val="22"/>
          <w:szCs w:val="22"/>
          <w:lang w:val="sr-Latn-ME"/>
        </w:rPr>
        <w:t xml:space="preserve"> ili </w:t>
      </w:r>
      <w:r w:rsidR="00D810B5" w:rsidRPr="00641C6D">
        <w:rPr>
          <w:sz w:val="22"/>
          <w:szCs w:val="22"/>
          <w:lang w:val="sr-Latn-ME"/>
        </w:rPr>
        <w:t>ljekov</w:t>
      </w:r>
      <w:r w:rsidRPr="00641C6D">
        <w:rPr>
          <w:sz w:val="22"/>
          <w:szCs w:val="22"/>
          <w:lang w:val="sr-Latn-ME"/>
        </w:rPr>
        <w:t xml:space="preserve">ima koji mogu prouzrokovati </w:t>
      </w:r>
      <w:proofErr w:type="spellStart"/>
      <w:r w:rsidRPr="00641C6D">
        <w:rPr>
          <w:sz w:val="22"/>
          <w:szCs w:val="22"/>
          <w:lang w:val="sr-Latn-ME"/>
        </w:rPr>
        <w:t>hipomagnezemiju</w:t>
      </w:r>
      <w:proofErr w:type="spellEnd"/>
      <w:r w:rsidRPr="00641C6D">
        <w:rPr>
          <w:sz w:val="22"/>
          <w:szCs w:val="22"/>
          <w:lang w:val="sr-Latn-ME"/>
        </w:rPr>
        <w:t xml:space="preserve"> (npr. </w:t>
      </w:r>
      <w:proofErr w:type="spellStart"/>
      <w:r w:rsidRPr="00641C6D">
        <w:rPr>
          <w:sz w:val="22"/>
          <w:szCs w:val="22"/>
          <w:lang w:val="sr-Latn-ME"/>
        </w:rPr>
        <w:t>diuretici</w:t>
      </w:r>
      <w:proofErr w:type="spellEnd"/>
      <w:r w:rsidRPr="00641C6D">
        <w:rPr>
          <w:sz w:val="22"/>
          <w:szCs w:val="22"/>
          <w:lang w:val="sr-Latn-ME"/>
        </w:rPr>
        <w:t xml:space="preserve">), </w:t>
      </w:r>
      <w:r w:rsidR="00253054" w:rsidRPr="00641C6D">
        <w:rPr>
          <w:sz w:val="22"/>
          <w:szCs w:val="22"/>
          <w:lang w:val="sr-Latn-ME"/>
        </w:rPr>
        <w:t>ljekar</w:t>
      </w:r>
      <w:r w:rsidRPr="00641C6D">
        <w:rPr>
          <w:sz w:val="22"/>
          <w:szCs w:val="22"/>
          <w:lang w:val="sr-Latn-ME"/>
        </w:rPr>
        <w:t xml:space="preserve"> mora razmotriti određivanje koncentracije magnezijuma u krvi pr</w:t>
      </w:r>
      <w:r w:rsidR="00B609BA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>e započinjanja terapije i periodično u toku same terapije.</w:t>
      </w:r>
    </w:p>
    <w:p w:rsidR="00B609BA" w:rsidRPr="00641C6D" w:rsidRDefault="00B609BA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641C6D">
        <w:rPr>
          <w:i/>
          <w:sz w:val="22"/>
          <w:szCs w:val="22"/>
          <w:lang w:val="sr-Latn-ME"/>
        </w:rPr>
        <w:t xml:space="preserve">Frakture kostiju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641C6D">
        <w:rPr>
          <w:sz w:val="22"/>
          <w:szCs w:val="22"/>
          <w:lang w:val="sr-Latn-ME"/>
        </w:rPr>
        <w:t>Inhibitori</w:t>
      </w:r>
      <w:proofErr w:type="spellEnd"/>
      <w:r w:rsidRPr="00641C6D">
        <w:rPr>
          <w:sz w:val="22"/>
          <w:szCs w:val="22"/>
          <w:lang w:val="sr-Latn-ME"/>
        </w:rPr>
        <w:t xml:space="preserve"> protonske pumpe, posebno kada se </w:t>
      </w:r>
      <w:r w:rsidR="00B32E35" w:rsidRPr="00641C6D">
        <w:rPr>
          <w:sz w:val="22"/>
          <w:szCs w:val="22"/>
          <w:lang w:val="sr-Latn-ME"/>
        </w:rPr>
        <w:t xml:space="preserve">primjenjuju </w:t>
      </w:r>
      <w:r w:rsidRPr="00641C6D">
        <w:rPr>
          <w:sz w:val="22"/>
          <w:szCs w:val="22"/>
          <w:lang w:val="sr-Latn-ME"/>
        </w:rPr>
        <w:t xml:space="preserve"> u velikim dozama i tokom dužeg vremenskog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perioda (&gt;1 godine), mogu um</w:t>
      </w:r>
      <w:r w:rsidR="00B32E35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ereno povećati rizik od </w:t>
      </w:r>
      <w:proofErr w:type="spellStart"/>
      <w:r w:rsidRPr="00641C6D">
        <w:rPr>
          <w:sz w:val="22"/>
          <w:szCs w:val="22"/>
          <w:lang w:val="sr-Latn-ME"/>
        </w:rPr>
        <w:t>preloma</w:t>
      </w:r>
      <w:proofErr w:type="spellEnd"/>
      <w:r w:rsidRPr="00641C6D">
        <w:rPr>
          <w:sz w:val="22"/>
          <w:szCs w:val="22"/>
          <w:lang w:val="sr-Latn-ME"/>
        </w:rPr>
        <w:t xml:space="preserve"> kuka, ručnog zgloba i kičme, naročito kod starijih pacijenata ili u prisustvu drugih faktora rizika. Opservacione studije ukazuju da </w:t>
      </w:r>
      <w:proofErr w:type="spellStart"/>
      <w:r w:rsidRPr="00641C6D">
        <w:rPr>
          <w:sz w:val="22"/>
          <w:szCs w:val="22"/>
          <w:lang w:val="sr-Latn-ME"/>
        </w:rPr>
        <w:t>inhibitori</w:t>
      </w:r>
      <w:proofErr w:type="spellEnd"/>
      <w:r w:rsidRPr="00641C6D">
        <w:rPr>
          <w:sz w:val="22"/>
          <w:szCs w:val="22"/>
          <w:lang w:val="sr-Latn-ME"/>
        </w:rPr>
        <w:t xml:space="preserve"> protonske </w:t>
      </w:r>
      <w:r w:rsidR="00B32E35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pumpe mogu povećati ukupan rizik od fraktura za 10 do 40 %. Ovo povećanje </w:t>
      </w:r>
      <w:r w:rsidR="00B32E35" w:rsidRPr="00641C6D">
        <w:rPr>
          <w:sz w:val="22"/>
          <w:szCs w:val="22"/>
          <w:lang w:val="sr-Latn-ME"/>
        </w:rPr>
        <w:t xml:space="preserve">djelimično </w:t>
      </w:r>
      <w:r w:rsidRPr="00641C6D">
        <w:rPr>
          <w:sz w:val="22"/>
          <w:szCs w:val="22"/>
          <w:lang w:val="sr-Latn-ME"/>
        </w:rPr>
        <w:t xml:space="preserve"> može biti </w:t>
      </w:r>
      <w:proofErr w:type="spellStart"/>
      <w:r w:rsidRPr="00641C6D">
        <w:rPr>
          <w:sz w:val="22"/>
          <w:szCs w:val="22"/>
          <w:lang w:val="sr-Latn-ME"/>
        </w:rPr>
        <w:t>posledica</w:t>
      </w:r>
      <w:proofErr w:type="spellEnd"/>
      <w:r w:rsidRPr="00641C6D">
        <w:rPr>
          <w:sz w:val="22"/>
          <w:szCs w:val="22"/>
          <w:lang w:val="sr-Latn-ME"/>
        </w:rPr>
        <w:t xml:space="preserve"> drugih faktora rizika. Pacijenti sa povećanim rizikom od </w:t>
      </w:r>
      <w:proofErr w:type="spellStart"/>
      <w:r w:rsidRPr="00641C6D">
        <w:rPr>
          <w:sz w:val="22"/>
          <w:szCs w:val="22"/>
          <w:lang w:val="sr-Latn-ME"/>
        </w:rPr>
        <w:t>osteoporoze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zaht</w:t>
      </w:r>
      <w:r w:rsidR="00B32E35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evaju</w:t>
      </w:r>
      <w:proofErr w:type="spellEnd"/>
      <w:r w:rsidRPr="00641C6D">
        <w:rPr>
          <w:sz w:val="22"/>
          <w:szCs w:val="22"/>
          <w:lang w:val="sr-Latn-ME"/>
        </w:rPr>
        <w:t xml:space="preserve"> posebnu </w:t>
      </w:r>
      <w:proofErr w:type="spellStart"/>
      <w:r w:rsidRPr="00641C6D">
        <w:rPr>
          <w:sz w:val="22"/>
          <w:szCs w:val="22"/>
          <w:lang w:val="sr-Latn-ME"/>
        </w:rPr>
        <w:t>n</w:t>
      </w:r>
      <w:r w:rsidR="00B32E35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egu</w:t>
      </w:r>
      <w:proofErr w:type="spellEnd"/>
      <w:r w:rsidRPr="00641C6D">
        <w:rPr>
          <w:sz w:val="22"/>
          <w:szCs w:val="22"/>
          <w:lang w:val="sr-Latn-ME"/>
        </w:rPr>
        <w:t>, u skladu sa važećim kliničkim vodičima i uz obezb</w:t>
      </w:r>
      <w:r w:rsidR="00B32E35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eđenje odgovarajućeg unosa vitamina D i kalcijuma. </w:t>
      </w:r>
    </w:p>
    <w:p w:rsidR="00B32E35" w:rsidRPr="00641C6D" w:rsidRDefault="00B32E35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641C6D">
        <w:rPr>
          <w:i/>
          <w:sz w:val="22"/>
          <w:szCs w:val="22"/>
          <w:lang w:val="sr-Latn-ME"/>
        </w:rPr>
        <w:t>Subakutni</w:t>
      </w:r>
      <w:proofErr w:type="spellEnd"/>
      <w:r w:rsidRPr="00641C6D">
        <w:rPr>
          <w:i/>
          <w:sz w:val="22"/>
          <w:szCs w:val="22"/>
          <w:lang w:val="sr-Latn-ME"/>
        </w:rPr>
        <w:t xml:space="preserve"> kožni </w:t>
      </w:r>
      <w:proofErr w:type="spellStart"/>
      <w:r w:rsidRPr="00641C6D">
        <w:rPr>
          <w:i/>
          <w:sz w:val="22"/>
          <w:szCs w:val="22"/>
          <w:lang w:val="sr-Latn-ME"/>
        </w:rPr>
        <w:t>lupus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eritematodes</w:t>
      </w:r>
      <w:proofErr w:type="spellEnd"/>
      <w:r w:rsidRPr="00641C6D">
        <w:rPr>
          <w:i/>
          <w:sz w:val="22"/>
          <w:szCs w:val="22"/>
          <w:lang w:val="sr-Latn-ME"/>
        </w:rPr>
        <w:t xml:space="preserve"> (engl. </w:t>
      </w:r>
      <w:proofErr w:type="spellStart"/>
      <w:r w:rsidRPr="00641C6D">
        <w:rPr>
          <w:i/>
          <w:sz w:val="22"/>
          <w:szCs w:val="22"/>
          <w:lang w:val="sr-Latn-ME"/>
        </w:rPr>
        <w:t>Subacute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Cutaneous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Lupus</w:t>
      </w:r>
      <w:proofErr w:type="spellEnd"/>
      <w:r w:rsidRPr="00641C6D">
        <w:rPr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i/>
          <w:sz w:val="22"/>
          <w:szCs w:val="22"/>
          <w:lang w:val="sr-Latn-ME"/>
        </w:rPr>
        <w:t>Erythematosus</w:t>
      </w:r>
      <w:proofErr w:type="spellEnd"/>
      <w:r w:rsidRPr="00641C6D">
        <w:rPr>
          <w:i/>
          <w:sz w:val="22"/>
          <w:szCs w:val="22"/>
          <w:lang w:val="sr-Latn-ME"/>
        </w:rPr>
        <w:t xml:space="preserve">, </w:t>
      </w:r>
      <w:proofErr w:type="spellStart"/>
      <w:r w:rsidRPr="00641C6D">
        <w:rPr>
          <w:i/>
          <w:sz w:val="22"/>
          <w:szCs w:val="22"/>
          <w:lang w:val="sr-Latn-ME"/>
        </w:rPr>
        <w:t>SCLE</w:t>
      </w:r>
      <w:proofErr w:type="spellEnd"/>
      <w:r w:rsidRPr="00641C6D">
        <w:rPr>
          <w:i/>
          <w:sz w:val="22"/>
          <w:szCs w:val="22"/>
          <w:lang w:val="sr-Latn-ME"/>
        </w:rPr>
        <w:t>)</w:t>
      </w:r>
    </w:p>
    <w:p w:rsidR="00A375D1" w:rsidRPr="00641C6D" w:rsidRDefault="00D810B5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Primjena</w:t>
      </w:r>
      <w:r w:rsidR="00A375D1" w:rsidRPr="00641C6D">
        <w:rPr>
          <w:sz w:val="22"/>
          <w:szCs w:val="22"/>
          <w:lang w:val="sr-Latn-ME"/>
        </w:rPr>
        <w:t xml:space="preserve"> </w:t>
      </w:r>
      <w:proofErr w:type="spellStart"/>
      <w:r w:rsidR="00A375D1" w:rsidRPr="00641C6D">
        <w:rPr>
          <w:sz w:val="22"/>
          <w:szCs w:val="22"/>
          <w:lang w:val="sr-Latn-ME"/>
        </w:rPr>
        <w:t>inhibitora</w:t>
      </w:r>
      <w:proofErr w:type="spellEnd"/>
      <w:r w:rsidR="00A375D1" w:rsidRPr="00641C6D">
        <w:rPr>
          <w:sz w:val="22"/>
          <w:szCs w:val="22"/>
          <w:lang w:val="sr-Latn-ME"/>
        </w:rPr>
        <w:t xml:space="preserve"> protonske pumpe je povezana sa veoma r</w:t>
      </w:r>
      <w:r w:rsidR="00FC2A23" w:rsidRPr="00641C6D">
        <w:rPr>
          <w:sz w:val="22"/>
          <w:szCs w:val="22"/>
          <w:lang w:val="sr-Latn-ME"/>
        </w:rPr>
        <w:t>ij</w:t>
      </w:r>
      <w:r w:rsidR="00A375D1" w:rsidRPr="00641C6D">
        <w:rPr>
          <w:sz w:val="22"/>
          <w:szCs w:val="22"/>
          <w:lang w:val="sr-Latn-ME"/>
        </w:rPr>
        <w:t xml:space="preserve">etkim slučajevima </w:t>
      </w:r>
      <w:proofErr w:type="spellStart"/>
      <w:r w:rsidR="00A375D1" w:rsidRPr="00641C6D">
        <w:rPr>
          <w:sz w:val="22"/>
          <w:szCs w:val="22"/>
          <w:lang w:val="sr-Latn-ME"/>
        </w:rPr>
        <w:t>SCLE</w:t>
      </w:r>
      <w:proofErr w:type="spellEnd"/>
      <w:r w:rsidR="00A375D1" w:rsidRPr="00641C6D">
        <w:rPr>
          <w:sz w:val="22"/>
          <w:szCs w:val="22"/>
          <w:lang w:val="sr-Latn-ME"/>
        </w:rPr>
        <w:t xml:space="preserve">. Ukoliko se pojave </w:t>
      </w:r>
      <w:proofErr w:type="spellStart"/>
      <w:r w:rsidR="00A375D1" w:rsidRPr="00641C6D">
        <w:rPr>
          <w:sz w:val="22"/>
          <w:szCs w:val="22"/>
          <w:lang w:val="sr-Latn-ME"/>
        </w:rPr>
        <w:t>lezije</w:t>
      </w:r>
      <w:proofErr w:type="spellEnd"/>
      <w:r w:rsidR="00A375D1" w:rsidRPr="00641C6D">
        <w:rPr>
          <w:sz w:val="22"/>
          <w:szCs w:val="22"/>
          <w:lang w:val="sr-Latn-ME"/>
        </w:rPr>
        <w:t>, posebno na d</w:t>
      </w:r>
      <w:r w:rsidR="00FC2A23" w:rsidRPr="00641C6D">
        <w:rPr>
          <w:sz w:val="22"/>
          <w:szCs w:val="22"/>
          <w:lang w:val="sr-Latn-ME"/>
        </w:rPr>
        <w:t>i</w:t>
      </w:r>
      <w:r w:rsidR="00B32E35" w:rsidRPr="00641C6D">
        <w:rPr>
          <w:sz w:val="22"/>
          <w:szCs w:val="22"/>
          <w:lang w:val="sr-Latn-ME"/>
        </w:rPr>
        <w:t>j</w:t>
      </w:r>
      <w:r w:rsidR="00A375D1" w:rsidRPr="00641C6D">
        <w:rPr>
          <w:sz w:val="22"/>
          <w:szCs w:val="22"/>
          <w:lang w:val="sr-Latn-ME"/>
        </w:rPr>
        <w:t xml:space="preserve">elovima kože izloženim sunčevom zračenju, i ako su praćene </w:t>
      </w:r>
      <w:proofErr w:type="spellStart"/>
      <w:r w:rsidR="00A375D1" w:rsidRPr="00641C6D">
        <w:rPr>
          <w:sz w:val="22"/>
          <w:szCs w:val="22"/>
          <w:lang w:val="sr-Latn-ME"/>
        </w:rPr>
        <w:t>artralgijom</w:t>
      </w:r>
      <w:proofErr w:type="spellEnd"/>
      <w:r w:rsidR="00A375D1" w:rsidRPr="00641C6D">
        <w:rPr>
          <w:sz w:val="22"/>
          <w:szCs w:val="22"/>
          <w:lang w:val="sr-Latn-ME"/>
        </w:rPr>
        <w:t xml:space="preserve">, potrebno je da pacijent odmah potraži medicinsku pomoć, a </w:t>
      </w:r>
      <w:r w:rsidR="00253054" w:rsidRPr="00641C6D">
        <w:rPr>
          <w:sz w:val="22"/>
          <w:szCs w:val="22"/>
          <w:lang w:val="sr-Latn-ME"/>
        </w:rPr>
        <w:t>ljekar</w:t>
      </w:r>
      <w:r w:rsidR="00A375D1" w:rsidRPr="00641C6D">
        <w:rPr>
          <w:sz w:val="22"/>
          <w:szCs w:val="22"/>
          <w:lang w:val="sr-Latn-ME"/>
        </w:rPr>
        <w:t xml:space="preserve"> razmotri prekid </w:t>
      </w:r>
      <w:r w:rsidR="001D332F" w:rsidRPr="00641C6D">
        <w:rPr>
          <w:sz w:val="22"/>
          <w:szCs w:val="22"/>
          <w:lang w:val="sr-Latn-ME"/>
        </w:rPr>
        <w:t>primjene</w:t>
      </w:r>
      <w:r w:rsidR="00A375D1" w:rsidRPr="00641C6D">
        <w:rPr>
          <w:sz w:val="22"/>
          <w:szCs w:val="22"/>
          <w:lang w:val="sr-Latn-ME"/>
        </w:rPr>
        <w:t xml:space="preserve"> terapije </w:t>
      </w:r>
      <w:r w:rsidRPr="00641C6D">
        <w:rPr>
          <w:sz w:val="22"/>
          <w:szCs w:val="22"/>
          <w:lang w:val="sr-Latn-ME"/>
        </w:rPr>
        <w:t>lijek</w:t>
      </w:r>
      <w:r w:rsidR="00A375D1" w:rsidRPr="00641C6D">
        <w:rPr>
          <w:sz w:val="22"/>
          <w:szCs w:val="22"/>
          <w:lang w:val="sr-Latn-ME"/>
        </w:rPr>
        <w:t xml:space="preserve">om </w:t>
      </w:r>
      <w:proofErr w:type="spellStart"/>
      <w:r w:rsidR="00A375D1" w:rsidRPr="00641C6D">
        <w:rPr>
          <w:sz w:val="22"/>
          <w:szCs w:val="22"/>
          <w:lang w:val="sr-Latn-ME"/>
        </w:rPr>
        <w:t>PORTORIN</w:t>
      </w:r>
      <w:proofErr w:type="spellEnd"/>
      <w:r w:rsidR="00A375D1" w:rsidRPr="00641C6D">
        <w:rPr>
          <w:sz w:val="22"/>
          <w:szCs w:val="22"/>
          <w:lang w:val="sr-Latn-ME"/>
        </w:rPr>
        <w:t xml:space="preserve">. Pojava </w:t>
      </w:r>
      <w:proofErr w:type="spellStart"/>
      <w:r w:rsidR="00A375D1" w:rsidRPr="00641C6D">
        <w:rPr>
          <w:sz w:val="22"/>
          <w:szCs w:val="22"/>
          <w:lang w:val="sr-Latn-ME"/>
        </w:rPr>
        <w:t>SCLE</w:t>
      </w:r>
      <w:proofErr w:type="spellEnd"/>
      <w:r w:rsidR="00A375D1" w:rsidRPr="00641C6D">
        <w:rPr>
          <w:sz w:val="22"/>
          <w:szCs w:val="22"/>
          <w:lang w:val="sr-Latn-ME"/>
        </w:rPr>
        <w:t xml:space="preserve"> nakon terapije jednim </w:t>
      </w:r>
      <w:proofErr w:type="spellStart"/>
      <w:r w:rsidR="00A375D1" w:rsidRPr="00641C6D">
        <w:rPr>
          <w:sz w:val="22"/>
          <w:szCs w:val="22"/>
          <w:lang w:val="sr-Latn-ME"/>
        </w:rPr>
        <w:t>inhibitorom</w:t>
      </w:r>
      <w:proofErr w:type="spellEnd"/>
      <w:r w:rsidR="00A375D1" w:rsidRPr="00641C6D">
        <w:rPr>
          <w:sz w:val="22"/>
          <w:szCs w:val="22"/>
          <w:lang w:val="sr-Latn-ME"/>
        </w:rPr>
        <w:t xml:space="preserve"> protonske pumpe može povećati rizik od pojave </w:t>
      </w:r>
      <w:proofErr w:type="spellStart"/>
      <w:r w:rsidR="00A375D1" w:rsidRPr="00641C6D">
        <w:rPr>
          <w:sz w:val="22"/>
          <w:szCs w:val="22"/>
          <w:lang w:val="sr-Latn-ME"/>
        </w:rPr>
        <w:t>SCLE</w:t>
      </w:r>
      <w:proofErr w:type="spellEnd"/>
      <w:r w:rsidR="00A375D1" w:rsidRPr="00641C6D">
        <w:rPr>
          <w:sz w:val="22"/>
          <w:szCs w:val="22"/>
          <w:lang w:val="sr-Latn-ME"/>
        </w:rPr>
        <w:t xml:space="preserve"> pri terapiji drugim </w:t>
      </w:r>
      <w:r w:rsidRPr="00641C6D">
        <w:rPr>
          <w:sz w:val="22"/>
          <w:szCs w:val="22"/>
          <w:lang w:val="sr-Latn-ME"/>
        </w:rPr>
        <w:t>lijek</w:t>
      </w:r>
      <w:r w:rsidR="00A375D1" w:rsidRPr="00641C6D">
        <w:rPr>
          <w:sz w:val="22"/>
          <w:szCs w:val="22"/>
          <w:lang w:val="sr-Latn-ME"/>
        </w:rPr>
        <w:t>om iz ove grupe.</w:t>
      </w:r>
    </w:p>
    <w:p w:rsidR="00B32E35" w:rsidRPr="00641C6D" w:rsidRDefault="00B32E35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641C6D">
        <w:rPr>
          <w:i/>
          <w:sz w:val="22"/>
          <w:szCs w:val="22"/>
          <w:lang w:val="sr-Latn-ME"/>
        </w:rPr>
        <w:t>Uticaj na laboratorijske rezultate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Povećana koncentracija </w:t>
      </w:r>
      <w:proofErr w:type="spellStart"/>
      <w:r w:rsidRPr="00641C6D">
        <w:rPr>
          <w:sz w:val="22"/>
          <w:szCs w:val="22"/>
          <w:lang w:val="sr-Latn-ME"/>
        </w:rPr>
        <w:t>hromogranina</w:t>
      </w:r>
      <w:proofErr w:type="spellEnd"/>
      <w:r w:rsidRPr="00641C6D">
        <w:rPr>
          <w:sz w:val="22"/>
          <w:szCs w:val="22"/>
          <w:lang w:val="sr-Latn-ME"/>
        </w:rPr>
        <w:t xml:space="preserve"> A (</w:t>
      </w:r>
      <w:proofErr w:type="spellStart"/>
      <w:r w:rsidRPr="00641C6D">
        <w:rPr>
          <w:sz w:val="22"/>
          <w:szCs w:val="22"/>
          <w:lang w:val="sr-Latn-ME"/>
        </w:rPr>
        <w:t>CgA</w:t>
      </w:r>
      <w:proofErr w:type="spellEnd"/>
      <w:r w:rsidRPr="00641C6D">
        <w:rPr>
          <w:sz w:val="22"/>
          <w:szCs w:val="22"/>
          <w:lang w:val="sr-Latn-ME"/>
        </w:rPr>
        <w:t xml:space="preserve">) može uticati na ispitivanja </w:t>
      </w:r>
      <w:proofErr w:type="spellStart"/>
      <w:r w:rsidRPr="00641C6D">
        <w:rPr>
          <w:sz w:val="22"/>
          <w:szCs w:val="22"/>
          <w:lang w:val="sr-Latn-ME"/>
        </w:rPr>
        <w:t>neuroendokrinih</w:t>
      </w:r>
      <w:proofErr w:type="spellEnd"/>
      <w:r w:rsidRPr="00641C6D">
        <w:rPr>
          <w:sz w:val="22"/>
          <w:szCs w:val="22"/>
          <w:lang w:val="sr-Latn-ME"/>
        </w:rPr>
        <w:t xml:space="preserve"> tumora. Da bi se izb</w:t>
      </w:r>
      <w:r w:rsidR="00F7036B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egao ovaj uticaj, treba prekinuti prim</w:t>
      </w:r>
      <w:r w:rsidR="00F7036B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enu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najmanje 5 dana </w:t>
      </w:r>
      <w:r w:rsidR="00B32E35" w:rsidRPr="00641C6D">
        <w:rPr>
          <w:sz w:val="22"/>
          <w:szCs w:val="22"/>
          <w:lang w:val="sr-Latn-ME"/>
        </w:rPr>
        <w:t xml:space="preserve">prije </w:t>
      </w:r>
      <w:r w:rsidRPr="00641C6D">
        <w:rPr>
          <w:sz w:val="22"/>
          <w:szCs w:val="22"/>
          <w:lang w:val="sr-Latn-ME"/>
        </w:rPr>
        <w:t>m</w:t>
      </w:r>
      <w:r w:rsidR="00F7036B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erenja koncentracije</w:t>
      </w:r>
      <w:r w:rsidR="00F7036B"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CgA</w:t>
      </w:r>
      <w:proofErr w:type="spellEnd"/>
      <w:r w:rsidRPr="00641C6D">
        <w:rPr>
          <w:sz w:val="22"/>
          <w:szCs w:val="22"/>
          <w:lang w:val="sr-Latn-ME"/>
        </w:rPr>
        <w:t xml:space="preserve">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5.1). Ako se, nakon početnog m</w:t>
      </w:r>
      <w:r w:rsidR="00F7036B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erenja,</w:t>
      </w:r>
      <w:r w:rsidR="00F7036B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koncentracija </w:t>
      </w:r>
      <w:proofErr w:type="spellStart"/>
      <w:r w:rsidRPr="00641C6D">
        <w:rPr>
          <w:sz w:val="22"/>
          <w:szCs w:val="22"/>
          <w:lang w:val="sr-Latn-ME"/>
        </w:rPr>
        <w:t>CgA</w:t>
      </w:r>
      <w:proofErr w:type="spellEnd"/>
      <w:r w:rsidRPr="00641C6D">
        <w:rPr>
          <w:sz w:val="22"/>
          <w:szCs w:val="22"/>
          <w:lang w:val="sr-Latn-ME"/>
        </w:rPr>
        <w:t xml:space="preserve"> i </w:t>
      </w:r>
      <w:proofErr w:type="spellStart"/>
      <w:r w:rsidRPr="00641C6D">
        <w:rPr>
          <w:sz w:val="22"/>
          <w:szCs w:val="22"/>
          <w:lang w:val="sr-Latn-ME"/>
        </w:rPr>
        <w:t>gastrina</w:t>
      </w:r>
      <w:proofErr w:type="spellEnd"/>
      <w:r w:rsidRPr="00641C6D">
        <w:rPr>
          <w:sz w:val="22"/>
          <w:szCs w:val="22"/>
          <w:lang w:val="sr-Latn-ME"/>
        </w:rPr>
        <w:t xml:space="preserve"> nisu vratile u okvir</w:t>
      </w:r>
      <w:r w:rsidR="00F7036B" w:rsidRPr="00641C6D">
        <w:rPr>
          <w:sz w:val="22"/>
          <w:szCs w:val="22"/>
          <w:lang w:val="sr-Latn-ME"/>
        </w:rPr>
        <w:t xml:space="preserve"> </w:t>
      </w:r>
      <w:r w:rsidRPr="00641C6D">
        <w:rPr>
          <w:sz w:val="22"/>
          <w:szCs w:val="22"/>
          <w:lang w:val="sr-Latn-ME"/>
        </w:rPr>
        <w:t xml:space="preserve">referentne </w:t>
      </w:r>
      <w:r w:rsidR="00F7036B" w:rsidRPr="00641C6D">
        <w:rPr>
          <w:sz w:val="22"/>
          <w:szCs w:val="22"/>
          <w:lang w:val="sr-Latn-ME"/>
        </w:rPr>
        <w:t>vrijednosti</w:t>
      </w:r>
      <w:r w:rsidRPr="00641C6D">
        <w:rPr>
          <w:sz w:val="22"/>
          <w:szCs w:val="22"/>
          <w:lang w:val="sr-Latn-ME"/>
        </w:rPr>
        <w:t>, m</w:t>
      </w:r>
      <w:r w:rsidR="00F7036B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erenja treba ponoviti 14 dana nakon prestanka </w:t>
      </w:r>
      <w:r w:rsidR="001D332F" w:rsidRPr="00641C6D">
        <w:rPr>
          <w:sz w:val="22"/>
          <w:szCs w:val="22"/>
          <w:lang w:val="sr-Latn-ME"/>
        </w:rPr>
        <w:t>primjene</w:t>
      </w:r>
      <w:r w:rsidRPr="00641C6D">
        <w:rPr>
          <w:sz w:val="22"/>
          <w:szCs w:val="22"/>
          <w:lang w:val="sr-Latn-ME"/>
        </w:rPr>
        <w:t xml:space="preserve"> terapije </w:t>
      </w:r>
      <w:proofErr w:type="spellStart"/>
      <w:r w:rsidRPr="00641C6D">
        <w:rPr>
          <w:sz w:val="22"/>
          <w:szCs w:val="22"/>
          <w:lang w:val="sr-Latn-ME"/>
        </w:rPr>
        <w:t>inhibitora</w:t>
      </w:r>
      <w:proofErr w:type="spellEnd"/>
      <w:r w:rsidRPr="00641C6D">
        <w:rPr>
          <w:sz w:val="22"/>
          <w:szCs w:val="22"/>
          <w:lang w:val="sr-Latn-ME"/>
        </w:rPr>
        <w:t xml:space="preserve"> protonske pumpe.</w:t>
      </w:r>
    </w:p>
    <w:p w:rsidR="00F7036B" w:rsidRPr="00641C6D" w:rsidRDefault="00F7036B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11B4B" w:rsidRPr="00641C6D" w:rsidRDefault="00411B4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>4.5.</w:t>
      </w:r>
      <w:r w:rsidR="000D60CC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B86425" w:rsidRPr="00641C6D" w:rsidRDefault="00B86425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75D1" w:rsidRPr="00641C6D" w:rsidRDefault="00D810B5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Ljekov</w:t>
      </w:r>
      <w:r w:rsidR="00A375D1" w:rsidRPr="00641C6D">
        <w:rPr>
          <w:bCs/>
          <w:i/>
          <w:sz w:val="22"/>
          <w:szCs w:val="22"/>
          <w:lang w:val="sr-Latn-ME"/>
        </w:rPr>
        <w:t xml:space="preserve">i čija je </w:t>
      </w:r>
      <w:proofErr w:type="spellStart"/>
      <w:r w:rsidR="00A375D1" w:rsidRPr="00641C6D">
        <w:rPr>
          <w:bCs/>
          <w:i/>
          <w:sz w:val="22"/>
          <w:szCs w:val="22"/>
          <w:lang w:val="sr-Latn-ME"/>
        </w:rPr>
        <w:t>farmakokinetika</w:t>
      </w:r>
      <w:proofErr w:type="spellEnd"/>
      <w:r w:rsidR="00A375D1" w:rsidRPr="00641C6D">
        <w:rPr>
          <w:bCs/>
          <w:i/>
          <w:sz w:val="22"/>
          <w:szCs w:val="22"/>
          <w:lang w:val="sr-Latn-ME"/>
        </w:rPr>
        <w:t xml:space="preserve"> zavisna od </w:t>
      </w:r>
      <w:proofErr w:type="spellStart"/>
      <w:r w:rsidR="00A375D1" w:rsidRPr="00641C6D">
        <w:rPr>
          <w:bCs/>
          <w:i/>
          <w:sz w:val="22"/>
          <w:szCs w:val="22"/>
          <w:lang w:val="sr-Latn-ME"/>
        </w:rPr>
        <w:t>pH</w:t>
      </w:r>
      <w:proofErr w:type="spellEnd"/>
      <w:r w:rsidR="00A375D1" w:rsidRPr="00641C6D">
        <w:rPr>
          <w:bCs/>
          <w:i/>
          <w:sz w:val="22"/>
          <w:szCs w:val="22"/>
          <w:lang w:val="sr-Latn-ME"/>
        </w:rPr>
        <w:t xml:space="preserve"> </w:t>
      </w:r>
      <w:r w:rsidR="00B86425" w:rsidRPr="00641C6D">
        <w:rPr>
          <w:bCs/>
          <w:i/>
          <w:sz w:val="22"/>
          <w:szCs w:val="22"/>
          <w:lang w:val="sr-Latn-ME"/>
        </w:rPr>
        <w:t>vrijednosti želudačnog</w:t>
      </w:r>
      <w:r w:rsidR="00A375D1" w:rsidRPr="00641C6D">
        <w:rPr>
          <w:bCs/>
          <w:i/>
          <w:sz w:val="22"/>
          <w:szCs w:val="22"/>
          <w:lang w:val="sr-Latn-ME"/>
        </w:rPr>
        <w:t xml:space="preserve"> sadržaja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Usled</w:t>
      </w:r>
      <w:proofErr w:type="spellEnd"/>
      <w:r w:rsidRPr="00641C6D">
        <w:rPr>
          <w:bCs/>
          <w:sz w:val="22"/>
          <w:szCs w:val="22"/>
          <w:lang w:val="sr-Latn-ME"/>
        </w:rPr>
        <w:t xml:space="preserve"> izražene i dugotrajne inhibicije lučenja želudačne kiseline, </w:t>
      </w: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može smanjiti resorpciju </w:t>
      </w:r>
    </w:p>
    <w:p w:rsidR="00A375D1" w:rsidRPr="00641C6D" w:rsidRDefault="00D810B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ljekov</w:t>
      </w:r>
      <w:r w:rsidR="00A375D1" w:rsidRPr="00641C6D">
        <w:rPr>
          <w:bCs/>
          <w:sz w:val="22"/>
          <w:szCs w:val="22"/>
          <w:lang w:val="sr-Latn-ME"/>
        </w:rPr>
        <w:t xml:space="preserve">a čija je </w:t>
      </w:r>
      <w:proofErr w:type="spellStart"/>
      <w:r w:rsidR="00A375D1" w:rsidRPr="00641C6D">
        <w:rPr>
          <w:bCs/>
          <w:sz w:val="22"/>
          <w:szCs w:val="22"/>
          <w:lang w:val="sr-Latn-ME"/>
        </w:rPr>
        <w:t>bioraspoloživost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 zavisna od </w:t>
      </w:r>
      <w:proofErr w:type="spellStart"/>
      <w:r w:rsidR="00A375D1" w:rsidRPr="00641C6D">
        <w:rPr>
          <w:bCs/>
          <w:sz w:val="22"/>
          <w:szCs w:val="22"/>
          <w:lang w:val="sr-Latn-ME"/>
        </w:rPr>
        <w:t>pH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 </w:t>
      </w:r>
      <w:r w:rsidR="007744DD" w:rsidRPr="00641C6D">
        <w:rPr>
          <w:bCs/>
          <w:sz w:val="22"/>
          <w:szCs w:val="22"/>
          <w:lang w:val="sr-Latn-ME"/>
        </w:rPr>
        <w:t xml:space="preserve">vrijednosti </w:t>
      </w:r>
      <w:r w:rsidR="00A375D1" w:rsidRPr="00641C6D">
        <w:rPr>
          <w:bCs/>
          <w:sz w:val="22"/>
          <w:szCs w:val="22"/>
          <w:lang w:val="sr-Latn-ME"/>
        </w:rPr>
        <w:t xml:space="preserve"> želudačnog sadržaja, npr. neki </w:t>
      </w:r>
      <w:proofErr w:type="spellStart"/>
      <w:r w:rsidR="00A375D1" w:rsidRPr="00641C6D">
        <w:rPr>
          <w:bCs/>
          <w:sz w:val="22"/>
          <w:szCs w:val="22"/>
          <w:lang w:val="sr-Latn-ME"/>
        </w:rPr>
        <w:t>azolni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A375D1" w:rsidRPr="00641C6D">
        <w:rPr>
          <w:bCs/>
          <w:sz w:val="22"/>
          <w:szCs w:val="22"/>
          <w:lang w:val="sr-Latn-ME"/>
        </w:rPr>
        <w:t>antimikotici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 kao što su </w:t>
      </w:r>
      <w:proofErr w:type="spellStart"/>
      <w:r w:rsidR="00A375D1" w:rsidRPr="00641C6D">
        <w:rPr>
          <w:bCs/>
          <w:sz w:val="22"/>
          <w:szCs w:val="22"/>
          <w:lang w:val="sr-Latn-ME"/>
        </w:rPr>
        <w:t>ketokonazol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="00A375D1" w:rsidRPr="00641C6D">
        <w:rPr>
          <w:bCs/>
          <w:sz w:val="22"/>
          <w:szCs w:val="22"/>
          <w:lang w:val="sr-Latn-ME"/>
        </w:rPr>
        <w:t>itrakonazol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="00A375D1" w:rsidRPr="00641C6D">
        <w:rPr>
          <w:bCs/>
          <w:sz w:val="22"/>
          <w:szCs w:val="22"/>
          <w:lang w:val="sr-Latn-ME"/>
        </w:rPr>
        <w:t>posakonazol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 i ostali </w:t>
      </w:r>
      <w:r w:rsidRPr="00641C6D">
        <w:rPr>
          <w:bCs/>
          <w:sz w:val="22"/>
          <w:szCs w:val="22"/>
          <w:lang w:val="sr-Latn-ME"/>
        </w:rPr>
        <w:t>ljekov</w:t>
      </w:r>
      <w:r w:rsidR="00A375D1" w:rsidRPr="00641C6D">
        <w:rPr>
          <w:bCs/>
          <w:sz w:val="22"/>
          <w:szCs w:val="22"/>
          <w:lang w:val="sr-Latn-ME"/>
        </w:rPr>
        <w:t xml:space="preserve">i kao sto je </w:t>
      </w:r>
      <w:proofErr w:type="spellStart"/>
      <w:r w:rsidR="00A375D1" w:rsidRPr="00641C6D">
        <w:rPr>
          <w:bCs/>
          <w:sz w:val="22"/>
          <w:szCs w:val="22"/>
          <w:lang w:val="sr-Latn-ME"/>
        </w:rPr>
        <w:t>erlotinib</w:t>
      </w:r>
      <w:proofErr w:type="spellEnd"/>
      <w:r w:rsidR="00A375D1" w:rsidRPr="00641C6D">
        <w:rPr>
          <w:bCs/>
          <w:sz w:val="22"/>
          <w:szCs w:val="22"/>
          <w:lang w:val="sr-Latn-ME"/>
        </w:rPr>
        <w:t xml:space="preserve">. </w:t>
      </w:r>
    </w:p>
    <w:p w:rsidR="00B86425" w:rsidRPr="00641C6D" w:rsidRDefault="00B8642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86425" w:rsidRPr="00F5502D" w:rsidRDefault="00A375D1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641C6D">
        <w:rPr>
          <w:bCs/>
          <w:i/>
          <w:sz w:val="22"/>
          <w:szCs w:val="22"/>
          <w:lang w:val="sr-Latn-ME"/>
        </w:rPr>
        <w:t>Inhibitori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HIV </w:t>
      </w:r>
      <w:proofErr w:type="spellStart"/>
      <w:r w:rsidRPr="00641C6D">
        <w:rPr>
          <w:bCs/>
          <w:i/>
          <w:sz w:val="22"/>
          <w:szCs w:val="22"/>
          <w:lang w:val="sr-Latn-ME"/>
        </w:rPr>
        <w:t>proteaze</w:t>
      </w:r>
      <w:proofErr w:type="spellEnd"/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Ne preporučuje se istovremena </w:t>
      </w:r>
      <w:r w:rsidR="00D810B5" w:rsidRPr="00641C6D">
        <w:rPr>
          <w:bCs/>
          <w:sz w:val="22"/>
          <w:szCs w:val="22"/>
          <w:lang w:val="sr-Latn-ME"/>
        </w:rPr>
        <w:t>primjena</w:t>
      </w:r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HIV </w:t>
      </w:r>
      <w:proofErr w:type="spellStart"/>
      <w:r w:rsidRPr="00641C6D">
        <w:rPr>
          <w:bCs/>
          <w:sz w:val="22"/>
          <w:szCs w:val="22"/>
          <w:lang w:val="sr-Latn-ME"/>
        </w:rPr>
        <w:t>proteaze</w:t>
      </w:r>
      <w:proofErr w:type="spellEnd"/>
      <w:r w:rsidRPr="00641C6D">
        <w:rPr>
          <w:bCs/>
          <w:sz w:val="22"/>
          <w:szCs w:val="22"/>
          <w:lang w:val="sr-Latn-ME"/>
        </w:rPr>
        <w:t xml:space="preserve"> čija je resorpcija zavisna od </w:t>
      </w:r>
      <w:proofErr w:type="spellStart"/>
      <w:r w:rsidRPr="00641C6D">
        <w:rPr>
          <w:bCs/>
          <w:sz w:val="22"/>
          <w:szCs w:val="22"/>
          <w:lang w:val="sr-Latn-ME"/>
        </w:rPr>
        <w:t>pH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B86425" w:rsidRPr="00641C6D">
        <w:rPr>
          <w:bCs/>
          <w:sz w:val="22"/>
          <w:szCs w:val="22"/>
          <w:lang w:val="sr-Latn-ME"/>
        </w:rPr>
        <w:t>vrijednosti želudačnog</w:t>
      </w:r>
      <w:r w:rsidRPr="00641C6D">
        <w:rPr>
          <w:bCs/>
          <w:sz w:val="22"/>
          <w:szCs w:val="22"/>
          <w:lang w:val="sr-Latn-ME"/>
        </w:rPr>
        <w:t xml:space="preserve"> sadržaja, kao što je </w:t>
      </w:r>
      <w:proofErr w:type="spellStart"/>
      <w:r w:rsidRPr="00641C6D">
        <w:rPr>
          <w:bCs/>
          <w:sz w:val="22"/>
          <w:szCs w:val="22"/>
          <w:lang w:val="sr-Latn-ME"/>
        </w:rPr>
        <w:t>atazanavir</w:t>
      </w:r>
      <w:proofErr w:type="spellEnd"/>
      <w:r w:rsidRPr="00641C6D">
        <w:rPr>
          <w:bCs/>
          <w:sz w:val="22"/>
          <w:szCs w:val="22"/>
          <w:lang w:val="sr-Latn-ME"/>
        </w:rPr>
        <w:t xml:space="preserve">, a </w:t>
      </w:r>
      <w:proofErr w:type="spellStart"/>
      <w:r w:rsidRPr="00641C6D">
        <w:rPr>
          <w:bCs/>
          <w:sz w:val="22"/>
          <w:szCs w:val="22"/>
          <w:lang w:val="sr-Latn-ME"/>
        </w:rPr>
        <w:t>us</w:t>
      </w:r>
      <w:r w:rsidR="00B86425" w:rsidRPr="00641C6D">
        <w:rPr>
          <w:bCs/>
          <w:sz w:val="22"/>
          <w:szCs w:val="22"/>
          <w:lang w:val="sr-Latn-ME"/>
        </w:rPr>
        <w:t>ljed</w:t>
      </w:r>
      <w:proofErr w:type="spellEnd"/>
      <w:r w:rsidR="00B86425" w:rsidRPr="00641C6D">
        <w:rPr>
          <w:bCs/>
          <w:sz w:val="22"/>
          <w:szCs w:val="22"/>
          <w:lang w:val="sr-Latn-ME"/>
        </w:rPr>
        <w:t xml:space="preserve"> značajnog smanjenja njihove </w:t>
      </w:r>
      <w:proofErr w:type="spellStart"/>
      <w:r w:rsidRPr="00641C6D">
        <w:rPr>
          <w:bCs/>
          <w:sz w:val="22"/>
          <w:szCs w:val="22"/>
          <w:lang w:val="sr-Latn-ME"/>
        </w:rPr>
        <w:t>bioraspoloživosti</w:t>
      </w:r>
      <w:proofErr w:type="spellEnd"/>
      <w:r w:rsidRPr="00641C6D">
        <w:rPr>
          <w:bCs/>
          <w:sz w:val="22"/>
          <w:szCs w:val="22"/>
          <w:lang w:val="sr-Latn-ME"/>
        </w:rPr>
        <w:t xml:space="preserve"> (</w:t>
      </w:r>
      <w:r w:rsidR="005A0D73" w:rsidRPr="00641C6D">
        <w:rPr>
          <w:bCs/>
          <w:sz w:val="22"/>
          <w:szCs w:val="22"/>
          <w:lang w:val="sr-Latn-ME"/>
        </w:rPr>
        <w:t>vidjeti</w:t>
      </w:r>
      <w:r w:rsidRPr="00641C6D">
        <w:rPr>
          <w:bCs/>
          <w:sz w:val="22"/>
          <w:szCs w:val="22"/>
          <w:lang w:val="sr-Latn-ME"/>
        </w:rPr>
        <w:t xml:space="preserve"> </w:t>
      </w:r>
      <w:r w:rsidR="005A0D73" w:rsidRPr="00641C6D">
        <w:rPr>
          <w:bCs/>
          <w:sz w:val="22"/>
          <w:szCs w:val="22"/>
          <w:lang w:val="sr-Latn-ME"/>
        </w:rPr>
        <w:t>dio</w:t>
      </w:r>
      <w:r w:rsidR="00B86425" w:rsidRPr="00641C6D">
        <w:rPr>
          <w:bCs/>
          <w:sz w:val="22"/>
          <w:szCs w:val="22"/>
          <w:lang w:val="sr-Latn-ME"/>
        </w:rPr>
        <w:t xml:space="preserve"> 4.4). </w:t>
      </w:r>
      <w:r w:rsidRPr="00641C6D">
        <w:rPr>
          <w:bCs/>
          <w:sz w:val="22"/>
          <w:szCs w:val="22"/>
          <w:lang w:val="sr-Latn-ME"/>
        </w:rPr>
        <w:t>Ukoliko je proc</w:t>
      </w:r>
      <w:r w:rsidR="00B86425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enjeno da je neizb</w:t>
      </w:r>
      <w:r w:rsidR="00B86425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ežna istovremena </w:t>
      </w:r>
      <w:r w:rsidR="00D810B5" w:rsidRPr="00641C6D">
        <w:rPr>
          <w:bCs/>
          <w:sz w:val="22"/>
          <w:szCs w:val="22"/>
          <w:lang w:val="sr-Latn-ME"/>
        </w:rPr>
        <w:t>primjena</w:t>
      </w:r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HIV </w:t>
      </w:r>
      <w:proofErr w:type="spellStart"/>
      <w:r w:rsidRPr="00641C6D">
        <w:rPr>
          <w:bCs/>
          <w:sz w:val="22"/>
          <w:szCs w:val="22"/>
          <w:lang w:val="sr-Latn-ME"/>
        </w:rPr>
        <w:t>proteaze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pumpe, preporučuje se pažljivo kliničko praćenje (npr. virus </w:t>
      </w:r>
      <w:proofErr w:type="spellStart"/>
      <w:r w:rsidRPr="00641C6D">
        <w:rPr>
          <w:bCs/>
          <w:sz w:val="22"/>
          <w:szCs w:val="22"/>
          <w:lang w:val="sr-Latn-ME"/>
        </w:rPr>
        <w:t>load</w:t>
      </w:r>
      <w:proofErr w:type="spellEnd"/>
      <w:r w:rsidRPr="00641C6D">
        <w:rPr>
          <w:bCs/>
          <w:sz w:val="22"/>
          <w:szCs w:val="22"/>
          <w:lang w:val="sr-Latn-ME"/>
        </w:rPr>
        <w:t xml:space="preserve"> test). Doza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od 20 mg dnevno se ne treba prekoračiti. Možda će biti potrebno prilagođavanje doze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HIV </w:t>
      </w:r>
      <w:proofErr w:type="spellStart"/>
      <w:r w:rsidRPr="00641C6D">
        <w:rPr>
          <w:bCs/>
          <w:sz w:val="22"/>
          <w:szCs w:val="22"/>
          <w:lang w:val="sr-Latn-ME"/>
        </w:rPr>
        <w:t>proteaze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DF28CD" w:rsidRPr="00641C6D" w:rsidRDefault="00DF28CD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641C6D">
        <w:rPr>
          <w:bCs/>
          <w:i/>
          <w:sz w:val="22"/>
          <w:szCs w:val="22"/>
          <w:lang w:val="sr-Latn-ME"/>
        </w:rPr>
        <w:t>Kumarinski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i/>
          <w:sz w:val="22"/>
          <w:szCs w:val="22"/>
          <w:lang w:val="sr-Latn-ME"/>
        </w:rPr>
        <w:t>antikoagulansi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(</w:t>
      </w:r>
      <w:proofErr w:type="spellStart"/>
      <w:r w:rsidRPr="00641C6D">
        <w:rPr>
          <w:bCs/>
          <w:i/>
          <w:sz w:val="22"/>
          <w:szCs w:val="22"/>
          <w:lang w:val="sr-Latn-ME"/>
        </w:rPr>
        <w:t>fenprokumon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i/>
          <w:sz w:val="22"/>
          <w:szCs w:val="22"/>
          <w:lang w:val="sr-Latn-ME"/>
        </w:rPr>
        <w:t>varfarin</w:t>
      </w:r>
      <w:proofErr w:type="spellEnd"/>
      <w:r w:rsidRPr="00641C6D">
        <w:rPr>
          <w:bCs/>
          <w:i/>
          <w:sz w:val="22"/>
          <w:szCs w:val="22"/>
          <w:lang w:val="sr-Latn-ME"/>
        </w:rPr>
        <w:t>)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Istovremena </w:t>
      </w:r>
      <w:r w:rsidR="00D810B5" w:rsidRPr="00641C6D">
        <w:rPr>
          <w:bCs/>
          <w:sz w:val="22"/>
          <w:szCs w:val="22"/>
          <w:lang w:val="sr-Latn-ME"/>
        </w:rPr>
        <w:t>primjena</w:t>
      </w:r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sa </w:t>
      </w:r>
      <w:proofErr w:type="spellStart"/>
      <w:r w:rsidRPr="00641C6D">
        <w:rPr>
          <w:bCs/>
          <w:sz w:val="22"/>
          <w:szCs w:val="22"/>
          <w:lang w:val="sr-Latn-ME"/>
        </w:rPr>
        <w:t>varfarinom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fenoprokumonom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ne utiče na </w:t>
      </w:r>
      <w:proofErr w:type="spellStart"/>
      <w:r w:rsidRPr="00641C6D">
        <w:rPr>
          <w:bCs/>
          <w:sz w:val="22"/>
          <w:szCs w:val="22"/>
          <w:lang w:val="sr-Latn-ME"/>
        </w:rPr>
        <w:t>farmakokinetiku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varfarina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fenoprokumona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INR</w:t>
      </w:r>
      <w:proofErr w:type="spellEnd"/>
      <w:r w:rsidRPr="00641C6D">
        <w:rPr>
          <w:bCs/>
          <w:sz w:val="22"/>
          <w:szCs w:val="22"/>
          <w:lang w:val="sr-Latn-ME"/>
        </w:rPr>
        <w:t xml:space="preserve"> (</w:t>
      </w:r>
      <w:r w:rsidRPr="00641C6D">
        <w:rPr>
          <w:bCs/>
          <w:i/>
          <w:sz w:val="22"/>
          <w:szCs w:val="22"/>
          <w:lang w:val="sr-Latn-ME"/>
        </w:rPr>
        <w:t xml:space="preserve">engl. International </w:t>
      </w:r>
      <w:proofErr w:type="spellStart"/>
      <w:r w:rsidRPr="00641C6D">
        <w:rPr>
          <w:bCs/>
          <w:i/>
          <w:sz w:val="22"/>
          <w:szCs w:val="22"/>
          <w:lang w:val="sr-Latn-ME"/>
        </w:rPr>
        <w:t>Normalised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i/>
          <w:sz w:val="22"/>
          <w:szCs w:val="22"/>
          <w:lang w:val="sr-Latn-ME"/>
        </w:rPr>
        <w:t>Ratio</w:t>
      </w:r>
      <w:proofErr w:type="spellEnd"/>
      <w:r w:rsidRPr="00641C6D">
        <w:rPr>
          <w:bCs/>
          <w:sz w:val="22"/>
          <w:szCs w:val="22"/>
          <w:lang w:val="sr-Latn-ME"/>
        </w:rPr>
        <w:t xml:space="preserve">). Međutim, prijavljeno je </w:t>
      </w:r>
      <w:r w:rsidRPr="00641C6D">
        <w:rPr>
          <w:bCs/>
          <w:sz w:val="22"/>
          <w:szCs w:val="22"/>
          <w:lang w:val="sr-Latn-ME"/>
        </w:rPr>
        <w:lastRenderedPageBreak/>
        <w:t xml:space="preserve">nekoliko slučajeva povećanja </w:t>
      </w:r>
      <w:r w:rsidR="00DF28CD" w:rsidRPr="00641C6D">
        <w:rPr>
          <w:bCs/>
          <w:sz w:val="22"/>
          <w:szCs w:val="22"/>
          <w:lang w:val="sr-Latn-ME"/>
        </w:rPr>
        <w:t xml:space="preserve">vrijednosti </w:t>
      </w:r>
      <w:proofErr w:type="spellStart"/>
      <w:r w:rsidR="00DF28CD" w:rsidRPr="00641C6D">
        <w:rPr>
          <w:bCs/>
          <w:sz w:val="22"/>
          <w:szCs w:val="22"/>
          <w:lang w:val="sr-Latn-ME"/>
        </w:rPr>
        <w:t>INR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protrombinskog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vremena</w:t>
      </w:r>
      <w:proofErr w:type="spellEnd"/>
      <w:r w:rsidRPr="00641C6D">
        <w:rPr>
          <w:bCs/>
          <w:sz w:val="22"/>
          <w:szCs w:val="22"/>
          <w:lang w:val="sr-Latn-ME"/>
        </w:rPr>
        <w:t xml:space="preserve"> kod pacijenata koji su istovremenoj terapiji sa </w:t>
      </w:r>
      <w:proofErr w:type="spellStart"/>
      <w:r w:rsidRPr="00641C6D">
        <w:rPr>
          <w:bCs/>
          <w:sz w:val="22"/>
          <w:szCs w:val="22"/>
          <w:lang w:val="sr-Latn-ME"/>
        </w:rPr>
        <w:t>inhibitorima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 i </w:t>
      </w:r>
      <w:proofErr w:type="spellStart"/>
      <w:r w:rsidRPr="00641C6D">
        <w:rPr>
          <w:bCs/>
          <w:sz w:val="22"/>
          <w:szCs w:val="22"/>
          <w:lang w:val="sr-Latn-ME"/>
        </w:rPr>
        <w:t>varfarinom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fenoprokumonoma</w:t>
      </w:r>
      <w:proofErr w:type="spellEnd"/>
      <w:r w:rsidRPr="00641C6D">
        <w:rPr>
          <w:bCs/>
          <w:sz w:val="22"/>
          <w:szCs w:val="22"/>
          <w:lang w:val="sr-Latn-ME"/>
        </w:rPr>
        <w:t xml:space="preserve">. Povećanje </w:t>
      </w:r>
      <w:r w:rsidR="00DF28CD" w:rsidRPr="00641C6D">
        <w:rPr>
          <w:bCs/>
          <w:sz w:val="22"/>
          <w:szCs w:val="22"/>
          <w:lang w:val="sr-Latn-ME"/>
        </w:rPr>
        <w:t xml:space="preserve">vrijednosti </w:t>
      </w:r>
      <w:proofErr w:type="spellStart"/>
      <w:r w:rsidR="00DF28CD" w:rsidRPr="00641C6D">
        <w:rPr>
          <w:bCs/>
          <w:sz w:val="22"/>
          <w:szCs w:val="22"/>
          <w:lang w:val="sr-Latn-ME"/>
        </w:rPr>
        <w:t>INR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protrombinskog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vremena</w:t>
      </w:r>
      <w:proofErr w:type="spellEnd"/>
      <w:r w:rsidRPr="00641C6D">
        <w:rPr>
          <w:bCs/>
          <w:sz w:val="22"/>
          <w:szCs w:val="22"/>
          <w:lang w:val="sr-Latn-ME"/>
        </w:rPr>
        <w:t xml:space="preserve"> može dovesti do neuobičajenog krvarenja, čak i smrtnog ishoda. Za pacijente na terapiji </w:t>
      </w:r>
      <w:proofErr w:type="spellStart"/>
      <w:r w:rsidRPr="00641C6D">
        <w:rPr>
          <w:bCs/>
          <w:sz w:val="22"/>
          <w:szCs w:val="22"/>
          <w:lang w:val="sr-Latn-ME"/>
        </w:rPr>
        <w:t>pantoprazolom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varfarinom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fenprokumonom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će možda biti potreban medicinski nadzor u </w:t>
      </w:r>
      <w:r w:rsidR="00DF28CD" w:rsidRPr="00641C6D">
        <w:rPr>
          <w:bCs/>
          <w:sz w:val="22"/>
          <w:szCs w:val="22"/>
          <w:lang w:val="sr-Latn-ME"/>
        </w:rPr>
        <w:t>cilju praćenja</w:t>
      </w:r>
      <w:r w:rsidRPr="00641C6D">
        <w:rPr>
          <w:bCs/>
          <w:sz w:val="22"/>
          <w:szCs w:val="22"/>
          <w:lang w:val="sr-Latn-ME"/>
        </w:rPr>
        <w:t xml:space="preserve"> povećanja </w:t>
      </w:r>
      <w:r w:rsidR="00DF28CD" w:rsidRPr="00641C6D">
        <w:rPr>
          <w:bCs/>
          <w:sz w:val="22"/>
          <w:szCs w:val="22"/>
          <w:lang w:val="sr-Latn-ME"/>
        </w:rPr>
        <w:t xml:space="preserve">vrijednosti </w:t>
      </w:r>
      <w:proofErr w:type="spellStart"/>
      <w:r w:rsidR="00DF28CD" w:rsidRPr="00641C6D">
        <w:rPr>
          <w:bCs/>
          <w:sz w:val="22"/>
          <w:szCs w:val="22"/>
          <w:lang w:val="sr-Latn-ME"/>
        </w:rPr>
        <w:t>INR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DF28CD" w:rsidRPr="00641C6D">
        <w:rPr>
          <w:bCs/>
          <w:sz w:val="22"/>
          <w:szCs w:val="22"/>
          <w:lang w:val="sr-Latn-ME"/>
        </w:rPr>
        <w:t xml:space="preserve">i </w:t>
      </w:r>
      <w:proofErr w:type="spellStart"/>
      <w:r w:rsidR="00DF28CD" w:rsidRPr="00641C6D">
        <w:rPr>
          <w:bCs/>
          <w:sz w:val="22"/>
          <w:szCs w:val="22"/>
          <w:lang w:val="sr-Latn-ME"/>
        </w:rPr>
        <w:t>protrombinskog</w:t>
      </w:r>
      <w:proofErr w:type="spellEnd"/>
      <w:r w:rsidR="00DF28CD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DF28CD" w:rsidRPr="00641C6D">
        <w:rPr>
          <w:bCs/>
          <w:sz w:val="22"/>
          <w:szCs w:val="22"/>
          <w:lang w:val="sr-Latn-ME"/>
        </w:rPr>
        <w:t>vremena</w:t>
      </w:r>
      <w:proofErr w:type="spellEnd"/>
      <w:r w:rsidRPr="00641C6D">
        <w:rPr>
          <w:bCs/>
          <w:sz w:val="22"/>
          <w:szCs w:val="22"/>
          <w:lang w:val="sr-Latn-ME"/>
        </w:rPr>
        <w:t>.</w:t>
      </w:r>
    </w:p>
    <w:p w:rsidR="00C70337" w:rsidRPr="00641C6D" w:rsidRDefault="00C7033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641C6D">
        <w:rPr>
          <w:bCs/>
          <w:i/>
          <w:sz w:val="22"/>
          <w:szCs w:val="22"/>
          <w:lang w:val="sr-Latn-ME"/>
        </w:rPr>
        <w:t>Metotreksat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Pri istovremenoj prim</w:t>
      </w:r>
      <w:r w:rsidR="00FC2A23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eni velikih doza </w:t>
      </w:r>
      <w:proofErr w:type="spellStart"/>
      <w:r w:rsidRPr="00641C6D">
        <w:rPr>
          <w:bCs/>
          <w:sz w:val="22"/>
          <w:szCs w:val="22"/>
          <w:lang w:val="sr-Latn-ME"/>
        </w:rPr>
        <w:t>metotreksata</w:t>
      </w:r>
      <w:proofErr w:type="spellEnd"/>
      <w:r w:rsidRPr="00641C6D">
        <w:rPr>
          <w:bCs/>
          <w:sz w:val="22"/>
          <w:szCs w:val="22"/>
          <w:lang w:val="sr-Latn-ME"/>
        </w:rPr>
        <w:t xml:space="preserve"> (npr. 300 mg) i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pumpe, kod nekih pacijenata može se povećati </w:t>
      </w:r>
      <w:r w:rsidR="00ED70DE" w:rsidRPr="00641C6D">
        <w:rPr>
          <w:bCs/>
          <w:sz w:val="22"/>
          <w:szCs w:val="22"/>
          <w:lang w:val="sr-Latn-ME"/>
        </w:rPr>
        <w:t xml:space="preserve">vrijednost </w:t>
      </w:r>
      <w:proofErr w:type="spellStart"/>
      <w:r w:rsidR="00ED70DE" w:rsidRPr="00641C6D">
        <w:rPr>
          <w:bCs/>
          <w:sz w:val="22"/>
          <w:szCs w:val="22"/>
          <w:lang w:val="sr-Latn-ME"/>
        </w:rPr>
        <w:t>metotreksata</w:t>
      </w:r>
      <w:proofErr w:type="spellEnd"/>
      <w:r w:rsidRPr="00641C6D">
        <w:rPr>
          <w:bCs/>
          <w:sz w:val="22"/>
          <w:szCs w:val="22"/>
          <w:lang w:val="sr-Latn-ME"/>
        </w:rPr>
        <w:t xml:space="preserve">. Prema tome, kod pacijenata kod kojih se </w:t>
      </w:r>
      <w:r w:rsidR="00ED70DE" w:rsidRPr="00641C6D">
        <w:rPr>
          <w:bCs/>
          <w:sz w:val="22"/>
          <w:szCs w:val="22"/>
          <w:lang w:val="sr-Latn-ME"/>
        </w:rPr>
        <w:t xml:space="preserve">primjenjuju </w:t>
      </w:r>
      <w:r w:rsidRPr="00641C6D">
        <w:rPr>
          <w:bCs/>
          <w:sz w:val="22"/>
          <w:szCs w:val="22"/>
          <w:lang w:val="sr-Latn-ME"/>
        </w:rPr>
        <w:t xml:space="preserve">velike doze </w:t>
      </w:r>
      <w:proofErr w:type="spellStart"/>
      <w:r w:rsidRPr="00641C6D">
        <w:rPr>
          <w:bCs/>
          <w:sz w:val="22"/>
          <w:szCs w:val="22"/>
          <w:lang w:val="sr-Latn-ME"/>
        </w:rPr>
        <w:t>metotreksata</w:t>
      </w:r>
      <w:proofErr w:type="spellEnd"/>
      <w:r w:rsidRPr="00641C6D">
        <w:rPr>
          <w:bCs/>
          <w:sz w:val="22"/>
          <w:szCs w:val="22"/>
          <w:lang w:val="sr-Latn-ME"/>
        </w:rPr>
        <w:t>, na prim</w:t>
      </w:r>
      <w:r w:rsidR="00FC2A23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>er kod terapije kancera i psorijaze, treba uzeti u obzir privremenu obustavu</w:t>
      </w:r>
      <w:r w:rsidR="00ED70DE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terapije </w:t>
      </w:r>
      <w:proofErr w:type="spellStart"/>
      <w:r w:rsidRPr="00641C6D">
        <w:rPr>
          <w:bCs/>
          <w:sz w:val="22"/>
          <w:szCs w:val="22"/>
          <w:lang w:val="sr-Latn-ME"/>
        </w:rPr>
        <w:t>pantoprazolom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ED70DE" w:rsidRPr="00641C6D" w:rsidRDefault="00ED70D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Ostale studije interakcije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se </w:t>
      </w:r>
      <w:proofErr w:type="spellStart"/>
      <w:r w:rsidRPr="00641C6D">
        <w:rPr>
          <w:bCs/>
          <w:sz w:val="22"/>
          <w:szCs w:val="22"/>
          <w:lang w:val="sr-Latn-ME"/>
        </w:rPr>
        <w:t>intezivno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metaboliše</w:t>
      </w:r>
      <w:proofErr w:type="spellEnd"/>
      <w:r w:rsidRPr="00641C6D">
        <w:rPr>
          <w:bCs/>
          <w:sz w:val="22"/>
          <w:szCs w:val="22"/>
          <w:lang w:val="sr-Latn-ME"/>
        </w:rPr>
        <w:t xml:space="preserve"> u jetri putem sistema enzima </w:t>
      </w:r>
      <w:proofErr w:type="spellStart"/>
      <w:r w:rsidRPr="00641C6D">
        <w:rPr>
          <w:bCs/>
          <w:sz w:val="22"/>
          <w:szCs w:val="22"/>
          <w:lang w:val="sr-Latn-ME"/>
        </w:rPr>
        <w:t>citohroma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P450</w:t>
      </w:r>
      <w:proofErr w:type="spellEnd"/>
      <w:r w:rsidRPr="00641C6D">
        <w:rPr>
          <w:bCs/>
          <w:sz w:val="22"/>
          <w:szCs w:val="22"/>
          <w:lang w:val="sr-Latn-ME"/>
        </w:rPr>
        <w:t xml:space="preserve">. Glavni </w:t>
      </w:r>
      <w:proofErr w:type="spellStart"/>
      <w:r w:rsidRPr="00641C6D">
        <w:rPr>
          <w:bCs/>
          <w:sz w:val="22"/>
          <w:szCs w:val="22"/>
          <w:lang w:val="sr-Latn-ME"/>
        </w:rPr>
        <w:t>metabolički</w:t>
      </w:r>
      <w:proofErr w:type="spellEnd"/>
      <w:r w:rsidRPr="00641C6D">
        <w:rPr>
          <w:bCs/>
          <w:sz w:val="22"/>
          <w:szCs w:val="22"/>
          <w:lang w:val="sr-Latn-ME"/>
        </w:rPr>
        <w:t xml:space="preserve"> put je </w:t>
      </w:r>
      <w:proofErr w:type="spellStart"/>
      <w:r w:rsidRPr="00641C6D">
        <w:rPr>
          <w:bCs/>
          <w:sz w:val="22"/>
          <w:szCs w:val="22"/>
          <w:lang w:val="sr-Latn-ME"/>
        </w:rPr>
        <w:t>demetilacija</w:t>
      </w:r>
      <w:proofErr w:type="spellEnd"/>
      <w:r w:rsidRPr="00641C6D">
        <w:rPr>
          <w:bCs/>
          <w:sz w:val="22"/>
          <w:szCs w:val="22"/>
          <w:lang w:val="sr-Latn-ME"/>
        </w:rPr>
        <w:t xml:space="preserve"> putem </w:t>
      </w:r>
      <w:proofErr w:type="spellStart"/>
      <w:r w:rsidRPr="00641C6D">
        <w:rPr>
          <w:bCs/>
          <w:sz w:val="22"/>
          <w:szCs w:val="22"/>
          <w:lang w:val="sr-Latn-ME"/>
        </w:rPr>
        <w:t>CYP2C19</w:t>
      </w:r>
      <w:proofErr w:type="spellEnd"/>
      <w:r w:rsidRPr="00641C6D">
        <w:rPr>
          <w:bCs/>
          <w:sz w:val="22"/>
          <w:szCs w:val="22"/>
          <w:lang w:val="sr-Latn-ME"/>
        </w:rPr>
        <w:t xml:space="preserve"> a drugi </w:t>
      </w:r>
      <w:proofErr w:type="spellStart"/>
      <w:r w:rsidRPr="00641C6D">
        <w:rPr>
          <w:bCs/>
          <w:sz w:val="22"/>
          <w:szCs w:val="22"/>
          <w:lang w:val="sr-Latn-ME"/>
        </w:rPr>
        <w:t>metabolički</w:t>
      </w:r>
      <w:proofErr w:type="spellEnd"/>
      <w:r w:rsidRPr="00641C6D">
        <w:rPr>
          <w:bCs/>
          <w:sz w:val="22"/>
          <w:szCs w:val="22"/>
          <w:lang w:val="sr-Latn-ME"/>
        </w:rPr>
        <w:t xml:space="preserve"> putevi uključuju oksidaciju uz pomoć </w:t>
      </w:r>
      <w:proofErr w:type="spellStart"/>
      <w:r w:rsidRPr="00641C6D">
        <w:rPr>
          <w:bCs/>
          <w:sz w:val="22"/>
          <w:szCs w:val="22"/>
          <w:lang w:val="sr-Latn-ME"/>
        </w:rPr>
        <w:t>CYP3A4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Studije interakcije sa </w:t>
      </w:r>
      <w:r w:rsidR="00D810B5" w:rsidRPr="00641C6D">
        <w:rPr>
          <w:bCs/>
          <w:sz w:val="22"/>
          <w:szCs w:val="22"/>
          <w:lang w:val="sr-Latn-ME"/>
        </w:rPr>
        <w:t>ljekov</w:t>
      </w:r>
      <w:r w:rsidRPr="00641C6D">
        <w:rPr>
          <w:bCs/>
          <w:sz w:val="22"/>
          <w:szCs w:val="22"/>
          <w:lang w:val="sr-Latn-ME"/>
        </w:rPr>
        <w:t xml:space="preserve">ima koji se takođe </w:t>
      </w:r>
      <w:proofErr w:type="spellStart"/>
      <w:r w:rsidRPr="00641C6D">
        <w:rPr>
          <w:bCs/>
          <w:sz w:val="22"/>
          <w:szCs w:val="22"/>
          <w:lang w:val="sr-Latn-ME"/>
        </w:rPr>
        <w:t>metabolišu</w:t>
      </w:r>
      <w:proofErr w:type="spellEnd"/>
      <w:r w:rsidRPr="00641C6D">
        <w:rPr>
          <w:bCs/>
          <w:sz w:val="22"/>
          <w:szCs w:val="22"/>
          <w:lang w:val="sr-Latn-ME"/>
        </w:rPr>
        <w:t xml:space="preserve"> ovim putevima, kao što su </w:t>
      </w:r>
      <w:proofErr w:type="spellStart"/>
      <w:r w:rsidRPr="00641C6D">
        <w:rPr>
          <w:bCs/>
          <w:sz w:val="22"/>
          <w:szCs w:val="22"/>
          <w:lang w:val="sr-Latn-ME"/>
        </w:rPr>
        <w:t>karbamazepin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diazepam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glibenklamid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nifedipin</w:t>
      </w:r>
      <w:proofErr w:type="spellEnd"/>
      <w:r w:rsidRPr="00641C6D">
        <w:rPr>
          <w:bCs/>
          <w:sz w:val="22"/>
          <w:szCs w:val="22"/>
          <w:lang w:val="sr-Latn-ME"/>
        </w:rPr>
        <w:t xml:space="preserve"> i oralni </w:t>
      </w:r>
      <w:proofErr w:type="spellStart"/>
      <w:r w:rsidRPr="00641C6D">
        <w:rPr>
          <w:bCs/>
          <w:sz w:val="22"/>
          <w:szCs w:val="22"/>
          <w:lang w:val="sr-Latn-ME"/>
        </w:rPr>
        <w:t>kontraceptivi</w:t>
      </w:r>
      <w:proofErr w:type="spellEnd"/>
      <w:r w:rsidRPr="00641C6D">
        <w:rPr>
          <w:bCs/>
          <w:sz w:val="22"/>
          <w:szCs w:val="22"/>
          <w:lang w:val="sr-Latn-ME"/>
        </w:rPr>
        <w:t xml:space="preserve"> koji sadrže </w:t>
      </w:r>
      <w:proofErr w:type="spellStart"/>
      <w:r w:rsidRPr="00641C6D">
        <w:rPr>
          <w:bCs/>
          <w:sz w:val="22"/>
          <w:szCs w:val="22"/>
          <w:lang w:val="sr-Latn-ME"/>
        </w:rPr>
        <w:t>levonorgestrel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etinil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estradiol</w:t>
      </w:r>
      <w:proofErr w:type="spellEnd"/>
      <w:r w:rsidRPr="00641C6D">
        <w:rPr>
          <w:bCs/>
          <w:sz w:val="22"/>
          <w:szCs w:val="22"/>
          <w:lang w:val="sr-Latn-ME"/>
        </w:rPr>
        <w:t xml:space="preserve"> ni</w:t>
      </w:r>
      <w:r w:rsidR="00FC2A23" w:rsidRPr="00641C6D">
        <w:rPr>
          <w:bCs/>
          <w:sz w:val="22"/>
          <w:szCs w:val="22"/>
          <w:lang w:val="sr-Latn-ME"/>
        </w:rPr>
        <w:t>je</w:t>
      </w:r>
      <w:r w:rsidRPr="00641C6D">
        <w:rPr>
          <w:bCs/>
          <w:sz w:val="22"/>
          <w:szCs w:val="22"/>
          <w:lang w:val="sr-Latn-ME"/>
        </w:rPr>
        <w:t xml:space="preserve">su pokazale klinički značajne interakcije.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Ne mogu se isključiti interakcije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sa drugim </w:t>
      </w:r>
      <w:r w:rsidR="00D810B5" w:rsidRPr="00641C6D">
        <w:rPr>
          <w:bCs/>
          <w:sz w:val="22"/>
          <w:szCs w:val="22"/>
          <w:lang w:val="sr-Latn-ME"/>
        </w:rPr>
        <w:t>ljekov</w:t>
      </w:r>
      <w:r w:rsidRPr="00641C6D">
        <w:rPr>
          <w:bCs/>
          <w:sz w:val="22"/>
          <w:szCs w:val="22"/>
          <w:lang w:val="sr-Latn-ME"/>
        </w:rPr>
        <w:t xml:space="preserve">ima ili jedinjenjima, koji se </w:t>
      </w:r>
      <w:proofErr w:type="spellStart"/>
      <w:r w:rsidRPr="00641C6D">
        <w:rPr>
          <w:bCs/>
          <w:sz w:val="22"/>
          <w:szCs w:val="22"/>
          <w:lang w:val="sr-Latn-ME"/>
        </w:rPr>
        <w:t>metabolišu</w:t>
      </w:r>
      <w:proofErr w:type="spellEnd"/>
      <w:r w:rsidRPr="00641C6D">
        <w:rPr>
          <w:bCs/>
          <w:sz w:val="22"/>
          <w:szCs w:val="22"/>
          <w:lang w:val="sr-Latn-ME"/>
        </w:rPr>
        <w:t xml:space="preserve"> putem istog sistema enzima. </w:t>
      </w:r>
    </w:p>
    <w:p w:rsidR="00E611F8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Rezultati opsežnih studija interakcija pokazali su da </w:t>
      </w: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ne utiče na metabolizam aktivnih supstanci koje </w:t>
      </w:r>
      <w:proofErr w:type="spellStart"/>
      <w:r w:rsidRPr="00641C6D">
        <w:rPr>
          <w:bCs/>
          <w:sz w:val="22"/>
          <w:szCs w:val="22"/>
          <w:lang w:val="sr-Latn-ME"/>
        </w:rPr>
        <w:t>metaboliše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CYP1A2</w:t>
      </w:r>
      <w:proofErr w:type="spellEnd"/>
      <w:r w:rsidRPr="00641C6D">
        <w:rPr>
          <w:bCs/>
          <w:sz w:val="22"/>
          <w:szCs w:val="22"/>
          <w:lang w:val="sr-Latn-ME"/>
        </w:rPr>
        <w:t xml:space="preserve"> (kao sto su kofein, teofilin), </w:t>
      </w:r>
      <w:proofErr w:type="spellStart"/>
      <w:r w:rsidRPr="00641C6D">
        <w:rPr>
          <w:bCs/>
          <w:sz w:val="22"/>
          <w:szCs w:val="22"/>
          <w:lang w:val="sr-Latn-ME"/>
        </w:rPr>
        <w:t>CYP2C9</w:t>
      </w:r>
      <w:proofErr w:type="spellEnd"/>
      <w:r w:rsidRPr="00641C6D">
        <w:rPr>
          <w:bCs/>
          <w:sz w:val="22"/>
          <w:szCs w:val="22"/>
          <w:lang w:val="sr-Latn-ME"/>
        </w:rPr>
        <w:t xml:space="preserve"> (kao što su </w:t>
      </w:r>
      <w:proofErr w:type="spellStart"/>
      <w:r w:rsidRPr="00641C6D">
        <w:rPr>
          <w:bCs/>
          <w:sz w:val="22"/>
          <w:szCs w:val="22"/>
          <w:lang w:val="sr-Latn-ME"/>
        </w:rPr>
        <w:t>piroksikam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diklofenak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naproksen</w:t>
      </w:r>
      <w:proofErr w:type="spellEnd"/>
      <w:r w:rsidRPr="00641C6D">
        <w:rPr>
          <w:bCs/>
          <w:sz w:val="22"/>
          <w:szCs w:val="22"/>
          <w:lang w:val="sr-Latn-ME"/>
        </w:rPr>
        <w:t xml:space="preserve">), </w:t>
      </w:r>
      <w:proofErr w:type="spellStart"/>
      <w:r w:rsidRPr="00641C6D">
        <w:rPr>
          <w:bCs/>
          <w:sz w:val="22"/>
          <w:szCs w:val="22"/>
          <w:lang w:val="sr-Latn-ME"/>
        </w:rPr>
        <w:t>CYP2D6</w:t>
      </w:r>
      <w:proofErr w:type="spellEnd"/>
      <w:r w:rsidRPr="00641C6D">
        <w:rPr>
          <w:bCs/>
          <w:sz w:val="22"/>
          <w:szCs w:val="22"/>
          <w:lang w:val="sr-Latn-ME"/>
        </w:rPr>
        <w:t xml:space="preserve"> (kao što je </w:t>
      </w:r>
      <w:proofErr w:type="spellStart"/>
      <w:r w:rsidRPr="00641C6D">
        <w:rPr>
          <w:bCs/>
          <w:sz w:val="22"/>
          <w:szCs w:val="22"/>
          <w:lang w:val="sr-Latn-ME"/>
        </w:rPr>
        <w:t>metoprolol</w:t>
      </w:r>
      <w:proofErr w:type="spellEnd"/>
      <w:r w:rsidRPr="00641C6D">
        <w:rPr>
          <w:bCs/>
          <w:sz w:val="22"/>
          <w:szCs w:val="22"/>
          <w:lang w:val="sr-Latn-ME"/>
        </w:rPr>
        <w:t xml:space="preserve">), </w:t>
      </w:r>
      <w:proofErr w:type="spellStart"/>
      <w:r w:rsidRPr="00641C6D">
        <w:rPr>
          <w:bCs/>
          <w:sz w:val="22"/>
          <w:szCs w:val="22"/>
          <w:lang w:val="sr-Latn-ME"/>
        </w:rPr>
        <w:t>CYP2E1</w:t>
      </w:r>
      <w:proofErr w:type="spellEnd"/>
      <w:r w:rsidRPr="00641C6D">
        <w:rPr>
          <w:bCs/>
          <w:sz w:val="22"/>
          <w:szCs w:val="22"/>
          <w:lang w:val="sr-Latn-ME"/>
        </w:rPr>
        <w:t xml:space="preserve"> (kao što je etanol) i da ne remeti resorpciju </w:t>
      </w:r>
      <w:proofErr w:type="spellStart"/>
      <w:r w:rsidRPr="00641C6D">
        <w:rPr>
          <w:bCs/>
          <w:sz w:val="22"/>
          <w:szCs w:val="22"/>
          <w:lang w:val="sr-Latn-ME"/>
        </w:rPr>
        <w:t>digoksina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povezanu sa p-</w:t>
      </w:r>
      <w:proofErr w:type="spellStart"/>
      <w:r w:rsidRPr="00641C6D">
        <w:rPr>
          <w:bCs/>
          <w:sz w:val="22"/>
          <w:szCs w:val="22"/>
          <w:lang w:val="sr-Latn-ME"/>
        </w:rPr>
        <w:t>glikoproteinom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Nema interakcije tokom istovremene upotrebe sa antacidima.</w:t>
      </w:r>
    </w:p>
    <w:p w:rsidR="00FC2A23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Takođe su sprovedene studije interakcije kada je </w:t>
      </w: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bio istovremeno prim</w:t>
      </w:r>
      <w:r w:rsidR="00E611F8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enjen sa pojedinim </w:t>
      </w:r>
      <w:r w:rsidR="00FC2A23" w:rsidRPr="00641C6D">
        <w:rPr>
          <w:bCs/>
          <w:sz w:val="22"/>
          <w:szCs w:val="22"/>
          <w:lang w:val="sr-Latn-ME"/>
        </w:rPr>
        <w:t>antibioticima (</w:t>
      </w:r>
      <w:proofErr w:type="spellStart"/>
      <w:r w:rsidR="00FC2A23" w:rsidRPr="00641C6D">
        <w:rPr>
          <w:bCs/>
          <w:sz w:val="22"/>
          <w:szCs w:val="22"/>
          <w:lang w:val="sr-Latn-ME"/>
        </w:rPr>
        <w:t>klaritromicin</w:t>
      </w:r>
      <w:proofErr w:type="spellEnd"/>
      <w:r w:rsidR="00FC2A23"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="00FC2A23" w:rsidRPr="00641C6D">
        <w:rPr>
          <w:bCs/>
          <w:sz w:val="22"/>
          <w:szCs w:val="22"/>
          <w:lang w:val="sr-Latn-ME"/>
        </w:rPr>
        <w:t>metronidazol</w:t>
      </w:r>
      <w:proofErr w:type="spellEnd"/>
      <w:r w:rsidR="00FC2A23"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="00FC2A23" w:rsidRPr="00641C6D">
        <w:rPr>
          <w:bCs/>
          <w:sz w:val="22"/>
          <w:szCs w:val="22"/>
          <w:lang w:val="sr-Latn-ME"/>
        </w:rPr>
        <w:t>amoksicilin</w:t>
      </w:r>
      <w:proofErr w:type="spellEnd"/>
      <w:r w:rsidR="00FC2A23" w:rsidRPr="00641C6D">
        <w:rPr>
          <w:bCs/>
          <w:sz w:val="22"/>
          <w:szCs w:val="22"/>
          <w:lang w:val="sr-Latn-ME"/>
        </w:rPr>
        <w:t>). Nijesu zabilježene klinički značajne interakcije.</w:t>
      </w:r>
    </w:p>
    <w:p w:rsidR="00FC2A23" w:rsidRPr="00641C6D" w:rsidRDefault="00FC2A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375D1" w:rsidRPr="00641C6D" w:rsidRDefault="00D810B5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Ljekov</w:t>
      </w:r>
      <w:r w:rsidR="00A375D1" w:rsidRPr="00641C6D">
        <w:rPr>
          <w:bCs/>
          <w:i/>
          <w:sz w:val="22"/>
          <w:szCs w:val="22"/>
          <w:lang w:val="sr-Latn-ME"/>
        </w:rPr>
        <w:t xml:space="preserve">i koji inhibiraju ili indukuju </w:t>
      </w:r>
      <w:proofErr w:type="spellStart"/>
      <w:r w:rsidR="00A375D1" w:rsidRPr="00641C6D">
        <w:rPr>
          <w:bCs/>
          <w:i/>
          <w:sz w:val="22"/>
          <w:szCs w:val="22"/>
          <w:lang w:val="sr-Latn-ME"/>
        </w:rPr>
        <w:t>CYP2C19</w:t>
      </w:r>
      <w:proofErr w:type="spellEnd"/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Inhibitori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CYP2C19</w:t>
      </w:r>
      <w:proofErr w:type="spellEnd"/>
      <w:r w:rsidRPr="00641C6D">
        <w:rPr>
          <w:bCs/>
          <w:sz w:val="22"/>
          <w:szCs w:val="22"/>
          <w:lang w:val="sr-Latn-ME"/>
        </w:rPr>
        <w:t xml:space="preserve"> kao što su </w:t>
      </w:r>
      <w:proofErr w:type="spellStart"/>
      <w:r w:rsidRPr="00641C6D">
        <w:rPr>
          <w:bCs/>
          <w:sz w:val="22"/>
          <w:szCs w:val="22"/>
          <w:lang w:val="sr-Latn-ME"/>
        </w:rPr>
        <w:t>fluvoksamin</w:t>
      </w:r>
      <w:proofErr w:type="spellEnd"/>
      <w:r w:rsidRPr="00641C6D">
        <w:rPr>
          <w:bCs/>
          <w:sz w:val="22"/>
          <w:szCs w:val="22"/>
          <w:lang w:val="sr-Latn-ME"/>
        </w:rPr>
        <w:t xml:space="preserve"> mogu povećati sistemsku izloženost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. Treba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razmotriti smanjenje doze kod pacijenata koji su na dugotrajnoj terapiji velikim dozama </w:t>
      </w:r>
      <w:proofErr w:type="spellStart"/>
      <w:r w:rsidRPr="00641C6D">
        <w:rPr>
          <w:bCs/>
          <w:sz w:val="22"/>
          <w:szCs w:val="22"/>
          <w:lang w:val="sr-Latn-ME"/>
        </w:rPr>
        <w:t>pantoprazolom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kod pacijenata sa oštećenjem funkcije jetre. </w:t>
      </w:r>
    </w:p>
    <w:p w:rsidR="00A375D1" w:rsidRPr="00641C6D" w:rsidRDefault="00A375D1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Induktori </w:t>
      </w:r>
      <w:proofErr w:type="spellStart"/>
      <w:r w:rsidRPr="00641C6D">
        <w:rPr>
          <w:bCs/>
          <w:sz w:val="22"/>
          <w:szCs w:val="22"/>
          <w:lang w:val="sr-Latn-ME"/>
        </w:rPr>
        <w:t>CYP2C19</w:t>
      </w:r>
      <w:proofErr w:type="spellEnd"/>
      <w:r w:rsidRPr="00641C6D">
        <w:rPr>
          <w:bCs/>
          <w:sz w:val="22"/>
          <w:szCs w:val="22"/>
          <w:lang w:val="sr-Latn-ME"/>
        </w:rPr>
        <w:t xml:space="preserve"> i </w:t>
      </w:r>
      <w:proofErr w:type="spellStart"/>
      <w:r w:rsidRPr="00641C6D">
        <w:rPr>
          <w:bCs/>
          <w:sz w:val="22"/>
          <w:szCs w:val="22"/>
          <w:lang w:val="sr-Latn-ME"/>
        </w:rPr>
        <w:t>CYP3A4</w:t>
      </w:r>
      <w:proofErr w:type="spellEnd"/>
      <w:r w:rsidRPr="00641C6D">
        <w:rPr>
          <w:bCs/>
          <w:sz w:val="22"/>
          <w:szCs w:val="22"/>
          <w:lang w:val="sr-Latn-ME"/>
        </w:rPr>
        <w:t xml:space="preserve"> enzima kao što su </w:t>
      </w:r>
      <w:proofErr w:type="spellStart"/>
      <w:r w:rsidRPr="00641C6D">
        <w:rPr>
          <w:bCs/>
          <w:sz w:val="22"/>
          <w:szCs w:val="22"/>
          <w:lang w:val="sr-Latn-ME"/>
        </w:rPr>
        <w:t>rifampicin</w:t>
      </w:r>
      <w:proofErr w:type="spellEnd"/>
      <w:r w:rsidRPr="00641C6D">
        <w:rPr>
          <w:bCs/>
          <w:sz w:val="22"/>
          <w:szCs w:val="22"/>
          <w:lang w:val="sr-Latn-ME"/>
        </w:rPr>
        <w:t xml:space="preserve"> i kantarion (</w:t>
      </w:r>
      <w:proofErr w:type="spellStart"/>
      <w:r w:rsidRPr="00641C6D">
        <w:rPr>
          <w:bCs/>
          <w:i/>
          <w:sz w:val="22"/>
          <w:szCs w:val="22"/>
          <w:lang w:val="sr-Latn-ME"/>
        </w:rPr>
        <w:t>Hypericum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i/>
          <w:sz w:val="22"/>
          <w:szCs w:val="22"/>
          <w:lang w:val="sr-Latn-ME"/>
        </w:rPr>
        <w:t>perforatum</w:t>
      </w:r>
      <w:proofErr w:type="spellEnd"/>
      <w:r w:rsidRPr="00641C6D">
        <w:rPr>
          <w:bCs/>
          <w:sz w:val="22"/>
          <w:szCs w:val="22"/>
          <w:lang w:val="sr-Latn-ME"/>
        </w:rPr>
        <w:t xml:space="preserve">) mogu </w:t>
      </w:r>
      <w:r w:rsidR="00FC2A23" w:rsidRPr="00641C6D">
        <w:rPr>
          <w:bCs/>
          <w:sz w:val="22"/>
          <w:szCs w:val="22"/>
          <w:lang w:val="sr-Latn-ME"/>
        </w:rPr>
        <w:t xml:space="preserve">smanjiti koncentraciju </w:t>
      </w:r>
      <w:proofErr w:type="spellStart"/>
      <w:r w:rsidR="00FC2A23" w:rsidRPr="00641C6D">
        <w:rPr>
          <w:bCs/>
          <w:sz w:val="22"/>
          <w:szCs w:val="22"/>
          <w:lang w:val="sr-Latn-ME"/>
        </w:rPr>
        <w:t>inhibitora</w:t>
      </w:r>
      <w:proofErr w:type="spellEnd"/>
      <w:r w:rsidR="00FC2A23" w:rsidRPr="00641C6D">
        <w:rPr>
          <w:bCs/>
          <w:sz w:val="22"/>
          <w:szCs w:val="22"/>
          <w:lang w:val="sr-Latn-ME"/>
        </w:rPr>
        <w:t xml:space="preserve"> protonske pumpe u plazmi koji se </w:t>
      </w:r>
      <w:proofErr w:type="spellStart"/>
      <w:r w:rsidR="00FC2A23" w:rsidRPr="00641C6D">
        <w:rPr>
          <w:bCs/>
          <w:sz w:val="22"/>
          <w:szCs w:val="22"/>
          <w:lang w:val="sr-Latn-ME"/>
        </w:rPr>
        <w:t>metabolišu</w:t>
      </w:r>
      <w:proofErr w:type="spellEnd"/>
      <w:r w:rsidR="00FC2A23" w:rsidRPr="00641C6D">
        <w:rPr>
          <w:bCs/>
          <w:sz w:val="22"/>
          <w:szCs w:val="22"/>
          <w:lang w:val="sr-Latn-ME"/>
        </w:rPr>
        <w:t xml:space="preserve"> ovim sistemom enzima.</w:t>
      </w:r>
    </w:p>
    <w:p w:rsidR="00E611F8" w:rsidRPr="00641C6D" w:rsidRDefault="00E611F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4.6.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="006D20A5" w:rsidRPr="00641C6D">
        <w:rPr>
          <w:b/>
          <w:sz w:val="22"/>
          <w:szCs w:val="22"/>
          <w:lang w:val="sr-Latn-ME"/>
        </w:rPr>
        <w:t>Plodnost, trudnoća i dojenje</w:t>
      </w:r>
    </w:p>
    <w:p w:rsidR="002031B3" w:rsidRPr="00641C6D" w:rsidRDefault="002031B3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2031B3" w:rsidRPr="00641C6D" w:rsidRDefault="002031B3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>Plodnost</w:t>
      </w:r>
    </w:p>
    <w:p w:rsidR="002031B3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U ispitivanjima na životinjama nije bilo dokaza o smanjenoj plodnost</w:t>
      </w:r>
      <w:r w:rsidR="00FC2A23" w:rsidRPr="00641C6D">
        <w:rPr>
          <w:sz w:val="22"/>
          <w:szCs w:val="22"/>
          <w:lang w:val="sr-Latn-ME"/>
        </w:rPr>
        <w:t>i</w:t>
      </w:r>
      <w:r w:rsidRPr="00641C6D">
        <w:rPr>
          <w:sz w:val="22"/>
          <w:szCs w:val="22"/>
          <w:lang w:val="sr-Latn-ME"/>
        </w:rPr>
        <w:t xml:space="preserve"> nakon </w:t>
      </w:r>
      <w:r w:rsidR="001D332F" w:rsidRPr="00641C6D">
        <w:rPr>
          <w:sz w:val="22"/>
          <w:szCs w:val="22"/>
          <w:lang w:val="sr-Latn-ME"/>
        </w:rPr>
        <w:t>primjene</w:t>
      </w:r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pantoprazol</w:t>
      </w:r>
      <w:r w:rsidR="00E611F8" w:rsidRPr="00641C6D">
        <w:rPr>
          <w:sz w:val="22"/>
          <w:szCs w:val="22"/>
          <w:lang w:val="sr-Latn-ME"/>
        </w:rPr>
        <w:t>a</w:t>
      </w:r>
      <w:proofErr w:type="spellEnd"/>
      <w:r w:rsidRPr="00641C6D">
        <w:rPr>
          <w:sz w:val="22"/>
          <w:szCs w:val="22"/>
          <w:lang w:val="sr-Latn-ME"/>
        </w:rPr>
        <w:t xml:space="preserve">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E611F8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5.3)</w:t>
      </w:r>
      <w:r w:rsidR="00F5502D">
        <w:rPr>
          <w:sz w:val="22"/>
          <w:szCs w:val="22"/>
          <w:lang w:val="sr-Latn-ME"/>
        </w:rPr>
        <w:t>.</w:t>
      </w:r>
    </w:p>
    <w:p w:rsidR="00E611F8" w:rsidRPr="00641C6D" w:rsidRDefault="00E611F8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A3ECB" w:rsidRPr="00641C6D" w:rsidRDefault="007A3ECB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>Trudnoća</w:t>
      </w:r>
    </w:p>
    <w:p w:rsidR="00E611F8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Ograničeni podaci kod trudnica (između 300-1000 ishoda trudnoće) ukazuju da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 xml:space="preserve"> nema </w:t>
      </w:r>
      <w:proofErr w:type="spellStart"/>
      <w:r w:rsidRPr="00641C6D">
        <w:rPr>
          <w:sz w:val="22"/>
          <w:szCs w:val="22"/>
          <w:lang w:val="sr-Latn-ME"/>
        </w:rPr>
        <w:t>malformativnu</w:t>
      </w:r>
      <w:proofErr w:type="spellEnd"/>
      <w:r w:rsidRPr="00641C6D">
        <w:rPr>
          <w:sz w:val="22"/>
          <w:szCs w:val="22"/>
          <w:lang w:val="sr-Latn-ME"/>
        </w:rPr>
        <w:t xml:space="preserve"> ili </w:t>
      </w:r>
      <w:proofErr w:type="spellStart"/>
      <w:r w:rsidRPr="00641C6D">
        <w:rPr>
          <w:sz w:val="22"/>
          <w:szCs w:val="22"/>
          <w:lang w:val="sr-Latn-ME"/>
        </w:rPr>
        <w:t>feto</w:t>
      </w:r>
      <w:proofErr w:type="spellEnd"/>
      <w:r w:rsidRPr="00641C6D">
        <w:rPr>
          <w:sz w:val="22"/>
          <w:szCs w:val="22"/>
          <w:lang w:val="sr-Latn-ME"/>
        </w:rPr>
        <w:t>/</w:t>
      </w:r>
      <w:proofErr w:type="spellStart"/>
      <w:r w:rsidRPr="00641C6D">
        <w:rPr>
          <w:sz w:val="22"/>
          <w:szCs w:val="22"/>
          <w:lang w:val="sr-Latn-ME"/>
        </w:rPr>
        <w:t>neonatalnu</w:t>
      </w:r>
      <w:proofErr w:type="spellEnd"/>
      <w:r w:rsidRPr="00641C6D">
        <w:rPr>
          <w:sz w:val="22"/>
          <w:szCs w:val="22"/>
          <w:lang w:val="sr-Latn-ME"/>
        </w:rPr>
        <w:t xml:space="preserve"> toksičnost. </w:t>
      </w:r>
    </w:p>
    <w:p w:rsidR="002031B3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Studije na životinjama su pokazale reproduktivnu toksičnost (</w:t>
      </w:r>
      <w:r w:rsidR="005A0D73" w:rsidRPr="00641C6D">
        <w:rPr>
          <w:sz w:val="22"/>
          <w:szCs w:val="22"/>
          <w:lang w:val="sr-Latn-ME"/>
        </w:rPr>
        <w:t>vidjeti</w:t>
      </w:r>
      <w:r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Pr="00641C6D">
        <w:rPr>
          <w:sz w:val="22"/>
          <w:szCs w:val="22"/>
          <w:lang w:val="sr-Latn-ME"/>
        </w:rPr>
        <w:t xml:space="preserve"> 5.3).Kao m</w:t>
      </w:r>
      <w:r w:rsidR="00E611F8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era opreza, preporučuje se izb</w:t>
      </w:r>
      <w:r w:rsidR="00E611F8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egavanje </w:t>
      </w:r>
      <w:r w:rsidR="001D332F" w:rsidRPr="00641C6D">
        <w:rPr>
          <w:sz w:val="22"/>
          <w:szCs w:val="22"/>
          <w:lang w:val="sr-Latn-ME"/>
        </w:rPr>
        <w:t>primjene</w:t>
      </w:r>
      <w:r w:rsidRPr="00641C6D">
        <w:rPr>
          <w:sz w:val="22"/>
          <w:szCs w:val="22"/>
          <w:lang w:val="sr-Latn-ME"/>
        </w:rPr>
        <w:t xml:space="preserve">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 xml:space="preserve">a </w:t>
      </w:r>
      <w:proofErr w:type="spellStart"/>
      <w:r w:rsidRPr="00641C6D">
        <w:rPr>
          <w:sz w:val="22"/>
          <w:szCs w:val="22"/>
          <w:lang w:val="sr-Latn-ME"/>
        </w:rPr>
        <w:t>PORTORIN</w:t>
      </w:r>
      <w:proofErr w:type="spellEnd"/>
      <w:r w:rsidRPr="00641C6D">
        <w:rPr>
          <w:sz w:val="22"/>
          <w:szCs w:val="22"/>
          <w:lang w:val="sr-Latn-ME"/>
        </w:rPr>
        <w:t>, 40 mg tokom trudnoće</w:t>
      </w:r>
      <w:r w:rsidR="00E611F8" w:rsidRPr="00641C6D">
        <w:rPr>
          <w:sz w:val="22"/>
          <w:szCs w:val="22"/>
          <w:lang w:val="sr-Latn-ME"/>
        </w:rPr>
        <w:t>.</w:t>
      </w:r>
    </w:p>
    <w:p w:rsidR="0003119A" w:rsidRPr="00641C6D" w:rsidRDefault="0003119A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72020E" w:rsidRPr="00641C6D" w:rsidRDefault="007A3ECB" w:rsidP="0081748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41C6D">
        <w:rPr>
          <w:sz w:val="22"/>
          <w:szCs w:val="22"/>
          <w:u w:val="single"/>
          <w:lang w:val="sr-Latn-ME"/>
        </w:rPr>
        <w:t xml:space="preserve">Dojenje </w:t>
      </w:r>
    </w:p>
    <w:p w:rsidR="00A375D1" w:rsidRDefault="0003119A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S</w:t>
      </w:r>
      <w:r w:rsidR="005511C4" w:rsidRPr="00641C6D">
        <w:rPr>
          <w:sz w:val="22"/>
          <w:szCs w:val="22"/>
          <w:lang w:val="sr-Latn-ME"/>
        </w:rPr>
        <w:t xml:space="preserve">tudije na životinjama su pokazale da se </w:t>
      </w:r>
      <w:proofErr w:type="spellStart"/>
      <w:r w:rsidR="005511C4" w:rsidRPr="00641C6D">
        <w:rPr>
          <w:sz w:val="22"/>
          <w:szCs w:val="22"/>
          <w:lang w:val="sr-Latn-ME"/>
        </w:rPr>
        <w:t>pantoprazol</w:t>
      </w:r>
      <w:proofErr w:type="spellEnd"/>
      <w:r w:rsidR="005511C4" w:rsidRPr="00641C6D">
        <w:rPr>
          <w:sz w:val="22"/>
          <w:szCs w:val="22"/>
          <w:lang w:val="sr-Latn-ME"/>
        </w:rPr>
        <w:t xml:space="preserve"> izlučuje u </w:t>
      </w:r>
      <w:r w:rsidR="00937A06" w:rsidRPr="00641C6D">
        <w:rPr>
          <w:sz w:val="22"/>
          <w:szCs w:val="22"/>
          <w:lang w:val="sr-Latn-ME"/>
        </w:rPr>
        <w:t>ml</w:t>
      </w:r>
      <w:r w:rsidR="00D810B5" w:rsidRPr="00641C6D">
        <w:rPr>
          <w:sz w:val="22"/>
          <w:szCs w:val="22"/>
          <w:lang w:val="sr-Latn-ME"/>
        </w:rPr>
        <w:t>ijek</w:t>
      </w:r>
      <w:r w:rsidR="005511C4" w:rsidRPr="00641C6D">
        <w:rPr>
          <w:sz w:val="22"/>
          <w:szCs w:val="22"/>
          <w:lang w:val="sr-Latn-ME"/>
        </w:rPr>
        <w:t xml:space="preserve">o. Nema dovoljno informacija o izlučivanju </w:t>
      </w:r>
      <w:proofErr w:type="spellStart"/>
      <w:r w:rsidR="005511C4" w:rsidRPr="00641C6D">
        <w:rPr>
          <w:sz w:val="22"/>
          <w:szCs w:val="22"/>
          <w:lang w:val="sr-Latn-ME"/>
        </w:rPr>
        <w:t>pantoprazola</w:t>
      </w:r>
      <w:proofErr w:type="spellEnd"/>
      <w:r w:rsidR="005511C4" w:rsidRPr="00641C6D">
        <w:rPr>
          <w:sz w:val="22"/>
          <w:szCs w:val="22"/>
          <w:lang w:val="sr-Latn-ME"/>
        </w:rPr>
        <w:t xml:space="preserve"> u humano </w:t>
      </w:r>
      <w:r w:rsidR="00937A06" w:rsidRPr="00641C6D">
        <w:rPr>
          <w:sz w:val="22"/>
          <w:szCs w:val="22"/>
          <w:lang w:val="sr-Latn-ME"/>
        </w:rPr>
        <w:t>ml</w:t>
      </w:r>
      <w:r w:rsidR="00D810B5" w:rsidRPr="00641C6D">
        <w:rPr>
          <w:sz w:val="22"/>
          <w:szCs w:val="22"/>
          <w:lang w:val="sr-Latn-ME"/>
        </w:rPr>
        <w:t>ijek</w:t>
      </w:r>
      <w:r w:rsidR="005511C4" w:rsidRPr="00641C6D">
        <w:rPr>
          <w:sz w:val="22"/>
          <w:szCs w:val="22"/>
          <w:lang w:val="sr-Latn-ME"/>
        </w:rPr>
        <w:t>o, ali je zab</w:t>
      </w:r>
      <w:r w:rsidRPr="00641C6D">
        <w:rPr>
          <w:sz w:val="22"/>
          <w:szCs w:val="22"/>
          <w:lang w:val="sr-Latn-ME"/>
        </w:rPr>
        <w:t>i</w:t>
      </w:r>
      <w:r w:rsidR="005511C4" w:rsidRPr="00641C6D">
        <w:rPr>
          <w:sz w:val="22"/>
          <w:szCs w:val="22"/>
          <w:lang w:val="sr-Latn-ME"/>
        </w:rPr>
        <w:t>l</w:t>
      </w:r>
      <w:r w:rsidRPr="00641C6D">
        <w:rPr>
          <w:sz w:val="22"/>
          <w:szCs w:val="22"/>
          <w:lang w:val="sr-Latn-ME"/>
        </w:rPr>
        <w:t>j</w:t>
      </w:r>
      <w:r w:rsidR="005511C4" w:rsidRPr="00641C6D">
        <w:rPr>
          <w:sz w:val="22"/>
          <w:szCs w:val="22"/>
          <w:lang w:val="sr-Latn-ME"/>
        </w:rPr>
        <w:t xml:space="preserve">ežena ekskrecija u </w:t>
      </w:r>
      <w:r w:rsidR="00937A06" w:rsidRPr="00641C6D">
        <w:rPr>
          <w:sz w:val="22"/>
          <w:szCs w:val="22"/>
          <w:lang w:val="sr-Latn-ME"/>
        </w:rPr>
        <w:t>ml</w:t>
      </w:r>
      <w:r w:rsidR="00D810B5" w:rsidRPr="00641C6D">
        <w:rPr>
          <w:sz w:val="22"/>
          <w:szCs w:val="22"/>
          <w:lang w:val="sr-Latn-ME"/>
        </w:rPr>
        <w:t>ijek</w:t>
      </w:r>
      <w:r w:rsidR="005511C4" w:rsidRPr="00641C6D">
        <w:rPr>
          <w:sz w:val="22"/>
          <w:szCs w:val="22"/>
          <w:lang w:val="sr-Latn-ME"/>
        </w:rPr>
        <w:t xml:space="preserve">o kod žena. Upravo zbog ovoga se ne može isključiti rizik za novorođenče/odojče. Zbog toga, odluku o tome da li treba nastaviti/prekinuti dojenje ili nastaviti/prekinuti terapiju </w:t>
      </w:r>
      <w:r w:rsidR="00D810B5" w:rsidRPr="00641C6D">
        <w:rPr>
          <w:sz w:val="22"/>
          <w:szCs w:val="22"/>
          <w:lang w:val="sr-Latn-ME"/>
        </w:rPr>
        <w:t>lijek</w:t>
      </w:r>
      <w:r w:rsidR="005511C4" w:rsidRPr="00641C6D">
        <w:rPr>
          <w:sz w:val="22"/>
          <w:szCs w:val="22"/>
          <w:lang w:val="sr-Latn-ME"/>
        </w:rPr>
        <w:t xml:space="preserve">om </w:t>
      </w:r>
      <w:proofErr w:type="spellStart"/>
      <w:r w:rsidR="005511C4" w:rsidRPr="00641C6D">
        <w:rPr>
          <w:sz w:val="22"/>
          <w:szCs w:val="22"/>
          <w:lang w:val="sr-Latn-ME"/>
        </w:rPr>
        <w:t>PORTORIN</w:t>
      </w:r>
      <w:proofErr w:type="spellEnd"/>
      <w:r w:rsidR="005511C4" w:rsidRPr="00641C6D">
        <w:rPr>
          <w:sz w:val="22"/>
          <w:szCs w:val="22"/>
          <w:lang w:val="sr-Latn-ME"/>
        </w:rPr>
        <w:t xml:space="preserve"> treba don</w:t>
      </w:r>
      <w:r w:rsidR="00FC2A23" w:rsidRPr="00641C6D">
        <w:rPr>
          <w:sz w:val="22"/>
          <w:szCs w:val="22"/>
          <w:lang w:val="sr-Latn-ME"/>
        </w:rPr>
        <w:t>ij</w:t>
      </w:r>
      <w:r w:rsidR="005511C4" w:rsidRPr="00641C6D">
        <w:rPr>
          <w:sz w:val="22"/>
          <w:szCs w:val="22"/>
          <w:lang w:val="sr-Latn-ME"/>
        </w:rPr>
        <w:t>eti uzimajući u obzir korist dojenja za d</w:t>
      </w:r>
      <w:r w:rsidRPr="00641C6D">
        <w:rPr>
          <w:sz w:val="22"/>
          <w:szCs w:val="22"/>
          <w:lang w:val="sr-Latn-ME"/>
        </w:rPr>
        <w:t>ij</w:t>
      </w:r>
      <w:r w:rsidR="005511C4" w:rsidRPr="00641C6D">
        <w:rPr>
          <w:sz w:val="22"/>
          <w:szCs w:val="22"/>
          <w:lang w:val="sr-Latn-ME"/>
        </w:rPr>
        <w:t xml:space="preserve">ete i korist terapije </w:t>
      </w:r>
      <w:r w:rsidR="00D810B5" w:rsidRPr="00641C6D">
        <w:rPr>
          <w:sz w:val="22"/>
          <w:szCs w:val="22"/>
          <w:lang w:val="sr-Latn-ME"/>
        </w:rPr>
        <w:t>lijek</w:t>
      </w:r>
      <w:r w:rsidR="005511C4" w:rsidRPr="00641C6D">
        <w:rPr>
          <w:sz w:val="22"/>
          <w:szCs w:val="22"/>
          <w:lang w:val="sr-Latn-ME"/>
        </w:rPr>
        <w:t xml:space="preserve">om </w:t>
      </w:r>
      <w:proofErr w:type="spellStart"/>
      <w:r w:rsidR="005511C4" w:rsidRPr="00641C6D">
        <w:rPr>
          <w:sz w:val="22"/>
          <w:szCs w:val="22"/>
          <w:lang w:val="sr-Latn-ME"/>
        </w:rPr>
        <w:t>PORTORIN</w:t>
      </w:r>
      <w:proofErr w:type="spellEnd"/>
      <w:r w:rsidR="005511C4" w:rsidRPr="00641C6D">
        <w:rPr>
          <w:sz w:val="22"/>
          <w:szCs w:val="22"/>
          <w:lang w:val="sr-Latn-ME"/>
        </w:rPr>
        <w:t xml:space="preserve"> za majku.</w:t>
      </w:r>
    </w:p>
    <w:p w:rsidR="00F5502D" w:rsidRDefault="00F5502D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5502D" w:rsidRDefault="00F5502D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5502D" w:rsidRPr="00641C6D" w:rsidRDefault="00F5502D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 xml:space="preserve">Uticaj na </w:t>
      </w:r>
      <w:r w:rsidR="002031B3" w:rsidRPr="00641C6D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41C6D">
        <w:rPr>
          <w:b/>
          <w:bCs/>
          <w:sz w:val="22"/>
          <w:szCs w:val="22"/>
          <w:lang w:val="sr-Latn-ME"/>
        </w:rPr>
        <w:t>upravljanja vozili</w:t>
      </w:r>
      <w:r w:rsidRPr="00641C6D">
        <w:rPr>
          <w:b/>
          <w:bCs/>
          <w:sz w:val="22"/>
          <w:szCs w:val="22"/>
          <w:lang w:val="sr-Latn-ME"/>
        </w:rPr>
        <w:t>m</w:t>
      </w:r>
      <w:r w:rsidR="00F34554" w:rsidRPr="00641C6D">
        <w:rPr>
          <w:b/>
          <w:bCs/>
          <w:sz w:val="22"/>
          <w:szCs w:val="22"/>
          <w:lang w:val="sr-Latn-ME"/>
        </w:rPr>
        <w:t>a</w:t>
      </w:r>
      <w:r w:rsidRPr="00641C6D">
        <w:rPr>
          <w:b/>
          <w:bCs/>
          <w:sz w:val="22"/>
          <w:szCs w:val="22"/>
          <w:lang w:val="sr-Latn-ME"/>
        </w:rPr>
        <w:t xml:space="preserve"> i </w:t>
      </w:r>
      <w:r w:rsidR="000D3449" w:rsidRPr="00641C6D">
        <w:rPr>
          <w:b/>
          <w:bCs/>
          <w:sz w:val="22"/>
          <w:szCs w:val="22"/>
          <w:lang w:val="sr-Latn-ME"/>
        </w:rPr>
        <w:t xml:space="preserve">rukovanje </w:t>
      </w:r>
      <w:r w:rsidRPr="00641C6D">
        <w:rPr>
          <w:b/>
          <w:bCs/>
          <w:sz w:val="22"/>
          <w:szCs w:val="22"/>
          <w:lang w:val="sr-Latn-ME"/>
        </w:rPr>
        <w:t>mašinama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1C4" w:rsidRPr="00641C6D" w:rsidRDefault="00D810B5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Primjena</w:t>
      </w:r>
      <w:r w:rsidR="005511C4" w:rsidRPr="00641C6D">
        <w:rPr>
          <w:sz w:val="22"/>
          <w:szCs w:val="22"/>
          <w:lang w:val="sr-Latn-ME"/>
        </w:rPr>
        <w:t xml:space="preserve"> </w:t>
      </w:r>
      <w:proofErr w:type="spellStart"/>
      <w:r w:rsidR="005511C4" w:rsidRPr="00641C6D">
        <w:rPr>
          <w:sz w:val="22"/>
          <w:szCs w:val="22"/>
          <w:lang w:val="sr-Latn-ME"/>
        </w:rPr>
        <w:t>pantoprazola</w:t>
      </w:r>
      <w:proofErr w:type="spellEnd"/>
      <w:r w:rsidR="005511C4" w:rsidRPr="00641C6D">
        <w:rPr>
          <w:sz w:val="22"/>
          <w:szCs w:val="22"/>
          <w:lang w:val="sr-Latn-ME"/>
        </w:rPr>
        <w:t xml:space="preserve"> nema ili ima zanemarljiv uticaj na sposobnost upravljanja vozilima i rukovanja mašinama. Mogu se javiti neželjene reakcije </w:t>
      </w:r>
      <w:r w:rsidRPr="00641C6D">
        <w:rPr>
          <w:sz w:val="22"/>
          <w:szCs w:val="22"/>
          <w:lang w:val="sr-Latn-ME"/>
        </w:rPr>
        <w:t>lijek</w:t>
      </w:r>
      <w:r w:rsidR="005511C4" w:rsidRPr="00641C6D">
        <w:rPr>
          <w:sz w:val="22"/>
          <w:szCs w:val="22"/>
          <w:lang w:val="sr-Latn-ME"/>
        </w:rPr>
        <w:t>a kao što su vrtoglavica i poremećaji vida (</w:t>
      </w:r>
      <w:r w:rsidR="005A0D73" w:rsidRPr="00641C6D">
        <w:rPr>
          <w:sz w:val="22"/>
          <w:szCs w:val="22"/>
          <w:lang w:val="sr-Latn-ME"/>
        </w:rPr>
        <w:t>vidjeti</w:t>
      </w:r>
      <w:r w:rsidR="005511C4" w:rsidRPr="00641C6D">
        <w:rPr>
          <w:sz w:val="22"/>
          <w:szCs w:val="22"/>
          <w:lang w:val="sr-Latn-ME"/>
        </w:rPr>
        <w:t xml:space="preserve"> </w:t>
      </w:r>
      <w:r w:rsidR="005A0D73" w:rsidRPr="00641C6D">
        <w:rPr>
          <w:sz w:val="22"/>
          <w:szCs w:val="22"/>
          <w:lang w:val="sr-Latn-ME"/>
        </w:rPr>
        <w:t>dio</w:t>
      </w:r>
      <w:r w:rsidR="005511C4" w:rsidRPr="00641C6D">
        <w:rPr>
          <w:sz w:val="22"/>
          <w:szCs w:val="22"/>
          <w:lang w:val="sr-Latn-ME"/>
        </w:rPr>
        <w:t xml:space="preserve"> 4.8).</w:t>
      </w:r>
      <w:r w:rsidR="00147C23">
        <w:rPr>
          <w:sz w:val="22"/>
          <w:szCs w:val="22"/>
          <w:lang w:val="sr-Latn-ME"/>
        </w:rPr>
        <w:t xml:space="preserve"> </w:t>
      </w:r>
      <w:r w:rsidR="005511C4" w:rsidRPr="00641C6D">
        <w:rPr>
          <w:sz w:val="22"/>
          <w:szCs w:val="22"/>
          <w:lang w:val="sr-Latn-ME"/>
        </w:rPr>
        <w:t>U slučaju pojave ovih neželjenih dejstava, pacijenti ne sm</w:t>
      </w:r>
      <w:r w:rsidR="0003119A" w:rsidRPr="00641C6D">
        <w:rPr>
          <w:sz w:val="22"/>
          <w:szCs w:val="22"/>
          <w:lang w:val="sr-Latn-ME"/>
        </w:rPr>
        <w:t>i</w:t>
      </w:r>
      <w:r w:rsidR="005511C4" w:rsidRPr="00641C6D">
        <w:rPr>
          <w:sz w:val="22"/>
          <w:szCs w:val="22"/>
          <w:lang w:val="sr-Latn-ME"/>
        </w:rPr>
        <w:t>ju da upravljaju vozilima i rukuju mašinama.</w:t>
      </w: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4.8.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Neželjena dejstva</w:t>
      </w:r>
    </w:p>
    <w:p w:rsidR="00B10BC3" w:rsidRPr="00641C6D" w:rsidRDefault="00B10BC3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Kod približno 5% pacijenata može se očekivati pojava neželjenih reakcija na </w:t>
      </w:r>
      <w:r w:rsidR="00D810B5" w:rsidRPr="00641C6D">
        <w:rPr>
          <w:sz w:val="22"/>
          <w:szCs w:val="22"/>
          <w:lang w:val="sr-Latn-ME"/>
        </w:rPr>
        <w:t>lijek</w:t>
      </w:r>
      <w:r w:rsidRPr="00641C6D">
        <w:rPr>
          <w:sz w:val="22"/>
          <w:szCs w:val="22"/>
          <w:lang w:val="sr-Latn-ME"/>
        </w:rPr>
        <w:t>.</w:t>
      </w: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U tabeli u nastavku, neželjene reakcije na </w:t>
      </w:r>
      <w:proofErr w:type="spellStart"/>
      <w:r w:rsidRPr="00641C6D">
        <w:rPr>
          <w:sz w:val="22"/>
          <w:szCs w:val="22"/>
          <w:lang w:val="sr-Latn-ME"/>
        </w:rPr>
        <w:t>pantoprazol</w:t>
      </w:r>
      <w:proofErr w:type="spellEnd"/>
      <w:r w:rsidRPr="00641C6D">
        <w:rPr>
          <w:sz w:val="22"/>
          <w:szCs w:val="22"/>
          <w:lang w:val="sr-Latn-ME"/>
        </w:rPr>
        <w:t xml:space="preserve"> prikazane su prema sl</w:t>
      </w:r>
      <w:r w:rsidR="00B10BC3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edećoj klasifikaciji učestalosti: </w:t>
      </w:r>
    </w:p>
    <w:p w:rsidR="00B10BC3" w:rsidRPr="00641C6D" w:rsidRDefault="00B10BC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511C4" w:rsidRPr="00641C6D" w:rsidRDefault="00B10BC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V</w:t>
      </w:r>
      <w:r w:rsidR="005511C4" w:rsidRPr="00641C6D">
        <w:rPr>
          <w:sz w:val="22"/>
          <w:szCs w:val="22"/>
          <w:lang w:val="sr-Latn-ME"/>
        </w:rPr>
        <w:t>eoma često (≥1/10); često (≥1/100 do &lt;1/10); povremeno (od ≥1/1000 do &lt;1/100); r</w:t>
      </w:r>
      <w:r w:rsidRPr="00641C6D">
        <w:rPr>
          <w:sz w:val="22"/>
          <w:szCs w:val="22"/>
          <w:lang w:val="sr-Latn-ME"/>
        </w:rPr>
        <w:t>ij</w:t>
      </w:r>
      <w:r w:rsidR="005511C4" w:rsidRPr="00641C6D">
        <w:rPr>
          <w:sz w:val="22"/>
          <w:szCs w:val="22"/>
          <w:lang w:val="sr-Latn-ME"/>
        </w:rPr>
        <w:t>etko (≥1/10000 do &lt;1/1000);veoma r</w:t>
      </w:r>
      <w:r w:rsidRPr="00641C6D">
        <w:rPr>
          <w:sz w:val="22"/>
          <w:szCs w:val="22"/>
          <w:lang w:val="sr-Latn-ME"/>
        </w:rPr>
        <w:t>ij</w:t>
      </w:r>
      <w:r w:rsidR="005511C4" w:rsidRPr="00641C6D">
        <w:rPr>
          <w:sz w:val="22"/>
          <w:szCs w:val="22"/>
          <w:lang w:val="sr-Latn-ME"/>
        </w:rPr>
        <w:t xml:space="preserve">etko (&lt;1/10000); i nepoznato (učestalost se </w:t>
      </w:r>
      <w:r w:rsidRPr="00641C6D">
        <w:rPr>
          <w:sz w:val="22"/>
          <w:szCs w:val="22"/>
          <w:lang w:val="sr-Latn-ME"/>
        </w:rPr>
        <w:t xml:space="preserve">ne može </w:t>
      </w:r>
      <w:r w:rsidR="005511C4" w:rsidRPr="00641C6D">
        <w:rPr>
          <w:sz w:val="22"/>
          <w:szCs w:val="22"/>
          <w:lang w:val="sr-Latn-ME"/>
        </w:rPr>
        <w:t>proc</w:t>
      </w:r>
      <w:r w:rsidRPr="00641C6D">
        <w:rPr>
          <w:sz w:val="22"/>
          <w:szCs w:val="22"/>
          <w:lang w:val="sr-Latn-ME"/>
        </w:rPr>
        <w:t>ij</w:t>
      </w:r>
      <w:r w:rsidR="005511C4" w:rsidRPr="00641C6D">
        <w:rPr>
          <w:sz w:val="22"/>
          <w:szCs w:val="22"/>
          <w:lang w:val="sr-Latn-ME"/>
        </w:rPr>
        <w:t>eniti na osnovu dostupnih podataka).</w:t>
      </w: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Za </w:t>
      </w:r>
      <w:r w:rsidR="00B10BC3" w:rsidRPr="00641C6D">
        <w:rPr>
          <w:sz w:val="22"/>
          <w:szCs w:val="22"/>
          <w:lang w:val="sr-Latn-ME"/>
        </w:rPr>
        <w:t xml:space="preserve">sve </w:t>
      </w:r>
      <w:r w:rsidRPr="00641C6D">
        <w:rPr>
          <w:sz w:val="22"/>
          <w:szCs w:val="22"/>
          <w:lang w:val="sr-Latn-ME"/>
        </w:rPr>
        <w:t xml:space="preserve">neželjene reakcije prijavljene u </w:t>
      </w:r>
      <w:proofErr w:type="spellStart"/>
      <w:r w:rsidRPr="00641C6D">
        <w:rPr>
          <w:sz w:val="22"/>
          <w:szCs w:val="22"/>
          <w:lang w:val="sr-Latn-ME"/>
        </w:rPr>
        <w:t>postmarketinškom</w:t>
      </w:r>
      <w:proofErr w:type="spellEnd"/>
      <w:r w:rsidRPr="00641C6D">
        <w:rPr>
          <w:sz w:val="22"/>
          <w:szCs w:val="22"/>
          <w:lang w:val="sr-Latn-ME"/>
        </w:rPr>
        <w:t xml:space="preserve"> periodu, nije moguće prim</w:t>
      </w:r>
      <w:r w:rsidR="00B10BC3" w:rsidRPr="00641C6D">
        <w:rPr>
          <w:sz w:val="22"/>
          <w:szCs w:val="22"/>
          <w:lang w:val="sr-Latn-ME"/>
        </w:rPr>
        <w:t>ij</w:t>
      </w:r>
      <w:r w:rsidRPr="00641C6D">
        <w:rPr>
          <w:sz w:val="22"/>
          <w:szCs w:val="22"/>
          <w:lang w:val="sr-Latn-ME"/>
        </w:rPr>
        <w:t xml:space="preserve">eniti definisanu </w:t>
      </w:r>
      <w:r w:rsidR="00B10BC3" w:rsidRPr="00641C6D">
        <w:rPr>
          <w:sz w:val="22"/>
          <w:szCs w:val="22"/>
          <w:lang w:val="sr-Latn-ME"/>
        </w:rPr>
        <w:t>učestalost ispoljavanja</w:t>
      </w:r>
      <w:r w:rsidRPr="00641C6D">
        <w:rPr>
          <w:sz w:val="22"/>
          <w:szCs w:val="22"/>
          <w:lang w:val="sr-Latn-ME"/>
        </w:rPr>
        <w:t xml:space="preserve">, </w:t>
      </w:r>
      <w:r w:rsidR="00B10BC3" w:rsidRPr="00641C6D">
        <w:rPr>
          <w:sz w:val="22"/>
          <w:szCs w:val="22"/>
          <w:lang w:val="sr-Latn-ME"/>
        </w:rPr>
        <w:t xml:space="preserve">pa </w:t>
      </w:r>
      <w:r w:rsidRPr="00641C6D">
        <w:rPr>
          <w:sz w:val="22"/>
          <w:szCs w:val="22"/>
          <w:lang w:val="sr-Latn-ME"/>
        </w:rPr>
        <w:t>su zato ove reakcije svrstane u kolonu „</w:t>
      </w:r>
      <w:proofErr w:type="spellStart"/>
      <w:r w:rsidRPr="00641C6D">
        <w:rPr>
          <w:sz w:val="22"/>
          <w:szCs w:val="22"/>
          <w:lang w:val="sr-Latn-ME"/>
        </w:rPr>
        <w:t>nepoznate</w:t>
      </w:r>
      <w:r w:rsidR="00B10BC3" w:rsidRPr="00641C6D">
        <w:rPr>
          <w:sz w:val="22"/>
          <w:szCs w:val="22"/>
          <w:lang w:val="sr-Latn-ME"/>
        </w:rPr>
        <w:t>“učestalosti</w:t>
      </w:r>
      <w:proofErr w:type="spellEnd"/>
      <w:r w:rsidRPr="00641C6D">
        <w:rPr>
          <w:sz w:val="22"/>
          <w:szCs w:val="22"/>
          <w:lang w:val="sr-Latn-ME"/>
        </w:rPr>
        <w:t>.</w:t>
      </w:r>
    </w:p>
    <w:p w:rsidR="00B10BC3" w:rsidRPr="00641C6D" w:rsidRDefault="00B10BC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Unutar svake grupe učestalosti, neželjene reakcije su prikazane prema </w:t>
      </w:r>
      <w:proofErr w:type="spellStart"/>
      <w:r w:rsidRPr="00641C6D">
        <w:rPr>
          <w:sz w:val="22"/>
          <w:szCs w:val="22"/>
          <w:lang w:val="sr-Latn-ME"/>
        </w:rPr>
        <w:t>opadajućem</w:t>
      </w:r>
      <w:proofErr w:type="spellEnd"/>
      <w:r w:rsidRPr="00641C6D">
        <w:rPr>
          <w:sz w:val="22"/>
          <w:szCs w:val="22"/>
          <w:lang w:val="sr-Latn-ME"/>
        </w:rPr>
        <w:t xml:space="preserve"> stepenu ozbiljnosti.</w:t>
      </w:r>
    </w:p>
    <w:p w:rsidR="00B10BC3" w:rsidRPr="00641C6D" w:rsidRDefault="00B10BC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Tabela 1.: </w:t>
      </w:r>
      <w:r w:rsidR="00B10BC3" w:rsidRPr="00641C6D">
        <w:rPr>
          <w:sz w:val="22"/>
          <w:szCs w:val="22"/>
          <w:lang w:val="sr-Latn-ME"/>
        </w:rPr>
        <w:t>N</w:t>
      </w:r>
      <w:r w:rsidRPr="00641C6D">
        <w:rPr>
          <w:sz w:val="22"/>
          <w:szCs w:val="22"/>
          <w:lang w:val="sr-Latn-ME"/>
        </w:rPr>
        <w:t xml:space="preserve">eželjene reakcije na </w:t>
      </w:r>
      <w:proofErr w:type="spellStart"/>
      <w:r w:rsidRPr="00641C6D">
        <w:rPr>
          <w:sz w:val="22"/>
          <w:szCs w:val="22"/>
          <w:lang w:val="sr-Latn-ME"/>
        </w:rPr>
        <w:t>pantoprazol</w:t>
      </w:r>
      <w:proofErr w:type="spellEnd"/>
      <w:r w:rsidRPr="00641C6D">
        <w:rPr>
          <w:sz w:val="22"/>
          <w:szCs w:val="22"/>
          <w:lang w:val="sr-Latn-ME"/>
        </w:rPr>
        <w:t xml:space="preserve"> u kliničkim studijama i </w:t>
      </w:r>
      <w:proofErr w:type="spellStart"/>
      <w:r w:rsidRPr="00641C6D">
        <w:rPr>
          <w:sz w:val="22"/>
          <w:szCs w:val="22"/>
          <w:lang w:val="sr-Latn-ME"/>
        </w:rPr>
        <w:t>postmarketinškom</w:t>
      </w:r>
      <w:proofErr w:type="spellEnd"/>
      <w:r w:rsidRPr="00641C6D">
        <w:rPr>
          <w:sz w:val="22"/>
          <w:szCs w:val="22"/>
          <w:lang w:val="sr-Latn-ME"/>
        </w:rPr>
        <w:t xml:space="preserve"> praćenju.</w:t>
      </w:r>
      <w:r w:rsidRPr="00641C6D">
        <w:rPr>
          <w:sz w:val="22"/>
          <w:szCs w:val="22"/>
          <w:lang w:val="sr-Latn-ME"/>
        </w:rPr>
        <w:cr/>
      </w:r>
    </w:p>
    <w:tbl>
      <w:tblPr>
        <w:tblW w:w="9810" w:type="dxa"/>
        <w:tblCellSpacing w:w="0" w:type="dxa"/>
        <w:tblInd w:w="-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3"/>
        <w:gridCol w:w="1387"/>
        <w:gridCol w:w="1501"/>
        <w:gridCol w:w="2009"/>
        <w:gridCol w:w="1766"/>
        <w:gridCol w:w="1654"/>
      </w:tblGrid>
      <w:tr w:rsidR="005511C4" w:rsidRPr="00641C6D" w:rsidTr="00BD10EA">
        <w:trPr>
          <w:trHeight w:val="695"/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b/>
                <w:bCs/>
                <w:sz w:val="22"/>
                <w:szCs w:val="22"/>
                <w:lang w:val="sr-Latn-ME" w:eastAsia="el-GR"/>
              </w:rPr>
            </w:pPr>
            <w:r w:rsidRPr="00641C6D">
              <w:rPr>
                <w:b/>
                <w:sz w:val="22"/>
                <w:szCs w:val="22"/>
                <w:lang w:val="sr-Latn-ME"/>
              </w:rPr>
              <w:t>Učestalost</w:t>
            </w:r>
            <w:r w:rsidRPr="00641C6D">
              <w:rPr>
                <w:b/>
                <w:bCs/>
                <w:sz w:val="22"/>
                <w:szCs w:val="22"/>
                <w:lang w:val="sr-Latn-ME" w:eastAsia="el-GR"/>
              </w:rPr>
              <w:t xml:space="preserve"> </w:t>
            </w:r>
          </w:p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Često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(od ≥1/100 do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&lt;1/10)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Povremeno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(od ≥1/1000 do</w:t>
            </w:r>
          </w:p>
          <w:p w:rsidR="005511C4" w:rsidRPr="00641C6D" w:rsidRDefault="005511C4" w:rsidP="00817486">
            <w:pPr>
              <w:jc w:val="both"/>
              <w:rPr>
                <w:b/>
                <w:bCs/>
                <w:sz w:val="22"/>
                <w:szCs w:val="22"/>
                <w:lang w:val="sr-Latn-ME" w:eastAsia="el-GR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&lt;1/100)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Rijetko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(od ≥1/10000 do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˂1/1000)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Veoma rijetko</w:t>
            </w:r>
          </w:p>
          <w:p w:rsidR="005511C4" w:rsidRPr="00641C6D" w:rsidRDefault="005511C4" w:rsidP="00817486">
            <w:pPr>
              <w:jc w:val="both"/>
              <w:rPr>
                <w:b/>
                <w:bCs/>
                <w:sz w:val="22"/>
                <w:szCs w:val="22"/>
                <w:lang w:val="sr-Latn-ME" w:eastAsia="el-GR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 xml:space="preserve">(&lt;1/10000) 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b/>
                <w:bCs/>
                <w:sz w:val="22"/>
                <w:szCs w:val="22"/>
                <w:lang w:val="sr-Latn-ME" w:eastAsia="el-GR"/>
              </w:rPr>
            </w:pPr>
            <w:r w:rsidRPr="00641C6D"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B10BC3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641C6D">
              <w:rPr>
                <w:b/>
                <w:bCs/>
                <w:sz w:val="22"/>
                <w:szCs w:val="22"/>
                <w:lang w:val="sr-Latn-ME" w:eastAsia="el-GR"/>
              </w:rPr>
              <w:t>Klasifikacija po sistemima organa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autoSpaceDE w:val="0"/>
              <w:autoSpaceDN w:val="0"/>
              <w:adjustRightInd w:val="0"/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BC3" w:rsidRPr="00641C6D" w:rsidRDefault="00B10BC3" w:rsidP="00817486">
            <w:pPr>
              <w:jc w:val="both"/>
              <w:rPr>
                <w:rFonts w:eastAsia="TimesNewRoman,Bold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Poremećaji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na nivou krvi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i limfnog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 w:eastAsia="el-GR"/>
              </w:rPr>
              <w:t>Agranulocitoza</w:t>
            </w:r>
            <w:proofErr w:type="spellEnd"/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 w:eastAsia="el-GR"/>
              </w:rPr>
              <w:t>Thrombocitopenija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Leukopenia</w:t>
            </w:r>
            <w:proofErr w:type="spellEnd"/>
            <w:r w:rsidRPr="00641C6D">
              <w:rPr>
                <w:sz w:val="22"/>
                <w:szCs w:val="22"/>
                <w:lang w:val="sr-Latn-ME" w:eastAsia="el-GR"/>
              </w:rPr>
              <w:t xml:space="preserve">; </w:t>
            </w:r>
            <w:proofErr w:type="spellStart"/>
            <w:r w:rsidRPr="00641C6D">
              <w:rPr>
                <w:sz w:val="22"/>
                <w:szCs w:val="22"/>
                <w:lang w:val="sr-Latn-ME" w:eastAsia="el-GR"/>
              </w:rPr>
              <w:t>Pancitopenija</w:t>
            </w:r>
            <w:proofErr w:type="spellEnd"/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Poremećaji imunog sistema</w:t>
            </w:r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Preosjetljivost</w:t>
            </w:r>
          </w:p>
          <w:p w:rsidR="005511C4" w:rsidRPr="00641C6D" w:rsidRDefault="005511C4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641C6D">
              <w:rPr>
                <w:rFonts w:eastAsia="TimesNewRoman"/>
                <w:sz w:val="22"/>
                <w:szCs w:val="22"/>
                <w:lang w:val="sr-Latn-ME"/>
              </w:rPr>
              <w:t>(uključujući</w:t>
            </w:r>
            <w:r w:rsidR="00B10BC3" w:rsidRPr="00641C6D">
              <w:rPr>
                <w:rFonts w:eastAsia="TimesNew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B10BC3" w:rsidRPr="00641C6D">
              <w:rPr>
                <w:rFonts w:eastAsia="TimesNewRoman"/>
                <w:sz w:val="22"/>
                <w:szCs w:val="22"/>
                <w:lang w:val="sr-Latn-ME"/>
              </w:rPr>
              <w:t>a</w:t>
            </w:r>
            <w:r w:rsidRPr="00641C6D">
              <w:rPr>
                <w:rFonts w:eastAsia="TimesNewRoman"/>
                <w:sz w:val="22"/>
                <w:szCs w:val="22"/>
                <w:lang w:val="sr-Latn-ME"/>
              </w:rPr>
              <w:t>nafilaktične</w:t>
            </w:r>
            <w:proofErr w:type="spellEnd"/>
            <w:r w:rsidR="00B10BC3" w:rsidRPr="00641C6D">
              <w:rPr>
                <w:rFonts w:eastAsia="TimesNewRoman"/>
                <w:sz w:val="22"/>
                <w:szCs w:val="22"/>
                <w:lang w:val="sr-Latn-ME"/>
              </w:rPr>
              <w:t xml:space="preserve"> </w:t>
            </w:r>
            <w:r w:rsidRPr="00641C6D">
              <w:rPr>
                <w:rFonts w:eastAsia="TimesNewRoman"/>
                <w:sz w:val="22"/>
                <w:szCs w:val="22"/>
                <w:lang w:val="sr-Latn-ME"/>
              </w:rPr>
              <w:t>reakcije i</w:t>
            </w:r>
          </w:p>
          <w:p w:rsidR="005511C4" w:rsidRPr="00641C6D" w:rsidRDefault="00B10BC3" w:rsidP="0081748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rFonts w:eastAsia="TimesNewRoman"/>
                <w:sz w:val="22"/>
                <w:szCs w:val="22"/>
                <w:lang w:val="sr-Latn-ME"/>
              </w:rPr>
              <w:t>a</w:t>
            </w:r>
            <w:r w:rsidR="005511C4" w:rsidRPr="00641C6D">
              <w:rPr>
                <w:rFonts w:eastAsia="TimesNewRoman"/>
                <w:sz w:val="22"/>
                <w:szCs w:val="22"/>
                <w:lang w:val="sr-Latn-ME"/>
              </w:rPr>
              <w:t>nafilaktični</w:t>
            </w:r>
            <w:proofErr w:type="spellEnd"/>
            <w:r w:rsidRPr="00641C6D">
              <w:rPr>
                <w:rFonts w:eastAsia="TimesNewRoman"/>
                <w:sz w:val="22"/>
                <w:szCs w:val="22"/>
                <w:lang w:val="sr-Latn-ME"/>
              </w:rPr>
              <w:t xml:space="preserve"> </w:t>
            </w:r>
            <w:r w:rsidR="005511C4" w:rsidRPr="00641C6D">
              <w:rPr>
                <w:rFonts w:eastAsia="TimesNewRoman"/>
                <w:sz w:val="22"/>
                <w:szCs w:val="22"/>
                <w:lang w:val="sr-Latn-ME"/>
              </w:rPr>
              <w:t>šok)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Hiperlipidemije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i povećanje lipida (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trigliceridi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holesterol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>); promjene u tjelesnoj masi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Hiponatremija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Hipomagnezijemija</w:t>
            </w:r>
            <w:proofErr w:type="spellEnd"/>
          </w:p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(vidjeti </w:t>
            </w:r>
            <w:r w:rsidR="00FC2A23" w:rsidRPr="00641C6D">
              <w:rPr>
                <w:sz w:val="22"/>
                <w:szCs w:val="22"/>
                <w:lang w:val="sr-Latn-ME"/>
              </w:rPr>
              <w:t xml:space="preserve">dio </w:t>
            </w:r>
            <w:r w:rsidRPr="00641C6D">
              <w:rPr>
                <w:sz w:val="22"/>
                <w:szCs w:val="22"/>
                <w:lang w:val="sr-Latn-ME"/>
              </w:rPr>
              <w:t xml:space="preserve">4.4);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Hipokalcemija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>*</w:t>
            </w:r>
            <w:r w:rsidRPr="00641C6D">
              <w:rPr>
                <w:sz w:val="22"/>
                <w:szCs w:val="22"/>
                <w:vertAlign w:val="superscript"/>
                <w:lang w:val="sr-Latn-ME"/>
              </w:rPr>
              <w:t>)</w:t>
            </w:r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Hipokalemija</w:t>
            </w:r>
            <w:proofErr w:type="spellEnd"/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 spavanja)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Depresija (uz sva pogoršanja)</w:t>
            </w:r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Dezorijentacija (uz sva pogoršanja) </w:t>
            </w:r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Halucinacije; konfuzija (posebno kod predisponiranih pacijenata, kao i pogoršanje kod pacijenata sa već prisutnim navedenim simptomima)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lastRenderedPageBreak/>
              <w:t>Poremećaji nervnog sistema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Glavobolja; vrtoglavica;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 čula ukusa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Parestezija</w:t>
            </w:r>
            <w:proofErr w:type="spellEnd"/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Poremećaji na nivou oka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Poremećaji vida (zamućen vid)</w:t>
            </w:r>
            <w:r w:rsidRPr="00641C6D">
              <w:rPr>
                <w:sz w:val="22"/>
                <w:szCs w:val="22"/>
                <w:lang w:val="sr-Latn-ME" w:eastAsia="el-GR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Gastrointesti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nalni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poremećaji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Polipi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fundusnih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</w:p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žl</w:t>
            </w:r>
            <w:r w:rsidR="00FC2A23" w:rsidRPr="00641C6D">
              <w:rPr>
                <w:sz w:val="22"/>
                <w:szCs w:val="22"/>
                <w:lang w:val="sr-Latn-ME"/>
              </w:rPr>
              <w:t>ij</w:t>
            </w:r>
            <w:r w:rsidRPr="00641C6D">
              <w:rPr>
                <w:sz w:val="22"/>
                <w:szCs w:val="22"/>
                <w:lang w:val="sr-Latn-ME"/>
              </w:rPr>
              <w:t>ezda (benigni)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147C23">
            <w:pPr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Dijareja; mučnina/ povraćanje; nadimanje i gasovi; konstipacija; suva usta; bol i nelagodnost u abdomenu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 w:eastAsia="el-GR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 xml:space="preserve"> Mikroskopski </w:t>
            </w:r>
          </w:p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kolitis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B10BC3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Hepatobilijar</w:t>
            </w:r>
            <w:r w:rsidR="005511C4" w:rsidRPr="00641C6D">
              <w:rPr>
                <w:sz w:val="22"/>
                <w:szCs w:val="22"/>
                <w:lang w:val="sr-Latn-ME"/>
              </w:rPr>
              <w:t>ni</w:t>
            </w:r>
            <w:proofErr w:type="spellEnd"/>
            <w:r w:rsidR="005511C4" w:rsidRPr="00641C6D">
              <w:rPr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8F17AC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Povećanje vrijednosti </w:t>
            </w:r>
            <w:r w:rsidR="005511C4" w:rsidRPr="00641C6D">
              <w:rPr>
                <w:sz w:val="22"/>
                <w:szCs w:val="22"/>
                <w:lang w:val="sr-Latn-ME"/>
              </w:rPr>
              <w:t xml:space="preserve"> enzima jetre (</w:t>
            </w:r>
            <w:proofErr w:type="spellStart"/>
            <w:r w:rsidR="005511C4" w:rsidRPr="00641C6D">
              <w:rPr>
                <w:sz w:val="22"/>
                <w:szCs w:val="22"/>
                <w:lang w:val="sr-Latn-ME"/>
              </w:rPr>
              <w:t>transaminaze</w:t>
            </w:r>
            <w:proofErr w:type="spellEnd"/>
            <w:r w:rsidR="005511C4" w:rsidRPr="00641C6D">
              <w:rPr>
                <w:sz w:val="22"/>
                <w:szCs w:val="22"/>
                <w:lang w:val="sr-Latn-ME"/>
              </w:rPr>
              <w:t>, γ-</w:t>
            </w:r>
            <w:proofErr w:type="spellStart"/>
            <w:r w:rsidR="005511C4" w:rsidRPr="00641C6D">
              <w:rPr>
                <w:sz w:val="22"/>
                <w:szCs w:val="22"/>
                <w:lang w:val="sr-Latn-ME"/>
              </w:rPr>
              <w:t>GT</w:t>
            </w:r>
            <w:proofErr w:type="spellEnd"/>
            <w:r w:rsidR="005511C4" w:rsidRPr="00641C6D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8F17AC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Povećanje vrijednosti  </w:t>
            </w:r>
            <w:proofErr w:type="spellStart"/>
            <w:r w:rsidR="005511C4" w:rsidRPr="00641C6D">
              <w:rPr>
                <w:sz w:val="22"/>
                <w:szCs w:val="22"/>
                <w:lang w:val="sr-Latn-ME"/>
              </w:rPr>
              <w:t>bilirubina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Hepatocelularno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oštećenje; žutica;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hepatocelularna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insuficijencija</w:t>
            </w:r>
            <w:proofErr w:type="spellEnd"/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Poremećaji na nivou kože i potkožnog tkiva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Osip (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egzantem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, erupcije),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pruritus</w:t>
            </w:r>
            <w:proofErr w:type="spellEnd"/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Urtikarija;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641C6D">
              <w:rPr>
                <w:i/>
                <w:sz w:val="22"/>
                <w:szCs w:val="22"/>
                <w:lang w:val="sr-Latn-ME"/>
              </w:rPr>
              <w:t>-Johnson</w:t>
            </w:r>
            <w:r w:rsidRPr="00641C6D">
              <w:rPr>
                <w:sz w:val="22"/>
                <w:szCs w:val="22"/>
                <w:lang w:val="sr-Latn-ME"/>
              </w:rPr>
              <w:t xml:space="preserve"> sindrom; </w:t>
            </w:r>
            <w:proofErr w:type="spellStart"/>
            <w:r w:rsidRPr="00641C6D">
              <w:rPr>
                <w:i/>
                <w:sz w:val="22"/>
                <w:szCs w:val="22"/>
                <w:lang w:val="sr-Latn-ME"/>
              </w:rPr>
              <w:t>Lyell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sindrom;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eritema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multiforme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fotosenzitivnost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subakutni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kožni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lupus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eritematodes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(</w:t>
            </w:r>
            <w:r w:rsidR="005A0D73" w:rsidRPr="00641C6D">
              <w:rPr>
                <w:sz w:val="22"/>
                <w:szCs w:val="22"/>
                <w:lang w:val="sr-Latn-ME"/>
              </w:rPr>
              <w:t>vidjeti</w:t>
            </w:r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r w:rsidR="005A0D73" w:rsidRPr="00641C6D">
              <w:rPr>
                <w:sz w:val="22"/>
                <w:szCs w:val="22"/>
                <w:lang w:val="sr-Latn-ME"/>
              </w:rPr>
              <w:t>dio</w:t>
            </w:r>
            <w:r w:rsidRPr="00641C6D">
              <w:rPr>
                <w:sz w:val="22"/>
                <w:szCs w:val="22"/>
                <w:lang w:val="sr-Latn-ME"/>
              </w:rPr>
              <w:t xml:space="preserve"> 4.4)</w:t>
            </w:r>
            <w:r w:rsidR="008F17AC" w:rsidRPr="00641C6D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316F43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mišićnoskeletno,</w:t>
            </w:r>
            <w:r w:rsidR="005511C4" w:rsidRPr="00641C6D">
              <w:rPr>
                <w:sz w:val="22"/>
                <w:szCs w:val="22"/>
                <w:lang w:val="sr-Latn-ME"/>
              </w:rPr>
              <w:t>vezivnog</w:t>
            </w:r>
            <w:proofErr w:type="spellEnd"/>
            <w:r w:rsidR="005511C4" w:rsidRPr="00641C6D">
              <w:rPr>
                <w:sz w:val="22"/>
                <w:szCs w:val="22"/>
                <w:lang w:val="sr-Latn-ME"/>
              </w:rPr>
              <w:t xml:space="preserve"> i koštanog tkiva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Fraktura kuka, ručnog zgloba ili kičme (</w:t>
            </w:r>
            <w:r w:rsidR="005A0D73" w:rsidRPr="00641C6D">
              <w:rPr>
                <w:sz w:val="22"/>
                <w:szCs w:val="22"/>
                <w:lang w:val="sr-Latn-ME"/>
              </w:rPr>
              <w:t>vidjeti</w:t>
            </w:r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r w:rsidR="005A0D73" w:rsidRPr="00641C6D">
              <w:rPr>
                <w:sz w:val="22"/>
                <w:szCs w:val="22"/>
                <w:lang w:val="sr-Latn-ME"/>
              </w:rPr>
              <w:t>dio</w:t>
            </w:r>
            <w:r w:rsidRPr="00641C6D">
              <w:rPr>
                <w:sz w:val="22"/>
                <w:szCs w:val="22"/>
                <w:lang w:val="sr-Latn-ME"/>
              </w:rPr>
              <w:t xml:space="preserve"> 4.4)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;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mijalgija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Mišićni spazam </w:t>
            </w:r>
            <w:r w:rsidRPr="00641C6D">
              <w:rPr>
                <w:sz w:val="22"/>
                <w:szCs w:val="22"/>
                <w:vertAlign w:val="superscript"/>
                <w:lang w:val="sr-Latn-ME" w:eastAsia="el-GR"/>
              </w:rPr>
              <w:t>(2)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Poremećaji na nivou bubrega 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urinarnog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Intersticijalni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nefritis (sa mogućom progresijom do bubrežne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insuficijencije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Poremećaji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reproduktivn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og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sistema i na nivou dojki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Ginekomastija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</w:tr>
      <w:tr w:rsidR="005511C4" w:rsidRPr="00641C6D" w:rsidTr="00BD10EA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41C6D">
              <w:rPr>
                <w:sz w:val="22"/>
                <w:szCs w:val="22"/>
                <w:lang w:val="sr-Latn-ME"/>
              </w:rPr>
              <w:t>Tromboflebitis</w:t>
            </w:r>
            <w:proofErr w:type="spellEnd"/>
            <w:r w:rsidRPr="00641C6D">
              <w:rPr>
                <w:sz w:val="22"/>
                <w:szCs w:val="22"/>
                <w:lang w:val="sr-Latn-ME"/>
              </w:rPr>
              <w:t xml:space="preserve"> na mjestu primjene lijeka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>Astenija, malaksalost i osjećaj slabosti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/>
              </w:rPr>
              <w:t xml:space="preserve">Porast tjelesne temperature; periferni </w:t>
            </w:r>
            <w:proofErr w:type="spellStart"/>
            <w:r w:rsidRPr="00641C6D">
              <w:rPr>
                <w:sz w:val="22"/>
                <w:szCs w:val="22"/>
                <w:lang w:val="sr-Latn-ME"/>
              </w:rPr>
              <w:t>edem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1C4" w:rsidRPr="00641C6D" w:rsidRDefault="005511C4" w:rsidP="00817486">
            <w:pPr>
              <w:jc w:val="both"/>
              <w:rPr>
                <w:sz w:val="22"/>
                <w:szCs w:val="22"/>
                <w:lang w:val="sr-Latn-ME"/>
              </w:rPr>
            </w:pPr>
            <w:r w:rsidRPr="00641C6D">
              <w:rPr>
                <w:sz w:val="22"/>
                <w:szCs w:val="22"/>
                <w:lang w:val="sr-Latn-ME" w:eastAsia="el-GR"/>
              </w:rPr>
              <w:t> </w:t>
            </w:r>
          </w:p>
        </w:tc>
      </w:tr>
    </w:tbl>
    <w:p w:rsidR="00BD10EA" w:rsidRPr="00641C6D" w:rsidRDefault="00BD10EA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1 </w:t>
      </w:r>
      <w:proofErr w:type="spellStart"/>
      <w:r w:rsidRPr="00641C6D">
        <w:rPr>
          <w:sz w:val="22"/>
          <w:szCs w:val="22"/>
          <w:lang w:val="sr-Latn-ME"/>
        </w:rPr>
        <w:t>Hipokalcemija</w:t>
      </w:r>
      <w:proofErr w:type="spellEnd"/>
      <w:r w:rsidRPr="00641C6D">
        <w:rPr>
          <w:sz w:val="22"/>
          <w:szCs w:val="22"/>
          <w:lang w:val="sr-Latn-ME"/>
        </w:rPr>
        <w:t xml:space="preserve"> je povezana sa </w:t>
      </w:r>
      <w:proofErr w:type="spellStart"/>
      <w:r w:rsidRPr="00641C6D">
        <w:rPr>
          <w:sz w:val="22"/>
          <w:szCs w:val="22"/>
          <w:lang w:val="sr-Latn-ME"/>
        </w:rPr>
        <w:t>hipomagnezemijom</w:t>
      </w:r>
      <w:proofErr w:type="spellEnd"/>
      <w:r w:rsidRPr="00641C6D">
        <w:rPr>
          <w:sz w:val="22"/>
          <w:szCs w:val="22"/>
          <w:lang w:val="sr-Latn-ME"/>
        </w:rPr>
        <w:t xml:space="preserve"> (vid</w:t>
      </w:r>
      <w:r w:rsidR="007936DF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>eti dio 4.4)</w:t>
      </w:r>
    </w:p>
    <w:p w:rsidR="004E70AD" w:rsidRPr="00641C6D" w:rsidRDefault="00BD10EA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>2 Mišićni spazam je posl</w:t>
      </w:r>
      <w:r w:rsidR="007936DF" w:rsidRPr="00641C6D">
        <w:rPr>
          <w:sz w:val="22"/>
          <w:szCs w:val="22"/>
          <w:lang w:val="sr-Latn-ME"/>
        </w:rPr>
        <w:t>j</w:t>
      </w:r>
      <w:r w:rsidRPr="00641C6D">
        <w:rPr>
          <w:sz w:val="22"/>
          <w:szCs w:val="22"/>
          <w:lang w:val="sr-Latn-ME"/>
        </w:rPr>
        <w:t xml:space="preserve">edica </w:t>
      </w:r>
      <w:proofErr w:type="spellStart"/>
      <w:r w:rsidRPr="00641C6D">
        <w:rPr>
          <w:sz w:val="22"/>
          <w:szCs w:val="22"/>
          <w:lang w:val="sr-Latn-ME"/>
        </w:rPr>
        <w:t>elektrolitnog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disbalansa</w:t>
      </w:r>
      <w:proofErr w:type="spellEnd"/>
    </w:p>
    <w:p w:rsidR="005511C4" w:rsidRPr="00641C6D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511C4" w:rsidRDefault="005511C4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147C23" w:rsidRPr="00641C6D" w:rsidRDefault="00147C23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E43791" w:rsidRPr="00641C6D" w:rsidRDefault="00E43791" w:rsidP="0081748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641C6D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:rsidR="00E43791" w:rsidRPr="00641C6D" w:rsidRDefault="00E43791" w:rsidP="00817486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FC2A23" w:rsidRPr="00641C6D">
        <w:rPr>
          <w:rFonts w:eastAsia="Calibri"/>
          <w:sz w:val="22"/>
          <w:szCs w:val="22"/>
          <w:lang w:val="sr-Latn-ME"/>
        </w:rPr>
        <w:t xml:space="preserve"> za lijek </w:t>
      </w:r>
      <w:r w:rsidRPr="00641C6D">
        <w:rPr>
          <w:rFonts w:eastAsia="Calibri"/>
          <w:sz w:val="22"/>
          <w:szCs w:val="22"/>
          <w:lang w:val="sr-Latn-ME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641C6D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641C6D">
        <w:rPr>
          <w:rFonts w:eastAsia="Calibri"/>
          <w:sz w:val="22"/>
          <w:szCs w:val="22"/>
          <w:lang w:val="sr-Latn-ME"/>
        </w:rPr>
        <w:t>64a</w:t>
      </w:r>
      <w:proofErr w:type="spellEnd"/>
      <w:r w:rsidRPr="00641C6D">
        <w:rPr>
          <w:rFonts w:eastAsia="Calibri"/>
          <w:sz w:val="22"/>
          <w:szCs w:val="22"/>
          <w:lang w:val="sr-Latn-ME"/>
        </w:rPr>
        <w:t>, 81000 Podgorica</w:t>
      </w:r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>tel: +382 (0) 20 310 280</w:t>
      </w:r>
    </w:p>
    <w:p w:rsidR="00E43791" w:rsidRPr="00641C6D" w:rsidRDefault="00E43791" w:rsidP="00817486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41C6D">
        <w:rPr>
          <w:rFonts w:eastAsia="Calibri"/>
          <w:sz w:val="22"/>
          <w:szCs w:val="22"/>
          <w:lang w:val="sr-Latn-ME"/>
        </w:rPr>
        <w:t>fax</w:t>
      </w:r>
      <w:proofErr w:type="spellEnd"/>
      <w:r w:rsidRPr="00641C6D">
        <w:rPr>
          <w:rFonts w:eastAsia="Calibri"/>
          <w:sz w:val="22"/>
          <w:szCs w:val="22"/>
          <w:lang w:val="sr-Latn-ME"/>
        </w:rPr>
        <w:t>: +382 (0) 20 310 581</w:t>
      </w:r>
      <w:r w:rsidRPr="00641C6D">
        <w:rPr>
          <w:rFonts w:eastAsia="Calibri"/>
          <w:sz w:val="22"/>
          <w:szCs w:val="22"/>
          <w:lang w:val="sr-Latn-ME"/>
        </w:rPr>
        <w:tab/>
      </w:r>
    </w:p>
    <w:p w:rsidR="00E43791" w:rsidRPr="00641C6D" w:rsidRDefault="00EF3315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E43791" w:rsidRPr="00641C6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:rsidR="00E43791" w:rsidRPr="00641C6D" w:rsidRDefault="00EF3315" w:rsidP="0081748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E43791" w:rsidRPr="00641C6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41C6D">
        <w:rPr>
          <w:rFonts w:eastAsia="Calibri"/>
          <w:sz w:val="22"/>
          <w:szCs w:val="22"/>
          <w:lang w:val="sr-Latn-ME"/>
        </w:rPr>
        <w:t>putem IS zdravstvene zaštite</w:t>
      </w:r>
    </w:p>
    <w:p w:rsidR="00E43791" w:rsidRPr="00641C6D" w:rsidRDefault="00E43791" w:rsidP="0081748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41C6D">
        <w:rPr>
          <w:rFonts w:eastAsia="Calibri"/>
          <w:sz w:val="22"/>
          <w:szCs w:val="22"/>
          <w:lang w:val="sr-Latn-ME"/>
        </w:rPr>
        <w:t>QR</w:t>
      </w:r>
      <w:proofErr w:type="spellEnd"/>
      <w:r w:rsidRPr="00641C6D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641C6D">
        <w:rPr>
          <w:rFonts w:eastAsia="Calibri"/>
          <w:sz w:val="22"/>
          <w:szCs w:val="22"/>
          <w:lang w:val="sr-Latn-ME"/>
        </w:rPr>
        <w:t>online</w:t>
      </w:r>
      <w:proofErr w:type="spellEnd"/>
      <w:r w:rsidRPr="00641C6D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:rsidR="00836B35" w:rsidRPr="00641C6D" w:rsidRDefault="00E43791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noProof/>
          <w:sz w:val="22"/>
          <w:szCs w:val="22"/>
          <w:lang w:val="sr-Latn-ME" w:eastAsia="sr-Latn-ME"/>
        </w:rPr>
        <w:drawing>
          <wp:inline distT="0" distB="0" distL="0" distR="0" wp14:anchorId="1BE1305C" wp14:editId="2909080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91" w:rsidRPr="00641C6D" w:rsidRDefault="00E43791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4.9.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proofErr w:type="spellStart"/>
      <w:r w:rsidRPr="00641C6D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641C6D">
        <w:rPr>
          <w:b/>
          <w:bCs/>
          <w:sz w:val="22"/>
          <w:szCs w:val="22"/>
          <w:lang w:val="sr-Latn-ME"/>
        </w:rPr>
        <w:t xml:space="preserve"> 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BD10EA" w:rsidRPr="00641C6D" w:rsidRDefault="00551B82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Nema poznatih simptoma </w:t>
      </w:r>
      <w:proofErr w:type="spellStart"/>
      <w:r w:rsidRPr="00641C6D">
        <w:rPr>
          <w:sz w:val="22"/>
          <w:szCs w:val="22"/>
          <w:lang w:val="sr-Latn-ME"/>
        </w:rPr>
        <w:t>predoziranja</w:t>
      </w:r>
      <w:proofErr w:type="spellEnd"/>
      <w:r w:rsidRPr="00641C6D">
        <w:rPr>
          <w:sz w:val="22"/>
          <w:szCs w:val="22"/>
          <w:lang w:val="sr-Latn-ME"/>
        </w:rPr>
        <w:t xml:space="preserve"> kod </w:t>
      </w:r>
      <w:proofErr w:type="spellStart"/>
      <w:r w:rsidRPr="00641C6D">
        <w:rPr>
          <w:sz w:val="22"/>
          <w:szCs w:val="22"/>
          <w:lang w:val="sr-Latn-ME"/>
        </w:rPr>
        <w:t>ljudi</w:t>
      </w:r>
      <w:proofErr w:type="spellEnd"/>
      <w:r w:rsidRPr="00641C6D">
        <w:rPr>
          <w:sz w:val="22"/>
          <w:szCs w:val="22"/>
          <w:lang w:val="sr-Latn-ME"/>
        </w:rPr>
        <w:t xml:space="preserve">. </w:t>
      </w:r>
    </w:p>
    <w:p w:rsidR="00BD10EA" w:rsidRPr="00641C6D" w:rsidRDefault="00551B82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Sistemska izloženost dozi do 240 mg </w:t>
      </w:r>
      <w:proofErr w:type="spellStart"/>
      <w:r w:rsidRPr="00641C6D">
        <w:rPr>
          <w:sz w:val="22"/>
          <w:szCs w:val="22"/>
          <w:lang w:val="sr-Latn-ME"/>
        </w:rPr>
        <w:t>primenjene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intravenskim</w:t>
      </w:r>
      <w:proofErr w:type="spellEnd"/>
      <w:r w:rsidRPr="00641C6D">
        <w:rPr>
          <w:sz w:val="22"/>
          <w:szCs w:val="22"/>
          <w:lang w:val="sr-Latn-ME"/>
        </w:rPr>
        <w:t xml:space="preserve"> putem tokom 2 minuta dobro je tolerisana. </w:t>
      </w:r>
    </w:p>
    <w:p w:rsidR="00BD10EA" w:rsidRPr="00641C6D" w:rsidRDefault="00551B82" w:rsidP="008174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S obzirom na to da se </w:t>
      </w:r>
      <w:proofErr w:type="spellStart"/>
      <w:r w:rsidRPr="00641C6D">
        <w:rPr>
          <w:sz w:val="22"/>
          <w:szCs w:val="22"/>
          <w:lang w:val="sr-Latn-ME"/>
        </w:rPr>
        <w:t>pantoprazol</w:t>
      </w:r>
      <w:proofErr w:type="spellEnd"/>
      <w:r w:rsidRPr="00641C6D">
        <w:rPr>
          <w:sz w:val="22"/>
          <w:szCs w:val="22"/>
          <w:lang w:val="sr-Latn-ME"/>
        </w:rPr>
        <w:t xml:space="preserve"> u velikom procentu vezuje za proteine plazme, ne može se lako ukloniti dijalizom. </w:t>
      </w:r>
    </w:p>
    <w:p w:rsidR="00CD6F02" w:rsidRPr="00641C6D" w:rsidRDefault="00551B82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sz w:val="22"/>
          <w:szCs w:val="22"/>
          <w:lang w:val="sr-Latn-ME"/>
        </w:rPr>
        <w:t xml:space="preserve">U slučaju </w:t>
      </w:r>
      <w:proofErr w:type="spellStart"/>
      <w:r w:rsidRPr="00641C6D">
        <w:rPr>
          <w:sz w:val="22"/>
          <w:szCs w:val="22"/>
          <w:lang w:val="sr-Latn-ME"/>
        </w:rPr>
        <w:t>predoziranja</w:t>
      </w:r>
      <w:proofErr w:type="spellEnd"/>
      <w:r w:rsidRPr="00641C6D">
        <w:rPr>
          <w:sz w:val="22"/>
          <w:szCs w:val="22"/>
          <w:lang w:val="sr-Latn-ME"/>
        </w:rPr>
        <w:t xml:space="preserve"> sa kliničkim znacima </w:t>
      </w:r>
      <w:proofErr w:type="spellStart"/>
      <w:r w:rsidRPr="00641C6D">
        <w:rPr>
          <w:sz w:val="22"/>
          <w:szCs w:val="22"/>
          <w:lang w:val="sr-Latn-ME"/>
        </w:rPr>
        <w:t>intoksikacije</w:t>
      </w:r>
      <w:proofErr w:type="spellEnd"/>
      <w:r w:rsidRPr="00641C6D">
        <w:rPr>
          <w:sz w:val="22"/>
          <w:szCs w:val="22"/>
          <w:lang w:val="sr-Latn-ME"/>
        </w:rPr>
        <w:t xml:space="preserve">, osim </w:t>
      </w:r>
      <w:proofErr w:type="spellStart"/>
      <w:r w:rsidRPr="00641C6D">
        <w:rPr>
          <w:sz w:val="22"/>
          <w:szCs w:val="22"/>
          <w:lang w:val="sr-Latn-ME"/>
        </w:rPr>
        <w:t>simptomatske</w:t>
      </w:r>
      <w:proofErr w:type="spellEnd"/>
      <w:r w:rsidRPr="00641C6D">
        <w:rPr>
          <w:sz w:val="22"/>
          <w:szCs w:val="22"/>
          <w:lang w:val="sr-Latn-ME"/>
        </w:rPr>
        <w:t xml:space="preserve"> i </w:t>
      </w:r>
      <w:proofErr w:type="spellStart"/>
      <w:r w:rsidR="00BD10EA" w:rsidRPr="00641C6D">
        <w:rPr>
          <w:sz w:val="22"/>
          <w:szCs w:val="22"/>
          <w:lang w:val="sr-Latn-ME"/>
        </w:rPr>
        <w:t>su</w:t>
      </w:r>
      <w:r w:rsidRPr="00641C6D">
        <w:rPr>
          <w:sz w:val="22"/>
          <w:szCs w:val="22"/>
          <w:lang w:val="sr-Latn-ME"/>
        </w:rPr>
        <w:t>po</w:t>
      </w:r>
      <w:r w:rsidR="00BD10EA" w:rsidRPr="00641C6D">
        <w:rPr>
          <w:sz w:val="22"/>
          <w:szCs w:val="22"/>
          <w:lang w:val="sr-Latn-ME"/>
        </w:rPr>
        <w:t>rtivne</w:t>
      </w:r>
      <w:proofErr w:type="spellEnd"/>
      <w:r w:rsidRPr="00641C6D">
        <w:rPr>
          <w:sz w:val="22"/>
          <w:szCs w:val="22"/>
          <w:lang w:val="sr-Latn-ME"/>
        </w:rPr>
        <w:t xml:space="preserve"> terapije, ne mogu se dati druge specifične preporuke kod </w:t>
      </w:r>
      <w:proofErr w:type="spellStart"/>
      <w:r w:rsidRPr="00641C6D">
        <w:rPr>
          <w:sz w:val="22"/>
          <w:szCs w:val="22"/>
          <w:lang w:val="sr-Latn-ME"/>
        </w:rPr>
        <w:t>predoziranja</w:t>
      </w:r>
      <w:proofErr w:type="spellEnd"/>
      <w:r w:rsidRPr="00641C6D">
        <w:rPr>
          <w:sz w:val="22"/>
          <w:szCs w:val="22"/>
          <w:lang w:val="sr-Latn-ME"/>
        </w:rPr>
        <w:t xml:space="preserve"> </w:t>
      </w:r>
      <w:proofErr w:type="spellStart"/>
      <w:r w:rsidRPr="00641C6D">
        <w:rPr>
          <w:sz w:val="22"/>
          <w:szCs w:val="22"/>
          <w:lang w:val="sr-Latn-ME"/>
        </w:rPr>
        <w:t>pantoprazolom</w:t>
      </w:r>
      <w:proofErr w:type="spellEnd"/>
      <w:r w:rsidRPr="00641C6D">
        <w:rPr>
          <w:sz w:val="22"/>
          <w:szCs w:val="22"/>
          <w:lang w:val="sr-Latn-ME"/>
        </w:rPr>
        <w:t>.</w:t>
      </w:r>
    </w:p>
    <w:p w:rsidR="00227BDB" w:rsidRPr="00641C6D" w:rsidRDefault="00227BDB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5.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FARMAKOLOŠK</w:t>
      </w:r>
      <w:r w:rsidR="000D425A" w:rsidRPr="00641C6D">
        <w:rPr>
          <w:b/>
          <w:bCs/>
          <w:sz w:val="22"/>
          <w:szCs w:val="22"/>
          <w:lang w:val="sr-Latn-ME"/>
        </w:rPr>
        <w:t>I</w:t>
      </w:r>
      <w:r w:rsidRPr="00641C6D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5.1.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proofErr w:type="spellStart"/>
      <w:r w:rsidRPr="00641C6D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641C6D">
        <w:rPr>
          <w:b/>
          <w:bCs/>
          <w:sz w:val="22"/>
          <w:szCs w:val="22"/>
          <w:lang w:val="sr-Latn-ME"/>
        </w:rPr>
        <w:t xml:space="preserve"> podaci</w:t>
      </w:r>
      <w:r w:rsidR="003A7059" w:rsidRPr="00641C6D">
        <w:rPr>
          <w:b/>
          <w:bCs/>
          <w:sz w:val="22"/>
          <w:szCs w:val="22"/>
          <w:lang w:val="sr-Latn-ME"/>
        </w:rPr>
        <w:t xml:space="preserve"> </w:t>
      </w:r>
    </w:p>
    <w:p w:rsidR="00F45F77" w:rsidRPr="00641C6D" w:rsidRDefault="00F45F77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Farmakoterapijska</w:t>
      </w:r>
      <w:proofErr w:type="spellEnd"/>
      <w:r w:rsidRPr="00641C6D">
        <w:rPr>
          <w:bCs/>
          <w:sz w:val="22"/>
          <w:szCs w:val="22"/>
          <w:lang w:val="sr-Latn-ME"/>
        </w:rPr>
        <w:t xml:space="preserve"> grupa: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ljekov</w:t>
      </w:r>
      <w:r w:rsidR="00551B82" w:rsidRPr="00641C6D">
        <w:rPr>
          <w:bCs/>
          <w:sz w:val="22"/>
          <w:szCs w:val="22"/>
          <w:lang w:val="sr-Latn-ME"/>
        </w:rPr>
        <w:t xml:space="preserve">i za poremećaje </w:t>
      </w:r>
      <w:proofErr w:type="spellStart"/>
      <w:r w:rsidR="00551B82" w:rsidRPr="00641C6D">
        <w:rPr>
          <w:bCs/>
          <w:sz w:val="22"/>
          <w:szCs w:val="22"/>
          <w:lang w:val="sr-Latn-ME"/>
        </w:rPr>
        <w:t>aciditeta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; </w:t>
      </w:r>
      <w:proofErr w:type="spellStart"/>
      <w:r w:rsidR="00551B82" w:rsidRPr="00641C6D">
        <w:rPr>
          <w:bCs/>
          <w:sz w:val="22"/>
          <w:szCs w:val="22"/>
          <w:lang w:val="sr-Latn-ME"/>
        </w:rPr>
        <w:t>inhibitori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protonske pumpe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ATC kod:</w:t>
      </w:r>
      <w:r w:rsidR="00551B82" w:rsidRPr="00641C6D">
        <w:rPr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A02BC02</w:t>
      </w:r>
      <w:proofErr w:type="spellEnd"/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Mehanizam dejstva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je supstituisani </w:t>
      </w:r>
      <w:proofErr w:type="spellStart"/>
      <w:r w:rsidRPr="00641C6D">
        <w:rPr>
          <w:bCs/>
          <w:sz w:val="22"/>
          <w:szCs w:val="22"/>
          <w:lang w:val="sr-Latn-ME"/>
        </w:rPr>
        <w:t>benzimidazol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koji inhibira sekreciju hlorovodonične kiseline u želucu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specifičnim blokiranjem protonskih pumpi u </w:t>
      </w:r>
      <w:proofErr w:type="spellStart"/>
      <w:r w:rsidRPr="00641C6D">
        <w:rPr>
          <w:bCs/>
          <w:sz w:val="22"/>
          <w:szCs w:val="22"/>
          <w:lang w:val="sr-Latn-ME"/>
        </w:rPr>
        <w:t>parijetalnim</w:t>
      </w:r>
      <w:proofErr w:type="spellEnd"/>
      <w:r w:rsidRPr="00641C6D">
        <w:rPr>
          <w:bCs/>
          <w:sz w:val="22"/>
          <w:szCs w:val="22"/>
          <w:lang w:val="sr-Latn-ME"/>
        </w:rPr>
        <w:t xml:space="preserve"> ćelijama.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prelazi u aktivnu formu u </w:t>
      </w:r>
      <w:proofErr w:type="spellStart"/>
      <w:r w:rsidRPr="00641C6D">
        <w:rPr>
          <w:bCs/>
          <w:sz w:val="22"/>
          <w:szCs w:val="22"/>
          <w:lang w:val="sr-Latn-ME"/>
        </w:rPr>
        <w:t>kis</w:t>
      </w:r>
      <w:r w:rsidR="00344DEB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>eloj</w:t>
      </w:r>
      <w:proofErr w:type="spellEnd"/>
      <w:r w:rsidRPr="00641C6D">
        <w:rPr>
          <w:bCs/>
          <w:sz w:val="22"/>
          <w:szCs w:val="22"/>
          <w:lang w:val="sr-Latn-ME"/>
        </w:rPr>
        <w:t xml:space="preserve"> sredini u </w:t>
      </w:r>
      <w:proofErr w:type="spellStart"/>
      <w:r w:rsidRPr="00641C6D">
        <w:rPr>
          <w:bCs/>
          <w:sz w:val="22"/>
          <w:szCs w:val="22"/>
          <w:lang w:val="sr-Latn-ME"/>
        </w:rPr>
        <w:t>parijetalnim</w:t>
      </w:r>
      <w:proofErr w:type="spellEnd"/>
      <w:r w:rsidRPr="00641C6D">
        <w:rPr>
          <w:bCs/>
          <w:sz w:val="22"/>
          <w:szCs w:val="22"/>
          <w:lang w:val="sr-Latn-ME"/>
        </w:rPr>
        <w:t xml:space="preserve"> ćelijama </w:t>
      </w:r>
      <w:proofErr w:type="spellStart"/>
      <w:r w:rsidRPr="00641C6D">
        <w:rPr>
          <w:bCs/>
          <w:sz w:val="22"/>
          <w:szCs w:val="22"/>
          <w:lang w:val="sr-Latn-ME"/>
        </w:rPr>
        <w:t>gde</w:t>
      </w:r>
      <w:proofErr w:type="spellEnd"/>
      <w:r w:rsidRPr="00641C6D">
        <w:rPr>
          <w:bCs/>
          <w:sz w:val="22"/>
          <w:szCs w:val="22"/>
          <w:lang w:val="sr-Latn-ME"/>
        </w:rPr>
        <w:t xml:space="preserve"> vrši inhibiciju enzima H</w:t>
      </w:r>
      <w:r w:rsidRPr="00641C6D">
        <w:rPr>
          <w:bCs/>
          <w:sz w:val="22"/>
          <w:szCs w:val="22"/>
          <w:vertAlign w:val="superscript"/>
          <w:lang w:val="sr-Latn-ME"/>
        </w:rPr>
        <w:t>+</w:t>
      </w:r>
      <w:r w:rsidRPr="00641C6D">
        <w:rPr>
          <w:bCs/>
          <w:sz w:val="22"/>
          <w:szCs w:val="22"/>
          <w:lang w:val="sr-Latn-ME"/>
        </w:rPr>
        <w:t>, K</w:t>
      </w:r>
      <w:r w:rsidRPr="00641C6D">
        <w:rPr>
          <w:bCs/>
          <w:sz w:val="22"/>
          <w:szCs w:val="22"/>
          <w:vertAlign w:val="superscript"/>
          <w:lang w:val="sr-Latn-ME"/>
        </w:rPr>
        <w:t>+</w:t>
      </w:r>
      <w:r w:rsidRPr="00641C6D">
        <w:rPr>
          <w:bCs/>
          <w:sz w:val="22"/>
          <w:szCs w:val="22"/>
          <w:lang w:val="sr-Latn-ME"/>
        </w:rPr>
        <w:t xml:space="preserve">- </w:t>
      </w:r>
      <w:proofErr w:type="spellStart"/>
      <w:r w:rsidRPr="00641C6D">
        <w:rPr>
          <w:bCs/>
          <w:sz w:val="22"/>
          <w:szCs w:val="22"/>
          <w:lang w:val="sr-Latn-ME"/>
        </w:rPr>
        <w:t>ATP-aze</w:t>
      </w:r>
      <w:proofErr w:type="spellEnd"/>
      <w:r w:rsidRPr="00641C6D">
        <w:rPr>
          <w:bCs/>
          <w:sz w:val="22"/>
          <w:szCs w:val="22"/>
          <w:lang w:val="sr-Latn-ME"/>
        </w:rPr>
        <w:t xml:space="preserve">, odnosno završnu fazu produkcije hlorovodonične kiseline u želucu. Stepen inhibicije je </w:t>
      </w:r>
      <w:proofErr w:type="spellStart"/>
      <w:r w:rsidRPr="00641C6D">
        <w:rPr>
          <w:bCs/>
          <w:sz w:val="22"/>
          <w:szCs w:val="22"/>
          <w:lang w:val="sr-Latn-ME"/>
        </w:rPr>
        <w:t>dozno</w:t>
      </w:r>
      <w:proofErr w:type="spellEnd"/>
      <w:r w:rsidRPr="00641C6D">
        <w:rPr>
          <w:bCs/>
          <w:sz w:val="22"/>
          <w:szCs w:val="22"/>
          <w:lang w:val="sr-Latn-ME"/>
        </w:rPr>
        <w:t xml:space="preserve"> zavistan i utiče kako na </w:t>
      </w:r>
      <w:proofErr w:type="spellStart"/>
      <w:r w:rsidRPr="00641C6D">
        <w:rPr>
          <w:bCs/>
          <w:sz w:val="22"/>
          <w:szCs w:val="22"/>
          <w:lang w:val="sr-Latn-ME"/>
        </w:rPr>
        <w:t>bazalnu</w:t>
      </w:r>
      <w:proofErr w:type="spellEnd"/>
      <w:r w:rsidRPr="00641C6D">
        <w:rPr>
          <w:bCs/>
          <w:sz w:val="22"/>
          <w:szCs w:val="22"/>
          <w:lang w:val="sr-Latn-ME"/>
        </w:rPr>
        <w:t>, tako i na stimulisanu sekreciju kiseline. Kod većine pacijenata povlačenje simptoma se očekuje u toku 2 ned</w:t>
      </w:r>
      <w:r w:rsidR="00344DEB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elje. Kao i kod drugih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 i </w:t>
      </w:r>
      <w:proofErr w:type="spellStart"/>
      <w:r w:rsidRPr="00641C6D">
        <w:rPr>
          <w:bCs/>
          <w:sz w:val="22"/>
          <w:szCs w:val="22"/>
          <w:lang w:val="sr-Latn-ME"/>
        </w:rPr>
        <w:t>inhibitora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H2</w:t>
      </w:r>
      <w:proofErr w:type="spellEnd"/>
      <w:r w:rsidRPr="00641C6D">
        <w:rPr>
          <w:bCs/>
          <w:sz w:val="22"/>
          <w:szCs w:val="22"/>
          <w:lang w:val="sr-Latn-ME"/>
        </w:rPr>
        <w:t xml:space="preserve"> receptora, </w:t>
      </w:r>
      <w:r w:rsidR="007A3952" w:rsidRPr="00641C6D">
        <w:rPr>
          <w:bCs/>
          <w:sz w:val="22"/>
          <w:szCs w:val="22"/>
          <w:lang w:val="sr-Latn-ME"/>
        </w:rPr>
        <w:t>liječenje</w:t>
      </w:r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pantoprazolom</w:t>
      </w:r>
      <w:proofErr w:type="spellEnd"/>
      <w:r w:rsidRPr="00641C6D">
        <w:rPr>
          <w:bCs/>
          <w:sz w:val="22"/>
          <w:szCs w:val="22"/>
          <w:lang w:val="sr-Latn-ME"/>
        </w:rPr>
        <w:t xml:space="preserve"> uzrokuje smanjenu kiselost u želucu i tako povećava sekreciju </w:t>
      </w:r>
      <w:proofErr w:type="spellStart"/>
      <w:r w:rsidRPr="00641C6D">
        <w:rPr>
          <w:bCs/>
          <w:sz w:val="22"/>
          <w:szCs w:val="22"/>
          <w:lang w:val="sr-Latn-ME"/>
        </w:rPr>
        <w:t>gastrina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srazm</w:t>
      </w:r>
      <w:r w:rsidR="00344DEB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erno smanjenoj kiselosti. Povećanje sekrecije </w:t>
      </w:r>
      <w:proofErr w:type="spellStart"/>
      <w:r w:rsidRPr="00641C6D">
        <w:rPr>
          <w:bCs/>
          <w:sz w:val="22"/>
          <w:szCs w:val="22"/>
          <w:lang w:val="sr-Latn-ME"/>
        </w:rPr>
        <w:t>gastrina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je </w:t>
      </w:r>
      <w:proofErr w:type="spellStart"/>
      <w:r w:rsidRPr="00641C6D">
        <w:rPr>
          <w:bCs/>
          <w:sz w:val="22"/>
          <w:szCs w:val="22"/>
          <w:lang w:val="sr-Latn-ME"/>
        </w:rPr>
        <w:t>reverzibilno</w:t>
      </w:r>
      <w:proofErr w:type="spellEnd"/>
      <w:r w:rsidRPr="00641C6D">
        <w:rPr>
          <w:bCs/>
          <w:sz w:val="22"/>
          <w:szCs w:val="22"/>
          <w:lang w:val="sr-Latn-ME"/>
        </w:rPr>
        <w:t xml:space="preserve">. Pošto se </w:t>
      </w: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vezuje za enzim </w:t>
      </w:r>
      <w:proofErr w:type="spellStart"/>
      <w:r w:rsidRPr="00641C6D">
        <w:rPr>
          <w:bCs/>
          <w:sz w:val="22"/>
          <w:szCs w:val="22"/>
          <w:lang w:val="sr-Latn-ME"/>
        </w:rPr>
        <w:t>distalno</w:t>
      </w:r>
      <w:proofErr w:type="spellEnd"/>
      <w:r w:rsidRPr="00641C6D">
        <w:rPr>
          <w:bCs/>
          <w:sz w:val="22"/>
          <w:szCs w:val="22"/>
          <w:lang w:val="sr-Latn-ME"/>
        </w:rPr>
        <w:t xml:space="preserve"> u odnosu na nivo ćelijskog receptora, ova supstanca može uticati na sekreciju hlorovodonične kiseline nezavisno od stimulacije drugim materijama (</w:t>
      </w:r>
      <w:proofErr w:type="spellStart"/>
      <w:r w:rsidRPr="00641C6D">
        <w:rPr>
          <w:bCs/>
          <w:sz w:val="22"/>
          <w:szCs w:val="22"/>
          <w:lang w:val="sr-Latn-ME"/>
        </w:rPr>
        <w:t>acetilholinom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, histaminom, </w:t>
      </w:r>
      <w:proofErr w:type="spellStart"/>
      <w:r w:rsidRPr="00641C6D">
        <w:rPr>
          <w:bCs/>
          <w:sz w:val="22"/>
          <w:szCs w:val="22"/>
          <w:lang w:val="sr-Latn-ME"/>
        </w:rPr>
        <w:t>gastrinom</w:t>
      </w:r>
      <w:proofErr w:type="spellEnd"/>
      <w:r w:rsidRPr="00641C6D">
        <w:rPr>
          <w:bCs/>
          <w:sz w:val="22"/>
          <w:szCs w:val="22"/>
          <w:lang w:val="sr-Latn-ME"/>
        </w:rPr>
        <w:t xml:space="preserve">). Uticaj je isti bilo da se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daje oralno ili </w:t>
      </w:r>
      <w:proofErr w:type="spellStart"/>
      <w:r w:rsidRPr="00641C6D">
        <w:rPr>
          <w:bCs/>
          <w:sz w:val="22"/>
          <w:szCs w:val="22"/>
          <w:lang w:val="sr-Latn-ME"/>
        </w:rPr>
        <w:t>intravenski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344DEB" w:rsidRPr="00641C6D" w:rsidRDefault="00344DEB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641C6D">
        <w:rPr>
          <w:bCs/>
          <w:sz w:val="22"/>
          <w:szCs w:val="22"/>
          <w:u w:val="single"/>
          <w:lang w:val="sr-Latn-ME"/>
        </w:rPr>
        <w:lastRenderedPageBreak/>
        <w:t>Farmakodinamsko</w:t>
      </w:r>
      <w:proofErr w:type="spellEnd"/>
      <w:r w:rsidRPr="00641C6D">
        <w:rPr>
          <w:bCs/>
          <w:sz w:val="22"/>
          <w:szCs w:val="22"/>
          <w:u w:val="single"/>
          <w:lang w:val="sr-Latn-ME"/>
        </w:rPr>
        <w:t xml:space="preserve"> dejstvo</w:t>
      </w:r>
    </w:p>
    <w:p w:rsidR="00344DEB" w:rsidRPr="00641C6D" w:rsidRDefault="00344DEB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551B82" w:rsidRPr="00641C6D" w:rsidRDefault="007744DD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Vrijednosti 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gastrina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natašte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se pod dejstvom </w:t>
      </w:r>
      <w:proofErr w:type="spellStart"/>
      <w:r w:rsidR="00551B82" w:rsidRPr="00641C6D">
        <w:rPr>
          <w:bCs/>
          <w:sz w:val="22"/>
          <w:szCs w:val="22"/>
          <w:lang w:val="sr-Latn-ME"/>
        </w:rPr>
        <w:t>pantoprazola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povećavaju. Kod kratkotrajne </w:t>
      </w:r>
      <w:r w:rsidR="001D332F" w:rsidRPr="00641C6D">
        <w:rPr>
          <w:bCs/>
          <w:sz w:val="22"/>
          <w:szCs w:val="22"/>
          <w:lang w:val="sr-Latn-ME"/>
        </w:rPr>
        <w:t>primjene</w:t>
      </w:r>
      <w:r w:rsidR="00551B82" w:rsidRPr="00641C6D">
        <w:rPr>
          <w:bCs/>
          <w:sz w:val="22"/>
          <w:szCs w:val="22"/>
          <w:lang w:val="sr-Latn-ME"/>
        </w:rPr>
        <w:t xml:space="preserve">, u većini slučajeva one ne prelaze gornju graničnu </w:t>
      </w:r>
      <w:r w:rsidR="00C70337" w:rsidRPr="00641C6D">
        <w:rPr>
          <w:bCs/>
          <w:sz w:val="22"/>
          <w:szCs w:val="22"/>
          <w:lang w:val="sr-Latn-ME"/>
        </w:rPr>
        <w:t xml:space="preserve">vrijednost </w:t>
      </w:r>
      <w:r w:rsidR="00551B82" w:rsidRPr="00641C6D">
        <w:rPr>
          <w:bCs/>
          <w:sz w:val="22"/>
          <w:szCs w:val="22"/>
          <w:lang w:val="sr-Latn-ME"/>
        </w:rPr>
        <w:t xml:space="preserve">. Kod dugotrajne </w:t>
      </w:r>
      <w:r w:rsidR="001D332F" w:rsidRPr="00641C6D">
        <w:rPr>
          <w:bCs/>
          <w:sz w:val="22"/>
          <w:szCs w:val="22"/>
          <w:lang w:val="sr-Latn-ME"/>
        </w:rPr>
        <w:t>primjene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vrijednosti 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gastrina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se u većini slučajeva udvostručuju. Međutim, izrazito povećanje </w:t>
      </w:r>
      <w:r w:rsidRPr="00641C6D">
        <w:rPr>
          <w:bCs/>
          <w:sz w:val="22"/>
          <w:szCs w:val="22"/>
          <w:lang w:val="sr-Latn-ME"/>
        </w:rPr>
        <w:t xml:space="preserve">vrijednosti 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gastrina</w:t>
      </w:r>
      <w:proofErr w:type="spellEnd"/>
      <w:r w:rsidR="00551B82" w:rsidRPr="00641C6D">
        <w:rPr>
          <w:bCs/>
          <w:sz w:val="22"/>
          <w:szCs w:val="22"/>
          <w:lang w:val="sr-Latn-ME"/>
        </w:rPr>
        <w:t>, javlja se samo u izolovanim slučajevima. Posl</w:t>
      </w:r>
      <w:r w:rsidR="00344DEB" w:rsidRPr="00641C6D">
        <w:rPr>
          <w:bCs/>
          <w:sz w:val="22"/>
          <w:szCs w:val="22"/>
          <w:lang w:val="sr-Latn-ME"/>
        </w:rPr>
        <w:t>j</w:t>
      </w:r>
      <w:r w:rsidR="00551B82" w:rsidRPr="00641C6D">
        <w:rPr>
          <w:bCs/>
          <w:sz w:val="22"/>
          <w:szCs w:val="22"/>
          <w:lang w:val="sr-Latn-ME"/>
        </w:rPr>
        <w:t>edično, uočeno je blago do um</w:t>
      </w:r>
      <w:r w:rsidR="00344DEB" w:rsidRPr="00641C6D">
        <w:rPr>
          <w:bCs/>
          <w:sz w:val="22"/>
          <w:szCs w:val="22"/>
          <w:lang w:val="sr-Latn-ME"/>
        </w:rPr>
        <w:t>j</w:t>
      </w:r>
      <w:r w:rsidR="00551B82" w:rsidRPr="00641C6D">
        <w:rPr>
          <w:bCs/>
          <w:sz w:val="22"/>
          <w:szCs w:val="22"/>
          <w:lang w:val="sr-Latn-ME"/>
        </w:rPr>
        <w:t>ereno povećanje broja specifičnih endokrinih (</w:t>
      </w:r>
      <w:proofErr w:type="spellStart"/>
      <w:r w:rsidR="00551B82" w:rsidRPr="00641C6D">
        <w:rPr>
          <w:bCs/>
          <w:sz w:val="22"/>
          <w:szCs w:val="22"/>
          <w:lang w:val="sr-Latn-ME"/>
        </w:rPr>
        <w:t>ECL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) ćelija kod manjeg broja pacijenata tokom dugotrajne terapije (jednostavna do </w:t>
      </w:r>
      <w:proofErr w:type="spellStart"/>
      <w:r w:rsidR="00551B82" w:rsidRPr="00641C6D">
        <w:rPr>
          <w:bCs/>
          <w:sz w:val="22"/>
          <w:szCs w:val="22"/>
          <w:lang w:val="sr-Latn-ME"/>
        </w:rPr>
        <w:t>adenomatoidna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hiperplazija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). Ipak, prema do sada sprovedenim ispitivanjima formiranje </w:t>
      </w:r>
      <w:proofErr w:type="spellStart"/>
      <w:r w:rsidR="00551B82" w:rsidRPr="00641C6D">
        <w:rPr>
          <w:bCs/>
          <w:sz w:val="22"/>
          <w:szCs w:val="22"/>
          <w:lang w:val="sr-Latn-ME"/>
        </w:rPr>
        <w:t>karcionoidnih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51B82" w:rsidRPr="00641C6D">
        <w:rPr>
          <w:bCs/>
          <w:sz w:val="22"/>
          <w:szCs w:val="22"/>
          <w:lang w:val="sr-Latn-ME"/>
        </w:rPr>
        <w:t>prekursora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(atipična </w:t>
      </w:r>
      <w:proofErr w:type="spellStart"/>
      <w:r w:rsidR="00551B82" w:rsidRPr="00641C6D">
        <w:rPr>
          <w:bCs/>
          <w:sz w:val="22"/>
          <w:szCs w:val="22"/>
          <w:lang w:val="sr-Latn-ME"/>
        </w:rPr>
        <w:t>hiperplazija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) ili </w:t>
      </w:r>
      <w:proofErr w:type="spellStart"/>
      <w:r w:rsidR="00551B82" w:rsidRPr="00641C6D">
        <w:rPr>
          <w:bCs/>
          <w:sz w:val="22"/>
          <w:szCs w:val="22"/>
          <w:lang w:val="sr-Latn-ME"/>
        </w:rPr>
        <w:t>karcinoidi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želuca otkriveni u eksperimentima na životinjama, (</w:t>
      </w:r>
      <w:r w:rsidR="005A0D73" w:rsidRPr="00641C6D">
        <w:rPr>
          <w:bCs/>
          <w:sz w:val="22"/>
          <w:szCs w:val="22"/>
          <w:lang w:val="sr-Latn-ME"/>
        </w:rPr>
        <w:t>vidjeti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r w:rsidR="005A0D73" w:rsidRPr="00641C6D">
        <w:rPr>
          <w:bCs/>
          <w:sz w:val="22"/>
          <w:szCs w:val="22"/>
          <w:lang w:val="sr-Latn-ME"/>
        </w:rPr>
        <w:t>dio</w:t>
      </w:r>
      <w:r w:rsidR="00551B82" w:rsidRPr="00641C6D">
        <w:rPr>
          <w:bCs/>
          <w:sz w:val="22"/>
          <w:szCs w:val="22"/>
          <w:lang w:val="sr-Latn-ME"/>
        </w:rPr>
        <w:t xml:space="preserve"> 5.3) nisu uočeni kod </w:t>
      </w:r>
      <w:proofErr w:type="spellStart"/>
      <w:r w:rsidR="00551B82" w:rsidRPr="00641C6D">
        <w:rPr>
          <w:bCs/>
          <w:sz w:val="22"/>
          <w:szCs w:val="22"/>
          <w:lang w:val="sr-Latn-ME"/>
        </w:rPr>
        <w:t>ljudi</w:t>
      </w:r>
      <w:proofErr w:type="spellEnd"/>
      <w:r w:rsidR="00551B82" w:rsidRPr="00641C6D">
        <w:rPr>
          <w:bCs/>
          <w:sz w:val="22"/>
          <w:szCs w:val="22"/>
          <w:lang w:val="sr-Latn-ME"/>
        </w:rPr>
        <w:t>.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Prema rezultatima studija na životinjama, dugotrajna terapija </w:t>
      </w:r>
      <w:proofErr w:type="spellStart"/>
      <w:r w:rsidRPr="00641C6D">
        <w:rPr>
          <w:bCs/>
          <w:sz w:val="22"/>
          <w:szCs w:val="22"/>
          <w:lang w:val="sr-Latn-ME"/>
        </w:rPr>
        <w:t>pantoprazolom</w:t>
      </w:r>
      <w:proofErr w:type="spellEnd"/>
      <w:r w:rsidRPr="00641C6D">
        <w:rPr>
          <w:bCs/>
          <w:sz w:val="22"/>
          <w:szCs w:val="22"/>
          <w:lang w:val="sr-Latn-ME"/>
        </w:rPr>
        <w:t xml:space="preserve"> duže od godinu dana ne </w:t>
      </w:r>
    </w:p>
    <w:p w:rsidR="002E37A5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isključuje sasvim uticaj na endokrine parametre </w:t>
      </w:r>
      <w:proofErr w:type="spellStart"/>
      <w:r w:rsidRPr="00641C6D">
        <w:rPr>
          <w:bCs/>
          <w:sz w:val="22"/>
          <w:szCs w:val="22"/>
          <w:lang w:val="sr-Latn-ME"/>
        </w:rPr>
        <w:t>tireoidne</w:t>
      </w:r>
      <w:proofErr w:type="spellEnd"/>
      <w:r w:rsidRPr="00641C6D">
        <w:rPr>
          <w:bCs/>
          <w:sz w:val="22"/>
          <w:szCs w:val="22"/>
          <w:lang w:val="sr-Latn-ME"/>
        </w:rPr>
        <w:t xml:space="preserve"> žl</w:t>
      </w:r>
      <w:r w:rsidR="00344DEB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ezde.</w:t>
      </w:r>
    </w:p>
    <w:p w:rsidR="00344DEB" w:rsidRPr="00641C6D" w:rsidRDefault="00344DEB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Tokom terapije </w:t>
      </w:r>
      <w:proofErr w:type="spellStart"/>
      <w:r w:rsidRPr="00641C6D">
        <w:rPr>
          <w:bCs/>
          <w:sz w:val="22"/>
          <w:szCs w:val="22"/>
          <w:lang w:val="sr-Latn-ME"/>
        </w:rPr>
        <w:t>antisekretornim</w:t>
      </w:r>
      <w:proofErr w:type="spellEnd"/>
      <w:r w:rsidRPr="00641C6D">
        <w:rPr>
          <w:bCs/>
          <w:sz w:val="22"/>
          <w:szCs w:val="22"/>
          <w:lang w:val="sr-Latn-ME"/>
        </w:rPr>
        <w:t xml:space="preserve"> ljekovima, </w:t>
      </w:r>
      <w:proofErr w:type="spellStart"/>
      <w:r w:rsidRPr="00641C6D">
        <w:rPr>
          <w:bCs/>
          <w:sz w:val="22"/>
          <w:szCs w:val="22"/>
          <w:lang w:val="sr-Latn-ME"/>
        </w:rPr>
        <w:t>vriednost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gastrina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u serumu se povećava kao odgovor na smanjen sekreciju želudačne kiseline. Takođe, koncentracija </w:t>
      </w:r>
      <w:proofErr w:type="spellStart"/>
      <w:r w:rsidRPr="00641C6D">
        <w:rPr>
          <w:bCs/>
          <w:sz w:val="22"/>
          <w:szCs w:val="22"/>
          <w:lang w:val="sr-Latn-ME"/>
        </w:rPr>
        <w:t>CgA</w:t>
      </w:r>
      <w:proofErr w:type="spellEnd"/>
      <w:r w:rsidRPr="00641C6D">
        <w:rPr>
          <w:bCs/>
          <w:sz w:val="22"/>
          <w:szCs w:val="22"/>
          <w:lang w:val="sr-Latn-ME"/>
        </w:rPr>
        <w:t xml:space="preserve"> se povećava </w:t>
      </w:r>
      <w:proofErr w:type="spellStart"/>
      <w:r w:rsidRPr="00641C6D">
        <w:rPr>
          <w:bCs/>
          <w:sz w:val="22"/>
          <w:szCs w:val="22"/>
          <w:lang w:val="sr-Latn-ME"/>
        </w:rPr>
        <w:t>usl</w:t>
      </w:r>
      <w:r w:rsidR="007936DF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>ed</w:t>
      </w:r>
      <w:proofErr w:type="spellEnd"/>
      <w:r w:rsidRPr="00641C6D">
        <w:rPr>
          <w:bCs/>
          <w:sz w:val="22"/>
          <w:szCs w:val="22"/>
          <w:lang w:val="sr-Latn-ME"/>
        </w:rPr>
        <w:t xml:space="preserve"> smanjenja </w:t>
      </w:r>
      <w:proofErr w:type="spellStart"/>
      <w:r w:rsidRPr="00641C6D">
        <w:rPr>
          <w:bCs/>
          <w:sz w:val="22"/>
          <w:szCs w:val="22"/>
          <w:lang w:val="sr-Latn-ME"/>
        </w:rPr>
        <w:t>gastrične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kisjelosti.Povećana</w:t>
      </w:r>
      <w:proofErr w:type="spellEnd"/>
      <w:r w:rsidRPr="00641C6D">
        <w:rPr>
          <w:bCs/>
          <w:sz w:val="22"/>
          <w:szCs w:val="22"/>
          <w:lang w:val="sr-Latn-ME"/>
        </w:rPr>
        <w:t xml:space="preserve"> koncentracija </w:t>
      </w:r>
      <w:proofErr w:type="spellStart"/>
      <w:r w:rsidRPr="00641C6D">
        <w:rPr>
          <w:bCs/>
          <w:sz w:val="22"/>
          <w:szCs w:val="22"/>
          <w:lang w:val="sr-Latn-ME"/>
        </w:rPr>
        <w:t>CgA</w:t>
      </w:r>
      <w:proofErr w:type="spellEnd"/>
      <w:r w:rsidRPr="00641C6D">
        <w:rPr>
          <w:bCs/>
          <w:sz w:val="22"/>
          <w:szCs w:val="22"/>
          <w:lang w:val="sr-Latn-ME"/>
        </w:rPr>
        <w:t xml:space="preserve"> može </w:t>
      </w:r>
      <w:proofErr w:type="spellStart"/>
      <w:r w:rsidRPr="00641C6D">
        <w:rPr>
          <w:bCs/>
          <w:sz w:val="22"/>
          <w:szCs w:val="22"/>
          <w:lang w:val="sr-Latn-ME"/>
        </w:rPr>
        <w:t>interferirati</w:t>
      </w:r>
      <w:proofErr w:type="spellEnd"/>
      <w:r w:rsidRPr="00641C6D">
        <w:rPr>
          <w:bCs/>
          <w:sz w:val="22"/>
          <w:szCs w:val="22"/>
          <w:lang w:val="sr-Latn-ME"/>
        </w:rPr>
        <w:t xml:space="preserve"> sa ispitivanjima za </w:t>
      </w:r>
      <w:proofErr w:type="spellStart"/>
      <w:r w:rsidRPr="00641C6D">
        <w:rPr>
          <w:bCs/>
          <w:sz w:val="22"/>
          <w:szCs w:val="22"/>
          <w:lang w:val="sr-Latn-ME"/>
        </w:rPr>
        <w:t>neuroendokrine</w:t>
      </w:r>
      <w:proofErr w:type="spellEnd"/>
      <w:r w:rsidRPr="00641C6D">
        <w:rPr>
          <w:bCs/>
          <w:sz w:val="22"/>
          <w:szCs w:val="22"/>
          <w:lang w:val="sr-Latn-ME"/>
        </w:rPr>
        <w:t xml:space="preserve"> tumore.</w:t>
      </w:r>
    </w:p>
    <w:p w:rsidR="00344DEB" w:rsidRPr="00641C6D" w:rsidRDefault="00344DEB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Dostupni objavljeni podaci ukazuju da terapiju </w:t>
      </w:r>
      <w:proofErr w:type="spellStart"/>
      <w:r w:rsidRPr="00641C6D">
        <w:rPr>
          <w:bCs/>
          <w:sz w:val="22"/>
          <w:szCs w:val="22"/>
          <w:lang w:val="sr-Latn-ME"/>
        </w:rPr>
        <w:t>inhibitorima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 treba prekinuti između 5 dana i 2 </w:t>
      </w:r>
      <w:proofErr w:type="spellStart"/>
      <w:r w:rsidRPr="00641C6D">
        <w:rPr>
          <w:bCs/>
          <w:sz w:val="22"/>
          <w:szCs w:val="22"/>
          <w:lang w:val="sr-Latn-ME"/>
        </w:rPr>
        <w:t>nedelje</w:t>
      </w:r>
      <w:proofErr w:type="spellEnd"/>
      <w:r w:rsidRPr="00641C6D">
        <w:rPr>
          <w:bCs/>
          <w:sz w:val="22"/>
          <w:szCs w:val="22"/>
          <w:lang w:val="sr-Latn-ME"/>
        </w:rPr>
        <w:t xml:space="preserve"> prije </w:t>
      </w:r>
      <w:proofErr w:type="spellStart"/>
      <w:r w:rsidRPr="00641C6D">
        <w:rPr>
          <w:bCs/>
          <w:sz w:val="22"/>
          <w:szCs w:val="22"/>
          <w:lang w:val="sr-Latn-ME"/>
        </w:rPr>
        <w:t>merenja</w:t>
      </w:r>
      <w:proofErr w:type="spellEnd"/>
      <w:r w:rsidRPr="00641C6D">
        <w:rPr>
          <w:bCs/>
          <w:sz w:val="22"/>
          <w:szCs w:val="22"/>
          <w:lang w:val="sr-Latn-ME"/>
        </w:rPr>
        <w:t xml:space="preserve"> koncentracije </w:t>
      </w:r>
      <w:proofErr w:type="spellStart"/>
      <w:r w:rsidRPr="00641C6D">
        <w:rPr>
          <w:bCs/>
          <w:sz w:val="22"/>
          <w:szCs w:val="22"/>
          <w:lang w:val="sr-Latn-ME"/>
        </w:rPr>
        <w:t>CgA</w:t>
      </w:r>
      <w:proofErr w:type="spellEnd"/>
      <w:r w:rsidRPr="00641C6D">
        <w:rPr>
          <w:bCs/>
          <w:sz w:val="22"/>
          <w:szCs w:val="22"/>
          <w:lang w:val="sr-Latn-ME"/>
        </w:rPr>
        <w:t xml:space="preserve">. Ovo će omogućiti da se koncentracije </w:t>
      </w:r>
      <w:proofErr w:type="spellStart"/>
      <w:r w:rsidRPr="00641C6D">
        <w:rPr>
          <w:bCs/>
          <w:sz w:val="22"/>
          <w:szCs w:val="22"/>
          <w:lang w:val="sr-Latn-ME"/>
        </w:rPr>
        <w:t>CgA</w:t>
      </w:r>
      <w:proofErr w:type="spellEnd"/>
      <w:r w:rsidRPr="00641C6D">
        <w:rPr>
          <w:bCs/>
          <w:sz w:val="22"/>
          <w:szCs w:val="22"/>
          <w:lang w:val="sr-Latn-ME"/>
        </w:rPr>
        <w:t>, koje mogu biti lažno</w:t>
      </w:r>
      <w:r w:rsidR="00175F0A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povećane nakon terapije </w:t>
      </w:r>
      <w:proofErr w:type="spellStart"/>
      <w:r w:rsidRPr="00641C6D">
        <w:rPr>
          <w:bCs/>
          <w:sz w:val="22"/>
          <w:szCs w:val="22"/>
          <w:lang w:val="sr-Latn-ME"/>
        </w:rPr>
        <w:t>inhibitorima</w:t>
      </w:r>
      <w:proofErr w:type="spellEnd"/>
      <w:r w:rsidRPr="00641C6D">
        <w:rPr>
          <w:bCs/>
          <w:sz w:val="22"/>
          <w:szCs w:val="22"/>
          <w:lang w:val="sr-Latn-ME"/>
        </w:rPr>
        <w:t xml:space="preserve"> protonske pumpe, vrate na referentne vr</w:t>
      </w:r>
      <w:r w:rsidR="00175F0A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ednosti</w:t>
      </w:r>
      <w:r w:rsidR="00175F0A" w:rsidRPr="00641C6D">
        <w:rPr>
          <w:bCs/>
          <w:sz w:val="22"/>
          <w:szCs w:val="22"/>
          <w:lang w:val="sr-Latn-ME"/>
        </w:rPr>
        <w:t>.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5.2.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proofErr w:type="spellStart"/>
      <w:r w:rsidRPr="00641C6D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641C6D">
        <w:rPr>
          <w:b/>
          <w:bCs/>
          <w:sz w:val="22"/>
          <w:szCs w:val="22"/>
          <w:lang w:val="sr-Latn-ME"/>
        </w:rPr>
        <w:t xml:space="preserve"> podaci</w:t>
      </w:r>
      <w:r w:rsidR="003A7059" w:rsidRPr="00641C6D">
        <w:rPr>
          <w:b/>
          <w:bCs/>
          <w:sz w:val="22"/>
          <w:szCs w:val="22"/>
          <w:lang w:val="sr-Latn-ME"/>
        </w:rPr>
        <w:t xml:space="preserve"> 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 xml:space="preserve">Opšta </w:t>
      </w:r>
      <w:proofErr w:type="spellStart"/>
      <w:r w:rsidRPr="00641C6D">
        <w:rPr>
          <w:bCs/>
          <w:i/>
          <w:sz w:val="22"/>
          <w:szCs w:val="22"/>
          <w:lang w:val="sr-Latn-ME"/>
        </w:rPr>
        <w:t>farmakokinetika</w:t>
      </w:r>
      <w:proofErr w:type="spellEnd"/>
      <w:r w:rsidRPr="00641C6D">
        <w:rPr>
          <w:bCs/>
          <w:i/>
          <w:sz w:val="22"/>
          <w:szCs w:val="22"/>
          <w:lang w:val="sr-Latn-ME"/>
        </w:rPr>
        <w:t xml:space="preserve">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Farmakokinet</w:t>
      </w:r>
      <w:r w:rsidR="00175F0A" w:rsidRPr="00641C6D">
        <w:rPr>
          <w:bCs/>
          <w:sz w:val="22"/>
          <w:szCs w:val="22"/>
          <w:lang w:val="sr-Latn-ME"/>
        </w:rPr>
        <w:t>ika</w:t>
      </w:r>
      <w:proofErr w:type="spellEnd"/>
      <w:r w:rsidRPr="00641C6D">
        <w:rPr>
          <w:bCs/>
          <w:sz w:val="22"/>
          <w:szCs w:val="22"/>
          <w:lang w:val="sr-Latn-ME"/>
        </w:rPr>
        <w:t xml:space="preserve"> se ne razlikuj</w:t>
      </w:r>
      <w:r w:rsidR="00175F0A" w:rsidRPr="00641C6D">
        <w:rPr>
          <w:bCs/>
          <w:sz w:val="22"/>
          <w:szCs w:val="22"/>
          <w:lang w:val="sr-Latn-ME"/>
        </w:rPr>
        <w:t>e</w:t>
      </w:r>
      <w:r w:rsidRPr="00641C6D">
        <w:rPr>
          <w:bCs/>
          <w:sz w:val="22"/>
          <w:szCs w:val="22"/>
          <w:lang w:val="sr-Latn-ME"/>
        </w:rPr>
        <w:t xml:space="preserve"> nakon jednokratne ili ponovljene </w:t>
      </w:r>
      <w:r w:rsidR="001D332F" w:rsidRPr="00641C6D">
        <w:rPr>
          <w:bCs/>
          <w:sz w:val="22"/>
          <w:szCs w:val="22"/>
          <w:lang w:val="sr-Latn-ME"/>
        </w:rPr>
        <w:t>primjene</w:t>
      </w:r>
      <w:r w:rsidRPr="00641C6D">
        <w:rPr>
          <w:bCs/>
          <w:sz w:val="22"/>
          <w:szCs w:val="22"/>
          <w:lang w:val="sr-Latn-ME"/>
        </w:rPr>
        <w:t xml:space="preserve">. U rasponu doze od 10 do 80 mg, kinetika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u plazmi je  linearna i na</w:t>
      </w:r>
      <w:r w:rsidR="00175F0A" w:rsidRPr="00641C6D">
        <w:rPr>
          <w:bCs/>
          <w:sz w:val="22"/>
          <w:szCs w:val="22"/>
          <w:lang w:val="sr-Latn-ME"/>
        </w:rPr>
        <w:t xml:space="preserve">kon oralne i nakon </w:t>
      </w:r>
      <w:proofErr w:type="spellStart"/>
      <w:r w:rsidR="00175F0A" w:rsidRPr="00641C6D">
        <w:rPr>
          <w:bCs/>
          <w:sz w:val="22"/>
          <w:szCs w:val="22"/>
          <w:lang w:val="sr-Latn-ME"/>
        </w:rPr>
        <w:t>intravenske</w:t>
      </w:r>
      <w:proofErr w:type="spellEnd"/>
      <w:r w:rsidR="00175F0A" w:rsidRPr="00641C6D">
        <w:rPr>
          <w:bCs/>
          <w:sz w:val="22"/>
          <w:szCs w:val="22"/>
          <w:lang w:val="sr-Latn-ME"/>
        </w:rPr>
        <w:t xml:space="preserve">  </w:t>
      </w:r>
      <w:r w:rsidR="001D332F" w:rsidRPr="00641C6D">
        <w:rPr>
          <w:bCs/>
          <w:sz w:val="22"/>
          <w:szCs w:val="22"/>
          <w:lang w:val="sr-Latn-ME"/>
        </w:rPr>
        <w:t>primjene</w:t>
      </w:r>
      <w:r w:rsidRPr="00641C6D">
        <w:rPr>
          <w:bCs/>
          <w:sz w:val="22"/>
          <w:szCs w:val="22"/>
          <w:lang w:val="sr-Latn-ME"/>
        </w:rPr>
        <w:t xml:space="preserve">. 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 xml:space="preserve">Distribucija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Vezivanje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za proteine plazme je otprilike 98%. Volumen distribucije je otprilike 0,15 L/kg. 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641C6D">
        <w:rPr>
          <w:bCs/>
          <w:i/>
          <w:sz w:val="22"/>
          <w:szCs w:val="22"/>
          <w:lang w:val="sr-Latn-ME"/>
        </w:rPr>
        <w:t>Biotransformacija</w:t>
      </w:r>
      <w:proofErr w:type="spellEnd"/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Supstanca se gotovo u potpunosti </w:t>
      </w:r>
      <w:proofErr w:type="spellStart"/>
      <w:r w:rsidRPr="00641C6D">
        <w:rPr>
          <w:bCs/>
          <w:sz w:val="22"/>
          <w:szCs w:val="22"/>
          <w:lang w:val="sr-Latn-ME"/>
        </w:rPr>
        <w:t>metaboliše</w:t>
      </w:r>
      <w:proofErr w:type="spellEnd"/>
      <w:r w:rsidRPr="00641C6D">
        <w:rPr>
          <w:bCs/>
          <w:sz w:val="22"/>
          <w:szCs w:val="22"/>
          <w:lang w:val="sr-Latn-ME"/>
        </w:rPr>
        <w:t xml:space="preserve"> u jetri. Glavni </w:t>
      </w:r>
      <w:proofErr w:type="spellStart"/>
      <w:r w:rsidRPr="00641C6D">
        <w:rPr>
          <w:bCs/>
          <w:sz w:val="22"/>
          <w:szCs w:val="22"/>
          <w:lang w:val="sr-Latn-ME"/>
        </w:rPr>
        <w:t>metabolički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175F0A" w:rsidRPr="00641C6D">
        <w:rPr>
          <w:bCs/>
          <w:sz w:val="22"/>
          <w:szCs w:val="22"/>
          <w:lang w:val="sr-Latn-ME"/>
        </w:rPr>
        <w:t xml:space="preserve">put je </w:t>
      </w:r>
      <w:proofErr w:type="spellStart"/>
      <w:r w:rsidR="00175F0A" w:rsidRPr="00641C6D">
        <w:rPr>
          <w:bCs/>
          <w:sz w:val="22"/>
          <w:szCs w:val="22"/>
          <w:lang w:val="sr-Latn-ME"/>
        </w:rPr>
        <w:t>demetilacija</w:t>
      </w:r>
      <w:proofErr w:type="spellEnd"/>
      <w:r w:rsidR="00175F0A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175F0A" w:rsidRPr="00641C6D">
        <w:rPr>
          <w:bCs/>
          <w:sz w:val="22"/>
          <w:szCs w:val="22"/>
          <w:lang w:val="sr-Latn-ME"/>
        </w:rPr>
        <w:t>izoenzimom</w:t>
      </w:r>
      <w:proofErr w:type="spellEnd"/>
      <w:r w:rsidR="00175F0A" w:rsidRPr="00641C6D">
        <w:rPr>
          <w:bCs/>
          <w:sz w:val="22"/>
          <w:szCs w:val="22"/>
          <w:lang w:val="sr-Latn-ME"/>
        </w:rPr>
        <w:t xml:space="preserve">  </w:t>
      </w:r>
      <w:proofErr w:type="spellStart"/>
      <w:r w:rsidRPr="00641C6D">
        <w:rPr>
          <w:bCs/>
          <w:sz w:val="22"/>
          <w:szCs w:val="22"/>
          <w:lang w:val="sr-Latn-ME"/>
        </w:rPr>
        <w:t>CYP2C19</w:t>
      </w:r>
      <w:proofErr w:type="spellEnd"/>
      <w:r w:rsidRPr="00641C6D">
        <w:rPr>
          <w:bCs/>
          <w:sz w:val="22"/>
          <w:szCs w:val="22"/>
          <w:lang w:val="sr-Latn-ME"/>
        </w:rPr>
        <w:t xml:space="preserve"> praćena konjugacijom sulfata, a drugi </w:t>
      </w:r>
      <w:proofErr w:type="spellStart"/>
      <w:r w:rsidRPr="00641C6D">
        <w:rPr>
          <w:bCs/>
          <w:sz w:val="22"/>
          <w:szCs w:val="22"/>
          <w:lang w:val="sr-Latn-ME"/>
        </w:rPr>
        <w:t>metabolički</w:t>
      </w:r>
      <w:proofErr w:type="spellEnd"/>
      <w:r w:rsidRPr="00641C6D">
        <w:rPr>
          <w:bCs/>
          <w:sz w:val="22"/>
          <w:szCs w:val="22"/>
          <w:lang w:val="sr-Latn-ME"/>
        </w:rPr>
        <w:t xml:space="preserve"> put uključuje oksidaciju </w:t>
      </w:r>
      <w:proofErr w:type="spellStart"/>
      <w:r w:rsidRPr="00641C6D">
        <w:rPr>
          <w:bCs/>
          <w:sz w:val="22"/>
          <w:szCs w:val="22"/>
          <w:lang w:val="sr-Latn-ME"/>
        </w:rPr>
        <w:t>izoenzimom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CYP3A4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 xml:space="preserve">Eliminacija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Terminalno poluvr</w:t>
      </w:r>
      <w:r w:rsidR="00175F0A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eme eliminacije je otprilike 1 sat, a </w:t>
      </w:r>
      <w:proofErr w:type="spellStart"/>
      <w:r w:rsidRPr="00641C6D">
        <w:rPr>
          <w:bCs/>
          <w:sz w:val="22"/>
          <w:szCs w:val="22"/>
          <w:lang w:val="sr-Latn-ME"/>
        </w:rPr>
        <w:t>klirens</w:t>
      </w:r>
      <w:proofErr w:type="spellEnd"/>
      <w:r w:rsidRPr="00641C6D">
        <w:rPr>
          <w:bCs/>
          <w:sz w:val="22"/>
          <w:szCs w:val="22"/>
          <w:lang w:val="sr-Latn-ME"/>
        </w:rPr>
        <w:t xml:space="preserve"> je otprilike 0,1 L/h/kg. Bilo je nekoliko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slučajeva ispitanika sa odloženom eliminacijom. Zbog specifičnog veziv</w:t>
      </w:r>
      <w:r w:rsidR="00175F0A" w:rsidRPr="00641C6D">
        <w:rPr>
          <w:bCs/>
          <w:sz w:val="22"/>
          <w:szCs w:val="22"/>
          <w:lang w:val="sr-Latn-ME"/>
        </w:rPr>
        <w:t xml:space="preserve">anja </w:t>
      </w:r>
      <w:proofErr w:type="spellStart"/>
      <w:r w:rsidR="00175F0A" w:rsidRPr="00641C6D">
        <w:rPr>
          <w:bCs/>
          <w:sz w:val="22"/>
          <w:szCs w:val="22"/>
          <w:lang w:val="sr-Latn-ME"/>
        </w:rPr>
        <w:t>pantoprazola</w:t>
      </w:r>
      <w:proofErr w:type="spellEnd"/>
      <w:r w:rsidR="00175F0A" w:rsidRPr="00641C6D">
        <w:rPr>
          <w:bCs/>
          <w:sz w:val="22"/>
          <w:szCs w:val="22"/>
          <w:lang w:val="sr-Latn-ME"/>
        </w:rPr>
        <w:t xml:space="preserve"> za protonsku </w:t>
      </w:r>
      <w:r w:rsidRPr="00641C6D">
        <w:rPr>
          <w:bCs/>
          <w:sz w:val="22"/>
          <w:szCs w:val="22"/>
          <w:lang w:val="sr-Latn-ME"/>
        </w:rPr>
        <w:t xml:space="preserve">pumpu </w:t>
      </w:r>
      <w:proofErr w:type="spellStart"/>
      <w:r w:rsidRPr="00641C6D">
        <w:rPr>
          <w:bCs/>
          <w:sz w:val="22"/>
          <w:szCs w:val="22"/>
          <w:lang w:val="sr-Latn-ME"/>
        </w:rPr>
        <w:t>parijetalnih</w:t>
      </w:r>
      <w:proofErr w:type="spellEnd"/>
      <w:r w:rsidRPr="00641C6D">
        <w:rPr>
          <w:bCs/>
          <w:sz w:val="22"/>
          <w:szCs w:val="22"/>
          <w:lang w:val="sr-Latn-ME"/>
        </w:rPr>
        <w:t xml:space="preserve"> ćelija, </w:t>
      </w:r>
      <w:r w:rsidR="000079C8" w:rsidRPr="00641C6D">
        <w:rPr>
          <w:bCs/>
          <w:sz w:val="22"/>
          <w:szCs w:val="22"/>
          <w:lang w:val="sr-Latn-ME"/>
        </w:rPr>
        <w:t>poluvrijeme</w:t>
      </w:r>
      <w:r w:rsidR="007936DF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eliminacije nije u korelaciji sa mnogo dužim trajanjem dejstva (inhibicija sekrecije </w:t>
      </w:r>
      <w:proofErr w:type="spellStart"/>
      <w:r w:rsidRPr="00641C6D">
        <w:rPr>
          <w:bCs/>
          <w:sz w:val="22"/>
          <w:szCs w:val="22"/>
          <w:lang w:val="sr-Latn-ME"/>
        </w:rPr>
        <w:t>kis</w:t>
      </w:r>
      <w:r w:rsidR="007936DF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>eline</w:t>
      </w:r>
      <w:proofErr w:type="spellEnd"/>
      <w:r w:rsidRPr="00641C6D">
        <w:rPr>
          <w:bCs/>
          <w:sz w:val="22"/>
          <w:szCs w:val="22"/>
          <w:lang w:val="sr-Latn-ME"/>
        </w:rPr>
        <w:t>).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Metaboliti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se uglavnom eliminišu putem bubrega što predstavlja g</w:t>
      </w:r>
      <w:r w:rsidR="00175F0A" w:rsidRPr="00641C6D">
        <w:rPr>
          <w:bCs/>
          <w:sz w:val="22"/>
          <w:szCs w:val="22"/>
          <w:lang w:val="sr-Latn-ME"/>
        </w:rPr>
        <w:t>lavni put ekskrecije (</w:t>
      </w:r>
      <w:proofErr w:type="spellStart"/>
      <w:r w:rsidR="00175F0A" w:rsidRPr="00641C6D">
        <w:rPr>
          <w:bCs/>
          <w:sz w:val="22"/>
          <w:szCs w:val="22"/>
          <w:lang w:val="sr-Latn-ME"/>
        </w:rPr>
        <w:t>otprilike</w:t>
      </w:r>
      <w:r w:rsidRPr="00641C6D">
        <w:rPr>
          <w:bCs/>
          <w:sz w:val="22"/>
          <w:szCs w:val="22"/>
          <w:lang w:val="sr-Latn-ME"/>
        </w:rPr>
        <w:t>80</w:t>
      </w:r>
      <w:proofErr w:type="spellEnd"/>
      <w:r w:rsidRPr="00641C6D">
        <w:rPr>
          <w:bCs/>
          <w:sz w:val="22"/>
          <w:szCs w:val="22"/>
          <w:lang w:val="sr-Latn-ME"/>
        </w:rPr>
        <w:t xml:space="preserve">%), ostatak se izlučuje </w:t>
      </w:r>
      <w:proofErr w:type="spellStart"/>
      <w:r w:rsidRPr="00641C6D">
        <w:rPr>
          <w:bCs/>
          <w:sz w:val="22"/>
          <w:szCs w:val="22"/>
          <w:lang w:val="sr-Latn-ME"/>
        </w:rPr>
        <w:t>fecesom</w:t>
      </w:r>
      <w:proofErr w:type="spellEnd"/>
      <w:r w:rsidRPr="00641C6D">
        <w:rPr>
          <w:bCs/>
          <w:sz w:val="22"/>
          <w:szCs w:val="22"/>
          <w:lang w:val="sr-Latn-ME"/>
        </w:rPr>
        <w:t xml:space="preserve">. Glavni </w:t>
      </w:r>
      <w:proofErr w:type="spellStart"/>
      <w:r w:rsidRPr="00641C6D">
        <w:rPr>
          <w:bCs/>
          <w:sz w:val="22"/>
          <w:szCs w:val="22"/>
          <w:lang w:val="sr-Latn-ME"/>
        </w:rPr>
        <w:t>metabolit</w:t>
      </w:r>
      <w:proofErr w:type="spellEnd"/>
      <w:r w:rsidRPr="00641C6D">
        <w:rPr>
          <w:bCs/>
          <w:sz w:val="22"/>
          <w:szCs w:val="22"/>
          <w:lang w:val="sr-Latn-ME"/>
        </w:rPr>
        <w:t xml:space="preserve"> i u serumu i urinu je </w:t>
      </w:r>
      <w:proofErr w:type="spellStart"/>
      <w:r w:rsidRPr="00641C6D">
        <w:rPr>
          <w:bCs/>
          <w:sz w:val="22"/>
          <w:szCs w:val="22"/>
          <w:lang w:val="sr-Latn-ME"/>
        </w:rPr>
        <w:t>desmetilpantoprazol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konjugovan</w:t>
      </w:r>
      <w:proofErr w:type="spellEnd"/>
      <w:r w:rsidRPr="00641C6D">
        <w:rPr>
          <w:bCs/>
          <w:sz w:val="22"/>
          <w:szCs w:val="22"/>
          <w:lang w:val="sr-Latn-ME"/>
        </w:rPr>
        <w:t xml:space="preserve"> sa sulfatom. Poluvr</w:t>
      </w:r>
      <w:r w:rsidR="00175F0A" w:rsidRPr="00641C6D">
        <w:rPr>
          <w:bCs/>
          <w:sz w:val="22"/>
          <w:szCs w:val="22"/>
          <w:lang w:val="sr-Latn-ME"/>
        </w:rPr>
        <w:t>i</w:t>
      </w:r>
      <w:r w:rsidR="007936DF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eme eliminacije za glavni </w:t>
      </w:r>
      <w:proofErr w:type="spellStart"/>
      <w:r w:rsidRPr="00641C6D">
        <w:rPr>
          <w:bCs/>
          <w:sz w:val="22"/>
          <w:szCs w:val="22"/>
          <w:lang w:val="sr-Latn-ME"/>
        </w:rPr>
        <w:t>metabolit</w:t>
      </w:r>
      <w:proofErr w:type="spellEnd"/>
      <w:r w:rsidRPr="00641C6D">
        <w:rPr>
          <w:bCs/>
          <w:sz w:val="22"/>
          <w:szCs w:val="22"/>
          <w:lang w:val="sr-Latn-ME"/>
        </w:rPr>
        <w:t xml:space="preserve"> (otprilike 1,5 sat) nije mnogo duže nego za </w:t>
      </w:r>
      <w:proofErr w:type="spellStart"/>
      <w:r w:rsidRPr="00641C6D">
        <w:rPr>
          <w:bCs/>
          <w:sz w:val="22"/>
          <w:szCs w:val="22"/>
          <w:lang w:val="sr-Latn-ME"/>
        </w:rPr>
        <w:t>pantoprazol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Posebne grupe</w:t>
      </w:r>
    </w:p>
    <w:p w:rsidR="00175F0A" w:rsidRPr="00641C6D" w:rsidRDefault="00175F0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 xml:space="preserve">Slabi </w:t>
      </w:r>
      <w:proofErr w:type="spellStart"/>
      <w:r w:rsidRPr="00641C6D">
        <w:rPr>
          <w:bCs/>
          <w:i/>
          <w:sz w:val="22"/>
          <w:szCs w:val="22"/>
          <w:lang w:val="sr-Latn-ME"/>
        </w:rPr>
        <w:t>metabolizeri</w:t>
      </w:r>
      <w:proofErr w:type="spellEnd"/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Kod približno 3% evropske populacije, javlja se nedostatak funkcionaln</w:t>
      </w:r>
      <w:r w:rsidR="000079C8" w:rsidRPr="00641C6D">
        <w:rPr>
          <w:bCs/>
          <w:sz w:val="22"/>
          <w:szCs w:val="22"/>
          <w:lang w:val="sr-Latn-ME"/>
        </w:rPr>
        <w:t xml:space="preserve">og enzim </w:t>
      </w:r>
      <w:proofErr w:type="spellStart"/>
      <w:r w:rsidR="000079C8" w:rsidRPr="00641C6D">
        <w:rPr>
          <w:bCs/>
          <w:sz w:val="22"/>
          <w:szCs w:val="22"/>
          <w:lang w:val="sr-Latn-ME"/>
        </w:rPr>
        <w:t>CYP2C19</w:t>
      </w:r>
      <w:proofErr w:type="spellEnd"/>
      <w:r w:rsidR="000079C8" w:rsidRPr="00641C6D">
        <w:rPr>
          <w:bCs/>
          <w:sz w:val="22"/>
          <w:szCs w:val="22"/>
          <w:lang w:val="sr-Latn-ME"/>
        </w:rPr>
        <w:t xml:space="preserve"> i nazivaju se </w:t>
      </w:r>
      <w:r w:rsidRPr="00641C6D">
        <w:rPr>
          <w:bCs/>
          <w:sz w:val="22"/>
          <w:szCs w:val="22"/>
          <w:lang w:val="sr-Latn-ME"/>
        </w:rPr>
        <w:t xml:space="preserve">„slabim </w:t>
      </w:r>
      <w:proofErr w:type="spellStart"/>
      <w:r w:rsidRPr="00641C6D">
        <w:rPr>
          <w:bCs/>
          <w:sz w:val="22"/>
          <w:szCs w:val="22"/>
          <w:lang w:val="sr-Latn-ME"/>
        </w:rPr>
        <w:t>metabolizerima</w:t>
      </w:r>
      <w:proofErr w:type="spellEnd"/>
      <w:r w:rsidRPr="00641C6D">
        <w:rPr>
          <w:bCs/>
          <w:sz w:val="22"/>
          <w:szCs w:val="22"/>
          <w:lang w:val="sr-Latn-ME"/>
        </w:rPr>
        <w:t>“</w:t>
      </w:r>
      <w:r w:rsidR="000079C8" w:rsidRPr="00641C6D">
        <w:rPr>
          <w:bCs/>
          <w:sz w:val="22"/>
          <w:szCs w:val="22"/>
          <w:lang w:val="sr-Latn-ME"/>
        </w:rPr>
        <w:t xml:space="preserve">. </w:t>
      </w:r>
      <w:r w:rsidRPr="00641C6D">
        <w:rPr>
          <w:bCs/>
          <w:sz w:val="22"/>
          <w:szCs w:val="22"/>
          <w:lang w:val="sr-Latn-ME"/>
        </w:rPr>
        <w:t xml:space="preserve">Kod tih pacijenata se metabolizam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v</w:t>
      </w:r>
      <w:r w:rsidR="000079C8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erovatno odvija </w:t>
      </w:r>
      <w:proofErr w:type="spellStart"/>
      <w:r w:rsidRPr="00641C6D">
        <w:rPr>
          <w:bCs/>
          <w:sz w:val="22"/>
          <w:szCs w:val="22"/>
          <w:lang w:val="sr-Latn-ME"/>
        </w:rPr>
        <w:t>preko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izoenzima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CYP3A4</w:t>
      </w:r>
      <w:proofErr w:type="spellEnd"/>
      <w:r w:rsidRPr="00641C6D">
        <w:rPr>
          <w:bCs/>
          <w:sz w:val="22"/>
          <w:szCs w:val="22"/>
          <w:lang w:val="sr-Latn-ME"/>
        </w:rPr>
        <w:t xml:space="preserve">. Nakon pojedinačne doze od 40 mg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srednja </w:t>
      </w:r>
      <w:r w:rsidR="007744DD" w:rsidRPr="00641C6D">
        <w:rPr>
          <w:bCs/>
          <w:sz w:val="22"/>
          <w:szCs w:val="22"/>
          <w:lang w:val="sr-Latn-ME"/>
        </w:rPr>
        <w:t xml:space="preserve">vrijednosti </w:t>
      </w:r>
      <w:r w:rsidRPr="00641C6D">
        <w:rPr>
          <w:bCs/>
          <w:sz w:val="22"/>
          <w:szCs w:val="22"/>
          <w:lang w:val="sr-Latn-ME"/>
        </w:rPr>
        <w:t xml:space="preserve"> površine ispod krive koncentracije u plazmi je bila približno 6 puta veća kod „slabih </w:t>
      </w:r>
      <w:proofErr w:type="spellStart"/>
      <w:r w:rsidRPr="00641C6D">
        <w:rPr>
          <w:bCs/>
          <w:sz w:val="22"/>
          <w:szCs w:val="22"/>
          <w:lang w:val="sr-Latn-ME"/>
        </w:rPr>
        <w:t>metabolizera</w:t>
      </w:r>
      <w:proofErr w:type="spellEnd"/>
      <w:r w:rsidRPr="00641C6D">
        <w:rPr>
          <w:bCs/>
          <w:sz w:val="22"/>
          <w:szCs w:val="22"/>
          <w:lang w:val="sr-Latn-ME"/>
        </w:rPr>
        <w:t xml:space="preserve">“ </w:t>
      </w:r>
      <w:r w:rsidR="000079C8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nego kod pacijenata koji imaju funkcionalan </w:t>
      </w:r>
      <w:proofErr w:type="spellStart"/>
      <w:r w:rsidRPr="00641C6D">
        <w:rPr>
          <w:bCs/>
          <w:sz w:val="22"/>
          <w:szCs w:val="22"/>
          <w:lang w:val="sr-Latn-ME"/>
        </w:rPr>
        <w:t>izoenzim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CYP2C19</w:t>
      </w:r>
      <w:proofErr w:type="spellEnd"/>
      <w:r w:rsidRPr="00641C6D">
        <w:rPr>
          <w:bCs/>
          <w:sz w:val="22"/>
          <w:szCs w:val="22"/>
          <w:lang w:val="sr-Latn-ME"/>
        </w:rPr>
        <w:t xml:space="preserve"> („snažni </w:t>
      </w:r>
      <w:proofErr w:type="spellStart"/>
      <w:r w:rsidRPr="00641C6D">
        <w:rPr>
          <w:bCs/>
          <w:sz w:val="22"/>
          <w:szCs w:val="22"/>
          <w:lang w:val="sr-Latn-ME"/>
        </w:rPr>
        <w:t>metabolizeri</w:t>
      </w:r>
      <w:proofErr w:type="spellEnd"/>
      <w:r w:rsidRPr="00641C6D">
        <w:rPr>
          <w:bCs/>
          <w:sz w:val="22"/>
          <w:szCs w:val="22"/>
          <w:lang w:val="sr-Latn-ME"/>
        </w:rPr>
        <w:t xml:space="preserve">“). Srednje </w:t>
      </w:r>
      <w:r w:rsidR="007744DD" w:rsidRPr="00641C6D">
        <w:rPr>
          <w:bCs/>
          <w:sz w:val="22"/>
          <w:szCs w:val="22"/>
          <w:lang w:val="sr-Latn-ME"/>
        </w:rPr>
        <w:t xml:space="preserve">vrijednosti </w:t>
      </w:r>
      <w:r w:rsidRPr="00641C6D">
        <w:rPr>
          <w:bCs/>
          <w:sz w:val="22"/>
          <w:szCs w:val="22"/>
          <w:lang w:val="sr-Latn-ME"/>
        </w:rPr>
        <w:t xml:space="preserve"> maksimalnih koncentracija u plazmi su povećane za otprilike 60%. Ovi nal</w:t>
      </w:r>
      <w:r w:rsidR="000079C8" w:rsidRPr="00641C6D">
        <w:rPr>
          <w:bCs/>
          <w:sz w:val="22"/>
          <w:szCs w:val="22"/>
          <w:lang w:val="sr-Latn-ME"/>
        </w:rPr>
        <w:t xml:space="preserve">azi nemaju uticaj na doziranje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0079C8" w:rsidRPr="00641C6D" w:rsidRDefault="000079C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lastRenderedPageBreak/>
        <w:t>Oštećenje funkcije bubrega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Ne preporučuje se smanjenje doze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kada se </w:t>
      </w:r>
      <w:r w:rsidR="000079C8" w:rsidRPr="00641C6D">
        <w:rPr>
          <w:bCs/>
          <w:sz w:val="22"/>
          <w:szCs w:val="22"/>
          <w:lang w:val="sr-Latn-ME"/>
        </w:rPr>
        <w:t>primjenjuje kod</w:t>
      </w:r>
      <w:r w:rsidRPr="00641C6D">
        <w:rPr>
          <w:bCs/>
          <w:sz w:val="22"/>
          <w:szCs w:val="22"/>
          <w:lang w:val="sr-Latn-ME"/>
        </w:rPr>
        <w:t xml:space="preserve"> pa</w:t>
      </w:r>
      <w:r w:rsidR="000079C8" w:rsidRPr="00641C6D">
        <w:rPr>
          <w:bCs/>
          <w:sz w:val="22"/>
          <w:szCs w:val="22"/>
          <w:lang w:val="sr-Latn-ME"/>
        </w:rPr>
        <w:t xml:space="preserve">cijenata sa oštećenjem funkcije </w:t>
      </w:r>
      <w:r w:rsidRPr="00641C6D">
        <w:rPr>
          <w:bCs/>
          <w:sz w:val="22"/>
          <w:szCs w:val="22"/>
          <w:lang w:val="sr-Latn-ME"/>
        </w:rPr>
        <w:t xml:space="preserve">bubrega (uključujući pacijente na dijalizi). Kao i kod zdravih pacijenata, </w:t>
      </w:r>
      <w:r w:rsidR="000079C8" w:rsidRPr="00641C6D">
        <w:rPr>
          <w:bCs/>
          <w:sz w:val="22"/>
          <w:szCs w:val="22"/>
          <w:lang w:val="sr-Latn-ME"/>
        </w:rPr>
        <w:t xml:space="preserve">poluvrijeme </w:t>
      </w:r>
      <w:r w:rsidRPr="00641C6D">
        <w:rPr>
          <w:bCs/>
          <w:sz w:val="22"/>
          <w:szCs w:val="22"/>
          <w:lang w:val="sr-Latn-ME"/>
        </w:rPr>
        <w:t xml:space="preserve">eliminacije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je kratko. Samo veoma male količine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podl</w:t>
      </w:r>
      <w:r w:rsidR="000079C8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ežu dijalizi. Iako je </w:t>
      </w:r>
      <w:r w:rsidR="000079C8" w:rsidRPr="00641C6D">
        <w:rPr>
          <w:bCs/>
          <w:sz w:val="22"/>
          <w:szCs w:val="22"/>
          <w:lang w:val="sr-Latn-ME"/>
        </w:rPr>
        <w:t xml:space="preserve">poluvrijeme </w:t>
      </w:r>
      <w:r w:rsidRPr="00641C6D">
        <w:rPr>
          <w:bCs/>
          <w:sz w:val="22"/>
          <w:szCs w:val="22"/>
          <w:lang w:val="sr-Latn-ME"/>
        </w:rPr>
        <w:t xml:space="preserve">eliminacije glavnog </w:t>
      </w:r>
      <w:proofErr w:type="spellStart"/>
      <w:r w:rsidRPr="00641C6D">
        <w:rPr>
          <w:bCs/>
          <w:sz w:val="22"/>
          <w:szCs w:val="22"/>
          <w:lang w:val="sr-Latn-ME"/>
        </w:rPr>
        <w:t>metabolita</w:t>
      </w:r>
      <w:proofErr w:type="spellEnd"/>
      <w:r w:rsidRPr="00641C6D">
        <w:rPr>
          <w:bCs/>
          <w:sz w:val="22"/>
          <w:szCs w:val="22"/>
          <w:lang w:val="sr-Latn-ME"/>
        </w:rPr>
        <w:t xml:space="preserve"> um</w:t>
      </w:r>
      <w:r w:rsidR="000079C8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ereno produženo (2–3 sata), izlučivanje se ipak dešava dovoljno brzo da ne dođe do akumulacije. </w:t>
      </w:r>
    </w:p>
    <w:p w:rsidR="000079C8" w:rsidRPr="00641C6D" w:rsidRDefault="000079C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Oštećenje funkcije jetre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Iako su kod pacijenata sa cirozom jetre (klase A i B prema </w:t>
      </w:r>
      <w:proofErr w:type="spellStart"/>
      <w:r w:rsidRPr="00641C6D">
        <w:rPr>
          <w:bCs/>
          <w:sz w:val="22"/>
          <w:szCs w:val="22"/>
          <w:lang w:val="sr-Latn-ME"/>
        </w:rPr>
        <w:t>Child</w:t>
      </w:r>
      <w:proofErr w:type="spellEnd"/>
      <w:r w:rsidRPr="00641C6D">
        <w:rPr>
          <w:bCs/>
          <w:sz w:val="22"/>
          <w:szCs w:val="22"/>
          <w:lang w:val="sr-Latn-ME"/>
        </w:rPr>
        <w:t xml:space="preserve">) došlo do produženja </w:t>
      </w:r>
      <w:proofErr w:type="spellStart"/>
      <w:r w:rsidRPr="00641C6D">
        <w:rPr>
          <w:bCs/>
          <w:sz w:val="22"/>
          <w:szCs w:val="22"/>
          <w:lang w:val="sr-Latn-ME"/>
        </w:rPr>
        <w:t>poluvremena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eliminacije na 7 do 9 sati, a </w:t>
      </w:r>
      <w:r w:rsidR="007744DD" w:rsidRPr="00641C6D">
        <w:rPr>
          <w:bCs/>
          <w:sz w:val="22"/>
          <w:szCs w:val="22"/>
          <w:lang w:val="sr-Latn-ME"/>
        </w:rPr>
        <w:t xml:space="preserve">vrijednosti </w:t>
      </w:r>
      <w:r w:rsidRPr="00641C6D">
        <w:rPr>
          <w:bCs/>
          <w:sz w:val="22"/>
          <w:szCs w:val="22"/>
          <w:lang w:val="sr-Latn-ME"/>
        </w:rPr>
        <w:t xml:space="preserve"> površine ispod krive (PIK) pove</w:t>
      </w:r>
      <w:r w:rsidR="000079C8" w:rsidRPr="00641C6D">
        <w:rPr>
          <w:bCs/>
          <w:sz w:val="22"/>
          <w:szCs w:val="22"/>
          <w:lang w:val="sr-Latn-ME"/>
        </w:rPr>
        <w:t xml:space="preserve">ćane za faktor 5-7, maksimalna </w:t>
      </w:r>
      <w:r w:rsidRPr="00641C6D">
        <w:rPr>
          <w:bCs/>
          <w:sz w:val="22"/>
          <w:szCs w:val="22"/>
          <w:lang w:val="sr-Latn-ME"/>
        </w:rPr>
        <w:t>koncentracija u serumu je samo neznatno povećana uz fakto</w:t>
      </w:r>
      <w:r w:rsidR="000079C8" w:rsidRPr="00641C6D">
        <w:rPr>
          <w:bCs/>
          <w:sz w:val="22"/>
          <w:szCs w:val="22"/>
          <w:lang w:val="sr-Latn-ME"/>
        </w:rPr>
        <w:t>r 1,5 u odnosu na zdrave osobe.</w:t>
      </w:r>
    </w:p>
    <w:p w:rsidR="000079C8" w:rsidRPr="00641C6D" w:rsidRDefault="000079C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Stariji pacijenti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Neznatno povećanje površine ispod krive (PIK) i </w:t>
      </w:r>
      <w:proofErr w:type="spellStart"/>
      <w:r w:rsidRPr="00641C6D">
        <w:rPr>
          <w:bCs/>
          <w:sz w:val="22"/>
          <w:szCs w:val="22"/>
          <w:lang w:val="sr-Latn-ME"/>
        </w:rPr>
        <w:t>Cmax</w:t>
      </w:r>
      <w:proofErr w:type="spellEnd"/>
      <w:r w:rsidRPr="00641C6D">
        <w:rPr>
          <w:bCs/>
          <w:sz w:val="22"/>
          <w:szCs w:val="22"/>
          <w:lang w:val="sr-Latn-ME"/>
        </w:rPr>
        <w:t xml:space="preserve"> do koga dolazi kod sta</w:t>
      </w:r>
      <w:r w:rsidR="000079C8" w:rsidRPr="00641C6D">
        <w:rPr>
          <w:bCs/>
          <w:sz w:val="22"/>
          <w:szCs w:val="22"/>
          <w:lang w:val="sr-Latn-ME"/>
        </w:rPr>
        <w:t xml:space="preserve">rijih dobrovoljaca u poređenju  </w:t>
      </w:r>
      <w:r w:rsidRPr="00641C6D">
        <w:rPr>
          <w:bCs/>
          <w:sz w:val="22"/>
          <w:szCs w:val="22"/>
          <w:lang w:val="sr-Latn-ME"/>
        </w:rPr>
        <w:t xml:space="preserve">sa </w:t>
      </w:r>
      <w:r w:rsidR="00937A06" w:rsidRPr="00641C6D">
        <w:rPr>
          <w:bCs/>
          <w:sz w:val="22"/>
          <w:szCs w:val="22"/>
          <w:lang w:val="sr-Latn-ME"/>
        </w:rPr>
        <w:t>ml</w:t>
      </w:r>
      <w:r w:rsidRPr="00641C6D">
        <w:rPr>
          <w:bCs/>
          <w:sz w:val="22"/>
          <w:szCs w:val="22"/>
          <w:lang w:val="sr-Latn-ME"/>
        </w:rPr>
        <w:t xml:space="preserve">ađim osobama, takođe nije od kliničkog značaja. </w:t>
      </w:r>
    </w:p>
    <w:p w:rsidR="000079C8" w:rsidRPr="00641C6D" w:rsidRDefault="000079C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641C6D">
        <w:rPr>
          <w:bCs/>
          <w:i/>
          <w:sz w:val="22"/>
          <w:szCs w:val="22"/>
          <w:lang w:val="sr-Latn-ME"/>
        </w:rPr>
        <w:t>Pedijatrijska populacija</w:t>
      </w:r>
    </w:p>
    <w:p w:rsidR="0072020E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Nakon </w:t>
      </w:r>
      <w:r w:rsidR="001D332F" w:rsidRPr="00641C6D">
        <w:rPr>
          <w:bCs/>
          <w:sz w:val="22"/>
          <w:szCs w:val="22"/>
          <w:lang w:val="sr-Latn-ME"/>
        </w:rPr>
        <w:t>primjene</w:t>
      </w:r>
      <w:r w:rsidRPr="00641C6D">
        <w:rPr>
          <w:bCs/>
          <w:sz w:val="22"/>
          <w:szCs w:val="22"/>
          <w:lang w:val="sr-Latn-ME"/>
        </w:rPr>
        <w:t xml:space="preserve"> pojedinačnih </w:t>
      </w:r>
      <w:proofErr w:type="spellStart"/>
      <w:r w:rsidRPr="00641C6D">
        <w:rPr>
          <w:bCs/>
          <w:sz w:val="22"/>
          <w:szCs w:val="22"/>
          <w:lang w:val="sr-Latn-ME"/>
        </w:rPr>
        <w:t>intravenskih</w:t>
      </w:r>
      <w:proofErr w:type="spellEnd"/>
      <w:r w:rsidRPr="00641C6D">
        <w:rPr>
          <w:bCs/>
          <w:sz w:val="22"/>
          <w:szCs w:val="22"/>
          <w:lang w:val="sr-Latn-ME"/>
        </w:rPr>
        <w:t xml:space="preserve"> doza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od 0,8 ili 1</w:t>
      </w:r>
      <w:r w:rsidR="000079C8" w:rsidRPr="00641C6D">
        <w:rPr>
          <w:bCs/>
          <w:sz w:val="22"/>
          <w:szCs w:val="22"/>
          <w:lang w:val="sr-Latn-ME"/>
        </w:rPr>
        <w:t xml:space="preserve">,6 mg/kg </w:t>
      </w:r>
      <w:proofErr w:type="spellStart"/>
      <w:r w:rsidR="000079C8" w:rsidRPr="00641C6D">
        <w:rPr>
          <w:bCs/>
          <w:sz w:val="22"/>
          <w:szCs w:val="22"/>
          <w:lang w:val="sr-Latn-ME"/>
        </w:rPr>
        <w:t>pantoprazola</w:t>
      </w:r>
      <w:proofErr w:type="spellEnd"/>
      <w:r w:rsidR="000079C8" w:rsidRPr="00641C6D">
        <w:rPr>
          <w:bCs/>
          <w:sz w:val="22"/>
          <w:szCs w:val="22"/>
          <w:lang w:val="sr-Latn-ME"/>
        </w:rPr>
        <w:t xml:space="preserve"> kod d</w:t>
      </w:r>
      <w:r w:rsidR="007936DF" w:rsidRPr="00641C6D">
        <w:rPr>
          <w:bCs/>
          <w:sz w:val="22"/>
          <w:szCs w:val="22"/>
          <w:lang w:val="sr-Latn-ME"/>
        </w:rPr>
        <w:t>j</w:t>
      </w:r>
      <w:r w:rsidR="000079C8" w:rsidRPr="00641C6D">
        <w:rPr>
          <w:bCs/>
          <w:sz w:val="22"/>
          <w:szCs w:val="22"/>
          <w:lang w:val="sr-Latn-ME"/>
        </w:rPr>
        <w:t xml:space="preserve">ece </w:t>
      </w:r>
      <w:r w:rsidRPr="00641C6D">
        <w:rPr>
          <w:bCs/>
          <w:sz w:val="22"/>
          <w:szCs w:val="22"/>
          <w:lang w:val="sr-Latn-ME"/>
        </w:rPr>
        <w:t xml:space="preserve">uzrasta od 2 do 16 godina nije bilo značajnije povezanosti između </w:t>
      </w:r>
      <w:proofErr w:type="spellStart"/>
      <w:r w:rsidRPr="00641C6D">
        <w:rPr>
          <w:bCs/>
          <w:sz w:val="22"/>
          <w:szCs w:val="22"/>
          <w:lang w:val="sr-Latn-ME"/>
        </w:rPr>
        <w:t>klirensa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i uzrasta ili t</w:t>
      </w:r>
      <w:r w:rsidR="000079C8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elesne mase. </w:t>
      </w:r>
      <w:r w:rsidR="007744DD" w:rsidRPr="00641C6D">
        <w:rPr>
          <w:bCs/>
          <w:sz w:val="22"/>
          <w:szCs w:val="22"/>
          <w:lang w:val="sr-Latn-ME"/>
        </w:rPr>
        <w:t xml:space="preserve">Vrijednosti </w:t>
      </w:r>
      <w:r w:rsidRPr="00641C6D">
        <w:rPr>
          <w:bCs/>
          <w:sz w:val="22"/>
          <w:szCs w:val="22"/>
          <w:lang w:val="sr-Latn-ME"/>
        </w:rPr>
        <w:t xml:space="preserve"> PIK i volumen distribucije bili su u </w:t>
      </w:r>
      <w:proofErr w:type="spellStart"/>
      <w:r w:rsidRPr="00641C6D">
        <w:rPr>
          <w:bCs/>
          <w:sz w:val="22"/>
          <w:szCs w:val="22"/>
          <w:lang w:val="sr-Latn-ME"/>
        </w:rPr>
        <w:t>sklađeni</w:t>
      </w:r>
      <w:proofErr w:type="spellEnd"/>
      <w:r w:rsidRPr="00641C6D">
        <w:rPr>
          <w:bCs/>
          <w:sz w:val="22"/>
          <w:szCs w:val="22"/>
          <w:lang w:val="sr-Latn-ME"/>
        </w:rPr>
        <w:t xml:space="preserve"> sa podacima dobijenim kod odraslih pacijenata.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5.3.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proofErr w:type="spellStart"/>
      <w:r w:rsidRPr="00641C6D">
        <w:rPr>
          <w:b/>
          <w:bCs/>
          <w:sz w:val="22"/>
          <w:szCs w:val="22"/>
          <w:lang w:val="sr-Latn-ME"/>
        </w:rPr>
        <w:t>Pretklinički</w:t>
      </w:r>
      <w:proofErr w:type="spellEnd"/>
      <w:r w:rsidRPr="00641C6D">
        <w:rPr>
          <w:b/>
          <w:bCs/>
          <w:sz w:val="22"/>
          <w:szCs w:val="22"/>
          <w:lang w:val="sr-Latn-ME"/>
        </w:rPr>
        <w:t xml:space="preserve"> podaci o bezbjednosti </w:t>
      </w:r>
    </w:p>
    <w:p w:rsidR="000079C8" w:rsidRPr="00641C6D" w:rsidRDefault="000079C8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Pretklinički</w:t>
      </w:r>
      <w:proofErr w:type="spellEnd"/>
      <w:r w:rsidRPr="00641C6D">
        <w:rPr>
          <w:bCs/>
          <w:sz w:val="22"/>
          <w:szCs w:val="22"/>
          <w:lang w:val="sr-Latn-ME"/>
        </w:rPr>
        <w:t xml:space="preserve"> podaci dobijeni na osnovu konvencionalnih studija o farmakološkoj </w:t>
      </w:r>
      <w:r w:rsidR="002076C9" w:rsidRPr="00641C6D">
        <w:rPr>
          <w:bCs/>
          <w:sz w:val="22"/>
          <w:szCs w:val="22"/>
          <w:lang w:val="sr-Latn-ME"/>
        </w:rPr>
        <w:t>b</w:t>
      </w:r>
      <w:r w:rsidR="001D332F" w:rsidRPr="00641C6D">
        <w:rPr>
          <w:bCs/>
          <w:sz w:val="22"/>
          <w:szCs w:val="22"/>
          <w:lang w:val="sr-Latn-ME"/>
        </w:rPr>
        <w:t>ezbjednost</w:t>
      </w:r>
      <w:r w:rsidR="00344DEB" w:rsidRPr="00641C6D">
        <w:rPr>
          <w:bCs/>
          <w:sz w:val="22"/>
          <w:szCs w:val="22"/>
          <w:lang w:val="sr-Latn-ME"/>
        </w:rPr>
        <w:t xml:space="preserve">i, toksičnosti  </w:t>
      </w:r>
      <w:r w:rsidRPr="00641C6D">
        <w:rPr>
          <w:bCs/>
          <w:sz w:val="22"/>
          <w:szCs w:val="22"/>
          <w:lang w:val="sr-Latn-ME"/>
        </w:rPr>
        <w:t xml:space="preserve">ponovljenih doza i </w:t>
      </w:r>
      <w:proofErr w:type="spellStart"/>
      <w:r w:rsidRPr="00641C6D">
        <w:rPr>
          <w:bCs/>
          <w:sz w:val="22"/>
          <w:szCs w:val="22"/>
          <w:lang w:val="sr-Latn-ME"/>
        </w:rPr>
        <w:t>genotoksičnosti</w:t>
      </w:r>
      <w:proofErr w:type="spellEnd"/>
      <w:r w:rsidRPr="00641C6D">
        <w:rPr>
          <w:bCs/>
          <w:sz w:val="22"/>
          <w:szCs w:val="22"/>
          <w:lang w:val="sr-Latn-ME"/>
        </w:rPr>
        <w:t xml:space="preserve"> ne ukazuju na posebnu opasnost za </w:t>
      </w:r>
      <w:proofErr w:type="spellStart"/>
      <w:r w:rsidRPr="00641C6D">
        <w:rPr>
          <w:bCs/>
          <w:sz w:val="22"/>
          <w:szCs w:val="22"/>
          <w:lang w:val="sr-Latn-ME"/>
        </w:rPr>
        <w:t>ljude</w:t>
      </w:r>
      <w:proofErr w:type="spellEnd"/>
      <w:r w:rsidRPr="00641C6D">
        <w:rPr>
          <w:bCs/>
          <w:sz w:val="22"/>
          <w:szCs w:val="22"/>
          <w:lang w:val="sr-Latn-ME"/>
        </w:rPr>
        <w:t xml:space="preserve">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Tokom dvogodišnjeg ispitivanja kancerogenosti na pacovima, pronađen</w:t>
      </w:r>
      <w:r w:rsidR="002076C9" w:rsidRPr="00641C6D">
        <w:rPr>
          <w:bCs/>
          <w:sz w:val="22"/>
          <w:szCs w:val="22"/>
          <w:lang w:val="sr-Latn-ME"/>
        </w:rPr>
        <w:t xml:space="preserve">e su </w:t>
      </w:r>
      <w:proofErr w:type="spellStart"/>
      <w:r w:rsidR="002076C9" w:rsidRPr="00641C6D">
        <w:rPr>
          <w:bCs/>
          <w:sz w:val="22"/>
          <w:szCs w:val="22"/>
          <w:lang w:val="sr-Latn-ME"/>
        </w:rPr>
        <w:t>neuroendokrine</w:t>
      </w:r>
      <w:proofErr w:type="spellEnd"/>
      <w:r w:rsidR="002076C9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2076C9" w:rsidRPr="00641C6D">
        <w:rPr>
          <w:bCs/>
          <w:sz w:val="22"/>
          <w:szCs w:val="22"/>
          <w:lang w:val="sr-Latn-ME"/>
        </w:rPr>
        <w:t>neoplazme</w:t>
      </w:r>
      <w:proofErr w:type="spellEnd"/>
      <w:r w:rsidR="002076C9" w:rsidRPr="00641C6D">
        <w:rPr>
          <w:bCs/>
          <w:sz w:val="22"/>
          <w:szCs w:val="22"/>
          <w:lang w:val="sr-Latn-ME"/>
        </w:rPr>
        <w:t xml:space="preserve">. </w:t>
      </w:r>
      <w:r w:rsidRPr="00641C6D">
        <w:rPr>
          <w:bCs/>
          <w:sz w:val="22"/>
          <w:szCs w:val="22"/>
          <w:lang w:val="sr-Latn-ME"/>
        </w:rPr>
        <w:t>Pored toga, u prednjem d</w:t>
      </w:r>
      <w:r w:rsidR="002076C9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elu kod pacova pronađene su </w:t>
      </w:r>
      <w:proofErr w:type="spellStart"/>
      <w:r w:rsidRPr="00641C6D">
        <w:rPr>
          <w:bCs/>
          <w:sz w:val="22"/>
          <w:szCs w:val="22"/>
          <w:lang w:val="sr-Latn-ME"/>
        </w:rPr>
        <w:t>skvamozne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papilomatozne</w:t>
      </w:r>
      <w:proofErr w:type="spellEnd"/>
      <w:r w:rsidRPr="00641C6D">
        <w:rPr>
          <w:bCs/>
          <w:sz w:val="22"/>
          <w:szCs w:val="22"/>
          <w:lang w:val="sr-Latn-ME"/>
        </w:rPr>
        <w:t xml:space="preserve"> ćelije. Pažljivo je ispitan </w:t>
      </w:r>
      <w:r w:rsidR="002076C9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mehanizam koji putem supstituisanih </w:t>
      </w:r>
      <w:proofErr w:type="spellStart"/>
      <w:r w:rsidRPr="00641C6D">
        <w:rPr>
          <w:bCs/>
          <w:sz w:val="22"/>
          <w:szCs w:val="22"/>
          <w:lang w:val="sr-Latn-ME"/>
        </w:rPr>
        <w:t>benzimidazola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dovodi do formiranja </w:t>
      </w:r>
      <w:proofErr w:type="spellStart"/>
      <w:r w:rsidRPr="00641C6D">
        <w:rPr>
          <w:bCs/>
          <w:sz w:val="22"/>
          <w:szCs w:val="22"/>
          <w:lang w:val="sr-Latn-ME"/>
        </w:rPr>
        <w:t>gastričnih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karcinoida</w:t>
      </w:r>
      <w:proofErr w:type="spellEnd"/>
      <w:r w:rsidRPr="00641C6D">
        <w:rPr>
          <w:bCs/>
          <w:sz w:val="22"/>
          <w:szCs w:val="22"/>
          <w:lang w:val="sr-Latn-ME"/>
        </w:rPr>
        <w:t xml:space="preserve">, i može se </w:t>
      </w:r>
      <w:r w:rsidR="002076C9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zaključiti da je to sekundarna reakcija na izrazito povećanje koncentracije </w:t>
      </w:r>
      <w:proofErr w:type="spellStart"/>
      <w:r w:rsidRPr="00641C6D">
        <w:rPr>
          <w:bCs/>
          <w:sz w:val="22"/>
          <w:szCs w:val="22"/>
          <w:lang w:val="sr-Latn-ME"/>
        </w:rPr>
        <w:t>gastrina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u serumu, koje se javlja kod pacova tokom hronične terapije velikim dozama. Tokom dvogodišnjeg ispitivanja zapažen je povećan broj tumora jetre kod pacova i ženki miševa, što se pripisuje intenzivnom metabolizmu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u jetri.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U grupi pacova koji su primali najveće doze (200 mg/kg) uočeno je blago povećanje učestalosti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neoplazmatskih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promena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tireoidne</w:t>
      </w:r>
      <w:proofErr w:type="spellEnd"/>
      <w:r w:rsidRPr="00641C6D">
        <w:rPr>
          <w:bCs/>
          <w:sz w:val="22"/>
          <w:szCs w:val="22"/>
          <w:lang w:val="sr-Latn-ME"/>
        </w:rPr>
        <w:t xml:space="preserve"> žl</w:t>
      </w:r>
      <w:r w:rsidR="002076C9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ezde. Pojava ovih </w:t>
      </w:r>
      <w:proofErr w:type="spellStart"/>
      <w:r w:rsidRPr="00641C6D">
        <w:rPr>
          <w:bCs/>
          <w:sz w:val="22"/>
          <w:szCs w:val="22"/>
          <w:lang w:val="sr-Latn-ME"/>
        </w:rPr>
        <w:t>neoplazmi</w:t>
      </w:r>
      <w:proofErr w:type="spellEnd"/>
      <w:r w:rsidRPr="00641C6D">
        <w:rPr>
          <w:bCs/>
          <w:sz w:val="22"/>
          <w:szCs w:val="22"/>
          <w:lang w:val="sr-Latn-ME"/>
        </w:rPr>
        <w:t xml:space="preserve"> se povezuje sa prom</w:t>
      </w:r>
      <w:r w:rsidR="002076C9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>enama u metabolizmu</w:t>
      </w:r>
      <w:r w:rsidR="006F4EA4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Pr="00641C6D">
        <w:rPr>
          <w:bCs/>
          <w:sz w:val="22"/>
          <w:szCs w:val="22"/>
          <w:lang w:val="sr-Latn-ME"/>
        </w:rPr>
        <w:t>tiroksina</w:t>
      </w:r>
      <w:proofErr w:type="spellEnd"/>
      <w:r w:rsidRPr="00641C6D">
        <w:rPr>
          <w:bCs/>
          <w:sz w:val="22"/>
          <w:szCs w:val="22"/>
          <w:lang w:val="sr-Latn-ME"/>
        </w:rPr>
        <w:t xml:space="preserve"> u jetri pacova pod dejstvom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. Kako je kod </w:t>
      </w:r>
      <w:proofErr w:type="spellStart"/>
      <w:r w:rsidRPr="00641C6D">
        <w:rPr>
          <w:bCs/>
          <w:sz w:val="22"/>
          <w:szCs w:val="22"/>
          <w:lang w:val="sr-Latn-ME"/>
        </w:rPr>
        <w:t>ljudi</w:t>
      </w:r>
      <w:proofErr w:type="spellEnd"/>
      <w:r w:rsidRPr="00641C6D">
        <w:rPr>
          <w:bCs/>
          <w:sz w:val="22"/>
          <w:szCs w:val="22"/>
          <w:lang w:val="sr-Latn-ME"/>
        </w:rPr>
        <w:t xml:space="preserve"> terapijska doza mala, na </w:t>
      </w:r>
      <w:proofErr w:type="spellStart"/>
      <w:r w:rsidRPr="00641C6D">
        <w:rPr>
          <w:bCs/>
          <w:sz w:val="22"/>
          <w:szCs w:val="22"/>
          <w:lang w:val="sr-Latn-ME"/>
        </w:rPr>
        <w:t>tiroidnim</w:t>
      </w:r>
      <w:proofErr w:type="spellEnd"/>
      <w:r w:rsidRPr="00641C6D">
        <w:rPr>
          <w:bCs/>
          <w:sz w:val="22"/>
          <w:szCs w:val="22"/>
          <w:lang w:val="sr-Latn-ME"/>
        </w:rPr>
        <w:t xml:space="preserve"> žl</w:t>
      </w:r>
      <w:r w:rsidR="002076C9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ezdama se ne očekuju neželjena dejstva.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U </w:t>
      </w:r>
      <w:proofErr w:type="spellStart"/>
      <w:r w:rsidRPr="00641C6D">
        <w:rPr>
          <w:bCs/>
          <w:sz w:val="22"/>
          <w:szCs w:val="22"/>
          <w:lang w:val="sr-Latn-ME"/>
        </w:rPr>
        <w:t>reporoduktivnom</w:t>
      </w:r>
      <w:proofErr w:type="spellEnd"/>
      <w:r w:rsidRPr="00641C6D">
        <w:rPr>
          <w:bCs/>
          <w:sz w:val="22"/>
          <w:szCs w:val="22"/>
          <w:lang w:val="sr-Latn-ME"/>
        </w:rPr>
        <w:t xml:space="preserve"> istraživanju na </w:t>
      </w:r>
      <w:r w:rsidR="00B41E67" w:rsidRPr="00641C6D">
        <w:rPr>
          <w:bCs/>
          <w:sz w:val="22"/>
          <w:szCs w:val="22"/>
          <w:lang w:val="sr-Latn-ME"/>
        </w:rPr>
        <w:t xml:space="preserve">životinjama, pri dozama većim od </w:t>
      </w:r>
      <w:r w:rsidR="006F4EA4" w:rsidRPr="00641C6D">
        <w:rPr>
          <w:bCs/>
          <w:sz w:val="22"/>
          <w:szCs w:val="22"/>
          <w:lang w:val="sr-Latn-ME"/>
        </w:rPr>
        <w:t xml:space="preserve">5 mg/kg, primijećeni </w:t>
      </w:r>
      <w:r w:rsidR="00B41E67" w:rsidRPr="00641C6D">
        <w:rPr>
          <w:bCs/>
          <w:sz w:val="22"/>
          <w:szCs w:val="22"/>
          <w:lang w:val="sr-Latn-ME"/>
        </w:rPr>
        <w:t xml:space="preserve"> su znakovi blage </w:t>
      </w:r>
      <w:proofErr w:type="spellStart"/>
      <w:r w:rsidR="00B41E67" w:rsidRPr="00641C6D">
        <w:rPr>
          <w:bCs/>
          <w:sz w:val="22"/>
          <w:szCs w:val="22"/>
          <w:lang w:val="sr-Latn-ME"/>
        </w:rPr>
        <w:t>fetotoksičnosti</w:t>
      </w:r>
      <w:proofErr w:type="spellEnd"/>
      <w:r w:rsidR="00B41E67" w:rsidRPr="00641C6D">
        <w:rPr>
          <w:bCs/>
          <w:sz w:val="22"/>
          <w:szCs w:val="22"/>
          <w:lang w:val="sr-Latn-ME"/>
        </w:rPr>
        <w:t>.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Ispitivanja ni</w:t>
      </w:r>
      <w:r w:rsidR="007936DF" w:rsidRPr="00641C6D">
        <w:rPr>
          <w:bCs/>
          <w:sz w:val="22"/>
          <w:szCs w:val="22"/>
          <w:lang w:val="sr-Latn-ME"/>
        </w:rPr>
        <w:t>je</w:t>
      </w:r>
      <w:r w:rsidRPr="00641C6D">
        <w:rPr>
          <w:bCs/>
          <w:sz w:val="22"/>
          <w:szCs w:val="22"/>
          <w:lang w:val="sr-Latn-ME"/>
        </w:rPr>
        <w:t xml:space="preserve">su pokazala uticaj na plodnost, niti </w:t>
      </w:r>
      <w:proofErr w:type="spellStart"/>
      <w:r w:rsidRPr="00641C6D">
        <w:rPr>
          <w:bCs/>
          <w:sz w:val="22"/>
          <w:szCs w:val="22"/>
          <w:lang w:val="sr-Latn-ME"/>
        </w:rPr>
        <w:t>teratogene</w:t>
      </w:r>
      <w:proofErr w:type="spellEnd"/>
      <w:r w:rsidRPr="00641C6D">
        <w:rPr>
          <w:bCs/>
          <w:sz w:val="22"/>
          <w:szCs w:val="22"/>
          <w:lang w:val="sr-Latn-ME"/>
        </w:rPr>
        <w:t xml:space="preserve"> uticaje.</w:t>
      </w:r>
    </w:p>
    <w:p w:rsidR="00836B35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Kod pacova je ispitivan prolaz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>a kroz placentu, pri čemu je utvrđeno da se isti povećava u k</w:t>
      </w:r>
      <w:r w:rsidR="006F4EA4" w:rsidRPr="00641C6D">
        <w:rPr>
          <w:bCs/>
          <w:sz w:val="22"/>
          <w:szCs w:val="22"/>
          <w:lang w:val="sr-Latn-ME"/>
        </w:rPr>
        <w:t xml:space="preserve">asnijim  </w:t>
      </w:r>
      <w:r w:rsidRPr="00641C6D">
        <w:rPr>
          <w:bCs/>
          <w:sz w:val="22"/>
          <w:szCs w:val="22"/>
          <w:lang w:val="sr-Latn-ME"/>
        </w:rPr>
        <w:t xml:space="preserve">fazama </w:t>
      </w:r>
      <w:proofErr w:type="spellStart"/>
      <w:r w:rsidRPr="00641C6D">
        <w:rPr>
          <w:bCs/>
          <w:sz w:val="22"/>
          <w:szCs w:val="22"/>
          <w:lang w:val="sr-Latn-ME"/>
        </w:rPr>
        <w:t>gestacije</w:t>
      </w:r>
      <w:proofErr w:type="spellEnd"/>
      <w:r w:rsidRPr="00641C6D">
        <w:rPr>
          <w:bCs/>
          <w:sz w:val="22"/>
          <w:szCs w:val="22"/>
          <w:lang w:val="sr-Latn-ME"/>
        </w:rPr>
        <w:t>. Posl</w:t>
      </w:r>
      <w:r w:rsidR="006F4EA4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edično, koncentracija </w:t>
      </w:r>
      <w:proofErr w:type="spellStart"/>
      <w:r w:rsidRPr="00641C6D">
        <w:rPr>
          <w:bCs/>
          <w:sz w:val="22"/>
          <w:szCs w:val="22"/>
          <w:lang w:val="sr-Latn-ME"/>
        </w:rPr>
        <w:t>pantoprazola</w:t>
      </w:r>
      <w:proofErr w:type="spellEnd"/>
      <w:r w:rsidRPr="00641C6D">
        <w:rPr>
          <w:bCs/>
          <w:sz w:val="22"/>
          <w:szCs w:val="22"/>
          <w:lang w:val="sr-Latn-ME"/>
        </w:rPr>
        <w:t xml:space="preserve"> kod fetusa je povećana neposredno </w:t>
      </w:r>
      <w:r w:rsidR="00B32E35" w:rsidRPr="00641C6D">
        <w:rPr>
          <w:bCs/>
          <w:sz w:val="22"/>
          <w:szCs w:val="22"/>
          <w:lang w:val="sr-Latn-ME"/>
        </w:rPr>
        <w:t xml:space="preserve">prije </w:t>
      </w:r>
      <w:r w:rsidRPr="00641C6D">
        <w:rPr>
          <w:bCs/>
          <w:sz w:val="22"/>
          <w:szCs w:val="22"/>
          <w:lang w:val="sr-Latn-ME"/>
        </w:rPr>
        <w:t>rođenja.</w:t>
      </w:r>
      <w:r w:rsidRPr="00641C6D">
        <w:rPr>
          <w:bCs/>
          <w:sz w:val="22"/>
          <w:szCs w:val="22"/>
          <w:lang w:val="sr-Latn-ME"/>
        </w:rPr>
        <w:cr/>
      </w:r>
    </w:p>
    <w:p w:rsidR="00396DFD" w:rsidRPr="00641C6D" w:rsidRDefault="00396DFD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FARMACEUTSKI PODACI</w:t>
      </w:r>
    </w:p>
    <w:p w:rsidR="00836B35" w:rsidRPr="00641C6D" w:rsidRDefault="00836B3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6.1.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Lista pomoćnih supstanci</w:t>
      </w:r>
      <w:r w:rsidR="002E0135" w:rsidRPr="00641C6D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641C6D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641C6D">
        <w:rPr>
          <w:b/>
          <w:bCs/>
          <w:sz w:val="22"/>
          <w:szCs w:val="22"/>
          <w:lang w:val="sr-Latn-ME"/>
        </w:rPr>
        <w:t>)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manitol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</w:p>
    <w:p w:rsidR="00551B82" w:rsidRPr="00641C6D" w:rsidRDefault="00D64224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natrijum </w:t>
      </w:r>
      <w:proofErr w:type="spellStart"/>
      <w:r w:rsidRPr="00641C6D">
        <w:rPr>
          <w:bCs/>
          <w:sz w:val="22"/>
          <w:szCs w:val="22"/>
          <w:lang w:val="sr-Latn-ME"/>
        </w:rPr>
        <w:t>citrat</w:t>
      </w:r>
      <w:proofErr w:type="spellEnd"/>
      <w:r w:rsidRPr="00641C6D">
        <w:rPr>
          <w:bCs/>
          <w:sz w:val="22"/>
          <w:szCs w:val="22"/>
          <w:lang w:val="sr-Latn-ME"/>
        </w:rPr>
        <w:t xml:space="preserve">, </w:t>
      </w:r>
      <w:proofErr w:type="spellStart"/>
      <w:r w:rsidRPr="00641C6D">
        <w:rPr>
          <w:bCs/>
          <w:sz w:val="22"/>
          <w:szCs w:val="22"/>
          <w:lang w:val="sr-Latn-ME"/>
        </w:rPr>
        <w:t>dihidrat</w:t>
      </w:r>
      <w:proofErr w:type="spellEnd"/>
    </w:p>
    <w:p w:rsidR="0072020E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natrijum hidroksid (za podešavanje </w:t>
      </w:r>
      <w:proofErr w:type="spellStart"/>
      <w:r w:rsidRPr="00641C6D">
        <w:rPr>
          <w:bCs/>
          <w:sz w:val="22"/>
          <w:szCs w:val="22"/>
          <w:lang w:val="sr-Latn-ME"/>
        </w:rPr>
        <w:t>pH</w:t>
      </w:r>
      <w:proofErr w:type="spellEnd"/>
      <w:r w:rsidRPr="00641C6D">
        <w:rPr>
          <w:bCs/>
          <w:sz w:val="22"/>
          <w:szCs w:val="22"/>
          <w:lang w:val="sr-Latn-ME"/>
        </w:rPr>
        <w:t>)</w:t>
      </w:r>
    </w:p>
    <w:p w:rsidR="00D64224" w:rsidRPr="00641C6D" w:rsidRDefault="00D64224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6.2.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Inkompatibilnost</w:t>
      </w:r>
      <w:r w:rsidR="002846DB" w:rsidRPr="00641C6D">
        <w:rPr>
          <w:b/>
          <w:bCs/>
          <w:sz w:val="22"/>
          <w:szCs w:val="22"/>
          <w:lang w:val="sr-Latn-ME"/>
        </w:rPr>
        <w:t>i</w:t>
      </w:r>
    </w:p>
    <w:p w:rsidR="00D64224" w:rsidRPr="00641C6D" w:rsidRDefault="00D64224" w:rsidP="00817486">
      <w:pPr>
        <w:jc w:val="both"/>
        <w:rPr>
          <w:bCs/>
          <w:sz w:val="22"/>
          <w:szCs w:val="22"/>
          <w:lang w:val="sr-Latn-ME"/>
        </w:rPr>
      </w:pPr>
    </w:p>
    <w:p w:rsidR="00551B82" w:rsidRPr="00641C6D" w:rsidRDefault="00D64224" w:rsidP="00817486">
      <w:pPr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Lijek </w:t>
      </w:r>
      <w:proofErr w:type="spellStart"/>
      <w:r w:rsidR="00B56A87" w:rsidRPr="00641C6D">
        <w:rPr>
          <w:bCs/>
          <w:sz w:val="22"/>
          <w:szCs w:val="22"/>
          <w:lang w:val="sr-Latn-ME"/>
        </w:rPr>
        <w:t>Portorin</w:t>
      </w:r>
      <w:proofErr w:type="spellEnd"/>
      <w:r w:rsidR="00B56A87" w:rsidRPr="00641C6D">
        <w:rPr>
          <w:bCs/>
          <w:sz w:val="22"/>
          <w:szCs w:val="22"/>
          <w:lang w:val="sr-Latn-ME"/>
        </w:rPr>
        <w:t xml:space="preserve"> </w:t>
      </w:r>
      <w:r w:rsidR="00551B82" w:rsidRPr="00641C6D">
        <w:rPr>
          <w:bCs/>
          <w:sz w:val="22"/>
          <w:szCs w:val="22"/>
          <w:lang w:val="sr-Latn-ME"/>
        </w:rPr>
        <w:t xml:space="preserve">se ne smije </w:t>
      </w:r>
      <w:proofErr w:type="spellStart"/>
      <w:r w:rsidR="00551B82" w:rsidRPr="00641C6D">
        <w:rPr>
          <w:bCs/>
          <w:sz w:val="22"/>
          <w:szCs w:val="22"/>
          <w:lang w:val="sr-Latn-ME"/>
        </w:rPr>
        <w:t>pripremati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ni sa jednim drugim rastvaračem</w:t>
      </w:r>
      <w:r w:rsidR="00B56A87" w:rsidRPr="00641C6D">
        <w:rPr>
          <w:bCs/>
          <w:sz w:val="22"/>
          <w:szCs w:val="22"/>
          <w:lang w:val="sr-Latn-ME"/>
        </w:rPr>
        <w:t>,</w:t>
      </w:r>
      <w:r w:rsidR="00551B82" w:rsidRPr="00641C6D">
        <w:rPr>
          <w:bCs/>
          <w:sz w:val="22"/>
          <w:szCs w:val="22"/>
          <w:lang w:val="sr-Latn-ME"/>
        </w:rPr>
        <w:t xml:space="preserve"> osim</w:t>
      </w:r>
      <w:r w:rsidR="00B56A87" w:rsidRPr="00641C6D">
        <w:rPr>
          <w:bCs/>
          <w:sz w:val="22"/>
          <w:szCs w:val="22"/>
          <w:lang w:val="sr-Latn-ME"/>
        </w:rPr>
        <w:t xml:space="preserve"> sa onima koji su</w:t>
      </w:r>
      <w:r w:rsidR="00551B82" w:rsidRPr="00641C6D">
        <w:rPr>
          <w:bCs/>
          <w:sz w:val="22"/>
          <w:szCs w:val="22"/>
          <w:lang w:val="sr-Latn-ME"/>
        </w:rPr>
        <w:t xml:space="preserve"> navedeni u </w:t>
      </w:r>
      <w:r w:rsidR="007936DF" w:rsidRPr="00641C6D">
        <w:rPr>
          <w:bCs/>
          <w:sz w:val="22"/>
          <w:szCs w:val="22"/>
          <w:lang w:val="sr-Latn-ME"/>
        </w:rPr>
        <w:t xml:space="preserve">dijelu </w:t>
      </w:r>
      <w:r w:rsidR="00551B82" w:rsidRPr="00641C6D">
        <w:rPr>
          <w:bCs/>
          <w:sz w:val="22"/>
          <w:szCs w:val="22"/>
          <w:lang w:val="sr-Latn-ME"/>
        </w:rPr>
        <w:t>6.6.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641C6D">
        <w:rPr>
          <w:b/>
          <w:bCs/>
          <w:sz w:val="22"/>
          <w:szCs w:val="22"/>
          <w:lang w:val="sr-Latn-ME"/>
        </w:rPr>
        <w:t xml:space="preserve">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Rok upotrebe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Rok upotrebe </w:t>
      </w:r>
      <w:proofErr w:type="spellStart"/>
      <w:r w:rsidRPr="00641C6D">
        <w:rPr>
          <w:bCs/>
          <w:sz w:val="22"/>
          <w:szCs w:val="22"/>
          <w:lang w:val="sr-Latn-ME"/>
        </w:rPr>
        <w:t>neotvorenog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>a: 2 godine.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Rok upotrebe nakon </w:t>
      </w:r>
      <w:proofErr w:type="spellStart"/>
      <w:r w:rsidRPr="00641C6D">
        <w:rPr>
          <w:bCs/>
          <w:sz w:val="22"/>
          <w:szCs w:val="22"/>
          <w:lang w:val="sr-Latn-ME"/>
        </w:rPr>
        <w:t>rekonstitucije</w:t>
      </w:r>
      <w:proofErr w:type="spellEnd"/>
      <w:r w:rsidRPr="00641C6D">
        <w:rPr>
          <w:bCs/>
          <w:sz w:val="22"/>
          <w:szCs w:val="22"/>
          <w:lang w:val="sr-Latn-ME"/>
        </w:rPr>
        <w:t>/</w:t>
      </w:r>
      <w:proofErr w:type="spellStart"/>
      <w:r w:rsidRPr="00641C6D">
        <w:rPr>
          <w:bCs/>
          <w:sz w:val="22"/>
          <w:szCs w:val="22"/>
          <w:lang w:val="sr-Latn-ME"/>
        </w:rPr>
        <w:t>razblaženja</w:t>
      </w:r>
      <w:proofErr w:type="spellEnd"/>
      <w:r w:rsidRPr="00641C6D">
        <w:rPr>
          <w:bCs/>
          <w:sz w:val="22"/>
          <w:szCs w:val="22"/>
          <w:lang w:val="sr-Latn-ME"/>
        </w:rPr>
        <w:t xml:space="preserve">: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Dokazano je da je </w:t>
      </w:r>
      <w:proofErr w:type="spellStart"/>
      <w:r w:rsidRPr="00641C6D">
        <w:rPr>
          <w:bCs/>
          <w:sz w:val="22"/>
          <w:szCs w:val="22"/>
          <w:lang w:val="sr-Latn-ME"/>
        </w:rPr>
        <w:t>rekonstituisan</w:t>
      </w:r>
      <w:proofErr w:type="spellEnd"/>
      <w:r w:rsidRPr="00641C6D">
        <w:rPr>
          <w:bCs/>
          <w:sz w:val="22"/>
          <w:szCs w:val="22"/>
          <w:lang w:val="sr-Latn-ME"/>
        </w:rPr>
        <w:t xml:space="preserve"> ili </w:t>
      </w:r>
      <w:proofErr w:type="spellStart"/>
      <w:r w:rsidRPr="00641C6D">
        <w:rPr>
          <w:bCs/>
          <w:sz w:val="22"/>
          <w:szCs w:val="22"/>
          <w:lang w:val="sr-Latn-ME"/>
        </w:rPr>
        <w:t>rekonstituisan</w:t>
      </w:r>
      <w:proofErr w:type="spellEnd"/>
      <w:r w:rsidRPr="00641C6D">
        <w:rPr>
          <w:bCs/>
          <w:sz w:val="22"/>
          <w:szCs w:val="22"/>
          <w:lang w:val="sr-Latn-ME"/>
        </w:rPr>
        <w:t xml:space="preserve"> i razblažen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fizički i he</w:t>
      </w:r>
      <w:r w:rsidR="00D64224" w:rsidRPr="00641C6D">
        <w:rPr>
          <w:bCs/>
          <w:sz w:val="22"/>
          <w:szCs w:val="22"/>
          <w:lang w:val="sr-Latn-ME"/>
        </w:rPr>
        <w:t xml:space="preserve">mijski stabilan u toku 12 sati </w:t>
      </w:r>
      <w:r w:rsidRPr="00641C6D">
        <w:rPr>
          <w:bCs/>
          <w:sz w:val="22"/>
          <w:szCs w:val="22"/>
          <w:lang w:val="sr-Latn-ME"/>
        </w:rPr>
        <w:t xml:space="preserve">ako se čuva na temperaturi do </w:t>
      </w:r>
      <w:proofErr w:type="spellStart"/>
      <w:r w:rsidRPr="00641C6D">
        <w:rPr>
          <w:bCs/>
          <w:sz w:val="22"/>
          <w:szCs w:val="22"/>
          <w:lang w:val="sr-Latn-ME"/>
        </w:rPr>
        <w:t>25°C</w:t>
      </w:r>
      <w:proofErr w:type="spellEnd"/>
      <w:r w:rsidRPr="00641C6D">
        <w:rPr>
          <w:bCs/>
          <w:sz w:val="22"/>
          <w:szCs w:val="22"/>
          <w:lang w:val="sr-Latn-ME"/>
        </w:rPr>
        <w:t xml:space="preserve"> posle pripreme i u tom periodu mora da se upotr</w:t>
      </w:r>
      <w:r w:rsidR="00B56A87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 xml:space="preserve">ebi.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Sa mikrobiološke tačke gledišta,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se mora odmah upotr</w:t>
      </w:r>
      <w:r w:rsidR="007936DF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ebi</w:t>
      </w:r>
      <w:r w:rsidR="007936DF" w:rsidRPr="00641C6D">
        <w:rPr>
          <w:bCs/>
          <w:sz w:val="22"/>
          <w:szCs w:val="22"/>
          <w:lang w:val="sr-Latn-ME"/>
        </w:rPr>
        <w:t>ti</w:t>
      </w:r>
      <w:r w:rsidRPr="00641C6D">
        <w:rPr>
          <w:bCs/>
          <w:sz w:val="22"/>
          <w:szCs w:val="22"/>
          <w:lang w:val="sr-Latn-ME"/>
        </w:rPr>
        <w:t>.</w:t>
      </w:r>
    </w:p>
    <w:p w:rsidR="0072020E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Ako se pripre</w:t>
      </w:r>
      <w:r w:rsidR="00937A06" w:rsidRPr="00641C6D">
        <w:rPr>
          <w:bCs/>
          <w:sz w:val="22"/>
          <w:szCs w:val="22"/>
          <w:lang w:val="sr-Latn-ME"/>
        </w:rPr>
        <w:t>ml</w:t>
      </w:r>
      <w:r w:rsidRPr="00641C6D">
        <w:rPr>
          <w:bCs/>
          <w:sz w:val="22"/>
          <w:szCs w:val="22"/>
          <w:lang w:val="sr-Latn-ME"/>
        </w:rPr>
        <w:t>jeni rastvor ne upotr</w:t>
      </w:r>
      <w:r w:rsidR="007936DF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ebi odmah, za vr</w:t>
      </w:r>
      <w:r w:rsidR="007936DF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eme i uslove čuvanja odgovoran je korisnik.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6.4.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41C6D">
        <w:rPr>
          <w:b/>
          <w:bCs/>
          <w:sz w:val="22"/>
          <w:szCs w:val="22"/>
          <w:lang w:val="sr-Latn-ME"/>
        </w:rPr>
        <w:t xml:space="preserve"> lijeka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Uslovi čuvanja </w:t>
      </w:r>
      <w:proofErr w:type="spellStart"/>
      <w:r w:rsidRPr="00641C6D">
        <w:rPr>
          <w:bCs/>
          <w:sz w:val="22"/>
          <w:szCs w:val="22"/>
          <w:lang w:val="sr-Latn-ME"/>
        </w:rPr>
        <w:t>neotvorenog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a: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Čuvati na temperaturi do </w:t>
      </w:r>
      <w:proofErr w:type="spellStart"/>
      <w:r w:rsidRPr="00641C6D">
        <w:rPr>
          <w:bCs/>
          <w:sz w:val="22"/>
          <w:szCs w:val="22"/>
          <w:lang w:val="sr-Latn-ME"/>
        </w:rPr>
        <w:t>25ºC</w:t>
      </w:r>
      <w:proofErr w:type="spellEnd"/>
      <w:r w:rsidRPr="00641C6D">
        <w:rPr>
          <w:bCs/>
          <w:sz w:val="22"/>
          <w:szCs w:val="22"/>
          <w:lang w:val="sr-Latn-ME"/>
        </w:rPr>
        <w:t>.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Čuvati</w:t>
      </w:r>
      <w:r w:rsidR="00D64224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>u originalnom pakovanju radi zaštite od sv</w:t>
      </w:r>
      <w:r w:rsidR="007936DF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etlosti. 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C253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Za uslove čuvanja nakon </w:t>
      </w:r>
      <w:proofErr w:type="spellStart"/>
      <w:r w:rsidRPr="00641C6D">
        <w:rPr>
          <w:bCs/>
          <w:sz w:val="22"/>
          <w:szCs w:val="22"/>
          <w:lang w:val="sr-Latn-ME"/>
        </w:rPr>
        <w:t>rekonstitucije</w:t>
      </w:r>
      <w:proofErr w:type="spellEnd"/>
      <w:r w:rsidRPr="00641C6D">
        <w:rPr>
          <w:bCs/>
          <w:sz w:val="22"/>
          <w:szCs w:val="22"/>
          <w:lang w:val="sr-Latn-ME"/>
        </w:rPr>
        <w:t>/</w:t>
      </w:r>
      <w:proofErr w:type="spellStart"/>
      <w:r w:rsidRPr="00641C6D">
        <w:rPr>
          <w:bCs/>
          <w:sz w:val="22"/>
          <w:szCs w:val="22"/>
          <w:lang w:val="sr-Latn-ME"/>
        </w:rPr>
        <w:t>razblaženja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a, </w:t>
      </w:r>
      <w:r w:rsidR="005A0D73" w:rsidRPr="00641C6D">
        <w:rPr>
          <w:bCs/>
          <w:sz w:val="22"/>
          <w:szCs w:val="22"/>
          <w:lang w:val="sr-Latn-ME"/>
        </w:rPr>
        <w:t>vidjeti</w:t>
      </w:r>
      <w:r w:rsidRPr="00641C6D">
        <w:rPr>
          <w:bCs/>
          <w:sz w:val="22"/>
          <w:szCs w:val="22"/>
          <w:lang w:val="sr-Latn-ME"/>
        </w:rPr>
        <w:t xml:space="preserve"> </w:t>
      </w:r>
      <w:r w:rsidR="005A0D73" w:rsidRPr="00641C6D">
        <w:rPr>
          <w:bCs/>
          <w:sz w:val="22"/>
          <w:szCs w:val="22"/>
          <w:lang w:val="sr-Latn-ME"/>
        </w:rPr>
        <w:t>dio</w:t>
      </w:r>
      <w:r w:rsidRPr="00641C6D">
        <w:rPr>
          <w:bCs/>
          <w:sz w:val="22"/>
          <w:szCs w:val="22"/>
          <w:lang w:val="sr-Latn-ME"/>
        </w:rPr>
        <w:t xml:space="preserve"> 6.3.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6.5.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="002846DB" w:rsidRPr="00641C6D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41C6D">
        <w:rPr>
          <w:b/>
          <w:bCs/>
          <w:sz w:val="22"/>
          <w:szCs w:val="22"/>
          <w:lang w:val="sr-Latn-ME"/>
        </w:rPr>
        <w:t>pakovanja</w:t>
      </w:r>
      <w:r w:rsidR="00C06864" w:rsidRPr="00641C6D">
        <w:rPr>
          <w:b/>
          <w:bCs/>
          <w:sz w:val="22"/>
          <w:szCs w:val="22"/>
          <w:lang w:val="sr-Latn-ME"/>
        </w:rPr>
        <w:t xml:space="preserve"> </w:t>
      </w:r>
    </w:p>
    <w:p w:rsidR="001C411F" w:rsidRPr="00641C6D" w:rsidRDefault="001C411F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Unutrašnje pakovanje je staklena bočica, zapremine 10 </w:t>
      </w:r>
      <w:r w:rsidR="00937A06" w:rsidRPr="00641C6D">
        <w:rPr>
          <w:bCs/>
          <w:sz w:val="22"/>
          <w:szCs w:val="22"/>
          <w:lang w:val="sr-Latn-ME"/>
        </w:rPr>
        <w:t>ml</w:t>
      </w:r>
      <w:r w:rsidRPr="00641C6D">
        <w:rPr>
          <w:bCs/>
          <w:sz w:val="22"/>
          <w:szCs w:val="22"/>
          <w:lang w:val="sr-Latn-ME"/>
        </w:rPr>
        <w:t>, od bezbojnog st</w:t>
      </w:r>
      <w:r w:rsidR="00D64224" w:rsidRPr="00641C6D">
        <w:rPr>
          <w:bCs/>
          <w:sz w:val="22"/>
          <w:szCs w:val="22"/>
          <w:lang w:val="sr-Latn-ME"/>
        </w:rPr>
        <w:t xml:space="preserve">akla (tip I) zatvorena gumenim </w:t>
      </w:r>
      <w:r w:rsidRPr="00641C6D">
        <w:rPr>
          <w:bCs/>
          <w:sz w:val="22"/>
          <w:szCs w:val="22"/>
          <w:lang w:val="sr-Latn-ME"/>
        </w:rPr>
        <w:t xml:space="preserve">čepom sa aluminijumskom kapicom i plastičnim </w:t>
      </w:r>
      <w:proofErr w:type="spellStart"/>
      <w:r w:rsidRPr="00641C6D">
        <w:rPr>
          <w:bCs/>
          <w:sz w:val="22"/>
          <w:szCs w:val="22"/>
          <w:lang w:val="sr-Latn-ME"/>
        </w:rPr>
        <w:t>flip-off</w:t>
      </w:r>
      <w:proofErr w:type="spellEnd"/>
      <w:r w:rsidRPr="00641C6D">
        <w:rPr>
          <w:bCs/>
          <w:sz w:val="22"/>
          <w:szCs w:val="22"/>
          <w:lang w:val="sr-Latn-ME"/>
        </w:rPr>
        <w:t xml:space="preserve"> poklopcem. </w:t>
      </w:r>
    </w:p>
    <w:p w:rsidR="0072020E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641C6D">
        <w:rPr>
          <w:bCs/>
          <w:sz w:val="22"/>
          <w:szCs w:val="22"/>
          <w:lang w:val="sr-Latn-ME"/>
        </w:rPr>
        <w:t>složiva</w:t>
      </w:r>
      <w:proofErr w:type="spellEnd"/>
      <w:r w:rsidRPr="00641C6D">
        <w:rPr>
          <w:bCs/>
          <w:sz w:val="22"/>
          <w:szCs w:val="22"/>
          <w:lang w:val="sr-Latn-ME"/>
        </w:rPr>
        <w:t xml:space="preserve"> kartonska kutija u kojoj se nalazi deset staklenih bočica i Uputstvo za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>.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6.6.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41C6D">
        <w:rPr>
          <w:b/>
          <w:bCs/>
          <w:sz w:val="22"/>
          <w:szCs w:val="22"/>
          <w:lang w:val="sr-Latn-ME"/>
        </w:rPr>
        <w:t xml:space="preserve"> </w:t>
      </w:r>
      <w:r w:rsidR="00310F03" w:rsidRPr="00641C6D">
        <w:rPr>
          <w:b/>
          <w:bCs/>
          <w:sz w:val="22"/>
          <w:szCs w:val="22"/>
          <w:lang w:val="sr-Latn-ME"/>
        </w:rPr>
        <w:t>(i druga uputs</w:t>
      </w:r>
      <w:r w:rsidR="004109FA" w:rsidRPr="00641C6D">
        <w:rPr>
          <w:b/>
          <w:bCs/>
          <w:sz w:val="22"/>
          <w:szCs w:val="22"/>
          <w:lang w:val="sr-Latn-ME"/>
        </w:rPr>
        <w:t>t</w:t>
      </w:r>
      <w:r w:rsidR="00310F03" w:rsidRPr="00641C6D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56A87" w:rsidRPr="00641C6D" w:rsidRDefault="00B56A87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64224" w:rsidRPr="00641C6D" w:rsidRDefault="00D64224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Rastvor spreman za upotrebu priprema se u</w:t>
      </w:r>
      <w:r w:rsidR="00696744" w:rsidRPr="00641C6D">
        <w:rPr>
          <w:bCs/>
          <w:sz w:val="22"/>
          <w:szCs w:val="22"/>
          <w:lang w:val="sr-Latn-ME"/>
        </w:rPr>
        <w:t>brizgavanjem</w:t>
      </w:r>
      <w:r w:rsidRPr="00641C6D">
        <w:rPr>
          <w:bCs/>
          <w:sz w:val="22"/>
          <w:szCs w:val="22"/>
          <w:lang w:val="sr-Latn-ME"/>
        </w:rPr>
        <w:t xml:space="preserve"> 10 ml rastvora natrijum hlorida 9 mg/</w:t>
      </w:r>
      <w:r w:rsidR="00B76814" w:rsidRPr="00641C6D">
        <w:rPr>
          <w:bCs/>
          <w:sz w:val="22"/>
          <w:szCs w:val="22"/>
          <w:lang w:val="sr-Latn-ME"/>
        </w:rPr>
        <w:t xml:space="preserve">ml (0,9%), rastvor za </w:t>
      </w:r>
      <w:r w:rsidR="00696744" w:rsidRPr="00641C6D">
        <w:rPr>
          <w:bCs/>
          <w:sz w:val="22"/>
          <w:szCs w:val="22"/>
          <w:lang w:val="sr-Latn-ME"/>
        </w:rPr>
        <w:t>infuziju</w:t>
      </w:r>
      <w:r w:rsidR="00B76814" w:rsidRPr="00641C6D">
        <w:rPr>
          <w:bCs/>
          <w:sz w:val="22"/>
          <w:szCs w:val="22"/>
          <w:lang w:val="sr-Latn-ME"/>
        </w:rPr>
        <w:t xml:space="preserve">, </w:t>
      </w:r>
      <w:r w:rsidRPr="00641C6D">
        <w:rPr>
          <w:bCs/>
          <w:sz w:val="22"/>
          <w:szCs w:val="22"/>
          <w:lang w:val="sr-Latn-ME"/>
        </w:rPr>
        <w:t>u bočic</w:t>
      </w:r>
      <w:r w:rsidR="00696744" w:rsidRPr="00641C6D">
        <w:rPr>
          <w:bCs/>
          <w:sz w:val="22"/>
          <w:szCs w:val="22"/>
          <w:lang w:val="sr-Latn-ME"/>
        </w:rPr>
        <w:t>u</w:t>
      </w:r>
      <w:r w:rsidRPr="00641C6D">
        <w:rPr>
          <w:bCs/>
          <w:sz w:val="22"/>
          <w:szCs w:val="22"/>
          <w:lang w:val="sr-Latn-ME"/>
        </w:rPr>
        <w:t xml:space="preserve"> koja sadrži prašak. Izgled lijeka nakon rastvaranja je bistar i bezbojan rastvor.</w:t>
      </w:r>
      <w:r w:rsidR="00436D3A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>Pripremljeni rastvor može da se prim</w:t>
      </w:r>
      <w:r w:rsidR="00696744" w:rsidRPr="00641C6D">
        <w:rPr>
          <w:bCs/>
          <w:sz w:val="22"/>
          <w:szCs w:val="22"/>
          <w:lang w:val="sr-Latn-ME"/>
        </w:rPr>
        <w:t>i</w:t>
      </w:r>
      <w:r w:rsidRPr="00641C6D">
        <w:rPr>
          <w:bCs/>
          <w:sz w:val="22"/>
          <w:szCs w:val="22"/>
          <w:lang w:val="sr-Latn-ME"/>
        </w:rPr>
        <w:t>jeni direktno ili posle miješanja sa 100 ml fiziološkog rastvora 0,9% (natrijum</w:t>
      </w:r>
      <w:r w:rsidR="0058747F" w:rsidRPr="00641C6D">
        <w:rPr>
          <w:bCs/>
          <w:sz w:val="22"/>
          <w:szCs w:val="22"/>
          <w:lang w:val="sr-Latn-ME"/>
        </w:rPr>
        <w:t xml:space="preserve"> </w:t>
      </w:r>
      <w:r w:rsidRPr="00641C6D">
        <w:rPr>
          <w:bCs/>
          <w:sz w:val="22"/>
          <w:szCs w:val="22"/>
          <w:lang w:val="sr-Latn-ME"/>
        </w:rPr>
        <w:t xml:space="preserve">hlorid 9 mg/ml, rastvor za </w:t>
      </w:r>
      <w:r w:rsidR="0058747F" w:rsidRPr="00641C6D">
        <w:rPr>
          <w:bCs/>
          <w:sz w:val="22"/>
          <w:szCs w:val="22"/>
          <w:lang w:val="sr-Latn-ME"/>
        </w:rPr>
        <w:t>infuziju</w:t>
      </w:r>
      <w:r w:rsidRPr="00641C6D">
        <w:rPr>
          <w:bCs/>
          <w:sz w:val="22"/>
          <w:szCs w:val="22"/>
          <w:lang w:val="sr-Latn-ME"/>
        </w:rPr>
        <w:t xml:space="preserve">) ili 5% rastvorom glukoze (55 mg/ml), rastvor za </w:t>
      </w:r>
      <w:r w:rsidR="0058747F" w:rsidRPr="00641C6D">
        <w:rPr>
          <w:bCs/>
          <w:sz w:val="22"/>
          <w:szCs w:val="22"/>
          <w:lang w:val="sr-Latn-ME"/>
        </w:rPr>
        <w:t>infuziju</w:t>
      </w:r>
      <w:r w:rsidRPr="00641C6D">
        <w:rPr>
          <w:bCs/>
          <w:sz w:val="22"/>
          <w:szCs w:val="22"/>
          <w:lang w:val="sr-Latn-ME"/>
        </w:rPr>
        <w:t>.</w:t>
      </w:r>
      <w:r w:rsidR="00436D3A" w:rsidRPr="00641C6D">
        <w:rPr>
          <w:sz w:val="22"/>
          <w:szCs w:val="22"/>
          <w:lang w:val="sr-Latn-ME"/>
        </w:rPr>
        <w:t xml:space="preserve"> </w:t>
      </w:r>
      <w:r w:rsidR="00436D3A" w:rsidRPr="00641C6D">
        <w:rPr>
          <w:bCs/>
          <w:sz w:val="22"/>
          <w:szCs w:val="22"/>
          <w:lang w:val="sr-Latn-ME"/>
        </w:rPr>
        <w:t>Za razblaživanje koristiti stakleni ili plastični kontejner.</w:t>
      </w:r>
    </w:p>
    <w:p w:rsidR="0058747F" w:rsidRPr="00641C6D" w:rsidRDefault="0058747F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436D3A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Dokazano je da nakon</w:t>
      </w:r>
      <w:r w:rsidR="00551B82" w:rsidRPr="00641C6D">
        <w:rPr>
          <w:bCs/>
          <w:sz w:val="22"/>
          <w:szCs w:val="22"/>
          <w:lang w:val="sr-Latn-ME"/>
        </w:rPr>
        <w:t xml:space="preserve"> rastvaranj</w:t>
      </w:r>
      <w:r w:rsidRPr="00641C6D">
        <w:rPr>
          <w:bCs/>
          <w:sz w:val="22"/>
          <w:szCs w:val="22"/>
          <w:lang w:val="sr-Latn-ME"/>
        </w:rPr>
        <w:t>a</w:t>
      </w:r>
      <w:r w:rsidR="00551B82" w:rsidRPr="00641C6D">
        <w:rPr>
          <w:bCs/>
          <w:sz w:val="22"/>
          <w:szCs w:val="22"/>
          <w:lang w:val="sr-Latn-ME"/>
        </w:rPr>
        <w:t xml:space="preserve"> ili rastvaranj</w:t>
      </w:r>
      <w:r w:rsidRPr="00641C6D">
        <w:rPr>
          <w:bCs/>
          <w:sz w:val="22"/>
          <w:szCs w:val="22"/>
          <w:lang w:val="sr-Latn-ME"/>
        </w:rPr>
        <w:t>a</w:t>
      </w:r>
      <w:r w:rsidR="00551B82" w:rsidRPr="00641C6D">
        <w:rPr>
          <w:bCs/>
          <w:sz w:val="22"/>
          <w:szCs w:val="22"/>
          <w:lang w:val="sr-Latn-ME"/>
        </w:rPr>
        <w:t xml:space="preserve"> i razblaživanj</w:t>
      </w:r>
      <w:r w:rsidRPr="00641C6D">
        <w:rPr>
          <w:bCs/>
          <w:sz w:val="22"/>
          <w:szCs w:val="22"/>
          <w:lang w:val="sr-Latn-ME"/>
        </w:rPr>
        <w:t>a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="00551B82" w:rsidRPr="00641C6D">
        <w:rPr>
          <w:bCs/>
          <w:sz w:val="22"/>
          <w:szCs w:val="22"/>
          <w:lang w:val="sr-Latn-ME"/>
        </w:rPr>
        <w:t xml:space="preserve"> ostaje 12 sati hemijski i fizički stabilan do upotrebe ako je čuvan na temperaturi do </w:t>
      </w:r>
      <w:proofErr w:type="spellStart"/>
      <w:r w:rsidR="00551B82" w:rsidRPr="00641C6D">
        <w:rPr>
          <w:bCs/>
          <w:sz w:val="22"/>
          <w:szCs w:val="22"/>
          <w:lang w:val="sr-Latn-ME"/>
        </w:rPr>
        <w:t>25°C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. 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Sa mikrobiološke tačke gledišta,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se mora odmah upotr</w:t>
      </w:r>
      <w:r w:rsidR="00436D3A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ebi</w:t>
      </w:r>
      <w:r w:rsidR="00436D3A" w:rsidRPr="00641C6D">
        <w:rPr>
          <w:bCs/>
          <w:sz w:val="22"/>
          <w:szCs w:val="22"/>
          <w:lang w:val="sr-Latn-ME"/>
        </w:rPr>
        <w:t>ti</w:t>
      </w:r>
      <w:r w:rsidRPr="00641C6D">
        <w:rPr>
          <w:bCs/>
          <w:sz w:val="22"/>
          <w:szCs w:val="22"/>
          <w:lang w:val="sr-Latn-ME"/>
        </w:rPr>
        <w:t xml:space="preserve">. </w:t>
      </w:r>
    </w:p>
    <w:p w:rsidR="0058747F" w:rsidRPr="00641C6D" w:rsidRDefault="0058747F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D810B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Lijek</w:t>
      </w:r>
      <w:r w:rsidR="00551B82" w:rsidRPr="00641C6D">
        <w:rPr>
          <w:bCs/>
          <w:sz w:val="22"/>
          <w:szCs w:val="22"/>
          <w:lang w:val="sr-Latn-ME"/>
        </w:rPr>
        <w:t xml:space="preserve"> </w:t>
      </w:r>
      <w:proofErr w:type="spellStart"/>
      <w:r w:rsidR="0058747F" w:rsidRPr="00641C6D">
        <w:rPr>
          <w:bCs/>
          <w:sz w:val="22"/>
          <w:szCs w:val="22"/>
          <w:lang w:val="sr-Latn-ME"/>
        </w:rPr>
        <w:t>Portorin</w:t>
      </w:r>
      <w:proofErr w:type="spellEnd"/>
      <w:r w:rsidR="0058747F" w:rsidRPr="00641C6D">
        <w:rPr>
          <w:bCs/>
          <w:sz w:val="22"/>
          <w:szCs w:val="22"/>
          <w:lang w:val="sr-Latn-ME"/>
        </w:rPr>
        <w:t xml:space="preserve"> </w:t>
      </w:r>
      <w:r w:rsidR="00551B82" w:rsidRPr="00641C6D">
        <w:rPr>
          <w:bCs/>
          <w:sz w:val="22"/>
          <w:szCs w:val="22"/>
          <w:lang w:val="sr-Latn-ME"/>
        </w:rPr>
        <w:t>ne sm</w:t>
      </w:r>
      <w:r w:rsidR="00436D3A" w:rsidRPr="00641C6D">
        <w:rPr>
          <w:bCs/>
          <w:sz w:val="22"/>
          <w:szCs w:val="22"/>
          <w:lang w:val="sr-Latn-ME"/>
        </w:rPr>
        <w:t>ij</w:t>
      </w:r>
      <w:r w:rsidR="00551B82" w:rsidRPr="00641C6D">
        <w:rPr>
          <w:bCs/>
          <w:sz w:val="22"/>
          <w:szCs w:val="22"/>
          <w:lang w:val="sr-Latn-ME"/>
        </w:rPr>
        <w:t>e da se priprema ili m</w:t>
      </w:r>
      <w:r w:rsidR="00436D3A" w:rsidRPr="00641C6D">
        <w:rPr>
          <w:bCs/>
          <w:sz w:val="22"/>
          <w:szCs w:val="22"/>
          <w:lang w:val="sr-Latn-ME"/>
        </w:rPr>
        <w:t>ij</w:t>
      </w:r>
      <w:r w:rsidR="00551B82" w:rsidRPr="00641C6D">
        <w:rPr>
          <w:bCs/>
          <w:sz w:val="22"/>
          <w:szCs w:val="22"/>
          <w:lang w:val="sr-Latn-ME"/>
        </w:rPr>
        <w:t xml:space="preserve">eša sa drugim rastvaračima osim prethodno navedenih. </w:t>
      </w:r>
    </w:p>
    <w:p w:rsidR="00551B82" w:rsidRPr="00641C6D" w:rsidRDefault="00D810B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Lijek</w:t>
      </w:r>
      <w:r w:rsidR="00551B82" w:rsidRPr="00641C6D">
        <w:rPr>
          <w:bCs/>
          <w:sz w:val="22"/>
          <w:szCs w:val="22"/>
          <w:lang w:val="sr-Latn-ME"/>
        </w:rPr>
        <w:t xml:space="preserve"> treba davati </w:t>
      </w:r>
      <w:proofErr w:type="spellStart"/>
      <w:r w:rsidR="00551B82" w:rsidRPr="00641C6D">
        <w:rPr>
          <w:bCs/>
          <w:sz w:val="22"/>
          <w:szCs w:val="22"/>
          <w:lang w:val="sr-Latn-ME"/>
        </w:rPr>
        <w:t>intravenski</w:t>
      </w:r>
      <w:proofErr w:type="spellEnd"/>
      <w:r w:rsidR="00551B82" w:rsidRPr="00641C6D">
        <w:rPr>
          <w:bCs/>
          <w:sz w:val="22"/>
          <w:szCs w:val="22"/>
          <w:lang w:val="sr-Latn-ME"/>
        </w:rPr>
        <w:t xml:space="preserve"> tokom 2 - 15 minuta. </w:t>
      </w:r>
    </w:p>
    <w:p w:rsidR="0058747F" w:rsidRPr="00641C6D" w:rsidRDefault="0058747F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Sadržaj bočice služi isključivo za jednokratnu upotrebu. Zaostali sadržaj iz bočice kao i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prom</w:t>
      </w:r>
      <w:r w:rsidR="00436D3A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enjenog izgleda (na prim</w:t>
      </w:r>
      <w:r w:rsidR="007955D5" w:rsidRPr="00641C6D">
        <w:rPr>
          <w:bCs/>
          <w:sz w:val="22"/>
          <w:szCs w:val="22"/>
          <w:lang w:val="sr-Latn-ME"/>
        </w:rPr>
        <w:t>j</w:t>
      </w:r>
      <w:r w:rsidRPr="00641C6D">
        <w:rPr>
          <w:bCs/>
          <w:sz w:val="22"/>
          <w:szCs w:val="22"/>
          <w:lang w:val="sr-Latn-ME"/>
        </w:rPr>
        <w:t xml:space="preserve">er ako se uoči zamućenost ili taloženje) treba odbaciti. </w:t>
      </w:r>
    </w:p>
    <w:p w:rsidR="00B66A70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41C6D">
        <w:rPr>
          <w:bCs/>
          <w:sz w:val="22"/>
          <w:szCs w:val="22"/>
          <w:lang w:val="sr-Latn-ME"/>
        </w:rPr>
        <w:t>Neupotr</w:t>
      </w:r>
      <w:r w:rsidR="007955D5" w:rsidRPr="00641C6D">
        <w:rPr>
          <w:bCs/>
          <w:sz w:val="22"/>
          <w:szCs w:val="22"/>
          <w:lang w:val="sr-Latn-ME"/>
        </w:rPr>
        <w:t>ij</w:t>
      </w:r>
      <w:r w:rsidRPr="00641C6D">
        <w:rPr>
          <w:bCs/>
          <w:sz w:val="22"/>
          <w:szCs w:val="22"/>
          <w:lang w:val="sr-Latn-ME"/>
        </w:rPr>
        <w:t>ebljeni</w:t>
      </w:r>
      <w:proofErr w:type="spellEnd"/>
      <w:r w:rsidRPr="00641C6D">
        <w:rPr>
          <w:bCs/>
          <w:sz w:val="22"/>
          <w:szCs w:val="22"/>
          <w:lang w:val="sr-Latn-ME"/>
        </w:rPr>
        <w:t xml:space="preserve"> </w:t>
      </w:r>
      <w:r w:rsidR="00D810B5" w:rsidRPr="00641C6D">
        <w:rPr>
          <w:bCs/>
          <w:sz w:val="22"/>
          <w:szCs w:val="22"/>
          <w:lang w:val="sr-Latn-ME"/>
        </w:rPr>
        <w:t>lijek</w:t>
      </w:r>
      <w:r w:rsidRPr="00641C6D">
        <w:rPr>
          <w:bCs/>
          <w:sz w:val="22"/>
          <w:szCs w:val="22"/>
          <w:lang w:val="sr-Latn-ME"/>
        </w:rPr>
        <w:t xml:space="preserve"> se uništava u skladu sa važećim propisima.</w:t>
      </w:r>
      <w:r w:rsidRPr="00641C6D">
        <w:rPr>
          <w:bCs/>
          <w:sz w:val="22"/>
          <w:szCs w:val="22"/>
          <w:lang w:val="sr-Latn-ME"/>
        </w:rPr>
        <w:cr/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7.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NOSILAC DOZVOLE</w:t>
      </w:r>
      <w:r w:rsidR="00483928" w:rsidRPr="00641C6D">
        <w:rPr>
          <w:b/>
          <w:bCs/>
          <w:sz w:val="22"/>
          <w:szCs w:val="22"/>
          <w:lang w:val="sr-Latn-ME"/>
        </w:rPr>
        <w:t xml:space="preserve"> </w:t>
      </w:r>
    </w:p>
    <w:p w:rsidR="00C61BE0" w:rsidRPr="00641C6D" w:rsidRDefault="00C61BE0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 xml:space="preserve">Evropa </w:t>
      </w:r>
      <w:proofErr w:type="spellStart"/>
      <w:r w:rsidR="00D810B5" w:rsidRPr="00641C6D">
        <w:rPr>
          <w:bCs/>
          <w:sz w:val="22"/>
          <w:szCs w:val="22"/>
          <w:lang w:val="sr-Latn-ME"/>
        </w:rPr>
        <w:t>Lek</w:t>
      </w:r>
      <w:proofErr w:type="spellEnd"/>
      <w:r w:rsidRPr="00641C6D">
        <w:rPr>
          <w:bCs/>
          <w:sz w:val="22"/>
          <w:szCs w:val="22"/>
          <w:lang w:val="sr-Latn-ME"/>
        </w:rPr>
        <w:t xml:space="preserve"> Pharma d.o.o. Podgorica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Kritskog odreda 4/1</w:t>
      </w:r>
    </w:p>
    <w:p w:rsidR="00551B82" w:rsidRPr="00641C6D" w:rsidRDefault="00551B82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41C6D">
        <w:rPr>
          <w:bCs/>
          <w:sz w:val="22"/>
          <w:szCs w:val="22"/>
          <w:lang w:val="sr-Latn-ME"/>
        </w:rPr>
        <w:t>81000 Podgorica, Crna Gora</w:t>
      </w: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7C23" w:rsidRPr="00641C6D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8.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>BROJ DOZVOLE</w:t>
      </w:r>
      <w:r w:rsidR="008A6D43" w:rsidRPr="00641C6D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45F77" w:rsidRPr="00641C6D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47C23">
        <w:rPr>
          <w:bCs/>
          <w:sz w:val="22"/>
          <w:szCs w:val="22"/>
          <w:lang w:val="sr-Latn-ME"/>
        </w:rPr>
        <w:t>2030/23/1340 - 686</w:t>
      </w:r>
    </w:p>
    <w:p w:rsidR="0072020E" w:rsidRPr="00641C6D" w:rsidRDefault="0072020E" w:rsidP="0081748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Pr="00641C6D">
        <w:rPr>
          <w:b/>
          <w:bCs/>
          <w:sz w:val="22"/>
          <w:szCs w:val="22"/>
          <w:lang w:val="sr-Latn-ME"/>
        </w:rPr>
        <w:t xml:space="preserve">DATUM </w:t>
      </w:r>
      <w:r w:rsidR="00C05DF8" w:rsidRPr="00641C6D">
        <w:rPr>
          <w:b/>
          <w:bCs/>
          <w:sz w:val="22"/>
          <w:szCs w:val="22"/>
          <w:lang w:val="sr-Latn-ME"/>
        </w:rPr>
        <w:t xml:space="preserve">PRVE </w:t>
      </w:r>
      <w:r w:rsidR="008A6D43" w:rsidRPr="00641C6D">
        <w:rPr>
          <w:b/>
          <w:bCs/>
          <w:sz w:val="22"/>
          <w:szCs w:val="22"/>
          <w:lang w:val="sr-Latn-ME"/>
        </w:rPr>
        <w:t>DOZVOLE</w:t>
      </w:r>
      <w:r w:rsidR="00C05DF8" w:rsidRPr="00641C6D">
        <w:rPr>
          <w:b/>
          <w:bCs/>
          <w:sz w:val="22"/>
          <w:szCs w:val="22"/>
          <w:lang w:val="sr-Latn-ME"/>
        </w:rPr>
        <w:t>/OBNOVE DOZVOLE</w:t>
      </w:r>
      <w:r w:rsidR="008A6D43" w:rsidRPr="00641C6D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Default="0072020E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7C23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47C23">
        <w:rPr>
          <w:bCs/>
          <w:sz w:val="22"/>
          <w:szCs w:val="22"/>
          <w:lang w:val="sr-Latn-ME"/>
        </w:rPr>
        <w:t>04.04.2023. godine</w:t>
      </w:r>
    </w:p>
    <w:p w:rsidR="00147C23" w:rsidRPr="00641C6D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641C6D" w:rsidRDefault="00836B35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F6A59" w:rsidRPr="00641C6D" w:rsidRDefault="0072020E" w:rsidP="0081748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641C6D">
        <w:rPr>
          <w:b/>
          <w:bCs/>
          <w:sz w:val="22"/>
          <w:szCs w:val="22"/>
          <w:lang w:val="sr-Latn-ME"/>
        </w:rPr>
        <w:t xml:space="preserve">10. </w:t>
      </w:r>
      <w:r w:rsidR="00480FB1" w:rsidRPr="00641C6D">
        <w:rPr>
          <w:b/>
          <w:bCs/>
          <w:sz w:val="22"/>
          <w:szCs w:val="22"/>
          <w:lang w:val="sr-Latn-ME"/>
        </w:rPr>
        <w:tab/>
      </w:r>
      <w:r w:rsidR="002846DB" w:rsidRPr="00641C6D">
        <w:rPr>
          <w:b/>
          <w:bCs/>
          <w:sz w:val="22"/>
          <w:szCs w:val="22"/>
          <w:lang w:val="sr-Latn-ME"/>
        </w:rPr>
        <w:t>D</w:t>
      </w:r>
      <w:r w:rsidR="00EC2532" w:rsidRPr="00641C6D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641C6D" w:rsidRDefault="003F6A59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A6D43" w:rsidRPr="00641C6D" w:rsidRDefault="00147C23" w:rsidP="0081748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2023. godine</w:t>
      </w:r>
      <w:bookmarkStart w:id="0" w:name="_GoBack"/>
      <w:bookmarkEnd w:id="0"/>
    </w:p>
    <w:p w:rsidR="003F6A59" w:rsidRPr="00641C6D" w:rsidRDefault="003F6A59" w:rsidP="00817486">
      <w:pPr>
        <w:jc w:val="both"/>
        <w:rPr>
          <w:sz w:val="22"/>
          <w:szCs w:val="22"/>
          <w:lang w:val="sr-Latn-ME"/>
        </w:rPr>
      </w:pPr>
    </w:p>
    <w:sectPr w:rsidR="003F6A59" w:rsidRPr="00641C6D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15" w:rsidRDefault="00EF3315">
      <w:r>
        <w:separator/>
      </w:r>
    </w:p>
  </w:endnote>
  <w:endnote w:type="continuationSeparator" w:id="0">
    <w:p w:rsidR="00EF3315" w:rsidRDefault="00EF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37" w:rsidRPr="00B23F69" w:rsidRDefault="00C7033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47C23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47C23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15" w:rsidRDefault="00EF3315">
      <w:r>
        <w:separator/>
      </w:r>
    </w:p>
  </w:footnote>
  <w:footnote w:type="continuationSeparator" w:id="0">
    <w:p w:rsidR="00EF3315" w:rsidRDefault="00EF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9pt;height:13.1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9C8"/>
    <w:rsid w:val="0001196C"/>
    <w:rsid w:val="000176CA"/>
    <w:rsid w:val="00020CA3"/>
    <w:rsid w:val="0003119A"/>
    <w:rsid w:val="00036FA0"/>
    <w:rsid w:val="0003793F"/>
    <w:rsid w:val="00052462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47C23"/>
    <w:rsid w:val="001536CC"/>
    <w:rsid w:val="00175F0A"/>
    <w:rsid w:val="001A3FBA"/>
    <w:rsid w:val="001A5518"/>
    <w:rsid w:val="001B0C9B"/>
    <w:rsid w:val="001B1C6A"/>
    <w:rsid w:val="001C1263"/>
    <w:rsid w:val="001C1417"/>
    <w:rsid w:val="001C411F"/>
    <w:rsid w:val="001D332F"/>
    <w:rsid w:val="001E390B"/>
    <w:rsid w:val="001F42FB"/>
    <w:rsid w:val="001F719A"/>
    <w:rsid w:val="002031B3"/>
    <w:rsid w:val="002076C9"/>
    <w:rsid w:val="00215931"/>
    <w:rsid w:val="00224C91"/>
    <w:rsid w:val="00227BDB"/>
    <w:rsid w:val="00234CB1"/>
    <w:rsid w:val="002352F8"/>
    <w:rsid w:val="002510A5"/>
    <w:rsid w:val="00253054"/>
    <w:rsid w:val="00254A0A"/>
    <w:rsid w:val="00266046"/>
    <w:rsid w:val="002846DB"/>
    <w:rsid w:val="00284CCD"/>
    <w:rsid w:val="002C6637"/>
    <w:rsid w:val="002E0135"/>
    <w:rsid w:val="002E37A5"/>
    <w:rsid w:val="00310F03"/>
    <w:rsid w:val="003145D1"/>
    <w:rsid w:val="00316F43"/>
    <w:rsid w:val="003247D2"/>
    <w:rsid w:val="003445C1"/>
    <w:rsid w:val="00344DEB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222C"/>
    <w:rsid w:val="00436D3A"/>
    <w:rsid w:val="00436F42"/>
    <w:rsid w:val="004378B4"/>
    <w:rsid w:val="00451314"/>
    <w:rsid w:val="00452E9D"/>
    <w:rsid w:val="004534C7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511C4"/>
    <w:rsid w:val="00551B82"/>
    <w:rsid w:val="00572527"/>
    <w:rsid w:val="00573E40"/>
    <w:rsid w:val="00576348"/>
    <w:rsid w:val="0058747F"/>
    <w:rsid w:val="005A0B2E"/>
    <w:rsid w:val="005A0D73"/>
    <w:rsid w:val="005A23D2"/>
    <w:rsid w:val="005A36CB"/>
    <w:rsid w:val="005B49B8"/>
    <w:rsid w:val="005C0741"/>
    <w:rsid w:val="005C5EF4"/>
    <w:rsid w:val="005E2E0B"/>
    <w:rsid w:val="005E7A7D"/>
    <w:rsid w:val="00602457"/>
    <w:rsid w:val="00641C6D"/>
    <w:rsid w:val="00644FC3"/>
    <w:rsid w:val="00646BD1"/>
    <w:rsid w:val="006561C2"/>
    <w:rsid w:val="00671CB3"/>
    <w:rsid w:val="00674BAF"/>
    <w:rsid w:val="00682200"/>
    <w:rsid w:val="00692BF6"/>
    <w:rsid w:val="00696744"/>
    <w:rsid w:val="006A1497"/>
    <w:rsid w:val="006B0BD1"/>
    <w:rsid w:val="006B5404"/>
    <w:rsid w:val="006D20A5"/>
    <w:rsid w:val="006D37BF"/>
    <w:rsid w:val="006F4EA4"/>
    <w:rsid w:val="00702E22"/>
    <w:rsid w:val="00704F68"/>
    <w:rsid w:val="007133F5"/>
    <w:rsid w:val="0072020E"/>
    <w:rsid w:val="007744DD"/>
    <w:rsid w:val="00786071"/>
    <w:rsid w:val="007936DF"/>
    <w:rsid w:val="007955D5"/>
    <w:rsid w:val="007A3952"/>
    <w:rsid w:val="007A3ECB"/>
    <w:rsid w:val="007D7BB3"/>
    <w:rsid w:val="00800C79"/>
    <w:rsid w:val="00817486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17AC"/>
    <w:rsid w:val="008F4ACF"/>
    <w:rsid w:val="00907398"/>
    <w:rsid w:val="00920B7D"/>
    <w:rsid w:val="00924166"/>
    <w:rsid w:val="00937A06"/>
    <w:rsid w:val="00940B9B"/>
    <w:rsid w:val="0095676E"/>
    <w:rsid w:val="00956983"/>
    <w:rsid w:val="00963CF0"/>
    <w:rsid w:val="00964BB1"/>
    <w:rsid w:val="009775D9"/>
    <w:rsid w:val="00997175"/>
    <w:rsid w:val="009A1847"/>
    <w:rsid w:val="009A5B1E"/>
    <w:rsid w:val="009B062A"/>
    <w:rsid w:val="009E7C6F"/>
    <w:rsid w:val="009F1793"/>
    <w:rsid w:val="009F2D23"/>
    <w:rsid w:val="00A01D69"/>
    <w:rsid w:val="00A02335"/>
    <w:rsid w:val="00A375D1"/>
    <w:rsid w:val="00A46C9A"/>
    <w:rsid w:val="00A619F3"/>
    <w:rsid w:val="00A62A73"/>
    <w:rsid w:val="00A87FF6"/>
    <w:rsid w:val="00AA0A3B"/>
    <w:rsid w:val="00AA2763"/>
    <w:rsid w:val="00AA33B6"/>
    <w:rsid w:val="00AA585A"/>
    <w:rsid w:val="00AB50CA"/>
    <w:rsid w:val="00AB6D64"/>
    <w:rsid w:val="00AC53CE"/>
    <w:rsid w:val="00AD2193"/>
    <w:rsid w:val="00AF2AC7"/>
    <w:rsid w:val="00AF74CE"/>
    <w:rsid w:val="00B10BC3"/>
    <w:rsid w:val="00B208DB"/>
    <w:rsid w:val="00B23F69"/>
    <w:rsid w:val="00B32E35"/>
    <w:rsid w:val="00B41E67"/>
    <w:rsid w:val="00B56A87"/>
    <w:rsid w:val="00B60619"/>
    <w:rsid w:val="00B609BA"/>
    <w:rsid w:val="00B6313E"/>
    <w:rsid w:val="00B66A70"/>
    <w:rsid w:val="00B67366"/>
    <w:rsid w:val="00B76814"/>
    <w:rsid w:val="00B80EE1"/>
    <w:rsid w:val="00B84135"/>
    <w:rsid w:val="00B86425"/>
    <w:rsid w:val="00BB7083"/>
    <w:rsid w:val="00BD10EA"/>
    <w:rsid w:val="00C04D34"/>
    <w:rsid w:val="00C05DF8"/>
    <w:rsid w:val="00C06864"/>
    <w:rsid w:val="00C10F54"/>
    <w:rsid w:val="00C23D8D"/>
    <w:rsid w:val="00C357F4"/>
    <w:rsid w:val="00C37AA3"/>
    <w:rsid w:val="00C37FD7"/>
    <w:rsid w:val="00C43419"/>
    <w:rsid w:val="00C44CF3"/>
    <w:rsid w:val="00C61BE0"/>
    <w:rsid w:val="00C6707E"/>
    <w:rsid w:val="00C70337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07AE7"/>
    <w:rsid w:val="00D21455"/>
    <w:rsid w:val="00D47634"/>
    <w:rsid w:val="00D64224"/>
    <w:rsid w:val="00D709B3"/>
    <w:rsid w:val="00D810B5"/>
    <w:rsid w:val="00DA2ED6"/>
    <w:rsid w:val="00DB76B8"/>
    <w:rsid w:val="00DC2EA1"/>
    <w:rsid w:val="00DD6AAF"/>
    <w:rsid w:val="00DE3F5C"/>
    <w:rsid w:val="00DF1D20"/>
    <w:rsid w:val="00DF28CD"/>
    <w:rsid w:val="00E21324"/>
    <w:rsid w:val="00E246B9"/>
    <w:rsid w:val="00E31FEA"/>
    <w:rsid w:val="00E43791"/>
    <w:rsid w:val="00E45169"/>
    <w:rsid w:val="00E47787"/>
    <w:rsid w:val="00E51C30"/>
    <w:rsid w:val="00E611F8"/>
    <w:rsid w:val="00E64180"/>
    <w:rsid w:val="00E74AEE"/>
    <w:rsid w:val="00E868E5"/>
    <w:rsid w:val="00E9237A"/>
    <w:rsid w:val="00E939FA"/>
    <w:rsid w:val="00EA5765"/>
    <w:rsid w:val="00EC2532"/>
    <w:rsid w:val="00ED70DE"/>
    <w:rsid w:val="00ED7812"/>
    <w:rsid w:val="00EF3315"/>
    <w:rsid w:val="00EF3B86"/>
    <w:rsid w:val="00EF5883"/>
    <w:rsid w:val="00F317E9"/>
    <w:rsid w:val="00F34554"/>
    <w:rsid w:val="00F40D92"/>
    <w:rsid w:val="00F45F77"/>
    <w:rsid w:val="00F5167F"/>
    <w:rsid w:val="00F52258"/>
    <w:rsid w:val="00F5502D"/>
    <w:rsid w:val="00F7036B"/>
    <w:rsid w:val="00F8570A"/>
    <w:rsid w:val="00F904C9"/>
    <w:rsid w:val="00F91C7B"/>
    <w:rsid w:val="00FC2A23"/>
    <w:rsid w:val="00FE4D3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5D64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F094-18FD-4B7C-99EA-DB883A1F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27668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dcterms:created xsi:type="dcterms:W3CDTF">2023-04-04T11:31:00Z</dcterms:created>
  <dcterms:modified xsi:type="dcterms:W3CDTF">2023-04-04T12:20:00Z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