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ADB8E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0459407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84CA848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FE0C6E5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5D3B1907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557AF8C1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69A5F63A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1EE4016A" w14:textId="77777777" w:rsidR="00EC2532" w:rsidRPr="00786071" w:rsidRDefault="00EC2532">
      <w:pPr>
        <w:rPr>
          <w:sz w:val="22"/>
          <w:szCs w:val="22"/>
          <w:lang w:val="pl-PL"/>
        </w:rPr>
      </w:pPr>
    </w:p>
    <w:p w14:paraId="631D339A" w14:textId="03D690AE" w:rsidR="009F41A6" w:rsidRPr="006D4D25" w:rsidRDefault="009F41A6" w:rsidP="009F41A6">
      <w:pPr>
        <w:rPr>
          <w:iCs/>
          <w:sz w:val="22"/>
          <w:szCs w:val="22"/>
          <w:lang w:val="sr-Latn-ME"/>
        </w:rPr>
      </w:pPr>
      <w:r w:rsidRPr="006D4D25">
        <w:rPr>
          <w:iCs/>
          <w:sz w:val="22"/>
          <w:szCs w:val="22"/>
          <w:lang w:val="sr-Latn-ME"/>
        </w:rPr>
        <w:t>Metaspon, 1500 mg, prašak za oralni rastvor</w:t>
      </w:r>
    </w:p>
    <w:p w14:paraId="725179F4" w14:textId="77777777" w:rsidR="009F41A6" w:rsidRPr="006D4D25" w:rsidRDefault="009F41A6" w:rsidP="009F41A6">
      <w:pPr>
        <w:rPr>
          <w:bCs/>
          <w:sz w:val="22"/>
          <w:szCs w:val="22"/>
          <w:lang w:val="sv-SE"/>
        </w:rPr>
      </w:pPr>
    </w:p>
    <w:p w14:paraId="6C2E4D94" w14:textId="442AC00E" w:rsidR="006D20A5" w:rsidRDefault="009F41A6" w:rsidP="009F41A6">
      <w:pPr>
        <w:rPr>
          <w:sz w:val="22"/>
          <w:szCs w:val="22"/>
          <w:lang w:val="sv-SE"/>
        </w:rPr>
      </w:pPr>
      <w:r w:rsidRPr="006D4D25">
        <w:rPr>
          <w:sz w:val="22"/>
          <w:szCs w:val="22"/>
          <w:lang w:val="sv-SE"/>
        </w:rPr>
        <w:t>INN: glukozamin</w:t>
      </w:r>
    </w:p>
    <w:p w14:paraId="3716A3DE" w14:textId="77777777" w:rsidR="009F41A6" w:rsidRPr="00786071" w:rsidRDefault="009F41A6" w:rsidP="009F41A6">
      <w:pPr>
        <w:rPr>
          <w:bCs/>
          <w:sz w:val="22"/>
          <w:szCs w:val="22"/>
          <w:lang w:val="sv-SE"/>
        </w:rPr>
      </w:pPr>
    </w:p>
    <w:p w14:paraId="4763271E" w14:textId="77777777" w:rsidR="00530BD7" w:rsidRPr="00786071" w:rsidRDefault="00530BD7">
      <w:pPr>
        <w:rPr>
          <w:bCs/>
          <w:sz w:val="22"/>
          <w:szCs w:val="22"/>
          <w:lang w:val="sv-SE"/>
        </w:rPr>
      </w:pPr>
    </w:p>
    <w:p w14:paraId="41E08995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5E0AF13E" w14:textId="77777777" w:rsidR="005A0B2E" w:rsidRPr="00786071" w:rsidRDefault="005A0B2E">
      <w:pPr>
        <w:rPr>
          <w:sz w:val="22"/>
          <w:szCs w:val="22"/>
          <w:lang w:val="sr-Latn-CS"/>
        </w:rPr>
      </w:pPr>
    </w:p>
    <w:p w14:paraId="0DCBDED8" w14:textId="675AF1F0" w:rsidR="009F41A6" w:rsidRDefault="009F41A6" w:rsidP="007D41CF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Svaka kesica sadrži 1500 mg glukozamin sulfata </w:t>
      </w:r>
      <w:r w:rsidR="00790E8B">
        <w:rPr>
          <w:sz w:val="22"/>
          <w:szCs w:val="22"/>
          <w:lang w:val="sr-Latn-RS"/>
        </w:rPr>
        <w:t xml:space="preserve">(kao </w:t>
      </w:r>
      <w:r w:rsidRPr="006D4D25">
        <w:rPr>
          <w:sz w:val="22"/>
          <w:szCs w:val="22"/>
          <w:lang w:val="sr-Latn-RS"/>
        </w:rPr>
        <w:t>1884 mg glukozamin sulfat natrijum hlorida, što odgovara 1178 mg glukozamina</w:t>
      </w:r>
      <w:r w:rsidR="00790E8B">
        <w:rPr>
          <w:sz w:val="22"/>
          <w:szCs w:val="22"/>
          <w:lang w:val="sr-Latn-RS"/>
        </w:rPr>
        <w:t xml:space="preserve"> i 384 mg natrijum hlorida)</w:t>
      </w:r>
      <w:r w:rsidRPr="006D4D25">
        <w:rPr>
          <w:sz w:val="22"/>
          <w:szCs w:val="22"/>
          <w:shd w:val="clear" w:color="auto" w:fill="FFFFFF"/>
          <w:lang w:val="sr-Latn-RS" w:eastAsia="sl-SI"/>
        </w:rPr>
        <w:t>.</w:t>
      </w:r>
      <w:r w:rsidRPr="006D4D25">
        <w:rPr>
          <w:sz w:val="22"/>
          <w:szCs w:val="22"/>
          <w:lang w:val="sr-Latn-RS"/>
        </w:rPr>
        <w:t xml:space="preserve"> </w:t>
      </w:r>
    </w:p>
    <w:p w14:paraId="5953A14E" w14:textId="77777777" w:rsidR="00790E8B" w:rsidRDefault="00790E8B" w:rsidP="007D41CF">
      <w:pPr>
        <w:jc w:val="both"/>
        <w:rPr>
          <w:sz w:val="22"/>
          <w:szCs w:val="22"/>
          <w:lang w:val="sr-Latn-RS"/>
        </w:rPr>
      </w:pPr>
    </w:p>
    <w:p w14:paraId="3B561F98" w14:textId="5E64BA80" w:rsidR="00790E8B" w:rsidRPr="006D4D25" w:rsidRDefault="00790E8B" w:rsidP="007D41CF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Svaka kesica sadrži 151 mg natrijuma (6,6 mmol).</w:t>
      </w:r>
    </w:p>
    <w:p w14:paraId="6130C2CF" w14:textId="77777777" w:rsidR="009F41A6" w:rsidRPr="006D4D25" w:rsidRDefault="009F41A6" w:rsidP="007D41CF">
      <w:pPr>
        <w:jc w:val="both"/>
        <w:rPr>
          <w:sz w:val="22"/>
          <w:szCs w:val="22"/>
          <w:u w:val="single"/>
          <w:lang w:val="sr-Latn-RS"/>
        </w:rPr>
      </w:pPr>
    </w:p>
    <w:p w14:paraId="26AE6956" w14:textId="77777777" w:rsidR="009F41A6" w:rsidRPr="006D4D25" w:rsidRDefault="009F41A6" w:rsidP="007D41CF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Pomoćne supstance sa potvrđenim dejstvom:</w:t>
      </w:r>
    </w:p>
    <w:p w14:paraId="0C0BDA38" w14:textId="5238D3E5" w:rsidR="009F41A6" w:rsidRPr="006D4D25" w:rsidRDefault="00790E8B" w:rsidP="007D41CF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Jedna kesica sadrži 2028,5 mg </w:t>
      </w:r>
      <w:r w:rsidR="009F41A6" w:rsidRPr="006D4D25">
        <w:rPr>
          <w:sz w:val="22"/>
          <w:szCs w:val="22"/>
          <w:lang w:val="sr-Latn-RS"/>
        </w:rPr>
        <w:t>sorbitol</w:t>
      </w:r>
      <w:r>
        <w:rPr>
          <w:sz w:val="22"/>
          <w:szCs w:val="22"/>
          <w:lang w:val="sr-Latn-RS"/>
        </w:rPr>
        <w:t>a</w:t>
      </w:r>
      <w:r w:rsidR="009F41A6" w:rsidRPr="006D4D25">
        <w:rPr>
          <w:sz w:val="22"/>
          <w:szCs w:val="22"/>
          <w:lang w:val="sr-Latn-RS"/>
        </w:rPr>
        <w:t xml:space="preserve"> (E420);</w:t>
      </w:r>
    </w:p>
    <w:p w14:paraId="00BDD61E" w14:textId="77777777" w:rsidR="009F41A6" w:rsidRDefault="009F41A6" w:rsidP="007D41CF">
      <w:pPr>
        <w:jc w:val="both"/>
        <w:rPr>
          <w:sz w:val="22"/>
          <w:szCs w:val="22"/>
          <w:lang w:val="sr-Latn-CS"/>
        </w:rPr>
      </w:pPr>
    </w:p>
    <w:p w14:paraId="64D5C8BD" w14:textId="5C35384D" w:rsidR="0003793F" w:rsidRPr="00786071" w:rsidRDefault="0003793F" w:rsidP="007D41CF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7882E61B" w14:textId="77777777" w:rsidR="0003793F" w:rsidRDefault="0003793F">
      <w:pPr>
        <w:rPr>
          <w:sz w:val="22"/>
          <w:szCs w:val="22"/>
          <w:lang w:val="sr-Latn-CS"/>
        </w:rPr>
      </w:pPr>
    </w:p>
    <w:p w14:paraId="50C285C8" w14:textId="77777777" w:rsidR="00C37FD7" w:rsidRPr="00786071" w:rsidRDefault="00C37FD7">
      <w:pPr>
        <w:rPr>
          <w:sz w:val="22"/>
          <w:szCs w:val="22"/>
          <w:lang w:val="sr-Latn-CS"/>
        </w:rPr>
      </w:pPr>
    </w:p>
    <w:p w14:paraId="519319C1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134FE1A0" w14:textId="77777777" w:rsidR="00411B4B" w:rsidRPr="00786071" w:rsidRDefault="00411B4B">
      <w:pPr>
        <w:rPr>
          <w:bCs/>
          <w:sz w:val="22"/>
          <w:szCs w:val="22"/>
          <w:lang w:val="sr-Latn-CS"/>
        </w:rPr>
      </w:pPr>
    </w:p>
    <w:p w14:paraId="0BBCABCA" w14:textId="77777777" w:rsidR="009F41A6" w:rsidRPr="006D4D25" w:rsidRDefault="009F41A6" w:rsidP="009F41A6">
      <w:pPr>
        <w:jc w:val="both"/>
        <w:rPr>
          <w:sz w:val="22"/>
          <w:szCs w:val="22"/>
          <w:shd w:val="clear" w:color="auto" w:fill="EBEFF9"/>
          <w:lang w:val="sr-Latn-RS"/>
        </w:rPr>
      </w:pPr>
      <w:r w:rsidRPr="006D4D25">
        <w:rPr>
          <w:sz w:val="22"/>
          <w:szCs w:val="22"/>
          <w:shd w:val="clear" w:color="auto" w:fill="FFFFFF"/>
          <w:lang w:val="sr-Latn-RS"/>
        </w:rPr>
        <w:t>Prašak za oralni rastvor.</w:t>
      </w:r>
    </w:p>
    <w:p w14:paraId="60171682" w14:textId="77777777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</w:p>
    <w:p w14:paraId="7A8F68CD" w14:textId="15A241A0" w:rsidR="00EC2532" w:rsidRDefault="00790E8B" w:rsidP="009F41A6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Kesice sadrže b</w:t>
      </w:r>
      <w:r w:rsidR="009F41A6" w:rsidRPr="006D4D25">
        <w:rPr>
          <w:sz w:val="22"/>
          <w:szCs w:val="22"/>
          <w:lang w:val="sr-Latn-RS"/>
        </w:rPr>
        <w:t>ijeli ili skoro bijeli prašak.</w:t>
      </w:r>
    </w:p>
    <w:p w14:paraId="11BD977D" w14:textId="2EDAB00A" w:rsidR="009F41A6" w:rsidRDefault="009F41A6" w:rsidP="009F41A6">
      <w:pPr>
        <w:rPr>
          <w:bCs/>
          <w:sz w:val="22"/>
          <w:szCs w:val="22"/>
          <w:lang w:val="sr-Latn-CS"/>
        </w:rPr>
      </w:pPr>
    </w:p>
    <w:p w14:paraId="16A04CEC" w14:textId="77777777" w:rsidR="00F864CA" w:rsidRPr="00786071" w:rsidRDefault="00F864CA" w:rsidP="009F41A6">
      <w:pPr>
        <w:rPr>
          <w:bCs/>
          <w:sz w:val="22"/>
          <w:szCs w:val="22"/>
          <w:lang w:val="sr-Latn-CS"/>
        </w:rPr>
      </w:pPr>
    </w:p>
    <w:p w14:paraId="6AB46AB8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266F0490" w14:textId="77777777" w:rsidR="00CD6F02" w:rsidRPr="00786071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C0EDB7D" w14:textId="77777777" w:rsidR="00411B4B" w:rsidRPr="007860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3106EF5A" w14:textId="5EDAB071" w:rsidR="00411B4B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13D5302" w14:textId="63A7C9A0" w:rsidR="009F41A6" w:rsidRPr="006D4D25" w:rsidRDefault="009F41A6" w:rsidP="007D41CF">
      <w:pPr>
        <w:jc w:val="both"/>
        <w:rPr>
          <w:sz w:val="22"/>
          <w:szCs w:val="22"/>
        </w:rPr>
      </w:pPr>
      <w:r w:rsidRPr="006D4D25">
        <w:rPr>
          <w:sz w:val="22"/>
          <w:szCs w:val="22"/>
          <w:lang w:val="sr-Latn-RS"/>
        </w:rPr>
        <w:t>Metaspon je indikovan za ublažavanje simptoma kod blagog i umjerenog osteoartritisa koljena</w:t>
      </w:r>
      <w:r w:rsidR="00790E8B">
        <w:rPr>
          <w:sz w:val="22"/>
          <w:szCs w:val="22"/>
          <w:lang w:val="sr-Latn-RS"/>
        </w:rPr>
        <w:t xml:space="preserve"> kod odraslih</w:t>
      </w:r>
      <w:r w:rsidRPr="006D4D25">
        <w:rPr>
          <w:sz w:val="22"/>
          <w:szCs w:val="22"/>
          <w:lang w:val="sr-Latn-RS"/>
        </w:rPr>
        <w:t>.</w:t>
      </w:r>
    </w:p>
    <w:p w14:paraId="06AFCC4D" w14:textId="77777777" w:rsidR="009F41A6" w:rsidRPr="00786071" w:rsidRDefault="009F41A6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2191839" w14:textId="77777777" w:rsidR="00411B4B" w:rsidRPr="007860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47C33C51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7EDC1C6" w14:textId="77777777" w:rsidR="00452E9D" w:rsidRPr="00786071" w:rsidRDefault="00452E9D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Doziranje</w:t>
      </w:r>
    </w:p>
    <w:p w14:paraId="672F944E" w14:textId="3E4E4A6D" w:rsidR="00452E9D" w:rsidRDefault="00452E9D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3869E03F" w14:textId="77777777" w:rsidR="009F41A6" w:rsidRPr="006D4D25" w:rsidRDefault="009F41A6" w:rsidP="007D41CF">
      <w:pPr>
        <w:jc w:val="both"/>
        <w:rPr>
          <w:bCs/>
          <w:i/>
          <w:iCs/>
          <w:sz w:val="22"/>
          <w:szCs w:val="22"/>
          <w:lang w:val="sr-Latn-RS"/>
        </w:rPr>
      </w:pPr>
      <w:r w:rsidRPr="006D4D25">
        <w:rPr>
          <w:i/>
          <w:sz w:val="22"/>
          <w:szCs w:val="22"/>
          <w:lang w:val="sr-Latn-RS"/>
        </w:rPr>
        <w:t xml:space="preserve">Odrasli </w:t>
      </w:r>
    </w:p>
    <w:p w14:paraId="50CCADCC" w14:textId="78EFF0C7" w:rsidR="009F41A6" w:rsidRPr="006D4D25" w:rsidRDefault="0075609D" w:rsidP="007D41CF">
      <w:pPr>
        <w:jc w:val="both"/>
        <w:rPr>
          <w:color w:val="000000" w:themeColor="text1"/>
          <w:sz w:val="22"/>
          <w:szCs w:val="22"/>
          <w:lang w:val="sr-Latn-RS"/>
        </w:rPr>
      </w:pPr>
      <w:r>
        <w:rPr>
          <w:color w:val="000000" w:themeColor="text1"/>
          <w:sz w:val="22"/>
          <w:szCs w:val="22"/>
          <w:lang w:val="sr-Latn-RS"/>
        </w:rPr>
        <w:t>Preporučen</w:t>
      </w:r>
      <w:r w:rsidR="009F41A6" w:rsidRPr="006D4D25">
        <w:rPr>
          <w:color w:val="000000" w:themeColor="text1"/>
          <w:sz w:val="22"/>
          <w:szCs w:val="22"/>
          <w:lang w:val="sr-Latn-RS"/>
        </w:rPr>
        <w:t xml:space="preserve">a doza </w:t>
      </w:r>
      <w:r w:rsidR="00790E8B">
        <w:rPr>
          <w:color w:val="000000" w:themeColor="text1"/>
          <w:sz w:val="22"/>
          <w:szCs w:val="22"/>
          <w:lang w:val="sr-Latn-RS"/>
        </w:rPr>
        <w:t xml:space="preserve">lijeka </w:t>
      </w:r>
      <w:r w:rsidR="009F41A6" w:rsidRPr="006D4D25">
        <w:rPr>
          <w:color w:val="000000" w:themeColor="text1"/>
          <w:sz w:val="22"/>
          <w:szCs w:val="22"/>
          <w:lang w:val="sr-Latn-RS"/>
        </w:rPr>
        <w:t xml:space="preserve">je 1500 mg </w:t>
      </w:r>
      <w:r>
        <w:rPr>
          <w:color w:val="000000" w:themeColor="text1"/>
          <w:sz w:val="22"/>
          <w:szCs w:val="22"/>
          <w:lang w:val="sr-Latn-RS"/>
        </w:rPr>
        <w:t>(jedna kesica) jednom dnevno.</w:t>
      </w:r>
    </w:p>
    <w:p w14:paraId="57344DF0" w14:textId="77777777" w:rsidR="009F41A6" w:rsidRPr="006D4D25" w:rsidRDefault="009F41A6" w:rsidP="007D41CF">
      <w:pPr>
        <w:jc w:val="both"/>
        <w:rPr>
          <w:color w:val="000000" w:themeColor="text1"/>
          <w:sz w:val="22"/>
          <w:szCs w:val="22"/>
          <w:lang w:val="sr-Latn-RS"/>
        </w:rPr>
      </w:pPr>
    </w:p>
    <w:p w14:paraId="241F04AE" w14:textId="0E2E6FF6" w:rsidR="009F41A6" w:rsidRPr="006D4D25" w:rsidRDefault="009F41A6" w:rsidP="007D41CF">
      <w:pPr>
        <w:jc w:val="both"/>
        <w:rPr>
          <w:bCs/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Glukozamin nije indikovan za liječenje akutnih bolnih simptoma. </w:t>
      </w:r>
      <w:r w:rsidR="00547AF6">
        <w:rPr>
          <w:sz w:val="22"/>
          <w:szCs w:val="22"/>
          <w:lang w:val="sr-Latn-RS"/>
        </w:rPr>
        <w:t xml:space="preserve">Ublažavanje simptoma </w:t>
      </w:r>
      <w:r w:rsidR="00547AF6" w:rsidRPr="006D4D25">
        <w:rPr>
          <w:sz w:val="22"/>
          <w:szCs w:val="22"/>
          <w:lang w:val="sr-Latn-RS"/>
        </w:rPr>
        <w:t>(posebno olakšavanja bolova)</w:t>
      </w:r>
      <w:r w:rsidR="00547AF6">
        <w:rPr>
          <w:sz w:val="22"/>
          <w:szCs w:val="22"/>
          <w:lang w:val="sr-Latn-RS"/>
        </w:rPr>
        <w:t xml:space="preserve">, obično nastupa u roku od 4 nedjelje od početka liječenja, </w:t>
      </w:r>
      <w:r w:rsidRPr="006D4D25">
        <w:rPr>
          <w:sz w:val="22"/>
          <w:szCs w:val="22"/>
          <w:lang w:val="sr-Latn-RS"/>
        </w:rPr>
        <w:t>u nekim slučajevima čak i duže. Ako do ublažavanja simptoma ne dođe nakon 2-3 mjeseca liječenja, potrebno je preispitati dalje liječenje glukozaminom</w:t>
      </w:r>
      <w:r w:rsidRPr="006D4D25">
        <w:rPr>
          <w:bCs/>
          <w:sz w:val="22"/>
          <w:szCs w:val="22"/>
          <w:lang w:val="sr-Latn-RS"/>
        </w:rPr>
        <w:t>.</w:t>
      </w:r>
    </w:p>
    <w:p w14:paraId="5503525D" w14:textId="77777777" w:rsidR="009F41A6" w:rsidRPr="006D4D25" w:rsidRDefault="009F41A6" w:rsidP="007D41CF">
      <w:pPr>
        <w:jc w:val="both"/>
        <w:rPr>
          <w:bCs/>
          <w:sz w:val="22"/>
          <w:szCs w:val="22"/>
          <w:lang w:val="sr-Latn-RS"/>
        </w:rPr>
      </w:pPr>
    </w:p>
    <w:p w14:paraId="7B7B9ABD" w14:textId="77777777" w:rsidR="009F41A6" w:rsidRPr="006D4D25" w:rsidRDefault="009F41A6" w:rsidP="007D41CF">
      <w:pPr>
        <w:jc w:val="both"/>
        <w:rPr>
          <w:bCs/>
          <w:i/>
          <w:sz w:val="22"/>
          <w:szCs w:val="22"/>
          <w:lang w:val="sr-Latn-RS"/>
        </w:rPr>
      </w:pPr>
      <w:r w:rsidRPr="006D4D25">
        <w:rPr>
          <w:bCs/>
          <w:i/>
          <w:sz w:val="22"/>
          <w:szCs w:val="22"/>
          <w:lang w:val="sr-Latn-RS"/>
        </w:rPr>
        <w:t>Pedijatrijska populacija</w:t>
      </w:r>
    </w:p>
    <w:p w14:paraId="4FEC4683" w14:textId="366D29AB" w:rsidR="009F41A6" w:rsidRPr="006D4D25" w:rsidRDefault="009F41A6" w:rsidP="007D41CF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Metaspon se ne preporučuje za </w:t>
      </w:r>
      <w:r w:rsidR="00A43F11">
        <w:rPr>
          <w:sz w:val="22"/>
          <w:szCs w:val="22"/>
          <w:lang w:val="sr-Latn-RS"/>
        </w:rPr>
        <w:t>primjenu</w:t>
      </w:r>
      <w:r w:rsidRPr="006D4D25">
        <w:rPr>
          <w:sz w:val="22"/>
          <w:szCs w:val="22"/>
          <w:lang w:val="sr-Latn-RS"/>
        </w:rPr>
        <w:t xml:space="preserve"> kod djece i adolescenata mlađih od 18 godina, zbog nedostatka podataka o bezbjednosti i efikasnosti</w:t>
      </w:r>
      <w:r w:rsidR="00547AF6">
        <w:rPr>
          <w:sz w:val="22"/>
          <w:szCs w:val="22"/>
          <w:lang w:val="sr-Latn-RS"/>
        </w:rPr>
        <w:t xml:space="preserve"> (</w:t>
      </w:r>
      <w:r w:rsidR="00161DA1">
        <w:rPr>
          <w:sz w:val="22"/>
          <w:szCs w:val="22"/>
          <w:lang w:val="sr-Latn-RS"/>
        </w:rPr>
        <w:t>pogledati</w:t>
      </w:r>
      <w:r w:rsidR="00547AF6">
        <w:rPr>
          <w:sz w:val="22"/>
          <w:szCs w:val="22"/>
          <w:lang w:val="sr-Latn-RS"/>
        </w:rPr>
        <w:t xml:space="preserve"> dio 4.4)</w:t>
      </w:r>
      <w:r w:rsidRPr="006D4D25">
        <w:rPr>
          <w:sz w:val="22"/>
          <w:szCs w:val="22"/>
          <w:lang w:val="sr-Latn-RS"/>
        </w:rPr>
        <w:t>.</w:t>
      </w:r>
    </w:p>
    <w:p w14:paraId="3659E130" w14:textId="77777777" w:rsidR="009F41A6" w:rsidRPr="006D4D25" w:rsidRDefault="009F41A6" w:rsidP="007D41CF">
      <w:pPr>
        <w:jc w:val="both"/>
        <w:rPr>
          <w:iCs/>
          <w:sz w:val="22"/>
          <w:szCs w:val="22"/>
          <w:lang w:val="sr-Latn-RS"/>
        </w:rPr>
      </w:pPr>
    </w:p>
    <w:p w14:paraId="4436E44C" w14:textId="77777777" w:rsidR="007D41CF" w:rsidRDefault="007D41CF" w:rsidP="007D41CF">
      <w:pPr>
        <w:jc w:val="both"/>
        <w:rPr>
          <w:i/>
          <w:iCs/>
          <w:sz w:val="22"/>
          <w:szCs w:val="22"/>
          <w:lang w:val="sr-Latn-RS"/>
        </w:rPr>
      </w:pPr>
    </w:p>
    <w:p w14:paraId="3A9E5A86" w14:textId="77777777" w:rsidR="007D41CF" w:rsidRDefault="007D41CF" w:rsidP="007D41CF">
      <w:pPr>
        <w:jc w:val="both"/>
        <w:rPr>
          <w:i/>
          <w:iCs/>
          <w:sz w:val="22"/>
          <w:szCs w:val="22"/>
          <w:lang w:val="sr-Latn-RS"/>
        </w:rPr>
      </w:pPr>
    </w:p>
    <w:p w14:paraId="3120C0DC" w14:textId="08E0FEDF" w:rsidR="009F41A6" w:rsidRPr="006D4D25" w:rsidRDefault="009F41A6" w:rsidP="007D41CF">
      <w:pPr>
        <w:jc w:val="both"/>
        <w:rPr>
          <w:i/>
          <w:iCs/>
          <w:sz w:val="22"/>
          <w:szCs w:val="22"/>
          <w:lang w:val="sr-Latn-RS"/>
        </w:rPr>
      </w:pPr>
      <w:r w:rsidRPr="006D4D25">
        <w:rPr>
          <w:i/>
          <w:iCs/>
          <w:sz w:val="22"/>
          <w:szCs w:val="22"/>
          <w:lang w:val="sr-Latn-RS"/>
        </w:rPr>
        <w:t>Stariji pacijenti</w:t>
      </w:r>
    </w:p>
    <w:p w14:paraId="50938A44" w14:textId="77777777" w:rsidR="009F41A6" w:rsidRPr="006D4D25" w:rsidRDefault="009F41A6" w:rsidP="007D41CF">
      <w:pPr>
        <w:jc w:val="both"/>
        <w:rPr>
          <w:iCs/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Nijesu sprovedena specifična ispitivanja kod starijih osoba, ali, prema postojećem kliničkom iskustvu, nije potrebno prilagođavanje doze kada se liječe zdravi, stariji pacijenti</w:t>
      </w:r>
      <w:r w:rsidRPr="006D4D25">
        <w:rPr>
          <w:iCs/>
          <w:sz w:val="22"/>
          <w:szCs w:val="22"/>
          <w:lang w:val="sr-Latn-RS"/>
        </w:rPr>
        <w:t>.</w:t>
      </w:r>
    </w:p>
    <w:p w14:paraId="472C4472" w14:textId="77777777" w:rsidR="009F41A6" w:rsidRPr="006D4D25" w:rsidRDefault="009F41A6" w:rsidP="007D41CF">
      <w:pPr>
        <w:jc w:val="both"/>
        <w:rPr>
          <w:iCs/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 </w:t>
      </w:r>
    </w:p>
    <w:p w14:paraId="084A98EB" w14:textId="746D8D37" w:rsidR="009F41A6" w:rsidRPr="006D4D25" w:rsidRDefault="009F41A6" w:rsidP="007D41CF">
      <w:pPr>
        <w:jc w:val="both"/>
        <w:rPr>
          <w:i/>
          <w:iCs/>
          <w:sz w:val="22"/>
          <w:szCs w:val="22"/>
          <w:lang w:val="sr-Latn-RS"/>
        </w:rPr>
      </w:pPr>
      <w:r w:rsidRPr="006D4D25">
        <w:rPr>
          <w:i/>
          <w:sz w:val="22"/>
          <w:szCs w:val="22"/>
          <w:lang w:val="sr-Latn-RS"/>
        </w:rPr>
        <w:t>Pacijenti sa oštećenom funkcijom bubrega i</w:t>
      </w:r>
      <w:r w:rsidR="00547AF6">
        <w:rPr>
          <w:i/>
          <w:sz w:val="22"/>
          <w:szCs w:val="22"/>
          <w:lang w:val="sr-Latn-RS"/>
        </w:rPr>
        <w:t xml:space="preserve">/ili </w:t>
      </w:r>
      <w:r w:rsidRPr="006D4D25">
        <w:rPr>
          <w:i/>
          <w:sz w:val="22"/>
          <w:szCs w:val="22"/>
          <w:lang w:val="sr-Latn-RS"/>
        </w:rPr>
        <w:t>jetre</w:t>
      </w:r>
    </w:p>
    <w:p w14:paraId="30D91822" w14:textId="57D71A07" w:rsidR="009F41A6" w:rsidRPr="006D4D25" w:rsidRDefault="009F41A6" w:rsidP="007D41CF">
      <w:pPr>
        <w:jc w:val="both"/>
        <w:rPr>
          <w:iCs/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Kod pacijenata sa oštećenom funkcijom bubrega i/ili jetre ne mogu se dati preporuke za doziranje, jer nijesu sprovedena posebna ispitivanja</w:t>
      </w:r>
      <w:r w:rsidR="00136683">
        <w:rPr>
          <w:sz w:val="22"/>
          <w:szCs w:val="22"/>
          <w:lang w:val="sr-Latn-RS"/>
        </w:rPr>
        <w:t xml:space="preserve"> (</w:t>
      </w:r>
      <w:r w:rsidR="00161DA1">
        <w:rPr>
          <w:sz w:val="22"/>
          <w:szCs w:val="22"/>
          <w:lang w:val="sr-Latn-RS"/>
        </w:rPr>
        <w:t>pogledati</w:t>
      </w:r>
      <w:r w:rsidR="00136683">
        <w:rPr>
          <w:sz w:val="22"/>
          <w:szCs w:val="22"/>
          <w:lang w:val="sr-Latn-RS"/>
        </w:rPr>
        <w:t xml:space="preserve"> dio 4.4)</w:t>
      </w:r>
      <w:r w:rsidRPr="006D4D25">
        <w:rPr>
          <w:iCs/>
          <w:sz w:val="22"/>
          <w:szCs w:val="22"/>
          <w:lang w:val="sr-Latn-RS"/>
        </w:rPr>
        <w:t>.</w:t>
      </w:r>
    </w:p>
    <w:p w14:paraId="5C8A158E" w14:textId="77777777" w:rsidR="009F41A6" w:rsidRPr="00786071" w:rsidRDefault="009F41A6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27596A33" w14:textId="26CF45F8" w:rsidR="00452E9D" w:rsidRDefault="00452E9D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Način primjene</w:t>
      </w:r>
    </w:p>
    <w:p w14:paraId="35553F7E" w14:textId="77777777" w:rsidR="00BA7630" w:rsidRDefault="00136683" w:rsidP="007D41CF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Lijek se primjenjuje </w:t>
      </w:r>
      <w:r w:rsidR="00BA7630">
        <w:rPr>
          <w:sz w:val="22"/>
          <w:szCs w:val="22"/>
          <w:lang w:val="sr-Latn-RS"/>
        </w:rPr>
        <w:t xml:space="preserve">oralno. </w:t>
      </w:r>
    </w:p>
    <w:p w14:paraId="23789E98" w14:textId="057A704C" w:rsidR="009F41A6" w:rsidRPr="006D4D25" w:rsidRDefault="009F41A6" w:rsidP="007D41CF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Sadržaj kesice rastvorite u čaši vode</w:t>
      </w:r>
      <w:r w:rsidR="00BA7630">
        <w:rPr>
          <w:sz w:val="22"/>
          <w:szCs w:val="22"/>
          <w:lang w:val="sr-Latn-RS"/>
        </w:rPr>
        <w:t xml:space="preserve"> (100 – 200 ml)</w:t>
      </w:r>
      <w:r w:rsidRPr="006D4D25">
        <w:rPr>
          <w:sz w:val="22"/>
          <w:szCs w:val="22"/>
          <w:lang w:val="sr-Latn-RS"/>
        </w:rPr>
        <w:t>, m</w:t>
      </w:r>
      <w:r w:rsidR="00BA7630">
        <w:rPr>
          <w:sz w:val="22"/>
          <w:szCs w:val="22"/>
          <w:lang w:val="sr-Latn-RS"/>
        </w:rPr>
        <w:t>i</w:t>
      </w:r>
      <w:r w:rsidRPr="006D4D25">
        <w:rPr>
          <w:sz w:val="22"/>
          <w:szCs w:val="22"/>
          <w:lang w:val="sr-Latn-RS"/>
        </w:rPr>
        <w:t xml:space="preserve">ješajte dok se ne rastopi </w:t>
      </w:r>
      <w:r w:rsidRPr="006D4D25">
        <w:rPr>
          <w:color w:val="000000" w:themeColor="text1"/>
          <w:sz w:val="22"/>
          <w:szCs w:val="22"/>
          <w:lang w:val="sr-Latn-RS"/>
        </w:rPr>
        <w:t>i odmah popijte</w:t>
      </w:r>
      <w:r w:rsidRPr="006D4D25">
        <w:rPr>
          <w:sz w:val="22"/>
          <w:szCs w:val="22"/>
          <w:lang w:val="sr-Latn-RS"/>
        </w:rPr>
        <w:t xml:space="preserve">. </w:t>
      </w:r>
    </w:p>
    <w:p w14:paraId="2C4BF5A7" w14:textId="76B443A0" w:rsidR="00452E9D" w:rsidRDefault="00E05685" w:rsidP="007D41C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Nakon rekonstitucije, dobija se homogeni, bezbojni i blago opalescentni rastvor.</w:t>
      </w:r>
    </w:p>
    <w:p w14:paraId="5E416E54" w14:textId="77777777" w:rsidR="00E05685" w:rsidRPr="00786071" w:rsidRDefault="00E05685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1BDA50" w14:textId="77777777" w:rsidR="00411B4B" w:rsidRPr="00786071" w:rsidRDefault="00411B4B" w:rsidP="007D41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3C931650" w14:textId="52F8A426" w:rsidR="0072020E" w:rsidRDefault="0072020E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3359599" w14:textId="2847EAF2" w:rsidR="009F41A6" w:rsidRPr="006D4D25" w:rsidRDefault="009F41A6" w:rsidP="007D41CF">
      <w:pPr>
        <w:jc w:val="both"/>
        <w:rPr>
          <w:noProof/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Preosjetljivost na glukozamin ili na </w:t>
      </w:r>
      <w:r w:rsidR="00E05685">
        <w:rPr>
          <w:sz w:val="22"/>
          <w:szCs w:val="22"/>
          <w:lang w:val="sr-Latn-RS"/>
        </w:rPr>
        <w:t>neku od pomoćnih supstanci navedenih u dijelu 6.1</w:t>
      </w:r>
      <w:r w:rsidRPr="006D4D25">
        <w:rPr>
          <w:sz w:val="22"/>
          <w:szCs w:val="22"/>
          <w:lang w:val="sr-Latn-RS"/>
        </w:rPr>
        <w:t>.</w:t>
      </w:r>
    </w:p>
    <w:p w14:paraId="79B8E053" w14:textId="77777777" w:rsidR="009F41A6" w:rsidRPr="006D4D25" w:rsidRDefault="009F41A6" w:rsidP="007D41CF">
      <w:pPr>
        <w:jc w:val="both"/>
        <w:rPr>
          <w:noProof/>
          <w:sz w:val="22"/>
          <w:szCs w:val="22"/>
          <w:lang w:val="sr-Latn-RS"/>
        </w:rPr>
      </w:pPr>
    </w:p>
    <w:p w14:paraId="27BE1B99" w14:textId="7D197414" w:rsidR="009F41A6" w:rsidRDefault="009F41A6" w:rsidP="007D41C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Metaspon se ne smije </w:t>
      </w:r>
      <w:r w:rsidR="00E05685">
        <w:rPr>
          <w:sz w:val="22"/>
          <w:szCs w:val="22"/>
          <w:lang w:val="sr-Latn-RS"/>
        </w:rPr>
        <w:t>primjenjivati kod</w:t>
      </w:r>
      <w:r w:rsidRPr="006D4D25">
        <w:rPr>
          <w:sz w:val="22"/>
          <w:szCs w:val="22"/>
          <w:lang w:val="sr-Latn-RS"/>
        </w:rPr>
        <w:t xml:space="preserve"> pacijen</w:t>
      </w:r>
      <w:r w:rsidR="00E05685">
        <w:rPr>
          <w:sz w:val="22"/>
          <w:szCs w:val="22"/>
          <w:lang w:val="sr-Latn-RS"/>
        </w:rPr>
        <w:t>ata</w:t>
      </w:r>
      <w:r w:rsidRPr="006D4D25">
        <w:rPr>
          <w:sz w:val="22"/>
          <w:szCs w:val="22"/>
          <w:lang w:val="sr-Latn-RS"/>
        </w:rPr>
        <w:t xml:space="preserve"> koji su alergični na </w:t>
      </w:r>
      <w:r w:rsidR="00E05685">
        <w:rPr>
          <w:sz w:val="22"/>
          <w:szCs w:val="22"/>
          <w:lang w:val="sr-Latn-RS"/>
        </w:rPr>
        <w:t xml:space="preserve">morske beskičmenjake </w:t>
      </w:r>
      <w:r w:rsidRPr="006D4D25">
        <w:rPr>
          <w:sz w:val="22"/>
          <w:szCs w:val="22"/>
          <w:lang w:val="sr-Latn-RS"/>
        </w:rPr>
        <w:t>(</w:t>
      </w:r>
      <w:r w:rsidR="00E05685">
        <w:rPr>
          <w:sz w:val="22"/>
          <w:szCs w:val="22"/>
          <w:lang w:val="sr-Latn-RS"/>
        </w:rPr>
        <w:t>rakove, školjke</w:t>
      </w:r>
      <w:r w:rsidRPr="006D4D25">
        <w:rPr>
          <w:sz w:val="22"/>
          <w:szCs w:val="22"/>
          <w:lang w:val="sr-Latn-RS"/>
        </w:rPr>
        <w:t xml:space="preserve">, puževe i </w:t>
      </w:r>
      <w:r w:rsidR="00E05685">
        <w:rPr>
          <w:sz w:val="22"/>
          <w:szCs w:val="22"/>
          <w:lang w:val="sr-Latn-RS"/>
        </w:rPr>
        <w:t>glavonošce</w:t>
      </w:r>
      <w:r w:rsidRPr="006D4D25">
        <w:rPr>
          <w:sz w:val="22"/>
          <w:szCs w:val="22"/>
          <w:lang w:val="sr-Latn-RS"/>
        </w:rPr>
        <w:t xml:space="preserve">) jer se aktivna supstanca dobija od </w:t>
      </w:r>
      <w:r w:rsidR="00E05685">
        <w:rPr>
          <w:sz w:val="22"/>
          <w:szCs w:val="22"/>
          <w:lang w:val="sr-Latn-RS"/>
        </w:rPr>
        <w:t>oklopa rakova</w:t>
      </w:r>
      <w:r w:rsidRPr="006D4D25">
        <w:rPr>
          <w:sz w:val="22"/>
          <w:szCs w:val="22"/>
          <w:lang w:val="sr-Latn-RS"/>
        </w:rPr>
        <w:t>.</w:t>
      </w:r>
    </w:p>
    <w:p w14:paraId="011F5B31" w14:textId="77777777" w:rsidR="009F41A6" w:rsidRPr="00786071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1CBE096" w14:textId="77777777" w:rsidR="00411B4B" w:rsidRPr="007860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3573DF6A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95F4D70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Prije početka liječenja potrebno je konsultovati ljekara kako bi se isključilo prisustvo drugih oboljenja zglobova za koje bi trebalo razmotriti drugačije liječenje.</w:t>
      </w:r>
    </w:p>
    <w:p w14:paraId="382A98D4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</w:p>
    <w:p w14:paraId="606578F5" w14:textId="0FC594AE" w:rsidR="00E05685" w:rsidRDefault="00E05685" w:rsidP="007D41CF">
      <w:pPr>
        <w:pStyle w:val="BodyTextIndent2"/>
        <w:ind w:left="0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Primjena glukozamina se ne preporučuje kod djece i adolescenata mlađih od 18 godina, s obzirom na to da bezbjednost i efikasnost nije utvrđena kod tih starosnih grupa.</w:t>
      </w:r>
    </w:p>
    <w:p w14:paraId="1A19503D" w14:textId="77777777" w:rsidR="00E05685" w:rsidRDefault="00E05685" w:rsidP="007D41CF">
      <w:pPr>
        <w:pStyle w:val="BodyTextIndent2"/>
        <w:ind w:left="0"/>
        <w:rPr>
          <w:sz w:val="22"/>
          <w:szCs w:val="22"/>
          <w:lang w:val="sr-Latn-RS"/>
        </w:rPr>
      </w:pPr>
    </w:p>
    <w:p w14:paraId="5535E05F" w14:textId="3FD092B6" w:rsidR="009F41A6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Kod pacijenata sa poremećenom tolerancijom na glukozu, preporučuje se praćenje nivoa glukoze u krvi i, tamo gde je relevantno, preporučuje se insulin prije početka liječenja i periodično tokom liječenja</w:t>
      </w:r>
      <w:r w:rsidR="004D0A9F">
        <w:rPr>
          <w:sz w:val="22"/>
          <w:szCs w:val="22"/>
          <w:lang w:val="sr-Latn-RS"/>
        </w:rPr>
        <w:t xml:space="preserve"> </w:t>
      </w:r>
      <w:r w:rsidR="004D0A9F" w:rsidRPr="00C35B98">
        <w:rPr>
          <w:sz w:val="22"/>
          <w:szCs w:val="22"/>
          <w:lang w:val="sr-Latn-RS"/>
        </w:rPr>
        <w:t>(vidjeti dio 5.3)</w:t>
      </w:r>
      <w:r w:rsidRPr="00C35B98">
        <w:rPr>
          <w:sz w:val="22"/>
          <w:szCs w:val="22"/>
          <w:lang w:val="sr-Latn-RS"/>
        </w:rPr>
        <w:t>.</w:t>
      </w:r>
    </w:p>
    <w:p w14:paraId="3A2FA578" w14:textId="77777777" w:rsidR="00C35B98" w:rsidRDefault="00C35B98" w:rsidP="007D41CF">
      <w:pPr>
        <w:pStyle w:val="BodyTextIndent2"/>
        <w:ind w:left="0"/>
        <w:rPr>
          <w:sz w:val="22"/>
          <w:szCs w:val="22"/>
          <w:lang w:val="sr-Latn-RS"/>
        </w:rPr>
      </w:pPr>
    </w:p>
    <w:p w14:paraId="7F36ECDB" w14:textId="21F36CCB" w:rsidR="00C35B98" w:rsidRPr="006D4D25" w:rsidRDefault="00C35B98" w:rsidP="007D41CF">
      <w:pPr>
        <w:pStyle w:val="BodyTextIndent2"/>
        <w:ind w:left="0"/>
        <w:rPr>
          <w:sz w:val="22"/>
          <w:szCs w:val="22"/>
          <w:lang w:val="sr-Latn-RS"/>
        </w:rPr>
      </w:pPr>
      <w:r w:rsidRPr="00C35B98">
        <w:rPr>
          <w:sz w:val="22"/>
          <w:szCs w:val="22"/>
          <w:lang w:val="sr-Latn-RS"/>
        </w:rPr>
        <w:t xml:space="preserve">Nisu </w:t>
      </w:r>
      <w:r>
        <w:rPr>
          <w:sz w:val="22"/>
          <w:szCs w:val="22"/>
          <w:lang w:val="sr-Latn-RS"/>
        </w:rPr>
        <w:t>s</w:t>
      </w:r>
      <w:r w:rsidRPr="00C35B98">
        <w:rPr>
          <w:sz w:val="22"/>
          <w:szCs w:val="22"/>
          <w:lang w:val="sr-Latn-RS"/>
        </w:rPr>
        <w:t xml:space="preserve">provedena ispitivanja </w:t>
      </w:r>
      <w:r>
        <w:rPr>
          <w:sz w:val="22"/>
          <w:szCs w:val="22"/>
          <w:lang w:val="sr-Latn-RS"/>
        </w:rPr>
        <w:t>kod pacijenata</w:t>
      </w:r>
      <w:r w:rsidRPr="00C35B98">
        <w:rPr>
          <w:sz w:val="22"/>
          <w:szCs w:val="22"/>
          <w:lang w:val="sr-Latn-RS"/>
        </w:rPr>
        <w:t xml:space="preserve"> s</w:t>
      </w:r>
      <w:r>
        <w:rPr>
          <w:sz w:val="22"/>
          <w:szCs w:val="22"/>
          <w:lang w:val="sr-Latn-RS"/>
        </w:rPr>
        <w:t>a</w:t>
      </w:r>
      <w:r w:rsidRPr="00C35B98">
        <w:rPr>
          <w:sz w:val="22"/>
          <w:szCs w:val="22"/>
          <w:lang w:val="sr-Latn-RS"/>
        </w:rPr>
        <w:t xml:space="preserve"> oštećenom funkcijom jetre i/ili bubrega. Toksikološki i farmakokinetički profil lijeka ne upućuje na potrebu ograničenja preporučene doze lijeka </w:t>
      </w:r>
      <w:r>
        <w:rPr>
          <w:sz w:val="22"/>
          <w:szCs w:val="22"/>
          <w:lang w:val="sr-Latn-RS"/>
        </w:rPr>
        <w:t>kod</w:t>
      </w:r>
      <w:r w:rsidRPr="00C35B98">
        <w:rPr>
          <w:sz w:val="22"/>
          <w:szCs w:val="22"/>
          <w:lang w:val="sr-Latn-RS"/>
        </w:rPr>
        <w:t xml:space="preserve"> ovih </w:t>
      </w:r>
      <w:r>
        <w:rPr>
          <w:sz w:val="22"/>
          <w:szCs w:val="22"/>
          <w:lang w:val="sr-Latn-RS"/>
        </w:rPr>
        <w:t>pacijenata</w:t>
      </w:r>
      <w:r w:rsidRPr="00C35B98">
        <w:rPr>
          <w:sz w:val="22"/>
          <w:szCs w:val="22"/>
          <w:lang w:val="sr-Latn-RS"/>
        </w:rPr>
        <w:t>. Ipak, primjen</w:t>
      </w:r>
      <w:r>
        <w:rPr>
          <w:sz w:val="22"/>
          <w:szCs w:val="22"/>
          <w:lang w:val="sr-Latn-RS"/>
        </w:rPr>
        <w:t>u</w:t>
      </w:r>
      <w:r w:rsidRPr="00C35B98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kod pacijenata</w:t>
      </w:r>
      <w:r w:rsidRPr="00C35B98">
        <w:rPr>
          <w:sz w:val="22"/>
          <w:szCs w:val="22"/>
          <w:lang w:val="sr-Latn-RS"/>
        </w:rPr>
        <w:t xml:space="preserve"> s</w:t>
      </w:r>
      <w:r>
        <w:rPr>
          <w:sz w:val="22"/>
          <w:szCs w:val="22"/>
          <w:lang w:val="sr-Latn-RS"/>
        </w:rPr>
        <w:t>a</w:t>
      </w:r>
      <w:r w:rsidRPr="00C35B98">
        <w:rPr>
          <w:sz w:val="22"/>
          <w:szCs w:val="22"/>
          <w:lang w:val="sr-Latn-RS"/>
        </w:rPr>
        <w:t xml:space="preserve"> teškom insuficijencijom jetre ili bubrega treba </w:t>
      </w:r>
      <w:r>
        <w:rPr>
          <w:sz w:val="22"/>
          <w:szCs w:val="22"/>
          <w:lang w:val="sr-Latn-RS"/>
        </w:rPr>
        <w:t>s</w:t>
      </w:r>
      <w:r w:rsidRPr="00C35B98">
        <w:rPr>
          <w:sz w:val="22"/>
          <w:szCs w:val="22"/>
          <w:lang w:val="sr-Latn-RS"/>
        </w:rPr>
        <w:t>provoditi pod nadzorom</w:t>
      </w:r>
      <w:r>
        <w:rPr>
          <w:sz w:val="22"/>
          <w:szCs w:val="22"/>
          <w:lang w:val="sr-Latn-RS"/>
        </w:rPr>
        <w:t xml:space="preserve"> ljekara.</w:t>
      </w:r>
    </w:p>
    <w:p w14:paraId="0EED70CF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</w:p>
    <w:p w14:paraId="460D75F0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Kod pacijenata sa poznatim rizikom za kardiovaskularna oboljenja, preporučuje se praćenje nivoa lipida u krvi, jer je u nekoliko slučajeva kod pacijenata liječenih glukozaminom primijećena hiperholesterolemija.</w:t>
      </w:r>
    </w:p>
    <w:p w14:paraId="0D724FA2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</w:p>
    <w:p w14:paraId="7565AC5A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Opisan je izveštaj o pogoršanim simptomima astme izazvanim nakon započinjanja terapije glukozaminom (simptomi su nestali nakon prestanka uzimanja glukozamina). Pacijenti sa astmom koji počinju liječenje glukozaminom treba da budu svjesni mogućeg pogoršanja simptoma.</w:t>
      </w:r>
    </w:p>
    <w:p w14:paraId="5891E2DE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</w:p>
    <w:p w14:paraId="7BD0356B" w14:textId="3EE80A74" w:rsidR="00A70D1F" w:rsidRPr="00A70D1F" w:rsidRDefault="00A70D1F" w:rsidP="007D41CF">
      <w:pPr>
        <w:jc w:val="both"/>
        <w:rPr>
          <w:i/>
          <w:iCs/>
          <w:sz w:val="22"/>
          <w:szCs w:val="22"/>
          <w:lang w:val="sr-Latn-RS"/>
        </w:rPr>
      </w:pPr>
      <w:r w:rsidRPr="00A70D1F">
        <w:rPr>
          <w:i/>
          <w:iCs/>
          <w:sz w:val="22"/>
          <w:szCs w:val="22"/>
          <w:lang w:val="sr-Latn-RS"/>
        </w:rPr>
        <w:t>Pomoćne supstance</w:t>
      </w:r>
    </w:p>
    <w:p w14:paraId="6FB94752" w14:textId="7F677F90" w:rsidR="009F41A6" w:rsidRPr="006D4D25" w:rsidRDefault="009F41A6" w:rsidP="007D41CF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Ovaj lijek sadrži 151 mg natrijuma po kesici</w:t>
      </w:r>
      <w:r w:rsidR="00A70D1F">
        <w:rPr>
          <w:sz w:val="22"/>
          <w:szCs w:val="22"/>
          <w:lang w:val="sr-Latn-RS"/>
        </w:rPr>
        <w:t>, što odgovara 7,6% maksimalnog dnevnog unosa od 2 g natrijuma, prema preporukama SZO za odraslu osobu</w:t>
      </w:r>
      <w:r w:rsidRPr="006D4D25">
        <w:rPr>
          <w:sz w:val="22"/>
          <w:szCs w:val="22"/>
          <w:lang w:val="sr-Latn-RS"/>
        </w:rPr>
        <w:t xml:space="preserve">. </w:t>
      </w:r>
    </w:p>
    <w:p w14:paraId="31F20B7A" w14:textId="77777777" w:rsidR="009F41A6" w:rsidRPr="006D4D25" w:rsidRDefault="009F41A6" w:rsidP="007D41CF">
      <w:pPr>
        <w:jc w:val="both"/>
        <w:rPr>
          <w:sz w:val="22"/>
          <w:szCs w:val="22"/>
          <w:lang w:val="sr-Latn-RS"/>
        </w:rPr>
      </w:pPr>
    </w:p>
    <w:p w14:paraId="2DAF165F" w14:textId="32282F13" w:rsidR="009F41A6" w:rsidRPr="006D4D25" w:rsidRDefault="009F41A6" w:rsidP="007D41CF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Ovaj lijek sadrži</w:t>
      </w:r>
      <w:r w:rsidR="00A70D1F">
        <w:rPr>
          <w:sz w:val="22"/>
          <w:szCs w:val="22"/>
          <w:lang w:val="sr-Latn-RS"/>
        </w:rPr>
        <w:t xml:space="preserve"> 2028,5 mg</w:t>
      </w:r>
      <w:r w:rsidRPr="006D4D25">
        <w:rPr>
          <w:sz w:val="22"/>
          <w:szCs w:val="22"/>
          <w:lang w:val="sr-Latn-RS"/>
        </w:rPr>
        <w:t xml:space="preserve"> sorbitol</w:t>
      </w:r>
      <w:r w:rsidR="00A70D1F">
        <w:rPr>
          <w:sz w:val="22"/>
          <w:szCs w:val="22"/>
          <w:lang w:val="sr-Latn-RS"/>
        </w:rPr>
        <w:t>a u jednoj kesici</w:t>
      </w:r>
      <w:r w:rsidRPr="006D4D25">
        <w:rPr>
          <w:sz w:val="22"/>
          <w:szCs w:val="22"/>
          <w:lang w:val="sr-Latn-RS"/>
        </w:rPr>
        <w:t xml:space="preserve">. Pacijenti sa rijetkim nasljednim problemima </w:t>
      </w:r>
      <w:r w:rsidR="007D41CF">
        <w:rPr>
          <w:sz w:val="22"/>
          <w:szCs w:val="22"/>
          <w:lang w:val="sr-Latn-RS"/>
        </w:rPr>
        <w:t>in</w:t>
      </w:r>
      <w:r w:rsidRPr="006D4D25">
        <w:rPr>
          <w:sz w:val="22"/>
          <w:szCs w:val="22"/>
          <w:lang w:val="sr-Latn-RS"/>
        </w:rPr>
        <w:t>tolerancije na fruktozu ne smiju da koriste ovaj lijek.</w:t>
      </w:r>
    </w:p>
    <w:p w14:paraId="1E687B7D" w14:textId="77777777" w:rsidR="00057E35" w:rsidRPr="00786071" w:rsidRDefault="00057E35" w:rsidP="007D41C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95621A2" w14:textId="77777777" w:rsidR="00411B4B" w:rsidRPr="00786071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 drugim ljekovima i druge vrste interakcija</w:t>
      </w:r>
    </w:p>
    <w:p w14:paraId="685518AB" w14:textId="30D73F6D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9750F8F" w14:textId="4D531D90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Postoje ograničeni podaci o mogućim interakcijama ljekova sa glukozaminom, ali su povećani parametri INR zabilježeni kod oralnih antagonista vitamina K</w:t>
      </w:r>
      <w:r w:rsidR="00A70D1F">
        <w:rPr>
          <w:sz w:val="22"/>
          <w:szCs w:val="22"/>
          <w:lang w:val="sr-Latn-RS"/>
        </w:rPr>
        <w:t xml:space="preserve"> </w:t>
      </w:r>
      <w:r w:rsidR="00A70D1F" w:rsidRPr="00A70D1F">
        <w:rPr>
          <w:sz w:val="22"/>
          <w:szCs w:val="22"/>
          <w:lang w:val="sr-Latn-RS"/>
        </w:rPr>
        <w:t>(kumarinskih antikoagulan</w:t>
      </w:r>
      <w:r w:rsidR="00A70D1F">
        <w:rPr>
          <w:sz w:val="22"/>
          <w:szCs w:val="22"/>
          <w:lang w:val="sr-Latn-RS"/>
        </w:rPr>
        <w:t>a</w:t>
      </w:r>
      <w:r w:rsidR="00A70D1F" w:rsidRPr="00A70D1F">
        <w:rPr>
          <w:sz w:val="22"/>
          <w:szCs w:val="22"/>
          <w:lang w:val="sr-Latn-RS"/>
        </w:rPr>
        <w:t>sa)</w:t>
      </w:r>
      <w:r w:rsidRPr="006D4D25">
        <w:rPr>
          <w:sz w:val="22"/>
          <w:szCs w:val="22"/>
          <w:lang w:val="sr-Latn-RS"/>
        </w:rPr>
        <w:t xml:space="preserve">. Pacijente liječene </w:t>
      </w:r>
      <w:r w:rsidRPr="006D4D25">
        <w:rPr>
          <w:sz w:val="22"/>
          <w:szCs w:val="22"/>
          <w:lang w:val="sr-Latn-RS"/>
        </w:rPr>
        <w:lastRenderedPageBreak/>
        <w:t>oralnim antagonistima vitamina K trebalo bi stoga pažljivo pratiti u vrijeme početka ili završetka terapije glukozaminom.</w:t>
      </w:r>
    </w:p>
    <w:p w14:paraId="6AE28F54" w14:textId="77777777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</w:p>
    <w:p w14:paraId="10A17411" w14:textId="77777777" w:rsidR="009F41A6" w:rsidRPr="006D4D25" w:rsidRDefault="009F41A6" w:rsidP="009F41A6">
      <w:pPr>
        <w:pStyle w:val="BodyTextIndent2"/>
        <w:ind w:left="0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Istovremeno liječenje glukozaminom može povećati apsorpciju i serumsku koncentraciju tetraciklina, ali je klinički značaj ovih interakcija vjerovatno ograničen.</w:t>
      </w:r>
    </w:p>
    <w:p w14:paraId="1CEE6F0B" w14:textId="77777777" w:rsidR="009F41A6" w:rsidRPr="006D4D25" w:rsidRDefault="009F41A6" w:rsidP="009F41A6">
      <w:pPr>
        <w:pStyle w:val="BodyTextIndent2"/>
        <w:ind w:left="0"/>
        <w:rPr>
          <w:sz w:val="22"/>
          <w:szCs w:val="22"/>
          <w:lang w:val="sr-Latn-RS"/>
        </w:rPr>
      </w:pPr>
    </w:p>
    <w:p w14:paraId="0226BBB0" w14:textId="34B78543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Zbog ograničene dokumentacije o potencijalnim interakcijama glukozamina sa drugim ljekovima, uopšteno govoreći treba biti svjestan izm</w:t>
      </w:r>
      <w:r w:rsidR="00F52C03">
        <w:rPr>
          <w:sz w:val="22"/>
          <w:szCs w:val="22"/>
          <w:lang w:val="sr-Latn-RS"/>
        </w:rPr>
        <w:t>i</w:t>
      </w:r>
      <w:r w:rsidRPr="006D4D25">
        <w:rPr>
          <w:sz w:val="22"/>
          <w:szCs w:val="22"/>
          <w:lang w:val="sr-Latn-RS"/>
        </w:rPr>
        <w:t>jenjenog odgovora ili koncentracije istovremeno korišćenih ljekova.</w:t>
      </w:r>
    </w:p>
    <w:p w14:paraId="02784B2C" w14:textId="77777777" w:rsidR="009F41A6" w:rsidRPr="00786071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3A049A4" w14:textId="77777777" w:rsidR="0072020E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5735D32C" w14:textId="77777777" w:rsidR="002031B3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14:paraId="73EC76A4" w14:textId="77777777" w:rsidR="009F41A6" w:rsidRPr="006D4D25" w:rsidRDefault="009F41A6" w:rsidP="007D41C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6D4D25">
        <w:rPr>
          <w:sz w:val="22"/>
          <w:szCs w:val="22"/>
          <w:u w:val="single"/>
        </w:rPr>
        <w:t>Plodnost</w:t>
      </w:r>
    </w:p>
    <w:p w14:paraId="51906950" w14:textId="41D73B1F" w:rsidR="009F41A6" w:rsidRPr="006D4D25" w:rsidRDefault="009F41A6" w:rsidP="007D41CF">
      <w:pPr>
        <w:tabs>
          <w:tab w:val="left" w:pos="540"/>
          <w:tab w:val="left" w:pos="569"/>
        </w:tabs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Nema podataka o dejstvu </w:t>
      </w:r>
      <w:r w:rsidR="00F52C03">
        <w:rPr>
          <w:sz w:val="22"/>
          <w:szCs w:val="22"/>
          <w:lang w:val="sr-Latn-RS"/>
        </w:rPr>
        <w:t>glukozamin</w:t>
      </w:r>
      <w:r w:rsidRPr="006D4D25">
        <w:rPr>
          <w:sz w:val="22"/>
          <w:szCs w:val="22"/>
          <w:lang w:val="sr-Latn-RS"/>
        </w:rPr>
        <w:t>a na plodnost</w:t>
      </w:r>
    </w:p>
    <w:p w14:paraId="2C250618" w14:textId="77777777" w:rsidR="009F41A6" w:rsidRPr="006D4D25" w:rsidRDefault="009F41A6" w:rsidP="007D41C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23678D01" w14:textId="77777777" w:rsidR="009F41A6" w:rsidRPr="006D4D25" w:rsidRDefault="009F41A6" w:rsidP="007D41C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6D4D25">
        <w:rPr>
          <w:sz w:val="22"/>
          <w:szCs w:val="22"/>
          <w:u w:val="single"/>
        </w:rPr>
        <w:t>Trudnoća</w:t>
      </w:r>
    </w:p>
    <w:p w14:paraId="56992160" w14:textId="77777777" w:rsidR="009F41A6" w:rsidRPr="006D4D25" w:rsidRDefault="009F41A6" w:rsidP="007D41CF">
      <w:pPr>
        <w:pStyle w:val="BodyTextIndent2"/>
        <w:ind w:left="0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Nijesu dostupni adekvatni podaci o upotrebi glukozamina u trudnoći. Podaci iz studija na životinjama su nedovoljni. Glukozamin se ne smije koristiti tokom trudnoće. </w:t>
      </w:r>
    </w:p>
    <w:p w14:paraId="4BA23AB0" w14:textId="77777777" w:rsidR="009F41A6" w:rsidRPr="006D4D25" w:rsidRDefault="009F41A6" w:rsidP="007D41C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29B25179" w14:textId="77777777" w:rsidR="009F41A6" w:rsidRPr="006D4D25" w:rsidRDefault="009F41A6" w:rsidP="007D41C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6D4D25">
        <w:rPr>
          <w:sz w:val="22"/>
          <w:szCs w:val="22"/>
          <w:u w:val="single"/>
        </w:rPr>
        <w:t xml:space="preserve">Dojenje </w:t>
      </w:r>
    </w:p>
    <w:p w14:paraId="38EC5923" w14:textId="77777777" w:rsidR="009F41A6" w:rsidRPr="006D4D25" w:rsidRDefault="009F41A6" w:rsidP="007D41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97DD9F3" w14:textId="5E2466CF" w:rsidR="0072020E" w:rsidRPr="00786071" w:rsidRDefault="009F41A6" w:rsidP="007D41C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D4D25">
        <w:rPr>
          <w:sz w:val="22"/>
          <w:szCs w:val="22"/>
          <w:lang w:val="sr-Latn-RS"/>
        </w:rPr>
        <w:t>Nema informacija o izlučivanju glukozamina u majčino mlijeko. Zbog nedostatka podataka o bezbjednosti kod novorođenčadi, ne preporučuje se upotreba glukozamina tokom dojenja.</w:t>
      </w:r>
      <w:r w:rsidR="007A3ECB" w:rsidRPr="007A3ECB">
        <w:rPr>
          <w:sz w:val="22"/>
          <w:szCs w:val="22"/>
          <w:u w:val="single"/>
        </w:rPr>
        <w:t xml:space="preserve"> </w:t>
      </w:r>
    </w:p>
    <w:p w14:paraId="2C1F0E2E" w14:textId="77777777" w:rsidR="00227BDB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3E6FB874" w14:textId="77777777" w:rsidR="0072020E" w:rsidRPr="00786071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5F040764" w14:textId="0D761E05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654FF65" w14:textId="50AEA5D3" w:rsidR="009F41A6" w:rsidRPr="006D4D25" w:rsidRDefault="009F41A6" w:rsidP="007D41CF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Nijesu sprovedena ispitivanja o uticaju na sposobnost upravljanja vozilima i rukovanja mašinama. Ako dođe do vrtoglavice ili pospanosti, ne preporučuje se vožnja automobila </w:t>
      </w:r>
      <w:r w:rsidR="00DE009C">
        <w:rPr>
          <w:sz w:val="22"/>
          <w:szCs w:val="22"/>
          <w:lang w:val="sr-Latn-RS"/>
        </w:rPr>
        <w:t>nit</w:t>
      </w:r>
      <w:r w:rsidRPr="006D4D25">
        <w:rPr>
          <w:sz w:val="22"/>
          <w:szCs w:val="22"/>
          <w:lang w:val="sr-Latn-RS"/>
        </w:rPr>
        <w:t>i rukovanje mašinama.</w:t>
      </w:r>
    </w:p>
    <w:p w14:paraId="5697ED47" w14:textId="77777777" w:rsidR="009F41A6" w:rsidRPr="00786071" w:rsidRDefault="009F41A6" w:rsidP="009F41A6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89C6B95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63D80E51" w14:textId="178679AD" w:rsidR="004E70AD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D4C1C7B" w14:textId="5815F17D" w:rsidR="00DE009C" w:rsidRDefault="00DE009C" w:rsidP="009F41A6">
      <w:pPr>
        <w:jc w:val="both"/>
        <w:rPr>
          <w:sz w:val="22"/>
          <w:szCs w:val="22"/>
          <w:lang w:val="sr-Latn-RS"/>
        </w:rPr>
      </w:pPr>
      <w:r w:rsidRPr="00DE009C">
        <w:rPr>
          <w:sz w:val="22"/>
          <w:szCs w:val="22"/>
          <w:lang w:val="sr-Latn-RS"/>
        </w:rPr>
        <w:t>Sve neželjene reakcije su prikazane u tabeli ispod</w:t>
      </w:r>
      <w:r>
        <w:rPr>
          <w:sz w:val="22"/>
          <w:szCs w:val="22"/>
          <w:lang w:val="sr-Latn-RS"/>
        </w:rPr>
        <w:t>, prema sistenu organa MedDRA klasifikacije.</w:t>
      </w:r>
      <w:r w:rsidRPr="00DE009C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 xml:space="preserve">Neželjene reakcije se </w:t>
      </w:r>
      <w:r w:rsidRPr="00DE009C">
        <w:rPr>
          <w:sz w:val="22"/>
          <w:szCs w:val="22"/>
          <w:lang w:val="sr-Latn-RS"/>
        </w:rPr>
        <w:t>klasifikovane su po sistemu organa i učestalosti: veoma često (≥ 1/10), često (≥ 1/100 do &lt; 1/10), povremeno (≥ 1/1000 do &lt; 1/100), rijetko (≥ 1/10000 do &lt; 1/1000), veoma rijetko (</w:t>
      </w:r>
      <w:r>
        <w:rPr>
          <w:sz w:val="22"/>
          <w:szCs w:val="22"/>
        </w:rPr>
        <w:t xml:space="preserve">≤ </w:t>
      </w:r>
      <w:r w:rsidRPr="00DE009C">
        <w:rPr>
          <w:sz w:val="22"/>
          <w:szCs w:val="22"/>
          <w:lang w:val="sr-Latn-RS"/>
        </w:rPr>
        <w:t xml:space="preserve"> 1/10000) i nepoznato (ne može se proc</w:t>
      </w:r>
      <w:r w:rsidR="007D41CF">
        <w:rPr>
          <w:sz w:val="22"/>
          <w:szCs w:val="22"/>
          <w:lang w:val="sr-Latn-RS"/>
        </w:rPr>
        <w:t>i</w:t>
      </w:r>
      <w:r w:rsidRPr="00DE009C">
        <w:rPr>
          <w:sz w:val="22"/>
          <w:szCs w:val="22"/>
          <w:lang w:val="sr-Latn-RS"/>
        </w:rPr>
        <w:t>jeniti na osnovu dostupnih podataka). U okviru svake podjele po učestalosti, neželjena dejstva su prikazana po opadajućoj ozbiljnosti.</w:t>
      </w:r>
    </w:p>
    <w:p w14:paraId="533DC373" w14:textId="77777777" w:rsidR="00DE009C" w:rsidRDefault="00DE009C" w:rsidP="009F41A6">
      <w:pPr>
        <w:jc w:val="both"/>
        <w:rPr>
          <w:sz w:val="22"/>
          <w:szCs w:val="22"/>
          <w:lang w:val="sr-Latn-RS"/>
        </w:rPr>
      </w:pPr>
    </w:p>
    <w:p w14:paraId="3BB9F817" w14:textId="4494C890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Prijavljene </w:t>
      </w:r>
      <w:r w:rsidR="00DE009C">
        <w:rPr>
          <w:sz w:val="22"/>
          <w:szCs w:val="22"/>
          <w:lang w:val="sr-Latn-RS"/>
        </w:rPr>
        <w:t>neželjene reakcije</w:t>
      </w:r>
      <w:r w:rsidRPr="006D4D25">
        <w:rPr>
          <w:sz w:val="22"/>
          <w:szCs w:val="22"/>
          <w:lang w:val="sr-Latn-RS"/>
        </w:rPr>
        <w:t xml:space="preserve"> su obično blage i prolazne.</w:t>
      </w:r>
    </w:p>
    <w:p w14:paraId="686F66F7" w14:textId="77777777" w:rsidR="009F41A6" w:rsidRPr="006D4D25" w:rsidRDefault="009F41A6" w:rsidP="009F41A6">
      <w:pPr>
        <w:rPr>
          <w:sz w:val="22"/>
          <w:szCs w:val="22"/>
          <w:lang w:val="sr-Latn-R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2"/>
        <w:gridCol w:w="1944"/>
        <w:gridCol w:w="1771"/>
        <w:gridCol w:w="2425"/>
      </w:tblGrid>
      <w:tr w:rsidR="009F41A6" w:rsidRPr="00DB36A0" w14:paraId="6FB89847" w14:textId="77777777" w:rsidTr="00DB36A0">
        <w:tc>
          <w:tcPr>
            <w:tcW w:w="2472" w:type="dxa"/>
          </w:tcPr>
          <w:p w14:paraId="14CDFF0E" w14:textId="2FBD5ADE" w:rsidR="009F41A6" w:rsidRPr="00DB36A0" w:rsidRDefault="00DE009C" w:rsidP="00474943">
            <w:pPr>
              <w:rPr>
                <w:b/>
                <w:bCs/>
                <w:sz w:val="22"/>
                <w:szCs w:val="22"/>
                <w:lang w:val="sr-Latn-RS"/>
              </w:rPr>
            </w:pPr>
            <w:r w:rsidRPr="00DB36A0">
              <w:rPr>
                <w:b/>
                <w:bCs/>
                <w:sz w:val="22"/>
                <w:szCs w:val="22"/>
                <w:lang w:val="sr-Latn-RS"/>
              </w:rPr>
              <w:t>MedDRA klasifikacija sistema organa</w:t>
            </w:r>
          </w:p>
        </w:tc>
        <w:tc>
          <w:tcPr>
            <w:tcW w:w="1944" w:type="dxa"/>
          </w:tcPr>
          <w:p w14:paraId="3DBE7016" w14:textId="77777777" w:rsidR="009F41A6" w:rsidRPr="00DB36A0" w:rsidRDefault="009F41A6" w:rsidP="00474943">
            <w:pPr>
              <w:rPr>
                <w:b/>
                <w:bCs/>
                <w:sz w:val="22"/>
                <w:szCs w:val="22"/>
                <w:lang w:val="sr-Latn-RS"/>
              </w:rPr>
            </w:pPr>
            <w:r w:rsidRPr="00DB36A0">
              <w:rPr>
                <w:b/>
                <w:bCs/>
                <w:sz w:val="22"/>
                <w:szCs w:val="22"/>
                <w:lang w:val="sr-Latn-RS"/>
              </w:rPr>
              <w:t>Česta</w:t>
            </w:r>
          </w:p>
          <w:p w14:paraId="4DDED814" w14:textId="77777777" w:rsidR="009F41A6" w:rsidRPr="00DB36A0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DB36A0">
              <w:rPr>
                <w:sz w:val="22"/>
                <w:szCs w:val="22"/>
                <w:lang w:val="sr-Latn-RS"/>
              </w:rPr>
              <w:t>(≥1/100 do &lt;1/10)</w:t>
            </w:r>
          </w:p>
        </w:tc>
        <w:tc>
          <w:tcPr>
            <w:tcW w:w="1771" w:type="dxa"/>
          </w:tcPr>
          <w:p w14:paraId="79145A2B" w14:textId="59C9A34B" w:rsidR="009F41A6" w:rsidRPr="00DB36A0" w:rsidRDefault="00DB36A0" w:rsidP="00474943">
            <w:pPr>
              <w:rPr>
                <w:b/>
                <w:bCs/>
                <w:sz w:val="22"/>
                <w:szCs w:val="22"/>
                <w:lang w:val="sr-Latn-RS"/>
              </w:rPr>
            </w:pPr>
            <w:r>
              <w:rPr>
                <w:b/>
                <w:bCs/>
                <w:sz w:val="22"/>
                <w:szCs w:val="22"/>
                <w:lang w:val="sr-Latn-RS"/>
              </w:rPr>
              <w:t xml:space="preserve">Povremena </w:t>
            </w:r>
          </w:p>
          <w:p w14:paraId="1CD41AD6" w14:textId="77777777" w:rsidR="009F41A6" w:rsidRPr="00DB36A0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DB36A0">
              <w:rPr>
                <w:sz w:val="22"/>
                <w:szCs w:val="22"/>
                <w:lang w:val="sr-Latn-RS"/>
              </w:rPr>
              <w:t>(≥1/1,000 do ≤1/100)</w:t>
            </w:r>
          </w:p>
        </w:tc>
        <w:tc>
          <w:tcPr>
            <w:tcW w:w="2425" w:type="dxa"/>
          </w:tcPr>
          <w:p w14:paraId="58638C3C" w14:textId="77777777" w:rsidR="00DB36A0" w:rsidRDefault="009F41A6" w:rsidP="00DB36A0">
            <w:pPr>
              <w:rPr>
                <w:b/>
                <w:bCs/>
                <w:sz w:val="22"/>
                <w:szCs w:val="22"/>
                <w:lang w:val="sr-Latn-RS"/>
              </w:rPr>
            </w:pPr>
            <w:r w:rsidRPr="00DB36A0">
              <w:rPr>
                <w:b/>
                <w:bCs/>
                <w:sz w:val="22"/>
                <w:szCs w:val="22"/>
                <w:lang w:val="sr-Latn-RS"/>
              </w:rPr>
              <w:t>Nepoznat</w:t>
            </w:r>
            <w:r w:rsidR="00DB36A0">
              <w:rPr>
                <w:b/>
                <w:bCs/>
                <w:sz w:val="22"/>
                <w:szCs w:val="22"/>
                <w:lang w:val="sr-Latn-RS"/>
              </w:rPr>
              <w:t xml:space="preserve">o </w:t>
            </w:r>
          </w:p>
          <w:p w14:paraId="784421EC" w14:textId="5CDE1F7A" w:rsidR="009F41A6" w:rsidRDefault="009F41A6" w:rsidP="00DB36A0">
            <w:pPr>
              <w:rPr>
                <w:b/>
                <w:bCs/>
                <w:sz w:val="22"/>
                <w:szCs w:val="22"/>
                <w:lang w:val="sr-Latn-RS"/>
              </w:rPr>
            </w:pPr>
            <w:r w:rsidRPr="00DB36A0">
              <w:rPr>
                <w:b/>
                <w:bCs/>
                <w:sz w:val="22"/>
                <w:szCs w:val="22"/>
                <w:lang w:val="sr-Latn-RS"/>
              </w:rPr>
              <w:t>(ne može se</w:t>
            </w:r>
            <w:r w:rsidR="00DB36A0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DB36A0">
              <w:rPr>
                <w:b/>
                <w:bCs/>
                <w:sz w:val="22"/>
                <w:szCs w:val="22"/>
                <w:lang w:val="sr-Latn-RS"/>
              </w:rPr>
              <w:t>proc</w:t>
            </w:r>
            <w:r w:rsidR="007D41CF">
              <w:rPr>
                <w:b/>
                <w:bCs/>
                <w:sz w:val="22"/>
                <w:szCs w:val="22"/>
                <w:lang w:val="sr-Latn-RS"/>
              </w:rPr>
              <w:t>i</w:t>
            </w:r>
            <w:r w:rsidRPr="00DB36A0">
              <w:rPr>
                <w:b/>
                <w:bCs/>
                <w:sz w:val="22"/>
                <w:szCs w:val="22"/>
                <w:lang w:val="sr-Latn-RS"/>
              </w:rPr>
              <w:t>jeniti iz dostupnih</w:t>
            </w:r>
            <w:r w:rsidR="00DB36A0"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  <w:r w:rsidRPr="00DB36A0">
              <w:rPr>
                <w:b/>
                <w:bCs/>
                <w:sz w:val="22"/>
                <w:szCs w:val="22"/>
                <w:lang w:val="sr-Latn-RS"/>
              </w:rPr>
              <w:t>podataka)</w:t>
            </w:r>
          </w:p>
          <w:p w14:paraId="3F45B189" w14:textId="343F3795" w:rsidR="00DB36A0" w:rsidRPr="00DB36A0" w:rsidRDefault="00DB36A0" w:rsidP="00DB36A0">
            <w:pPr>
              <w:rPr>
                <w:b/>
                <w:bCs/>
                <w:sz w:val="22"/>
                <w:szCs w:val="22"/>
                <w:lang w:val="sr-Latn-RS"/>
              </w:rPr>
            </w:pPr>
          </w:p>
        </w:tc>
      </w:tr>
      <w:tr w:rsidR="00DB36A0" w:rsidRPr="006D4D25" w14:paraId="5E8363C6" w14:textId="77777777" w:rsidTr="00284A40">
        <w:tc>
          <w:tcPr>
            <w:tcW w:w="2472" w:type="dxa"/>
          </w:tcPr>
          <w:p w14:paraId="39264C8D" w14:textId="2DC57C81" w:rsidR="00DB36A0" w:rsidRPr="006D4D25" w:rsidRDefault="006D2EEF" w:rsidP="00284A40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Imunološki poremećaji</w:t>
            </w:r>
          </w:p>
        </w:tc>
        <w:tc>
          <w:tcPr>
            <w:tcW w:w="1944" w:type="dxa"/>
          </w:tcPr>
          <w:p w14:paraId="5A1C3AE4" w14:textId="5EC4FEC4" w:rsidR="00DB36A0" w:rsidRPr="006D4D25" w:rsidRDefault="00DB36A0" w:rsidP="00284A40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771" w:type="dxa"/>
          </w:tcPr>
          <w:p w14:paraId="080C158C" w14:textId="77777777" w:rsidR="00DB36A0" w:rsidRPr="006D4D25" w:rsidRDefault="00DB36A0" w:rsidP="00284A40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425" w:type="dxa"/>
          </w:tcPr>
          <w:p w14:paraId="52A351BB" w14:textId="43125364" w:rsidR="00DB36A0" w:rsidRPr="006D4D25" w:rsidRDefault="006D2EEF" w:rsidP="00284A40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Alergijske reakcije (hipersenzibilnost)</w:t>
            </w:r>
          </w:p>
        </w:tc>
      </w:tr>
      <w:tr w:rsidR="009F41A6" w:rsidRPr="006D4D25" w14:paraId="639F2773" w14:textId="77777777" w:rsidTr="00DB36A0">
        <w:tc>
          <w:tcPr>
            <w:tcW w:w="2472" w:type="dxa"/>
          </w:tcPr>
          <w:p w14:paraId="17B6CEE3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Poremećaji nervnog sistema</w:t>
            </w:r>
          </w:p>
        </w:tc>
        <w:tc>
          <w:tcPr>
            <w:tcW w:w="1944" w:type="dxa"/>
          </w:tcPr>
          <w:p w14:paraId="30F12839" w14:textId="47FFFEC1" w:rsidR="009F41A6" w:rsidRPr="006D4D25" w:rsidRDefault="009F41A6" w:rsidP="006D2EEF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Glavobolja</w:t>
            </w:r>
            <w:r w:rsidR="006D2EEF">
              <w:rPr>
                <w:sz w:val="22"/>
                <w:szCs w:val="22"/>
                <w:lang w:val="sr-Latn-RS"/>
              </w:rPr>
              <w:t>, u</w:t>
            </w:r>
            <w:r w:rsidRPr="006D4D25">
              <w:rPr>
                <w:sz w:val="22"/>
                <w:szCs w:val="22"/>
                <w:lang w:val="sr-Latn-RS"/>
              </w:rPr>
              <w:t>mor</w:t>
            </w:r>
          </w:p>
        </w:tc>
        <w:tc>
          <w:tcPr>
            <w:tcW w:w="1771" w:type="dxa"/>
          </w:tcPr>
          <w:p w14:paraId="2EA0EC19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425" w:type="dxa"/>
          </w:tcPr>
          <w:p w14:paraId="6E8E494E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Vrtoglavica</w:t>
            </w:r>
          </w:p>
        </w:tc>
      </w:tr>
      <w:tr w:rsidR="009F41A6" w:rsidRPr="006D4D25" w14:paraId="28F26681" w14:textId="77777777" w:rsidTr="00DB36A0">
        <w:tc>
          <w:tcPr>
            <w:tcW w:w="2472" w:type="dxa"/>
          </w:tcPr>
          <w:p w14:paraId="6BB95931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DB36A0">
              <w:rPr>
                <w:sz w:val="22"/>
                <w:szCs w:val="22"/>
                <w:lang w:val="sr-Latn-RS"/>
              </w:rPr>
              <w:t>Respiratorni, torakalni i medijastinalni poremećaji</w:t>
            </w:r>
          </w:p>
        </w:tc>
        <w:tc>
          <w:tcPr>
            <w:tcW w:w="1944" w:type="dxa"/>
          </w:tcPr>
          <w:p w14:paraId="409F94A7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771" w:type="dxa"/>
          </w:tcPr>
          <w:p w14:paraId="45169B37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425" w:type="dxa"/>
          </w:tcPr>
          <w:p w14:paraId="0F4D70F0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 w:eastAsia="en-GB"/>
              </w:rPr>
              <w:t>Astma i pogoršanje postojeće astme</w:t>
            </w:r>
          </w:p>
        </w:tc>
      </w:tr>
      <w:tr w:rsidR="009F41A6" w:rsidRPr="006D4D25" w14:paraId="363ABFEF" w14:textId="77777777" w:rsidTr="00DB36A0">
        <w:tc>
          <w:tcPr>
            <w:tcW w:w="2472" w:type="dxa"/>
          </w:tcPr>
          <w:p w14:paraId="765328FE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Gastrointestinalni poremećaji</w:t>
            </w:r>
          </w:p>
        </w:tc>
        <w:tc>
          <w:tcPr>
            <w:tcW w:w="1944" w:type="dxa"/>
          </w:tcPr>
          <w:p w14:paraId="0FDB5559" w14:textId="1D19632C" w:rsidR="009F41A6" w:rsidRPr="006D4D25" w:rsidRDefault="00ED1875" w:rsidP="006D2EEF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Nauze</w:t>
            </w:r>
            <w:r w:rsidR="007D41CF">
              <w:rPr>
                <w:sz w:val="22"/>
                <w:szCs w:val="22"/>
                <w:lang w:val="sr-Latn-RS"/>
              </w:rPr>
              <w:t>j</w:t>
            </w:r>
            <w:r>
              <w:rPr>
                <w:sz w:val="22"/>
                <w:szCs w:val="22"/>
                <w:lang w:val="sr-Latn-RS"/>
              </w:rPr>
              <w:t>a</w:t>
            </w:r>
            <w:r w:rsidR="006D2EEF">
              <w:rPr>
                <w:sz w:val="22"/>
                <w:szCs w:val="22"/>
                <w:lang w:val="sr-Latn-RS"/>
              </w:rPr>
              <w:t xml:space="preserve">, </w:t>
            </w:r>
            <w:r>
              <w:rPr>
                <w:sz w:val="22"/>
                <w:szCs w:val="22"/>
                <w:lang w:val="sr-Latn-RS"/>
              </w:rPr>
              <w:t>abdominalni bol</w:t>
            </w:r>
            <w:r w:rsidR="006D2EEF">
              <w:rPr>
                <w:sz w:val="22"/>
                <w:szCs w:val="22"/>
                <w:lang w:val="sr-Latn-RS"/>
              </w:rPr>
              <w:t>, dispepsija, d</w:t>
            </w:r>
            <w:r w:rsidR="009F41A6" w:rsidRPr="006D4D25">
              <w:rPr>
                <w:sz w:val="22"/>
                <w:szCs w:val="22"/>
                <w:lang w:val="sr-Latn-RS"/>
              </w:rPr>
              <w:t>ijareja</w:t>
            </w:r>
            <w:r w:rsidR="006D2EEF">
              <w:rPr>
                <w:sz w:val="22"/>
                <w:szCs w:val="22"/>
                <w:lang w:val="sr-Latn-RS"/>
              </w:rPr>
              <w:t xml:space="preserve">, konstipacija </w:t>
            </w:r>
          </w:p>
        </w:tc>
        <w:tc>
          <w:tcPr>
            <w:tcW w:w="1771" w:type="dxa"/>
          </w:tcPr>
          <w:p w14:paraId="6C65F4C5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Povraćanje</w:t>
            </w:r>
          </w:p>
        </w:tc>
        <w:tc>
          <w:tcPr>
            <w:tcW w:w="2425" w:type="dxa"/>
          </w:tcPr>
          <w:p w14:paraId="1E6C27AC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</w:tr>
      <w:tr w:rsidR="009F41A6" w:rsidRPr="006D4D25" w14:paraId="46D20E49" w14:textId="77777777" w:rsidTr="00DB36A0">
        <w:tc>
          <w:tcPr>
            <w:tcW w:w="2472" w:type="dxa"/>
          </w:tcPr>
          <w:p w14:paraId="06E2147C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Poremećaji kože i potkožnog tkiva</w:t>
            </w:r>
          </w:p>
        </w:tc>
        <w:tc>
          <w:tcPr>
            <w:tcW w:w="1944" w:type="dxa"/>
          </w:tcPr>
          <w:p w14:paraId="2A3898AA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771" w:type="dxa"/>
          </w:tcPr>
          <w:p w14:paraId="7A82D25E" w14:textId="16D880BF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Osip,</w:t>
            </w:r>
            <w:r w:rsidR="006D2EEF">
              <w:rPr>
                <w:sz w:val="22"/>
                <w:szCs w:val="22"/>
                <w:lang w:val="sr-Latn-RS"/>
              </w:rPr>
              <w:t xml:space="preserve"> s</w:t>
            </w:r>
            <w:r w:rsidRPr="006D4D25">
              <w:rPr>
                <w:sz w:val="22"/>
                <w:szCs w:val="22"/>
                <w:lang w:val="sr-Latn-RS"/>
              </w:rPr>
              <w:t>vrab,</w:t>
            </w:r>
          </w:p>
          <w:p w14:paraId="07CD6B12" w14:textId="6199FCCD" w:rsidR="009F41A6" w:rsidRPr="006D4D25" w:rsidRDefault="006D2EEF" w:rsidP="00474943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c</w:t>
            </w:r>
            <w:r w:rsidR="009F41A6" w:rsidRPr="006D4D25">
              <w:rPr>
                <w:sz w:val="22"/>
                <w:szCs w:val="22"/>
                <w:lang w:val="sr-Latn-RS"/>
              </w:rPr>
              <w:t>rvenilo kože</w:t>
            </w:r>
          </w:p>
        </w:tc>
        <w:tc>
          <w:tcPr>
            <w:tcW w:w="2425" w:type="dxa"/>
          </w:tcPr>
          <w:p w14:paraId="54B88BA5" w14:textId="07078038" w:rsidR="009F41A6" w:rsidRPr="006D4D25" w:rsidRDefault="009F41A6" w:rsidP="006D2EEF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Angioedem</w:t>
            </w:r>
            <w:r w:rsidR="006D2EEF">
              <w:rPr>
                <w:sz w:val="22"/>
                <w:szCs w:val="22"/>
                <w:lang w:val="sr-Latn-RS"/>
              </w:rPr>
              <w:t>, u</w:t>
            </w:r>
            <w:r w:rsidRPr="006D4D25">
              <w:rPr>
                <w:sz w:val="22"/>
                <w:szCs w:val="22"/>
                <w:lang w:val="sr-Latn-RS"/>
              </w:rPr>
              <w:t>rtikarija</w:t>
            </w:r>
          </w:p>
        </w:tc>
      </w:tr>
      <w:tr w:rsidR="009F41A6" w:rsidRPr="006D4D25" w14:paraId="0EA73462" w14:textId="77777777" w:rsidTr="00DB36A0">
        <w:tc>
          <w:tcPr>
            <w:tcW w:w="2472" w:type="dxa"/>
          </w:tcPr>
          <w:p w14:paraId="037ADC17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DB36A0">
              <w:rPr>
                <w:sz w:val="22"/>
                <w:szCs w:val="22"/>
                <w:lang w:val="sr-Latn-RS"/>
              </w:rPr>
              <w:lastRenderedPageBreak/>
              <w:t>Poremećaji metabolizma i ishrane</w:t>
            </w:r>
            <w:r w:rsidRPr="006D4D25">
              <w:rPr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944" w:type="dxa"/>
          </w:tcPr>
          <w:p w14:paraId="1B5A2278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771" w:type="dxa"/>
          </w:tcPr>
          <w:p w14:paraId="6BE90D57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425" w:type="dxa"/>
          </w:tcPr>
          <w:p w14:paraId="479A89D9" w14:textId="389E0771" w:rsidR="009F41A6" w:rsidRPr="006D4D25" w:rsidRDefault="009F41A6" w:rsidP="006D2EEF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Neadekvatna kontrola dijabetes melitusa</w:t>
            </w:r>
            <w:r w:rsidR="006D2EEF">
              <w:rPr>
                <w:sz w:val="22"/>
                <w:szCs w:val="22"/>
                <w:lang w:val="sr-Latn-RS"/>
              </w:rPr>
              <w:t>, h</w:t>
            </w:r>
            <w:r w:rsidRPr="006D4D25">
              <w:rPr>
                <w:sz w:val="22"/>
                <w:szCs w:val="22"/>
                <w:lang w:val="sr-Latn-RS"/>
              </w:rPr>
              <w:t>iperholesterolemija</w:t>
            </w:r>
          </w:p>
        </w:tc>
      </w:tr>
      <w:tr w:rsidR="009F41A6" w:rsidRPr="006D4D25" w14:paraId="3690A67D" w14:textId="77777777" w:rsidTr="00DB36A0">
        <w:tc>
          <w:tcPr>
            <w:tcW w:w="2472" w:type="dxa"/>
          </w:tcPr>
          <w:p w14:paraId="3F915251" w14:textId="71F1AFA6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 xml:space="preserve">Opšti poremećaji i </w:t>
            </w:r>
            <w:r w:rsidR="00DE009C">
              <w:rPr>
                <w:sz w:val="22"/>
                <w:szCs w:val="22"/>
                <w:lang w:val="sr-Latn-RS"/>
              </w:rPr>
              <w:t>reakcije</w:t>
            </w:r>
            <w:r w:rsidRPr="006D4D25">
              <w:rPr>
                <w:sz w:val="22"/>
                <w:szCs w:val="22"/>
                <w:lang w:val="sr-Latn-RS"/>
              </w:rPr>
              <w:t xml:space="preserve"> na mjestu primjene</w:t>
            </w:r>
          </w:p>
        </w:tc>
        <w:tc>
          <w:tcPr>
            <w:tcW w:w="1944" w:type="dxa"/>
          </w:tcPr>
          <w:p w14:paraId="450FC88A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771" w:type="dxa"/>
          </w:tcPr>
          <w:p w14:paraId="098D2B2E" w14:textId="77777777" w:rsidR="009F41A6" w:rsidRPr="006D4D25" w:rsidRDefault="009F41A6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425" w:type="dxa"/>
          </w:tcPr>
          <w:p w14:paraId="28469361" w14:textId="52349F87" w:rsidR="009F41A6" w:rsidRPr="006D4D25" w:rsidRDefault="009F41A6" w:rsidP="006D2EEF">
            <w:pPr>
              <w:rPr>
                <w:sz w:val="22"/>
                <w:szCs w:val="22"/>
                <w:lang w:val="sr-Latn-RS"/>
              </w:rPr>
            </w:pPr>
            <w:r w:rsidRPr="006D4D25">
              <w:rPr>
                <w:sz w:val="22"/>
                <w:szCs w:val="22"/>
                <w:lang w:val="sr-Latn-RS"/>
              </w:rPr>
              <w:t>Edem</w:t>
            </w:r>
            <w:r w:rsidR="006D2EEF">
              <w:rPr>
                <w:sz w:val="22"/>
                <w:szCs w:val="22"/>
                <w:lang w:val="sr-Latn-RS"/>
              </w:rPr>
              <w:t>, p</w:t>
            </w:r>
            <w:r w:rsidRPr="006D4D25">
              <w:rPr>
                <w:sz w:val="22"/>
                <w:szCs w:val="22"/>
                <w:lang w:val="sr-Latn-RS"/>
              </w:rPr>
              <w:t>eriferni edem</w:t>
            </w:r>
          </w:p>
        </w:tc>
      </w:tr>
      <w:tr w:rsidR="00ED1875" w:rsidRPr="006D4D25" w14:paraId="0FE6E94C" w14:textId="77777777" w:rsidTr="00DB36A0">
        <w:tc>
          <w:tcPr>
            <w:tcW w:w="2472" w:type="dxa"/>
          </w:tcPr>
          <w:p w14:paraId="259B1BB1" w14:textId="2890CBD2" w:rsidR="00ED1875" w:rsidRPr="006D4D25" w:rsidRDefault="00ED1875" w:rsidP="00474943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Hepatobilijarni poremećaji</w:t>
            </w:r>
          </w:p>
        </w:tc>
        <w:tc>
          <w:tcPr>
            <w:tcW w:w="1944" w:type="dxa"/>
          </w:tcPr>
          <w:p w14:paraId="4A820C5F" w14:textId="77777777" w:rsidR="00ED1875" w:rsidRPr="006D4D25" w:rsidRDefault="00ED1875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1771" w:type="dxa"/>
          </w:tcPr>
          <w:p w14:paraId="7A2185C1" w14:textId="77777777" w:rsidR="00ED1875" w:rsidRPr="006D4D25" w:rsidRDefault="00ED1875" w:rsidP="00474943">
            <w:pPr>
              <w:rPr>
                <w:sz w:val="22"/>
                <w:szCs w:val="22"/>
                <w:lang w:val="sr-Latn-RS"/>
              </w:rPr>
            </w:pPr>
          </w:p>
        </w:tc>
        <w:tc>
          <w:tcPr>
            <w:tcW w:w="2425" w:type="dxa"/>
          </w:tcPr>
          <w:p w14:paraId="731536DE" w14:textId="2197142C" w:rsidR="00ED1875" w:rsidRPr="006D4D25" w:rsidRDefault="00ED1875" w:rsidP="006D2EEF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Povišen nivo enzima jetre, ikterus</w:t>
            </w:r>
          </w:p>
        </w:tc>
      </w:tr>
    </w:tbl>
    <w:p w14:paraId="664FD05E" w14:textId="77777777" w:rsidR="009F41A6" w:rsidRPr="006D4D25" w:rsidRDefault="009F41A6" w:rsidP="009F41A6">
      <w:pPr>
        <w:rPr>
          <w:noProof/>
          <w:sz w:val="22"/>
          <w:szCs w:val="22"/>
          <w:u w:val="single"/>
          <w:lang w:val="hr-HR"/>
        </w:rPr>
      </w:pPr>
    </w:p>
    <w:p w14:paraId="1EF98084" w14:textId="77777777" w:rsidR="009F41A6" w:rsidRPr="006D4D25" w:rsidRDefault="009F41A6" w:rsidP="009F41A6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2AA156F" w14:textId="10B5C7C6" w:rsidR="005A23D2" w:rsidRPr="0078607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020545A1" w14:textId="77777777" w:rsidR="005A23D2" w:rsidRPr="00786071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1F4CE02C" w14:textId="77777777" w:rsidR="005A23D2" w:rsidRPr="00786071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6340B1AE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43ED4BCF" w14:textId="77777777" w:rsidR="00EA5765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18217C0" w14:textId="77777777" w:rsidR="00EA5765" w:rsidRPr="00786071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14:paraId="76D5C22A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0186C5EA" w14:textId="77777777" w:rsidR="00EA5765" w:rsidRPr="00786071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2A635C61" w14:textId="77777777" w:rsidR="005A23D2" w:rsidRPr="00786071" w:rsidRDefault="00AC40FE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40DBBBD2" w14:textId="77777777" w:rsidR="00EA5765" w:rsidRPr="00786071" w:rsidRDefault="00AC40FE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48C150AD" w14:textId="77777777" w:rsidR="005A23D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3B40D5DD" w14:textId="77777777" w:rsidR="007E31E9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41595108" w14:textId="77777777" w:rsidR="007E31E9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A868044" w14:textId="77777777" w:rsidR="004F17E2" w:rsidRPr="00786071" w:rsidRDefault="007E31E9" w:rsidP="007E31E9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374BEFFF" wp14:editId="7742EC5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7ACF" w14:textId="77777777" w:rsidR="00836B35" w:rsidRPr="00786071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BBB2353" w14:textId="77777777" w:rsidR="00CD6F02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554715F8" w14:textId="77777777" w:rsidR="00CD6F02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322BDD0" w14:textId="0E5228F4" w:rsidR="00227BDB" w:rsidRDefault="00ED1875" w:rsidP="00ED1875">
      <w:pPr>
        <w:jc w:val="both"/>
        <w:rPr>
          <w:color w:val="333333"/>
          <w:lang w:val="sr-Latn-RS"/>
        </w:rPr>
      </w:pPr>
      <w:r w:rsidRPr="00ED1875">
        <w:rPr>
          <w:sz w:val="22"/>
          <w:szCs w:val="22"/>
          <w:lang w:val="sr-Latn-RS"/>
        </w:rPr>
        <w:t>Nisu poznati slučajevi slučajnog ili nam</w:t>
      </w:r>
      <w:r>
        <w:rPr>
          <w:sz w:val="22"/>
          <w:szCs w:val="22"/>
          <w:lang w:val="sr-Latn-RS"/>
        </w:rPr>
        <w:t>j</w:t>
      </w:r>
      <w:r w:rsidRPr="00ED1875">
        <w:rPr>
          <w:sz w:val="22"/>
          <w:szCs w:val="22"/>
          <w:lang w:val="sr-Latn-RS"/>
        </w:rPr>
        <w:t>ernog predoziranja. Na osnovu akutne i hronične toksičnosti testirane na životinjama, pojava simptoma toksičnosti je malo v</w:t>
      </w:r>
      <w:r>
        <w:rPr>
          <w:sz w:val="22"/>
          <w:szCs w:val="22"/>
          <w:lang w:val="sr-Latn-RS"/>
        </w:rPr>
        <w:t>j</w:t>
      </w:r>
      <w:r w:rsidRPr="00ED1875">
        <w:rPr>
          <w:sz w:val="22"/>
          <w:szCs w:val="22"/>
          <w:lang w:val="sr-Latn-RS"/>
        </w:rPr>
        <w:t>erovatna čak i pri pojedinačnim dozama koje su do 117 puta veće od preporučene terapijske doze</w:t>
      </w:r>
      <w:r>
        <w:rPr>
          <w:sz w:val="22"/>
          <w:szCs w:val="22"/>
          <w:lang w:val="sr-Latn-RS"/>
        </w:rPr>
        <w:t xml:space="preserve">. </w:t>
      </w:r>
      <w:r w:rsidR="009F41A6" w:rsidRPr="006D4D25">
        <w:rPr>
          <w:lang w:val="sr-Latn-RS"/>
        </w:rPr>
        <w:t>U slučaju predoziranja, liječenje glukozaminom treba prekinuti i preduzeti potrebne mjere</w:t>
      </w:r>
      <w:r w:rsidR="009F41A6" w:rsidRPr="006D4D25">
        <w:rPr>
          <w:color w:val="333333"/>
          <w:lang w:val="sr-Latn-RS"/>
        </w:rPr>
        <w:t>.</w:t>
      </w:r>
    </w:p>
    <w:p w14:paraId="1A0F7003" w14:textId="571B4DC7" w:rsidR="009F41A6" w:rsidRDefault="009F41A6" w:rsidP="009F41A6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D83AC1A" w14:textId="77777777" w:rsidR="00F864CA" w:rsidRPr="00786071" w:rsidRDefault="00F864CA" w:rsidP="009F41A6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6D88B90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3C6ED33A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2AA2F97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55F06D53" w14:textId="77777777" w:rsidR="00F45F77" w:rsidRPr="00786071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95C5CFC" w14:textId="1B138DA6" w:rsidR="009F41A6" w:rsidRPr="006D4D25" w:rsidRDefault="0072020E" w:rsidP="009F41A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</w:t>
      </w:r>
      <w:r w:rsidR="005550D0">
        <w:rPr>
          <w:bCs/>
          <w:sz w:val="22"/>
          <w:szCs w:val="22"/>
        </w:rPr>
        <w:t xml:space="preserve"> </w:t>
      </w:r>
      <w:r w:rsidRPr="00786071">
        <w:rPr>
          <w:bCs/>
          <w:sz w:val="22"/>
          <w:szCs w:val="22"/>
        </w:rPr>
        <w:t>grupa:</w:t>
      </w:r>
      <w:r w:rsidR="009F41A6">
        <w:rPr>
          <w:bCs/>
          <w:sz w:val="22"/>
          <w:szCs w:val="22"/>
        </w:rPr>
        <w:t xml:space="preserve"> </w:t>
      </w:r>
      <w:r w:rsidR="00633625" w:rsidRPr="00633625">
        <w:rPr>
          <w:sz w:val="22"/>
          <w:szCs w:val="22"/>
          <w:lang w:val="sr-Latn-RS"/>
        </w:rPr>
        <w:t>Antiinflamatorni i antireumatski proizvodi,</w:t>
      </w:r>
      <w:r w:rsidR="00633625">
        <w:rPr>
          <w:sz w:val="22"/>
          <w:szCs w:val="22"/>
          <w:lang w:val="sr-Latn-RS"/>
        </w:rPr>
        <w:t xml:space="preserve"> o</w:t>
      </w:r>
      <w:r w:rsidR="009F41A6" w:rsidRPr="006D4D25">
        <w:rPr>
          <w:sz w:val="22"/>
          <w:szCs w:val="22"/>
          <w:lang w:val="sr-Latn-RS"/>
        </w:rPr>
        <w:t>stali nesteroidni antiinflamatorni i antireumatski ljekovi.</w:t>
      </w:r>
    </w:p>
    <w:p w14:paraId="034B9DDF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6F430C8" w14:textId="5F177262" w:rsidR="0072020E" w:rsidRDefault="0072020E" w:rsidP="00480FB1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786071">
        <w:rPr>
          <w:bCs/>
          <w:sz w:val="22"/>
          <w:szCs w:val="22"/>
        </w:rPr>
        <w:t>ATC kod:</w:t>
      </w:r>
      <w:r w:rsidR="009F41A6">
        <w:rPr>
          <w:bCs/>
          <w:sz w:val="22"/>
          <w:szCs w:val="22"/>
        </w:rPr>
        <w:t xml:space="preserve"> </w:t>
      </w:r>
      <w:r w:rsidR="009F41A6" w:rsidRPr="006D4D25">
        <w:rPr>
          <w:sz w:val="22"/>
          <w:szCs w:val="22"/>
          <w:lang w:val="sr-Latn-RS"/>
        </w:rPr>
        <w:t>M01AX05</w:t>
      </w:r>
    </w:p>
    <w:p w14:paraId="218C0C2B" w14:textId="14BB9D0C" w:rsidR="009F41A6" w:rsidRDefault="009F41A6" w:rsidP="00480FB1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</w:p>
    <w:p w14:paraId="2E594F7C" w14:textId="77777777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Glukozamin je endogena supstanca, normalni gradivni blok polisaharidnih lanaca u matrici hrskavice i glikozaminoglikana u sinovijalnoj tečnosti. </w:t>
      </w:r>
      <w:r w:rsidRPr="006D4D25">
        <w:rPr>
          <w:i/>
          <w:sz w:val="22"/>
          <w:szCs w:val="22"/>
          <w:lang w:val="sr-Latn-RS"/>
        </w:rPr>
        <w:t>In vitro</w:t>
      </w:r>
      <w:r w:rsidRPr="006D4D25">
        <w:rPr>
          <w:sz w:val="22"/>
          <w:szCs w:val="22"/>
          <w:lang w:val="sr-Latn-RS"/>
        </w:rPr>
        <w:t xml:space="preserve"> studije su pokazale da glukozamin preko hondrocita stimuliše sintezu fizioloških glikozaminoglikana i proteoglikana i sintezu hijaluronske kisjeline putem sinoviocita.</w:t>
      </w:r>
    </w:p>
    <w:p w14:paraId="334B2509" w14:textId="77777777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</w:p>
    <w:p w14:paraId="7C849D83" w14:textId="31FD20F9" w:rsidR="009F41A6" w:rsidRPr="00786071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6D4D25">
        <w:rPr>
          <w:sz w:val="22"/>
          <w:szCs w:val="22"/>
          <w:lang w:val="sr-Latn-RS"/>
        </w:rPr>
        <w:lastRenderedPageBreak/>
        <w:t>Mehanizam djelovanja glukozamina kod ljudi je nepoznat. Vrijeme početka djelovanja nije moguće proc</w:t>
      </w:r>
      <w:r w:rsidR="00633625">
        <w:rPr>
          <w:sz w:val="22"/>
          <w:szCs w:val="22"/>
          <w:lang w:val="sr-Latn-RS"/>
        </w:rPr>
        <w:t>i</w:t>
      </w:r>
      <w:r w:rsidRPr="006D4D25">
        <w:rPr>
          <w:sz w:val="22"/>
          <w:szCs w:val="22"/>
          <w:lang w:val="sr-Latn-RS"/>
        </w:rPr>
        <w:t>jeniti</w:t>
      </w:r>
      <w:r w:rsidRPr="006D4D25">
        <w:rPr>
          <w:color w:val="000000"/>
          <w:sz w:val="22"/>
          <w:szCs w:val="22"/>
          <w:shd w:val="clear" w:color="auto" w:fill="FFFFFF"/>
          <w:lang w:val="sr-Latn-RS" w:eastAsia="sl-SI"/>
        </w:rPr>
        <w:t>.</w:t>
      </w:r>
    </w:p>
    <w:p w14:paraId="7F171D00" w14:textId="61AB63FB" w:rsidR="00633625" w:rsidRDefault="0063362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E0D3874" w14:textId="2210F1C0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3C3B9E78" w14:textId="77D96278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2B3D07F" w14:textId="7C297499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Glukozamin je relativno mali molekul (molekulska masa 179), koji je </w:t>
      </w:r>
      <w:r w:rsidR="00633625">
        <w:rPr>
          <w:sz w:val="22"/>
          <w:szCs w:val="22"/>
          <w:lang w:val="sr-Latn-RS"/>
        </w:rPr>
        <w:t>lako</w:t>
      </w:r>
      <w:r w:rsidRPr="006D4D25">
        <w:rPr>
          <w:sz w:val="22"/>
          <w:szCs w:val="22"/>
          <w:lang w:val="sr-Latn-RS"/>
        </w:rPr>
        <w:t xml:space="preserve"> rastvorljiv u vodi i u hidrofilnim organskim rastvaračima.</w:t>
      </w:r>
    </w:p>
    <w:p w14:paraId="07526BC3" w14:textId="77777777" w:rsidR="009F41A6" w:rsidRPr="006D4D25" w:rsidRDefault="009F41A6" w:rsidP="009F41A6">
      <w:pPr>
        <w:tabs>
          <w:tab w:val="left" w:pos="1110"/>
        </w:tabs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ab/>
      </w:r>
    </w:p>
    <w:p w14:paraId="7FFCC039" w14:textId="5D6B01E6" w:rsidR="009F41A6" w:rsidRPr="006D4D25" w:rsidRDefault="009F41A6" w:rsidP="009F41A6">
      <w:pPr>
        <w:jc w:val="both"/>
        <w:rPr>
          <w:color w:val="000000"/>
          <w:sz w:val="22"/>
          <w:szCs w:val="22"/>
          <w:shd w:val="clear" w:color="auto" w:fill="FFFFFF"/>
          <w:lang w:val="sr-Latn-RS"/>
        </w:rPr>
      </w:pPr>
      <w:r w:rsidRPr="006D4D25">
        <w:rPr>
          <w:sz w:val="22"/>
          <w:szCs w:val="22"/>
          <w:lang w:val="sr-Latn-RS"/>
        </w:rPr>
        <w:t>Dostupni podaci o farmakokinetičkim svojst</w:t>
      </w:r>
      <w:r>
        <w:rPr>
          <w:sz w:val="22"/>
          <w:szCs w:val="22"/>
          <w:lang w:val="sr-Latn-RS"/>
        </w:rPr>
        <w:t xml:space="preserve">vima glukozamina su ograničeni. </w:t>
      </w:r>
      <w:r w:rsidRPr="006D4D25">
        <w:rPr>
          <w:sz w:val="22"/>
          <w:szCs w:val="22"/>
          <w:lang w:val="sr-Latn-RS"/>
        </w:rPr>
        <w:t>Apsolutna bioraspoloživost je nepoznata. Zapremina raspodjele je približno 5 litara, poluživot nakon intravenske primjene je približno 2 sata. Približno 38% intravenske doze se izlučuje neprom</w:t>
      </w:r>
      <w:r w:rsidR="00633625">
        <w:rPr>
          <w:sz w:val="22"/>
          <w:szCs w:val="22"/>
          <w:lang w:val="sr-Latn-RS"/>
        </w:rPr>
        <w:t>i</w:t>
      </w:r>
      <w:r w:rsidRPr="006D4D25">
        <w:rPr>
          <w:sz w:val="22"/>
          <w:szCs w:val="22"/>
          <w:lang w:val="sr-Latn-RS"/>
        </w:rPr>
        <w:t>jenjeno u urinu</w:t>
      </w:r>
      <w:r w:rsidRPr="006D4D25">
        <w:rPr>
          <w:color w:val="000000"/>
          <w:sz w:val="22"/>
          <w:szCs w:val="22"/>
          <w:shd w:val="clear" w:color="auto" w:fill="FFFFFF"/>
          <w:lang w:val="sr-Latn-RS"/>
        </w:rPr>
        <w:t>.</w:t>
      </w:r>
    </w:p>
    <w:p w14:paraId="1E67473E" w14:textId="77777777" w:rsidR="009F41A6" w:rsidRPr="006D4D25" w:rsidRDefault="009F41A6" w:rsidP="009F41A6">
      <w:pPr>
        <w:jc w:val="both"/>
        <w:rPr>
          <w:color w:val="000000"/>
          <w:sz w:val="22"/>
          <w:szCs w:val="22"/>
          <w:shd w:val="clear" w:color="auto" w:fill="FFFFFF"/>
          <w:lang w:val="sr-Latn-RS"/>
        </w:rPr>
      </w:pPr>
    </w:p>
    <w:p w14:paraId="69A38F0D" w14:textId="7D3FB073" w:rsidR="009F41A6" w:rsidRDefault="009F41A6" w:rsidP="009F41A6">
      <w:pPr>
        <w:tabs>
          <w:tab w:val="left" w:pos="540"/>
          <w:tab w:val="left" w:pos="569"/>
        </w:tabs>
        <w:rPr>
          <w:color w:val="000000"/>
          <w:sz w:val="22"/>
          <w:szCs w:val="22"/>
          <w:shd w:val="clear" w:color="auto" w:fill="FFFFFF"/>
          <w:lang w:val="sr-Latn-RS"/>
        </w:rPr>
      </w:pPr>
      <w:r w:rsidRPr="006D4D25">
        <w:rPr>
          <w:sz w:val="22"/>
          <w:szCs w:val="22"/>
          <w:lang w:val="sr-Latn-RS"/>
        </w:rPr>
        <w:t>Profil ADME (apsorpcija, distribucija, metabolizam i ekskrecija) glukozamina nije potpuno razjašnjen</w:t>
      </w:r>
      <w:r w:rsidRPr="006D4D25">
        <w:rPr>
          <w:color w:val="000000"/>
          <w:sz w:val="22"/>
          <w:szCs w:val="22"/>
          <w:shd w:val="clear" w:color="auto" w:fill="FFFFFF"/>
          <w:lang w:val="sr-Latn-RS"/>
        </w:rPr>
        <w:t>.</w:t>
      </w:r>
    </w:p>
    <w:p w14:paraId="0F6137F9" w14:textId="77777777" w:rsidR="009F41A6" w:rsidRPr="00786071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63B43C0" w14:textId="2EDEF1B8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6D837680" w14:textId="77777777" w:rsidR="00CB5F02" w:rsidRDefault="00CB5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ABFD84D" w14:textId="77777777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D-glukozamin ima nisku akutnu toksičnost.</w:t>
      </w:r>
    </w:p>
    <w:p w14:paraId="1CD9DA9E" w14:textId="77777777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</w:p>
    <w:p w14:paraId="2A8FCB04" w14:textId="4417C60A" w:rsidR="00CB5F02" w:rsidRDefault="00CB5F02" w:rsidP="009F41A6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Ispitivanja</w:t>
      </w:r>
      <w:r w:rsidRPr="00CB5F02">
        <w:rPr>
          <w:sz w:val="22"/>
          <w:szCs w:val="22"/>
          <w:lang w:val="sr-Latn-RS"/>
        </w:rPr>
        <w:t xml:space="preserve"> toksičnosti ponovljenih doza oralnog glukozamina kod pacova, </w:t>
      </w:r>
      <w:r>
        <w:rPr>
          <w:sz w:val="22"/>
          <w:szCs w:val="22"/>
          <w:lang w:val="sr-Latn-RS"/>
        </w:rPr>
        <w:t>kunića</w:t>
      </w:r>
      <w:r w:rsidRPr="00CB5F02">
        <w:rPr>
          <w:sz w:val="22"/>
          <w:szCs w:val="22"/>
          <w:lang w:val="sr-Latn-RS"/>
        </w:rPr>
        <w:t xml:space="preserve"> i pasa nisu ukazale na neželjen</w:t>
      </w:r>
      <w:r>
        <w:rPr>
          <w:sz w:val="22"/>
          <w:szCs w:val="22"/>
          <w:lang w:val="sr-Latn-RS"/>
        </w:rPr>
        <w:t>a dejstva</w:t>
      </w:r>
      <w:r w:rsidRPr="00CB5F02">
        <w:rPr>
          <w:sz w:val="22"/>
          <w:szCs w:val="22"/>
          <w:lang w:val="sr-Latn-RS"/>
        </w:rPr>
        <w:t xml:space="preserve">. Nisu dostupni podaci iz </w:t>
      </w:r>
      <w:r>
        <w:rPr>
          <w:sz w:val="22"/>
          <w:szCs w:val="22"/>
          <w:lang w:val="sr-Latn-RS"/>
        </w:rPr>
        <w:t>ispitivanja</w:t>
      </w:r>
      <w:r w:rsidRPr="00CB5F02">
        <w:rPr>
          <w:sz w:val="22"/>
          <w:szCs w:val="22"/>
          <w:lang w:val="sr-Latn-RS"/>
        </w:rPr>
        <w:t xml:space="preserve"> na životinjama o reproduktivnoj toksičnosti i kancerogenom potencijalu.</w:t>
      </w:r>
    </w:p>
    <w:p w14:paraId="71F2B10B" w14:textId="77777777" w:rsidR="00CB5F02" w:rsidRDefault="00CB5F02" w:rsidP="009F41A6">
      <w:pPr>
        <w:jc w:val="both"/>
        <w:rPr>
          <w:sz w:val="22"/>
          <w:szCs w:val="22"/>
          <w:lang w:val="sr-Latn-RS"/>
        </w:rPr>
      </w:pPr>
    </w:p>
    <w:p w14:paraId="57328DFE" w14:textId="04AD4F85" w:rsidR="00CB5F02" w:rsidRDefault="00CB5F02" w:rsidP="009F41A6">
      <w:pPr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Ispitivanja genotoksičnosti nisu ukazala na mutageni potencijal.</w:t>
      </w:r>
    </w:p>
    <w:p w14:paraId="60F26327" w14:textId="77777777" w:rsidR="00CB5F02" w:rsidRDefault="00CB5F02" w:rsidP="009F41A6">
      <w:pPr>
        <w:jc w:val="both"/>
        <w:rPr>
          <w:sz w:val="22"/>
          <w:szCs w:val="22"/>
          <w:lang w:val="sr-Latn-RS"/>
        </w:rPr>
      </w:pPr>
    </w:p>
    <w:p w14:paraId="51D4037E" w14:textId="65F4C03E" w:rsidR="009F41A6" w:rsidRPr="006D4D25" w:rsidRDefault="009F41A6" w:rsidP="009F41A6">
      <w:pPr>
        <w:jc w:val="both"/>
        <w:rPr>
          <w:sz w:val="22"/>
          <w:szCs w:val="22"/>
        </w:rPr>
      </w:pPr>
      <w:r w:rsidRPr="006D4D25">
        <w:rPr>
          <w:sz w:val="22"/>
          <w:szCs w:val="22"/>
          <w:lang w:val="sr-Latn-RS"/>
        </w:rPr>
        <w:t xml:space="preserve">Rezultati ispitivanja </w:t>
      </w:r>
      <w:r w:rsidRPr="006D4D25">
        <w:rPr>
          <w:i/>
          <w:sz w:val="22"/>
          <w:szCs w:val="22"/>
          <w:lang w:val="sr-Latn-RS"/>
        </w:rPr>
        <w:t>in vitro</w:t>
      </w:r>
      <w:r w:rsidRPr="006D4D25">
        <w:rPr>
          <w:sz w:val="22"/>
          <w:szCs w:val="22"/>
          <w:lang w:val="sr-Latn-RS"/>
        </w:rPr>
        <w:t xml:space="preserve"> i </w:t>
      </w:r>
      <w:r w:rsidRPr="006D4D25">
        <w:rPr>
          <w:i/>
          <w:sz w:val="22"/>
          <w:szCs w:val="22"/>
          <w:lang w:val="sr-Latn-RS"/>
        </w:rPr>
        <w:t>in vivo</w:t>
      </w:r>
      <w:r w:rsidRPr="006D4D25">
        <w:rPr>
          <w:sz w:val="22"/>
          <w:szCs w:val="22"/>
          <w:lang w:val="sr-Latn-RS"/>
        </w:rPr>
        <w:t xml:space="preserve"> na životinjama pokazuju da glukozamin smanjuje sekreciju insulina i indukuje insulinsku rezistenciju, vjerovatno putem inhibicije glukokinaze u beta </w:t>
      </w:r>
      <w:r w:rsidR="00B42029">
        <w:rPr>
          <w:sz w:val="22"/>
          <w:szCs w:val="22"/>
          <w:lang w:val="sr-Latn-RS"/>
        </w:rPr>
        <w:t>ćelijama</w:t>
      </w:r>
      <w:r w:rsidRPr="006D4D25">
        <w:rPr>
          <w:sz w:val="22"/>
          <w:szCs w:val="22"/>
          <w:lang w:val="sr-Latn-RS"/>
        </w:rPr>
        <w:t>. Klinički značaj je nepoznat</w:t>
      </w:r>
      <w:r w:rsidR="00CB5F02">
        <w:rPr>
          <w:sz w:val="22"/>
          <w:szCs w:val="22"/>
          <w:lang w:val="sr-Latn-RS"/>
        </w:rPr>
        <w:t xml:space="preserve"> (pogledati dio 4.4)</w:t>
      </w:r>
      <w:r w:rsidRPr="006D4D25">
        <w:rPr>
          <w:sz w:val="22"/>
          <w:szCs w:val="22"/>
          <w:lang w:val="sr-Latn-RS"/>
        </w:rPr>
        <w:t>.</w:t>
      </w:r>
    </w:p>
    <w:p w14:paraId="189013E4" w14:textId="1C208450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680B28D" w14:textId="77777777" w:rsidR="009F41A6" w:rsidRPr="00786071" w:rsidRDefault="009F41A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A57E346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48B6DF47" w14:textId="77777777" w:rsidR="00836B35" w:rsidRPr="007860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AA08162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6A90573A" w14:textId="4FED96AE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3E2F54C" w14:textId="77777777" w:rsidR="009F41A6" w:rsidRPr="006D4D25" w:rsidRDefault="009F41A6" w:rsidP="009F41A6">
      <w:pPr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Sukraloza </w:t>
      </w:r>
    </w:p>
    <w:p w14:paraId="44E9492A" w14:textId="77777777" w:rsidR="009F41A6" w:rsidRPr="006D4D25" w:rsidRDefault="009F41A6" w:rsidP="009F41A6">
      <w:pPr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Sorbitol (E420)</w:t>
      </w:r>
    </w:p>
    <w:p w14:paraId="44A8A0F5" w14:textId="77777777" w:rsidR="009F41A6" w:rsidRPr="006D4D25" w:rsidRDefault="009F41A6" w:rsidP="009F41A6">
      <w:pPr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 xml:space="preserve">Limunska kiselina </w:t>
      </w:r>
    </w:p>
    <w:p w14:paraId="1433A289" w14:textId="77777777" w:rsidR="009F41A6" w:rsidRPr="006D4D25" w:rsidRDefault="009F41A6" w:rsidP="009F41A6">
      <w:pPr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Makrogol 4000</w:t>
      </w:r>
    </w:p>
    <w:p w14:paraId="68BA7337" w14:textId="74292350" w:rsidR="009F41A6" w:rsidRDefault="009F41A6" w:rsidP="009F41A6">
      <w:pPr>
        <w:tabs>
          <w:tab w:val="left" w:pos="540"/>
          <w:tab w:val="left" w:pos="569"/>
        </w:tabs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Aroma limuna</w:t>
      </w:r>
      <w:r w:rsidR="00CB5F02">
        <w:rPr>
          <w:sz w:val="22"/>
          <w:szCs w:val="22"/>
          <w:lang w:val="sr-Latn-RS"/>
        </w:rPr>
        <w:t xml:space="preserve"> </w:t>
      </w:r>
      <w:r w:rsidR="004F5039">
        <w:rPr>
          <w:sz w:val="22"/>
          <w:szCs w:val="22"/>
          <w:lang w:val="sr-Latn-RS"/>
        </w:rPr>
        <w:t>(aromatični preparati, prirodne arome, maltodekstrin, arapska guma (E414), butilhidroksianizol (E320), askorbinska kiselina (E 300))</w:t>
      </w:r>
      <w:r w:rsidR="008759CA">
        <w:rPr>
          <w:sz w:val="22"/>
          <w:szCs w:val="22"/>
          <w:lang w:val="sr-Latn-RS"/>
        </w:rPr>
        <w:t>.</w:t>
      </w:r>
    </w:p>
    <w:p w14:paraId="2D4500B9" w14:textId="77777777" w:rsidR="009F41A6" w:rsidRPr="00786071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E6F48FA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4E4F70CB" w14:textId="5F7FC3B3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A2F8D40" w14:textId="3DB5AF70" w:rsidR="009F41A6" w:rsidRPr="006D4D25" w:rsidRDefault="00C461E1" w:rsidP="009F41A6">
      <w:pPr>
        <w:tabs>
          <w:tab w:val="left" w:pos="540"/>
          <w:tab w:val="left" w:pos="569"/>
        </w:tabs>
        <w:rPr>
          <w:noProof/>
          <w:sz w:val="22"/>
          <w:szCs w:val="22"/>
          <w:lang w:val="sr-Latn-RS"/>
        </w:rPr>
      </w:pPr>
      <w:r>
        <w:rPr>
          <w:noProof/>
          <w:sz w:val="22"/>
          <w:szCs w:val="22"/>
          <w:lang w:val="sr-Latn-RS"/>
        </w:rPr>
        <w:t>Nije primje</w:t>
      </w:r>
      <w:r w:rsidR="00772F33">
        <w:rPr>
          <w:noProof/>
          <w:sz w:val="22"/>
          <w:szCs w:val="22"/>
          <w:lang w:val="sr-Latn-RS"/>
        </w:rPr>
        <w:t>nl</w:t>
      </w:r>
      <w:r>
        <w:rPr>
          <w:noProof/>
          <w:sz w:val="22"/>
          <w:szCs w:val="22"/>
          <w:lang w:val="sr-Latn-RS"/>
        </w:rPr>
        <w:t>jivo.</w:t>
      </w:r>
    </w:p>
    <w:p w14:paraId="43839673" w14:textId="77777777" w:rsidR="009F41A6" w:rsidRPr="00786071" w:rsidRDefault="009F41A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8A6EAA5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1684A00C" w14:textId="7DCAE821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148DC23" w14:textId="3E02B061" w:rsidR="009F41A6" w:rsidRPr="006D4D25" w:rsidRDefault="004F5039" w:rsidP="009F41A6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4 godine. </w:t>
      </w:r>
    </w:p>
    <w:p w14:paraId="6C38274E" w14:textId="77777777" w:rsidR="009F41A6" w:rsidRPr="00786071" w:rsidRDefault="009F41A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8FCB99B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126979EE" w14:textId="74E785EC" w:rsidR="00EC2532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919F4F9" w14:textId="33E438DA" w:rsidR="009F41A6" w:rsidRPr="006D4D25" w:rsidRDefault="009F41A6" w:rsidP="009F41A6">
      <w:pPr>
        <w:jc w:val="both"/>
        <w:rPr>
          <w:sz w:val="22"/>
          <w:szCs w:val="22"/>
          <w:lang w:val="sr-Latn-RS"/>
        </w:rPr>
      </w:pPr>
      <w:r w:rsidRPr="006D4D25">
        <w:rPr>
          <w:sz w:val="22"/>
          <w:szCs w:val="22"/>
          <w:lang w:val="sr-Latn-RS"/>
        </w:rPr>
        <w:t>Čuvati na temperaturi do 30</w:t>
      </w:r>
      <w:r w:rsidRPr="006D4D25">
        <w:rPr>
          <w:sz w:val="22"/>
          <w:szCs w:val="22"/>
          <w:lang w:val="sr-Latn-RS"/>
        </w:rPr>
        <w:sym w:font="Symbol" w:char="F0B0"/>
      </w:r>
      <w:r w:rsidRPr="006D4D25">
        <w:rPr>
          <w:sz w:val="22"/>
          <w:szCs w:val="22"/>
          <w:lang w:val="sr-Latn-RS"/>
        </w:rPr>
        <w:t xml:space="preserve">C. </w:t>
      </w:r>
    </w:p>
    <w:p w14:paraId="7109A2CC" w14:textId="77777777" w:rsidR="009F41A6" w:rsidRPr="00786071" w:rsidRDefault="009F41A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377546F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43EF1046" w14:textId="315281CB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4469265" w14:textId="0A381F3D" w:rsidR="009F41A6" w:rsidRPr="006D4D25" w:rsidRDefault="009F41A6" w:rsidP="009F41A6">
      <w:pPr>
        <w:jc w:val="both"/>
        <w:rPr>
          <w:sz w:val="22"/>
          <w:szCs w:val="22"/>
          <w:lang w:val="sr-Latn-RS" w:eastAsia="sl-SI"/>
        </w:rPr>
      </w:pPr>
      <w:r w:rsidRPr="006D4D25">
        <w:rPr>
          <w:sz w:val="22"/>
          <w:szCs w:val="22"/>
          <w:lang w:val="sr-Latn-RS"/>
        </w:rPr>
        <w:t xml:space="preserve">Svaka kesica sa pojedinačnom dozom lijeka sačinjena je od tri sloja materijala: </w:t>
      </w:r>
      <w:r w:rsidR="00126872">
        <w:rPr>
          <w:sz w:val="22"/>
          <w:szCs w:val="22"/>
          <w:lang w:val="sr-Latn-RS"/>
        </w:rPr>
        <w:t>p</w:t>
      </w:r>
      <w:r w:rsidRPr="006D4D25">
        <w:rPr>
          <w:sz w:val="22"/>
          <w:szCs w:val="22"/>
          <w:lang w:val="sr-Latn-RS"/>
        </w:rPr>
        <w:t>apira, aluminijuma i polietilena</w:t>
      </w:r>
      <w:r w:rsidR="00126872">
        <w:rPr>
          <w:sz w:val="22"/>
          <w:szCs w:val="22"/>
          <w:lang w:val="sr-Latn-RS"/>
        </w:rPr>
        <w:t xml:space="preserve"> </w:t>
      </w:r>
      <w:r w:rsidR="00126872">
        <w:rPr>
          <w:sz w:val="22"/>
        </w:rPr>
        <w:t>(papir/LDPE/Al/Surlyn)</w:t>
      </w:r>
      <w:r w:rsidRPr="006D4D25">
        <w:rPr>
          <w:sz w:val="22"/>
          <w:szCs w:val="22"/>
          <w:lang w:val="sr-Latn-RS"/>
        </w:rPr>
        <w:t>. Kartonska kutija sadrži 30 kesica.</w:t>
      </w:r>
    </w:p>
    <w:p w14:paraId="454A08F6" w14:textId="77777777" w:rsidR="009F41A6" w:rsidRPr="00786071" w:rsidRDefault="009F41A6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5502146" w14:textId="77777777" w:rsidR="002846DB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2E195E16" w14:textId="77777777" w:rsidR="00B66A70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BB8E40B" w14:textId="3E23416A" w:rsidR="009F41A6" w:rsidRPr="006D4D25" w:rsidRDefault="009F41A6" w:rsidP="009F41A6">
      <w:pPr>
        <w:rPr>
          <w:sz w:val="22"/>
          <w:szCs w:val="22"/>
        </w:rPr>
      </w:pPr>
      <w:r w:rsidRPr="006D4D25">
        <w:rPr>
          <w:sz w:val="22"/>
          <w:szCs w:val="22"/>
        </w:rPr>
        <w:t>Neiskoriš</w:t>
      </w:r>
      <w:r>
        <w:rPr>
          <w:sz w:val="22"/>
          <w:szCs w:val="22"/>
        </w:rPr>
        <w:t>ć</w:t>
      </w:r>
      <w:r w:rsidRPr="006D4D25">
        <w:rPr>
          <w:sz w:val="22"/>
          <w:szCs w:val="22"/>
        </w:rPr>
        <w:t>eni lijek i materi</w:t>
      </w:r>
      <w:r>
        <w:rPr>
          <w:sz w:val="22"/>
          <w:szCs w:val="22"/>
        </w:rPr>
        <w:t>j</w:t>
      </w:r>
      <w:r w:rsidRPr="006D4D25">
        <w:rPr>
          <w:sz w:val="22"/>
          <w:szCs w:val="22"/>
        </w:rPr>
        <w:t>al za bacanje treba odlagati u skladu sa važećim propisima</w:t>
      </w:r>
      <w:r w:rsidR="00C461E1">
        <w:rPr>
          <w:sz w:val="22"/>
          <w:szCs w:val="22"/>
        </w:rPr>
        <w:t>.</w:t>
      </w:r>
    </w:p>
    <w:p w14:paraId="1E3B3BCD" w14:textId="701CF1DD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17796CF" w14:textId="77777777" w:rsidR="00F864CA" w:rsidRPr="00786071" w:rsidRDefault="00F864C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171D7BA" w14:textId="77777777" w:rsidR="00F8570A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676DD382" w14:textId="77777777" w:rsidR="00C61BE0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7D3FDFE" w14:textId="77777777" w:rsidR="009F41A6" w:rsidRPr="006D4D25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D4D25">
        <w:rPr>
          <w:bCs/>
          <w:sz w:val="22"/>
          <w:szCs w:val="22"/>
          <w:lang w:val="sr-Latn-ME"/>
        </w:rPr>
        <w:t>Farmont M.P. d.o.o.</w:t>
      </w:r>
    </w:p>
    <w:p w14:paraId="1AC3E2ED" w14:textId="77777777" w:rsidR="009F41A6" w:rsidRPr="006D4D25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D4D25">
        <w:rPr>
          <w:bCs/>
          <w:sz w:val="22"/>
          <w:szCs w:val="22"/>
          <w:lang w:val="sr-Latn-ME"/>
        </w:rPr>
        <w:t>Kosić, Stari put bb</w:t>
      </w:r>
    </w:p>
    <w:p w14:paraId="7B58135D" w14:textId="69914663" w:rsidR="00C37FD7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D4D25">
        <w:rPr>
          <w:bCs/>
          <w:sz w:val="22"/>
          <w:szCs w:val="22"/>
          <w:lang w:val="sr-Latn-ME"/>
        </w:rPr>
        <w:t>Danilovgrad, Crna Gora</w:t>
      </w:r>
    </w:p>
    <w:p w14:paraId="40A4FF4D" w14:textId="7EF2A2FE" w:rsidR="009F41A6" w:rsidRDefault="009F41A6" w:rsidP="009F41A6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D63E621" w14:textId="77777777" w:rsidR="00F864CA" w:rsidRPr="00786071" w:rsidRDefault="00F864CA" w:rsidP="009F41A6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CEBE1A0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003BA74C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2CEDD22" w14:textId="030905B7" w:rsidR="00F864CA" w:rsidRDefault="00C05AF2" w:rsidP="00480FB1">
      <w:pPr>
        <w:tabs>
          <w:tab w:val="left" w:pos="540"/>
          <w:tab w:val="left" w:pos="569"/>
        </w:tabs>
        <w:rPr>
          <w:rFonts w:ascii="TimesNewRoman" w:hAnsi="TimesNewRoman" w:cs="TimesNewRoman"/>
          <w:sz w:val="22"/>
          <w:szCs w:val="22"/>
          <w:lang w:eastAsia="sr-Latn-ME"/>
        </w:rPr>
      </w:pPr>
      <w:bookmarkStart w:id="0" w:name="_GoBack"/>
      <w:r>
        <w:rPr>
          <w:rFonts w:ascii="TimesNewRoman" w:hAnsi="TimesNewRoman" w:cs="TimesNewRoman"/>
          <w:sz w:val="22"/>
          <w:szCs w:val="22"/>
          <w:lang w:eastAsia="sr-Latn-ME"/>
        </w:rPr>
        <w:t xml:space="preserve">2030/23/1778 </w:t>
      </w:r>
      <w:r>
        <w:rPr>
          <w:rFonts w:ascii="TimesNewRoman" w:hAnsi="TimesNewRoman" w:cs="TimesNewRoman"/>
          <w:sz w:val="22"/>
          <w:szCs w:val="22"/>
          <w:lang w:eastAsia="sr-Latn-ME"/>
        </w:rPr>
        <w:t>–</w:t>
      </w:r>
      <w:r>
        <w:rPr>
          <w:rFonts w:ascii="TimesNewRoman" w:hAnsi="TimesNewRoman" w:cs="TimesNewRoman"/>
          <w:sz w:val="22"/>
          <w:szCs w:val="22"/>
          <w:lang w:eastAsia="sr-Latn-ME"/>
        </w:rPr>
        <w:t xml:space="preserve"> 2399</w:t>
      </w:r>
    </w:p>
    <w:bookmarkEnd w:id="0"/>
    <w:p w14:paraId="71E14C5D" w14:textId="77777777" w:rsidR="00C05AF2" w:rsidRPr="00786071" w:rsidRDefault="00C05AF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7E2DD19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3548DD1E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75798AC" w14:textId="4F359CC4" w:rsidR="00836B35" w:rsidRDefault="00C05AF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C05AF2">
        <w:rPr>
          <w:bCs/>
          <w:sz w:val="22"/>
          <w:szCs w:val="22"/>
          <w:lang w:val="sr-Latn-CS"/>
        </w:rPr>
        <w:t>05.05.2023. godine</w:t>
      </w:r>
    </w:p>
    <w:p w14:paraId="744AC022" w14:textId="77777777" w:rsidR="00F864CA" w:rsidRPr="00786071" w:rsidRDefault="00F864CA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A0DF69C" w14:textId="50C22011" w:rsidR="003F6A59" w:rsidRDefault="0072020E" w:rsidP="009F41A6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425513A7" w14:textId="54134C66" w:rsidR="00C05AF2" w:rsidRDefault="00C05AF2" w:rsidP="009F41A6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</w:p>
    <w:p w14:paraId="0366B741" w14:textId="66F2F196" w:rsidR="00C05AF2" w:rsidRPr="00C05AF2" w:rsidRDefault="00C05AF2" w:rsidP="009F41A6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CS"/>
        </w:rPr>
      </w:pPr>
      <w:r w:rsidRPr="00C05AF2">
        <w:rPr>
          <w:bCs/>
          <w:sz w:val="22"/>
          <w:szCs w:val="22"/>
          <w:lang w:val="sr-Latn-CS"/>
        </w:rPr>
        <w:t xml:space="preserve">Maj, 2023. </w:t>
      </w:r>
      <w:proofErr w:type="gramStart"/>
      <w:r w:rsidRPr="00C05AF2">
        <w:rPr>
          <w:bCs/>
          <w:sz w:val="22"/>
          <w:szCs w:val="22"/>
          <w:lang w:val="sr-Latn-CS"/>
        </w:rPr>
        <w:t>godine</w:t>
      </w:r>
      <w:proofErr w:type="gramEnd"/>
    </w:p>
    <w:sectPr w:rsidR="00C05AF2" w:rsidRPr="00C05AF2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B122" w14:textId="77777777" w:rsidR="00AC40FE" w:rsidRDefault="00AC40FE">
      <w:r>
        <w:separator/>
      </w:r>
    </w:p>
  </w:endnote>
  <w:endnote w:type="continuationSeparator" w:id="0">
    <w:p w14:paraId="0A6AE318" w14:textId="77777777" w:rsidR="00AC40FE" w:rsidRDefault="00AC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61758" w14:textId="7BDADEB4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C05AF2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C05AF2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63A2C" w14:textId="77777777" w:rsidR="00AC40FE" w:rsidRDefault="00AC40FE">
      <w:r>
        <w:separator/>
      </w:r>
    </w:p>
  </w:footnote>
  <w:footnote w:type="continuationSeparator" w:id="0">
    <w:p w14:paraId="7987E81D" w14:textId="77777777" w:rsidR="00AC40FE" w:rsidRDefault="00AC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75E28"/>
    <w:rsid w:val="00076726"/>
    <w:rsid w:val="00080303"/>
    <w:rsid w:val="00083D02"/>
    <w:rsid w:val="000A3F58"/>
    <w:rsid w:val="000A577E"/>
    <w:rsid w:val="000D2343"/>
    <w:rsid w:val="000D3449"/>
    <w:rsid w:val="000D425A"/>
    <w:rsid w:val="000D60CC"/>
    <w:rsid w:val="000E2084"/>
    <w:rsid w:val="000E6F55"/>
    <w:rsid w:val="000F77FA"/>
    <w:rsid w:val="00107BF7"/>
    <w:rsid w:val="00126872"/>
    <w:rsid w:val="00126F53"/>
    <w:rsid w:val="00136683"/>
    <w:rsid w:val="0014766D"/>
    <w:rsid w:val="001536CC"/>
    <w:rsid w:val="00161DA1"/>
    <w:rsid w:val="001A3FBA"/>
    <w:rsid w:val="001A5518"/>
    <w:rsid w:val="001B1C6A"/>
    <w:rsid w:val="001C1263"/>
    <w:rsid w:val="001C1417"/>
    <w:rsid w:val="001E0058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754F2"/>
    <w:rsid w:val="002846DB"/>
    <w:rsid w:val="00284CCD"/>
    <w:rsid w:val="002A44D3"/>
    <w:rsid w:val="002B6C39"/>
    <w:rsid w:val="002C6637"/>
    <w:rsid w:val="002E0135"/>
    <w:rsid w:val="002E37A5"/>
    <w:rsid w:val="00303078"/>
    <w:rsid w:val="00310F03"/>
    <w:rsid w:val="003247D2"/>
    <w:rsid w:val="003445C1"/>
    <w:rsid w:val="00355B61"/>
    <w:rsid w:val="00362686"/>
    <w:rsid w:val="00371510"/>
    <w:rsid w:val="00396DFD"/>
    <w:rsid w:val="003A7059"/>
    <w:rsid w:val="003B12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71F5F"/>
    <w:rsid w:val="00480FB1"/>
    <w:rsid w:val="00483928"/>
    <w:rsid w:val="004C2735"/>
    <w:rsid w:val="004C331F"/>
    <w:rsid w:val="004D0A9F"/>
    <w:rsid w:val="004D6103"/>
    <w:rsid w:val="004E3BCE"/>
    <w:rsid w:val="004E70AD"/>
    <w:rsid w:val="004F0E97"/>
    <w:rsid w:val="004F17E2"/>
    <w:rsid w:val="004F5039"/>
    <w:rsid w:val="00501DD1"/>
    <w:rsid w:val="00515C21"/>
    <w:rsid w:val="00530BD7"/>
    <w:rsid w:val="00545CD2"/>
    <w:rsid w:val="005476F3"/>
    <w:rsid w:val="00547AF6"/>
    <w:rsid w:val="005550D0"/>
    <w:rsid w:val="00572527"/>
    <w:rsid w:val="00573E40"/>
    <w:rsid w:val="00576348"/>
    <w:rsid w:val="005868F8"/>
    <w:rsid w:val="00586FF3"/>
    <w:rsid w:val="005A0B2E"/>
    <w:rsid w:val="005A23D2"/>
    <w:rsid w:val="005A36CB"/>
    <w:rsid w:val="005A42FD"/>
    <w:rsid w:val="005B49B8"/>
    <w:rsid w:val="005C0741"/>
    <w:rsid w:val="005C5EF4"/>
    <w:rsid w:val="005E2E0B"/>
    <w:rsid w:val="005E507D"/>
    <w:rsid w:val="005E67AD"/>
    <w:rsid w:val="005E7A7D"/>
    <w:rsid w:val="00602457"/>
    <w:rsid w:val="00633625"/>
    <w:rsid w:val="00644FC3"/>
    <w:rsid w:val="00646BD1"/>
    <w:rsid w:val="006561C2"/>
    <w:rsid w:val="00671CB3"/>
    <w:rsid w:val="00674BAF"/>
    <w:rsid w:val="0068071F"/>
    <w:rsid w:val="00682200"/>
    <w:rsid w:val="00692BF6"/>
    <w:rsid w:val="006A1351"/>
    <w:rsid w:val="006A1497"/>
    <w:rsid w:val="006B0BD1"/>
    <w:rsid w:val="006B5404"/>
    <w:rsid w:val="006D20A5"/>
    <w:rsid w:val="006D2EEF"/>
    <w:rsid w:val="006D37BF"/>
    <w:rsid w:val="00702E22"/>
    <w:rsid w:val="0072020E"/>
    <w:rsid w:val="00754902"/>
    <w:rsid w:val="0075609D"/>
    <w:rsid w:val="00772F33"/>
    <w:rsid w:val="0077625A"/>
    <w:rsid w:val="00786071"/>
    <w:rsid w:val="00790E8B"/>
    <w:rsid w:val="007A3ECB"/>
    <w:rsid w:val="007D41CF"/>
    <w:rsid w:val="007D7BB3"/>
    <w:rsid w:val="007E31E9"/>
    <w:rsid w:val="007F05E3"/>
    <w:rsid w:val="00824AB9"/>
    <w:rsid w:val="00836B35"/>
    <w:rsid w:val="00843BDE"/>
    <w:rsid w:val="0087588C"/>
    <w:rsid w:val="008759CA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00A16"/>
    <w:rsid w:val="00924166"/>
    <w:rsid w:val="009277CE"/>
    <w:rsid w:val="00940B9B"/>
    <w:rsid w:val="00953573"/>
    <w:rsid w:val="0095676E"/>
    <w:rsid w:val="00956983"/>
    <w:rsid w:val="009637EA"/>
    <w:rsid w:val="00963CF0"/>
    <w:rsid w:val="00964BB1"/>
    <w:rsid w:val="00975C26"/>
    <w:rsid w:val="009775D9"/>
    <w:rsid w:val="00997175"/>
    <w:rsid w:val="009A1847"/>
    <w:rsid w:val="009B062A"/>
    <w:rsid w:val="009E7C6F"/>
    <w:rsid w:val="009F1793"/>
    <w:rsid w:val="009F2D23"/>
    <w:rsid w:val="009F41A6"/>
    <w:rsid w:val="00A01D69"/>
    <w:rsid w:val="00A02335"/>
    <w:rsid w:val="00A20B15"/>
    <w:rsid w:val="00A43F11"/>
    <w:rsid w:val="00A46C9A"/>
    <w:rsid w:val="00A619F3"/>
    <w:rsid w:val="00A62A73"/>
    <w:rsid w:val="00A671FA"/>
    <w:rsid w:val="00A70D1F"/>
    <w:rsid w:val="00A87FF6"/>
    <w:rsid w:val="00AA0A3B"/>
    <w:rsid w:val="00AA2763"/>
    <w:rsid w:val="00AA33B6"/>
    <w:rsid w:val="00AB50CA"/>
    <w:rsid w:val="00AB6D64"/>
    <w:rsid w:val="00AC40FE"/>
    <w:rsid w:val="00AC53CE"/>
    <w:rsid w:val="00AD2193"/>
    <w:rsid w:val="00AE6E7A"/>
    <w:rsid w:val="00AF19F4"/>
    <w:rsid w:val="00AF2AC7"/>
    <w:rsid w:val="00AF74CE"/>
    <w:rsid w:val="00B208DB"/>
    <w:rsid w:val="00B23F69"/>
    <w:rsid w:val="00B42029"/>
    <w:rsid w:val="00B60619"/>
    <w:rsid w:val="00B66A70"/>
    <w:rsid w:val="00B67366"/>
    <w:rsid w:val="00B80EE1"/>
    <w:rsid w:val="00B84135"/>
    <w:rsid w:val="00BA7630"/>
    <w:rsid w:val="00C04D34"/>
    <w:rsid w:val="00C05AF2"/>
    <w:rsid w:val="00C05DF8"/>
    <w:rsid w:val="00C06864"/>
    <w:rsid w:val="00C10F54"/>
    <w:rsid w:val="00C23D8D"/>
    <w:rsid w:val="00C35B98"/>
    <w:rsid w:val="00C37AA3"/>
    <w:rsid w:val="00C37FD7"/>
    <w:rsid w:val="00C43419"/>
    <w:rsid w:val="00C44CF3"/>
    <w:rsid w:val="00C461E1"/>
    <w:rsid w:val="00C61BE0"/>
    <w:rsid w:val="00C6707E"/>
    <w:rsid w:val="00C70880"/>
    <w:rsid w:val="00C70B0E"/>
    <w:rsid w:val="00C773CA"/>
    <w:rsid w:val="00C83785"/>
    <w:rsid w:val="00C87FA8"/>
    <w:rsid w:val="00C94C0D"/>
    <w:rsid w:val="00CA1FEB"/>
    <w:rsid w:val="00CB5F02"/>
    <w:rsid w:val="00CD4F85"/>
    <w:rsid w:val="00CD6F02"/>
    <w:rsid w:val="00CE246D"/>
    <w:rsid w:val="00CF07A0"/>
    <w:rsid w:val="00CF2B20"/>
    <w:rsid w:val="00CF3E03"/>
    <w:rsid w:val="00D0082A"/>
    <w:rsid w:val="00D21455"/>
    <w:rsid w:val="00D23C58"/>
    <w:rsid w:val="00D31913"/>
    <w:rsid w:val="00D46D70"/>
    <w:rsid w:val="00D47634"/>
    <w:rsid w:val="00D644E7"/>
    <w:rsid w:val="00D709B3"/>
    <w:rsid w:val="00D74CD2"/>
    <w:rsid w:val="00DA2ED6"/>
    <w:rsid w:val="00DB1D55"/>
    <w:rsid w:val="00DB36A0"/>
    <w:rsid w:val="00DB76B8"/>
    <w:rsid w:val="00DC2EA1"/>
    <w:rsid w:val="00DD6AAF"/>
    <w:rsid w:val="00DE009C"/>
    <w:rsid w:val="00DE30E8"/>
    <w:rsid w:val="00DE3F5C"/>
    <w:rsid w:val="00DF1D20"/>
    <w:rsid w:val="00E04E04"/>
    <w:rsid w:val="00E05685"/>
    <w:rsid w:val="00E15BEB"/>
    <w:rsid w:val="00E17F3D"/>
    <w:rsid w:val="00E21324"/>
    <w:rsid w:val="00E246B9"/>
    <w:rsid w:val="00E26035"/>
    <w:rsid w:val="00E31FEA"/>
    <w:rsid w:val="00E45169"/>
    <w:rsid w:val="00E47787"/>
    <w:rsid w:val="00E51C30"/>
    <w:rsid w:val="00E631A6"/>
    <w:rsid w:val="00E64180"/>
    <w:rsid w:val="00E7235D"/>
    <w:rsid w:val="00E74AEE"/>
    <w:rsid w:val="00E868E5"/>
    <w:rsid w:val="00E9237A"/>
    <w:rsid w:val="00E939FA"/>
    <w:rsid w:val="00EA5765"/>
    <w:rsid w:val="00EC2532"/>
    <w:rsid w:val="00ED1875"/>
    <w:rsid w:val="00ED7812"/>
    <w:rsid w:val="00EF3B86"/>
    <w:rsid w:val="00EF3E5F"/>
    <w:rsid w:val="00F317E9"/>
    <w:rsid w:val="00F34554"/>
    <w:rsid w:val="00F35B68"/>
    <w:rsid w:val="00F45F77"/>
    <w:rsid w:val="00F5167F"/>
    <w:rsid w:val="00F52258"/>
    <w:rsid w:val="00F52C03"/>
    <w:rsid w:val="00F8570A"/>
    <w:rsid w:val="00F864CA"/>
    <w:rsid w:val="00F91C7B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080B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rsid w:val="009F41A6"/>
    <w:pPr>
      <w:ind w:left="709"/>
      <w:jc w:val="both"/>
    </w:pPr>
    <w:rPr>
      <w:szCs w:val="20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9F41A6"/>
    <w:rPr>
      <w:sz w:val="24"/>
      <w:lang w:val="sl-SI" w:eastAsia="en-US"/>
    </w:rPr>
  </w:style>
  <w:style w:type="paragraph" w:styleId="Revision">
    <w:name w:val="Revision"/>
    <w:hidden/>
    <w:uiPriority w:val="99"/>
    <w:semiHidden/>
    <w:rsid w:val="003030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A4A30-2768-43C6-AAA6-2B3F77F1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11011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Olja Borozan</cp:lastModifiedBy>
  <cp:revision>4</cp:revision>
  <cp:lastPrinted>2023-04-18T10:29:00Z</cp:lastPrinted>
  <dcterms:created xsi:type="dcterms:W3CDTF">2023-04-25T13:00:00Z</dcterms:created>
  <dcterms:modified xsi:type="dcterms:W3CDTF">2023-05-05T08:04:00Z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