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E30" w:rsidRPr="00243A59" w:rsidRDefault="00FE5E30" w:rsidP="00A0130D">
      <w:pPr>
        <w:pStyle w:val="BodyText"/>
        <w:jc w:val="both"/>
        <w:rPr>
          <w:color w:val="FF0000"/>
          <w:sz w:val="20"/>
        </w:rPr>
      </w:pPr>
      <w:bookmarkStart w:id="0" w:name="_GoBack"/>
      <w:bookmarkEnd w:id="0"/>
    </w:p>
    <w:p w:rsidR="00FE5E30" w:rsidRPr="00243A59" w:rsidRDefault="00FE5E30" w:rsidP="00A0130D">
      <w:pPr>
        <w:pStyle w:val="BodyText"/>
        <w:jc w:val="both"/>
        <w:rPr>
          <w:color w:val="FF0000"/>
          <w:sz w:val="20"/>
        </w:rPr>
      </w:pPr>
    </w:p>
    <w:p w:rsidR="00FE5E30" w:rsidRPr="00243A59" w:rsidRDefault="00FE5E30" w:rsidP="00A0130D">
      <w:pPr>
        <w:pStyle w:val="BodyText"/>
        <w:jc w:val="both"/>
        <w:rPr>
          <w:color w:val="FF0000"/>
          <w:sz w:val="20"/>
        </w:rPr>
      </w:pPr>
    </w:p>
    <w:p w:rsidR="008B728D" w:rsidRPr="001D20B0" w:rsidRDefault="008B728D" w:rsidP="00A75B9B">
      <w:pPr>
        <w:jc w:val="center"/>
        <w:rPr>
          <w:b/>
          <w:bCs/>
          <w:iCs/>
          <w:u w:val="single"/>
        </w:rPr>
      </w:pPr>
      <w:r w:rsidRPr="001D20B0">
        <w:rPr>
          <w:b/>
          <w:bCs/>
          <w:iCs/>
          <w:u w:val="single"/>
        </w:rPr>
        <w:t>SAŽETAK KARAKTERISTIKA LIJEKA</w:t>
      </w:r>
    </w:p>
    <w:p w:rsidR="00FE5E30" w:rsidRPr="00243A59" w:rsidRDefault="00FE5E30" w:rsidP="00A0130D">
      <w:pPr>
        <w:pStyle w:val="BodyText"/>
        <w:jc w:val="both"/>
        <w:rPr>
          <w:color w:val="FF0000"/>
          <w:sz w:val="20"/>
        </w:rPr>
      </w:pPr>
    </w:p>
    <w:p w:rsidR="00FE5E30" w:rsidRPr="00243A59" w:rsidRDefault="00FE5E30" w:rsidP="00A0130D">
      <w:pPr>
        <w:pStyle w:val="BodyText"/>
        <w:jc w:val="both"/>
        <w:rPr>
          <w:color w:val="FF0000"/>
          <w:sz w:val="20"/>
        </w:rPr>
      </w:pPr>
    </w:p>
    <w:p w:rsidR="00FE5E30" w:rsidRPr="004B2CAB" w:rsidRDefault="00FE5E30" w:rsidP="00A0130D">
      <w:pPr>
        <w:pStyle w:val="BodyText"/>
        <w:spacing w:before="9"/>
        <w:jc w:val="both"/>
        <w:rPr>
          <w:sz w:val="19"/>
        </w:rPr>
      </w:pPr>
    </w:p>
    <w:p w:rsidR="00FE5E30" w:rsidRPr="004B2CAB" w:rsidRDefault="000534A2" w:rsidP="00A75B9B">
      <w:pPr>
        <w:pStyle w:val="Heading1"/>
        <w:numPr>
          <w:ilvl w:val="0"/>
          <w:numId w:val="18"/>
        </w:numPr>
        <w:tabs>
          <w:tab w:val="left" w:pos="877"/>
          <w:tab w:val="left" w:pos="878"/>
        </w:tabs>
        <w:spacing w:before="1"/>
        <w:ind w:left="454" w:right="113" w:hanging="417"/>
        <w:jc w:val="both"/>
      </w:pPr>
      <w:bookmarkStart w:id="1" w:name="PRILOG_I._SAŽETAK_OPISA_SVOJSTAVA_LIJEKA"/>
      <w:bookmarkEnd w:id="1"/>
      <w:r w:rsidRPr="004B2CAB">
        <w:t>NAZIV</w:t>
      </w:r>
      <w:r w:rsidRPr="00A75B9B">
        <w:t xml:space="preserve"> </w:t>
      </w:r>
      <w:r w:rsidRPr="004B2CAB">
        <w:t>LIJEKA</w:t>
      </w:r>
    </w:p>
    <w:p w:rsidR="00FE5E30" w:rsidRPr="004B2CAB" w:rsidRDefault="00FE5E30" w:rsidP="00A0130D">
      <w:pPr>
        <w:pStyle w:val="BodyText"/>
        <w:spacing w:before="10"/>
        <w:jc w:val="both"/>
        <w:rPr>
          <w:b/>
          <w:sz w:val="21"/>
        </w:rPr>
      </w:pPr>
    </w:p>
    <w:p w:rsidR="00146A3B" w:rsidRDefault="00B81832" w:rsidP="00A0130D">
      <w:pPr>
        <w:pStyle w:val="BodyText"/>
        <w:ind w:left="460"/>
        <w:jc w:val="both"/>
      </w:pPr>
      <w:r w:rsidRPr="004B2CAB">
        <w:t>Accofil</w:t>
      </w:r>
      <w:r w:rsidR="001A27FB" w:rsidRPr="004B2CAB">
        <w:t xml:space="preserve"> 48 M</w:t>
      </w:r>
      <w:r w:rsidR="00F87E92">
        <w:t>.</w:t>
      </w:r>
      <w:r w:rsidR="001A27FB" w:rsidRPr="004B2CAB">
        <w:t>j.</w:t>
      </w:r>
      <w:r w:rsidR="000534A2" w:rsidRPr="004B2CAB">
        <w:t>/0,5 ml</w:t>
      </w:r>
    </w:p>
    <w:p w:rsidR="00FE5E30" w:rsidRDefault="00146A3B" w:rsidP="00A0130D">
      <w:pPr>
        <w:pStyle w:val="BodyText"/>
        <w:ind w:left="460"/>
        <w:jc w:val="both"/>
      </w:pPr>
      <w:r w:rsidRPr="00744557">
        <w:t>R</w:t>
      </w:r>
      <w:r w:rsidR="004C406E" w:rsidRPr="00744557">
        <w:t>astvor</w:t>
      </w:r>
      <w:r w:rsidR="000534A2" w:rsidRPr="00744557">
        <w:t xml:space="preserve"> za inj</w:t>
      </w:r>
      <w:r w:rsidR="00430E99">
        <w:t>ekciju/</w:t>
      </w:r>
      <w:r w:rsidR="001923F3" w:rsidRPr="00744557">
        <w:t>infuziju</w:t>
      </w:r>
      <w:r w:rsidR="002A2CFE" w:rsidRPr="00744557">
        <w:t xml:space="preserve"> </w:t>
      </w:r>
      <w:r w:rsidR="003979F9">
        <w:t>u napunjenom injekcionom špricu</w:t>
      </w:r>
    </w:p>
    <w:p w:rsidR="00146A3B" w:rsidRDefault="00146A3B" w:rsidP="00A0130D">
      <w:pPr>
        <w:pStyle w:val="BodyText"/>
        <w:ind w:left="460"/>
        <w:jc w:val="both"/>
      </w:pPr>
    </w:p>
    <w:p w:rsidR="00146A3B" w:rsidRPr="004B2CAB" w:rsidRDefault="00146A3B" w:rsidP="00A0130D">
      <w:pPr>
        <w:pStyle w:val="BodyText"/>
        <w:ind w:left="460"/>
        <w:jc w:val="both"/>
      </w:pPr>
      <w:r>
        <w:t>INN: filgrastim</w:t>
      </w:r>
    </w:p>
    <w:p w:rsidR="00FE5E30" w:rsidRPr="00243A59" w:rsidRDefault="00FE5E30" w:rsidP="00A0130D">
      <w:pPr>
        <w:pStyle w:val="BodyText"/>
        <w:jc w:val="both"/>
        <w:rPr>
          <w:color w:val="FF0000"/>
          <w:sz w:val="24"/>
        </w:rPr>
      </w:pPr>
    </w:p>
    <w:p w:rsidR="00FE5E30" w:rsidRPr="00243A59" w:rsidRDefault="00FE5E30" w:rsidP="00A0130D">
      <w:pPr>
        <w:pStyle w:val="BodyText"/>
        <w:spacing w:before="4"/>
        <w:jc w:val="both"/>
        <w:rPr>
          <w:color w:val="FF0000"/>
          <w:sz w:val="20"/>
        </w:rPr>
      </w:pPr>
    </w:p>
    <w:p w:rsidR="00FE5E30" w:rsidRPr="00467C35" w:rsidRDefault="000534A2" w:rsidP="00A75B9B">
      <w:pPr>
        <w:pStyle w:val="Heading1"/>
        <w:numPr>
          <w:ilvl w:val="0"/>
          <w:numId w:val="18"/>
        </w:numPr>
        <w:tabs>
          <w:tab w:val="left" w:pos="877"/>
          <w:tab w:val="left" w:pos="878"/>
        </w:tabs>
        <w:spacing w:before="1"/>
        <w:ind w:left="454" w:right="113" w:hanging="417"/>
        <w:jc w:val="both"/>
      </w:pPr>
      <w:r w:rsidRPr="00467C35">
        <w:t>KVALITATIVNI I KVANTITATIVNI</w:t>
      </w:r>
      <w:r w:rsidRPr="00A75B9B">
        <w:t xml:space="preserve"> </w:t>
      </w:r>
      <w:r w:rsidRPr="00467C35">
        <w:t>SASTAV</w:t>
      </w:r>
    </w:p>
    <w:p w:rsidR="00FE5E30" w:rsidRPr="00467C35" w:rsidRDefault="00FE5E30" w:rsidP="00A0130D">
      <w:pPr>
        <w:pStyle w:val="BodyText"/>
        <w:spacing w:before="4"/>
        <w:jc w:val="both"/>
        <w:rPr>
          <w:b/>
          <w:sz w:val="21"/>
        </w:rPr>
      </w:pPr>
    </w:p>
    <w:p w:rsidR="00FE5E30" w:rsidRPr="00467C35" w:rsidRDefault="000534A2" w:rsidP="00A75B9B">
      <w:pPr>
        <w:pStyle w:val="BodyText"/>
        <w:ind w:left="454" w:right="113"/>
        <w:jc w:val="both"/>
      </w:pPr>
      <w:r w:rsidRPr="00467C35">
        <w:t xml:space="preserve">Jedan ml </w:t>
      </w:r>
      <w:r w:rsidR="001923F3" w:rsidRPr="00467C35">
        <w:t>rastvora sadrži 96 milio</w:t>
      </w:r>
      <w:r w:rsidRPr="00467C35">
        <w:t>na jedinica (M</w:t>
      </w:r>
      <w:r w:rsidR="00467C35" w:rsidRPr="00467C35">
        <w:t>.</w:t>
      </w:r>
      <w:r w:rsidR="001A27FB" w:rsidRPr="00467C35">
        <w:t>j.</w:t>
      </w:r>
      <w:r w:rsidRPr="00467C35">
        <w:t>) (što odgovara 960 mikrograma [µg]) filgrastima.</w:t>
      </w:r>
    </w:p>
    <w:p w:rsidR="00FE5E30" w:rsidRPr="00467C35" w:rsidRDefault="00FE5E30" w:rsidP="00A75B9B">
      <w:pPr>
        <w:pStyle w:val="BodyText"/>
        <w:spacing w:before="5"/>
        <w:ind w:left="454" w:right="113"/>
        <w:jc w:val="both"/>
      </w:pPr>
    </w:p>
    <w:p w:rsidR="00FE5E30" w:rsidRPr="00467C35" w:rsidRDefault="00F51ED9" w:rsidP="00A75B9B">
      <w:pPr>
        <w:pStyle w:val="BodyText"/>
        <w:spacing w:line="237" w:lineRule="auto"/>
        <w:ind w:left="454" w:right="113" w:hanging="1"/>
        <w:jc w:val="both"/>
      </w:pPr>
      <w:r w:rsidRPr="00467C35">
        <w:t xml:space="preserve">Jedan </w:t>
      </w:r>
      <w:r w:rsidRPr="001D20B0">
        <w:t>napunjeni</w:t>
      </w:r>
      <w:r w:rsidR="000534A2" w:rsidRPr="001D20B0">
        <w:t xml:space="preserve"> </w:t>
      </w:r>
      <w:r w:rsidR="001923F3" w:rsidRPr="001D20B0">
        <w:t>injekcioni špric</w:t>
      </w:r>
      <w:r w:rsidR="001A27FB" w:rsidRPr="00467C35">
        <w:t xml:space="preserve"> sadrži 48 M</w:t>
      </w:r>
      <w:r w:rsidR="00467C35">
        <w:t>.</w:t>
      </w:r>
      <w:r w:rsidR="001A27FB" w:rsidRPr="00467C35">
        <w:t>j.</w:t>
      </w:r>
      <w:r w:rsidR="000534A2" w:rsidRPr="00467C35">
        <w:t xml:space="preserve"> (što odgovara 480 mikrograma) filgrastima u 0,5 ml </w:t>
      </w:r>
      <w:r w:rsidR="001923F3" w:rsidRPr="00467C35">
        <w:t>rastvora</w:t>
      </w:r>
      <w:r w:rsidR="000534A2" w:rsidRPr="00467C35">
        <w:t xml:space="preserve"> za injekciju ili infuziju.</w:t>
      </w:r>
    </w:p>
    <w:p w:rsidR="00FE5E30" w:rsidRPr="00243A59" w:rsidRDefault="00FE5E30" w:rsidP="00A75B9B">
      <w:pPr>
        <w:pStyle w:val="BodyText"/>
        <w:spacing w:before="4"/>
        <w:ind w:left="454" w:right="113"/>
        <w:jc w:val="both"/>
        <w:rPr>
          <w:color w:val="FF0000"/>
        </w:rPr>
      </w:pPr>
    </w:p>
    <w:p w:rsidR="00FE5E30" w:rsidRPr="00467C35" w:rsidRDefault="000534A2" w:rsidP="00A75B9B">
      <w:pPr>
        <w:pStyle w:val="BodyText"/>
        <w:spacing w:before="1" w:line="237" w:lineRule="auto"/>
        <w:ind w:left="454" w:right="113"/>
        <w:jc w:val="both"/>
      </w:pPr>
      <w:r w:rsidRPr="00467C35">
        <w:t>Filgrastim je rekombinantni me</w:t>
      </w:r>
      <w:r w:rsidR="001923F3" w:rsidRPr="00467C35">
        <w:t>tionil</w:t>
      </w:r>
      <w:r w:rsidRPr="00467C35">
        <w:t xml:space="preserve"> ljudski </w:t>
      </w:r>
      <w:r w:rsidR="001923F3" w:rsidRPr="00467C35">
        <w:t>faktor</w:t>
      </w:r>
      <w:r w:rsidRPr="00467C35">
        <w:t xml:space="preserve"> </w:t>
      </w:r>
      <w:r w:rsidR="001923F3" w:rsidRPr="00467C35">
        <w:t>stimulacije</w:t>
      </w:r>
      <w:r w:rsidRPr="00467C35">
        <w:t xml:space="preserve"> rasta granulocitnih kolonija proizveden u bakteriji </w:t>
      </w:r>
      <w:r w:rsidRPr="00467C35">
        <w:rPr>
          <w:i/>
        </w:rPr>
        <w:t xml:space="preserve">Escherichia coli </w:t>
      </w:r>
      <w:r w:rsidRPr="00467C35">
        <w:t>(BL21) tehnologijom rekombinantne DNK.</w:t>
      </w:r>
    </w:p>
    <w:p w:rsidR="00FE5E30" w:rsidRPr="00467C35" w:rsidRDefault="00FE5E30" w:rsidP="00A75B9B">
      <w:pPr>
        <w:pStyle w:val="BodyText"/>
        <w:spacing w:before="3"/>
        <w:ind w:left="454" w:right="113"/>
        <w:jc w:val="both"/>
      </w:pPr>
    </w:p>
    <w:p w:rsidR="001923F3" w:rsidRPr="002A039B" w:rsidRDefault="001923F3" w:rsidP="00A75B9B">
      <w:pPr>
        <w:pStyle w:val="BodyText"/>
        <w:kinsoku w:val="0"/>
        <w:overflowPunct w:val="0"/>
        <w:ind w:right="113" w:firstLine="450"/>
        <w:jc w:val="both"/>
        <w:rPr>
          <w:spacing w:val="30"/>
        </w:rPr>
      </w:pPr>
      <w:r w:rsidRPr="002A039B">
        <w:rPr>
          <w:spacing w:val="-1"/>
          <w:u w:val="single"/>
        </w:rPr>
        <w:t>Pomoćne supstance</w:t>
      </w:r>
      <w:r w:rsidRPr="002A039B">
        <w:rPr>
          <w:spacing w:val="2"/>
          <w:u w:val="single"/>
        </w:rPr>
        <w:t xml:space="preserve"> </w:t>
      </w:r>
      <w:r w:rsidRPr="002A039B">
        <w:rPr>
          <w:spacing w:val="1"/>
          <w:u w:val="single"/>
        </w:rPr>
        <w:t xml:space="preserve">sa </w:t>
      </w:r>
      <w:r w:rsidRPr="002A039B">
        <w:rPr>
          <w:spacing w:val="-2"/>
          <w:u w:val="single"/>
        </w:rPr>
        <w:t>potvrđenim</w:t>
      </w:r>
      <w:r w:rsidRPr="002A039B">
        <w:rPr>
          <w:spacing w:val="7"/>
          <w:u w:val="single"/>
        </w:rPr>
        <w:t xml:space="preserve"> </w:t>
      </w:r>
      <w:r w:rsidRPr="002A039B">
        <w:rPr>
          <w:spacing w:val="-2"/>
          <w:u w:val="single"/>
        </w:rPr>
        <w:t>dejstvom:</w:t>
      </w:r>
      <w:r w:rsidRPr="002A039B">
        <w:rPr>
          <w:spacing w:val="30"/>
        </w:rPr>
        <w:t xml:space="preserve"> </w:t>
      </w:r>
    </w:p>
    <w:p w:rsidR="00FE5E30" w:rsidRPr="002A039B" w:rsidRDefault="001923F3" w:rsidP="00A75B9B">
      <w:pPr>
        <w:pStyle w:val="BodyText"/>
        <w:spacing w:before="10"/>
        <w:ind w:right="113"/>
        <w:jc w:val="both"/>
        <w:rPr>
          <w:sz w:val="13"/>
        </w:rPr>
      </w:pPr>
      <w:r w:rsidRPr="002A039B">
        <w:rPr>
          <w:sz w:val="13"/>
        </w:rPr>
        <w:t xml:space="preserve"> </w:t>
      </w:r>
    </w:p>
    <w:p w:rsidR="00A75B9B" w:rsidRDefault="001923F3" w:rsidP="00A75B9B">
      <w:pPr>
        <w:pStyle w:val="BodyText"/>
        <w:spacing w:before="91" w:line="482" w:lineRule="auto"/>
        <w:ind w:right="113"/>
        <w:jc w:val="both"/>
      </w:pPr>
      <w:r w:rsidRPr="002A039B">
        <w:t xml:space="preserve">        </w:t>
      </w:r>
      <w:r w:rsidR="000534A2" w:rsidRPr="002A039B">
        <w:t xml:space="preserve">Jedan ml </w:t>
      </w:r>
      <w:r w:rsidRPr="002A039B">
        <w:t>rastvor</w:t>
      </w:r>
      <w:r w:rsidR="00B63418">
        <w:t>a</w:t>
      </w:r>
      <w:r w:rsidR="00A75B9B">
        <w:t xml:space="preserve"> sadrži 50 mg sorbitola (E420).</w:t>
      </w:r>
    </w:p>
    <w:p w:rsidR="008B728D" w:rsidRPr="00A75B9B" w:rsidRDefault="00A75B9B" w:rsidP="00A75B9B">
      <w:pPr>
        <w:pStyle w:val="BodyText"/>
        <w:spacing w:before="91" w:line="482" w:lineRule="auto"/>
        <w:ind w:right="113"/>
        <w:jc w:val="both"/>
      </w:pPr>
      <w:r>
        <w:t xml:space="preserve">        </w:t>
      </w:r>
      <w:r w:rsidR="008B728D" w:rsidRPr="002A039B">
        <w:rPr>
          <w:lang w:val="sr-Latn-CS"/>
        </w:rPr>
        <w:t>Za spisak svih ekscipijenasa, pogledati dio 6.1.</w:t>
      </w:r>
    </w:p>
    <w:p w:rsidR="008F3CD5" w:rsidRPr="00243A59" w:rsidRDefault="008F3CD5" w:rsidP="00BF332D">
      <w:pPr>
        <w:pStyle w:val="BodyText"/>
        <w:spacing w:before="2"/>
        <w:ind w:right="113"/>
        <w:jc w:val="both"/>
        <w:rPr>
          <w:color w:val="FF0000"/>
        </w:rPr>
      </w:pPr>
    </w:p>
    <w:p w:rsidR="00A75B9B" w:rsidRDefault="000534A2" w:rsidP="00A75B9B">
      <w:pPr>
        <w:pStyle w:val="Heading1"/>
        <w:numPr>
          <w:ilvl w:val="0"/>
          <w:numId w:val="18"/>
        </w:numPr>
        <w:tabs>
          <w:tab w:val="left" w:pos="877"/>
          <w:tab w:val="left" w:pos="878"/>
        </w:tabs>
        <w:spacing w:before="1"/>
        <w:ind w:left="454" w:right="113" w:hanging="417"/>
        <w:jc w:val="both"/>
      </w:pPr>
      <w:r w:rsidRPr="00BE724F">
        <w:t xml:space="preserve">FARMACEUTSKI OBLIK </w:t>
      </w:r>
    </w:p>
    <w:p w:rsidR="00A75B9B" w:rsidRDefault="00A75B9B" w:rsidP="00A75B9B">
      <w:pPr>
        <w:pStyle w:val="Heading1"/>
        <w:tabs>
          <w:tab w:val="left" w:pos="877"/>
          <w:tab w:val="left" w:pos="878"/>
        </w:tabs>
        <w:spacing w:before="1"/>
        <w:ind w:left="454" w:right="113"/>
        <w:jc w:val="both"/>
      </w:pPr>
    </w:p>
    <w:p w:rsidR="00744557" w:rsidRPr="00744557" w:rsidRDefault="004C406E" w:rsidP="00A75B9B">
      <w:pPr>
        <w:pStyle w:val="Heading1"/>
        <w:tabs>
          <w:tab w:val="left" w:pos="877"/>
          <w:tab w:val="left" w:pos="878"/>
        </w:tabs>
        <w:spacing w:before="1"/>
        <w:ind w:left="454" w:right="113"/>
        <w:jc w:val="both"/>
        <w:rPr>
          <w:b w:val="0"/>
        </w:rPr>
      </w:pPr>
      <w:r w:rsidRPr="00744557">
        <w:rPr>
          <w:b w:val="0"/>
        </w:rPr>
        <w:t>Rastvor</w:t>
      </w:r>
      <w:r w:rsidR="00430E99">
        <w:rPr>
          <w:b w:val="0"/>
        </w:rPr>
        <w:t xml:space="preserve"> za injekciju/</w:t>
      </w:r>
      <w:r w:rsidR="000534A2" w:rsidRPr="00744557">
        <w:rPr>
          <w:b w:val="0"/>
        </w:rPr>
        <w:t xml:space="preserve">infuziju </w:t>
      </w:r>
      <w:r w:rsidR="003979F9" w:rsidRPr="003979F9">
        <w:rPr>
          <w:b w:val="0"/>
        </w:rPr>
        <w:t>u napunjenom injekcionom špricu</w:t>
      </w:r>
    </w:p>
    <w:p w:rsidR="00FE5E30" w:rsidRPr="00744557" w:rsidRDefault="000534A2" w:rsidP="00A75B9B">
      <w:pPr>
        <w:pStyle w:val="Heading1"/>
        <w:tabs>
          <w:tab w:val="left" w:pos="877"/>
          <w:tab w:val="left" w:pos="878"/>
        </w:tabs>
        <w:spacing w:before="1"/>
        <w:ind w:left="454" w:right="113"/>
        <w:jc w:val="both"/>
        <w:rPr>
          <w:b w:val="0"/>
        </w:rPr>
      </w:pPr>
      <w:r w:rsidRPr="00744557">
        <w:rPr>
          <w:b w:val="0"/>
        </w:rPr>
        <w:t>Bist</w:t>
      </w:r>
      <w:r w:rsidR="001923F3" w:rsidRPr="00744557">
        <w:rPr>
          <w:b w:val="0"/>
        </w:rPr>
        <w:t>a</w:t>
      </w:r>
      <w:r w:rsidRPr="00744557">
        <w:rPr>
          <w:b w:val="0"/>
        </w:rPr>
        <w:t>r, bezboj</w:t>
      </w:r>
      <w:r w:rsidR="001923F3" w:rsidRPr="00744557">
        <w:rPr>
          <w:b w:val="0"/>
        </w:rPr>
        <w:t>a</w:t>
      </w:r>
      <w:r w:rsidRPr="00744557">
        <w:rPr>
          <w:b w:val="0"/>
        </w:rPr>
        <w:t>n</w:t>
      </w:r>
      <w:r w:rsidRPr="00744557">
        <w:rPr>
          <w:b w:val="0"/>
          <w:spacing w:val="2"/>
        </w:rPr>
        <w:t xml:space="preserve"> </w:t>
      </w:r>
      <w:r w:rsidR="004C406E" w:rsidRPr="00744557">
        <w:rPr>
          <w:b w:val="0"/>
        </w:rPr>
        <w:t>rastvor</w:t>
      </w:r>
      <w:r w:rsidRPr="00744557">
        <w:rPr>
          <w:b w:val="0"/>
        </w:rPr>
        <w:t>.</w:t>
      </w:r>
    </w:p>
    <w:p w:rsidR="00FE5E30" w:rsidRDefault="00FE5E30" w:rsidP="00A75B9B">
      <w:pPr>
        <w:pStyle w:val="BodyText"/>
        <w:spacing w:before="7"/>
        <w:ind w:left="454" w:right="113"/>
        <w:jc w:val="both"/>
      </w:pPr>
    </w:p>
    <w:p w:rsidR="007171E9" w:rsidRPr="00BE724F" w:rsidRDefault="007171E9" w:rsidP="00A75B9B">
      <w:pPr>
        <w:pStyle w:val="BodyText"/>
        <w:spacing w:before="7"/>
        <w:ind w:left="454" w:right="113"/>
        <w:jc w:val="both"/>
      </w:pPr>
    </w:p>
    <w:p w:rsidR="00FE5E30" w:rsidRPr="00BE724F" w:rsidRDefault="000534A2" w:rsidP="00A75B9B">
      <w:pPr>
        <w:pStyle w:val="Heading1"/>
        <w:numPr>
          <w:ilvl w:val="0"/>
          <w:numId w:val="18"/>
        </w:numPr>
        <w:tabs>
          <w:tab w:val="left" w:pos="877"/>
          <w:tab w:val="left" w:pos="878"/>
        </w:tabs>
        <w:spacing w:before="1"/>
        <w:ind w:left="454" w:right="113" w:hanging="417"/>
        <w:jc w:val="both"/>
      </w:pPr>
      <w:r w:rsidRPr="00BE724F">
        <w:t>KLINIČKI</w:t>
      </w:r>
      <w:r w:rsidRPr="00BE724F">
        <w:rPr>
          <w:spacing w:val="8"/>
        </w:rPr>
        <w:t xml:space="preserve"> </w:t>
      </w:r>
      <w:r w:rsidRPr="00BE724F">
        <w:rPr>
          <w:spacing w:val="-3"/>
        </w:rPr>
        <w:t>PODACI</w:t>
      </w:r>
    </w:p>
    <w:p w:rsidR="00FE5E30" w:rsidRPr="00BE724F" w:rsidRDefault="00FE5E30" w:rsidP="00A75B9B">
      <w:pPr>
        <w:pStyle w:val="BodyText"/>
        <w:spacing w:before="9"/>
        <w:ind w:left="454" w:right="113"/>
        <w:jc w:val="both"/>
        <w:rPr>
          <w:b/>
          <w:sz w:val="21"/>
        </w:rPr>
      </w:pPr>
    </w:p>
    <w:p w:rsidR="00FE5E30" w:rsidRPr="00BE724F" w:rsidRDefault="000534A2" w:rsidP="00A75B9B">
      <w:pPr>
        <w:pStyle w:val="ListParagraph"/>
        <w:numPr>
          <w:ilvl w:val="1"/>
          <w:numId w:val="18"/>
        </w:numPr>
        <w:tabs>
          <w:tab w:val="left" w:pos="878"/>
        </w:tabs>
        <w:ind w:left="454" w:right="113" w:hanging="417"/>
        <w:jc w:val="both"/>
        <w:rPr>
          <w:b/>
        </w:rPr>
      </w:pPr>
      <w:r w:rsidRPr="00BE724F">
        <w:rPr>
          <w:b/>
        </w:rPr>
        <w:t>Terapijske</w:t>
      </w:r>
      <w:r w:rsidRPr="00BE724F">
        <w:rPr>
          <w:b/>
          <w:spacing w:val="-10"/>
        </w:rPr>
        <w:t xml:space="preserve"> </w:t>
      </w:r>
      <w:r w:rsidRPr="00BE724F">
        <w:rPr>
          <w:b/>
        </w:rPr>
        <w:t>indikacije</w:t>
      </w:r>
    </w:p>
    <w:p w:rsidR="00FE5E30" w:rsidRPr="00243A59" w:rsidRDefault="00FE5E30" w:rsidP="00A75B9B">
      <w:pPr>
        <w:pStyle w:val="BodyText"/>
        <w:spacing w:before="5"/>
        <w:ind w:left="454" w:right="113"/>
        <w:jc w:val="both"/>
        <w:rPr>
          <w:b/>
          <w:color w:val="FF0000"/>
          <w:sz w:val="21"/>
        </w:rPr>
      </w:pPr>
    </w:p>
    <w:p w:rsidR="00302820" w:rsidRPr="00C85D6F" w:rsidRDefault="00C22392" w:rsidP="00A75B9B">
      <w:pPr>
        <w:pStyle w:val="BodyText"/>
        <w:ind w:left="454" w:right="113" w:hanging="1"/>
        <w:jc w:val="both"/>
        <w:rPr>
          <w:spacing w:val="-1"/>
        </w:rPr>
      </w:pPr>
      <w:r w:rsidRPr="00C85D6F">
        <w:rPr>
          <w:spacing w:val="-1"/>
        </w:rPr>
        <w:t xml:space="preserve">Lijek </w:t>
      </w:r>
      <w:r w:rsidR="000A38B0">
        <w:rPr>
          <w:spacing w:val="-1"/>
        </w:rPr>
        <w:t xml:space="preserve">Accofil </w:t>
      </w:r>
      <w:r w:rsidR="00302820" w:rsidRPr="00C85D6F">
        <w:rPr>
          <w:spacing w:val="-1"/>
        </w:rPr>
        <w:t xml:space="preserve"> je indikovan za smanjenje dužine trajanja neutropenije i incidence febrilne neutropenije kod pacijenata liječenih utvrđenom citotoksičnom hemioterapijom zbog maligniteta (sa izuzetkom hronične mijeloidne leukemije i mijelodisplastičnog sindroma), kao i za smanjenje trajanja neutropenije kod pacijenata koji se podvrgavaju mijeloablativnoj terapiji posl</w:t>
      </w:r>
      <w:r w:rsidR="00A525C7" w:rsidRPr="00C85D6F">
        <w:rPr>
          <w:spacing w:val="-1"/>
        </w:rPr>
        <w:t>ij</w:t>
      </w:r>
      <w:r w:rsidR="00302820" w:rsidRPr="00C85D6F">
        <w:rPr>
          <w:spacing w:val="-1"/>
        </w:rPr>
        <w:t>e koje se radi transplantacija koštane srži i za koje se smatra da su izloženi povećanom riziku od produžene teške neutropenije.</w:t>
      </w:r>
      <w:r w:rsidR="00C86E94" w:rsidRPr="00C85D6F">
        <w:rPr>
          <w:spacing w:val="-1"/>
        </w:rPr>
        <w:t xml:space="preserve"> </w:t>
      </w:r>
      <w:r w:rsidR="00302820" w:rsidRPr="00C85D6F">
        <w:rPr>
          <w:spacing w:val="-1"/>
        </w:rPr>
        <w:t xml:space="preserve">Bezbjednost i efikasnost </w:t>
      </w:r>
      <w:r w:rsidRPr="00C85D6F">
        <w:rPr>
          <w:spacing w:val="-1"/>
        </w:rPr>
        <w:t xml:space="preserve">lijeka </w:t>
      </w:r>
      <w:r w:rsidR="000A38B0">
        <w:t>Accofil</w:t>
      </w:r>
      <w:r w:rsidR="00C86E94" w:rsidRPr="00C85D6F">
        <w:t xml:space="preserve"> </w:t>
      </w:r>
      <w:r w:rsidR="00302820" w:rsidRPr="00C85D6F">
        <w:rPr>
          <w:spacing w:val="-1"/>
        </w:rPr>
        <w:t>je slična kod odraslih i kod djece koji primaju citotoksičnu hemioterapiju.</w:t>
      </w:r>
    </w:p>
    <w:p w:rsidR="00302820" w:rsidRPr="00243A59" w:rsidRDefault="00302820" w:rsidP="00A75B9B">
      <w:pPr>
        <w:pStyle w:val="BodyText"/>
        <w:kinsoku w:val="0"/>
        <w:overflowPunct w:val="0"/>
        <w:ind w:left="454" w:right="113" w:firstLine="450"/>
        <w:jc w:val="both"/>
        <w:rPr>
          <w:color w:val="FF0000"/>
          <w:spacing w:val="-1"/>
        </w:rPr>
      </w:pPr>
    </w:p>
    <w:p w:rsidR="00FE5E30" w:rsidRPr="000C5FDD" w:rsidRDefault="00C22392" w:rsidP="00A75B9B">
      <w:pPr>
        <w:pStyle w:val="BodyText"/>
        <w:ind w:left="454" w:right="113" w:hanging="1"/>
        <w:jc w:val="both"/>
      </w:pPr>
      <w:r w:rsidRPr="000C5FDD">
        <w:t xml:space="preserve">Lijek </w:t>
      </w:r>
      <w:r w:rsidR="000A38B0">
        <w:t xml:space="preserve">Accofil </w:t>
      </w:r>
      <w:r w:rsidR="00C86E94" w:rsidRPr="000C5FDD">
        <w:t xml:space="preserve"> </w:t>
      </w:r>
      <w:r w:rsidR="00302820" w:rsidRPr="000C5FDD">
        <w:rPr>
          <w:spacing w:val="-1"/>
        </w:rPr>
        <w:t xml:space="preserve">je indikovan za mobilizaciju progenitorskih ćelija periferne krvi </w:t>
      </w:r>
      <w:r w:rsidR="000534A2" w:rsidRPr="000C5FDD">
        <w:t>(PBPC, engl. peripheral blood progenitor cells).</w:t>
      </w:r>
    </w:p>
    <w:p w:rsidR="00FE5E30" w:rsidRPr="00243A59" w:rsidRDefault="00FE5E30" w:rsidP="00A0130D">
      <w:pPr>
        <w:pStyle w:val="BodyText"/>
        <w:spacing w:before="4"/>
        <w:jc w:val="both"/>
        <w:rPr>
          <w:color w:val="FF0000"/>
        </w:rPr>
      </w:pPr>
    </w:p>
    <w:p w:rsidR="00302820" w:rsidRPr="000C5FDD" w:rsidRDefault="00302820" w:rsidP="003113AC">
      <w:pPr>
        <w:pStyle w:val="BodyText"/>
        <w:ind w:left="454" w:right="113" w:hanging="1"/>
        <w:jc w:val="both"/>
        <w:rPr>
          <w:spacing w:val="-1"/>
        </w:rPr>
      </w:pPr>
      <w:r w:rsidRPr="000C5FDD">
        <w:rPr>
          <w:spacing w:val="-1"/>
        </w:rPr>
        <w:t xml:space="preserve">Dugotrajna primjena </w:t>
      </w:r>
      <w:r w:rsidR="00C22392" w:rsidRPr="000C5FDD">
        <w:rPr>
          <w:spacing w:val="-1"/>
        </w:rPr>
        <w:t xml:space="preserve">lijeka </w:t>
      </w:r>
      <w:r w:rsidR="000A38B0">
        <w:rPr>
          <w:spacing w:val="-1"/>
        </w:rPr>
        <w:t xml:space="preserve">Accofil </w:t>
      </w:r>
      <w:r w:rsidR="00C86E94" w:rsidRPr="000C5FDD">
        <w:rPr>
          <w:spacing w:val="-1"/>
        </w:rPr>
        <w:t xml:space="preserve"> </w:t>
      </w:r>
      <w:r w:rsidRPr="000C5FDD">
        <w:rPr>
          <w:spacing w:val="-1"/>
        </w:rPr>
        <w:t>je indikovana kod pacijenata, djece i odraslih, sa teškom kongenitalnom, cikličnom ili idiopatskom neutropenijom i sa apsolutnim brojem neutrofila (ABN) ≤0,5 x 10</w:t>
      </w:r>
      <w:r w:rsidRPr="000C5FDD">
        <w:rPr>
          <w:spacing w:val="-1"/>
          <w:vertAlign w:val="superscript"/>
        </w:rPr>
        <w:t>9</w:t>
      </w:r>
      <w:r w:rsidRPr="000C5FDD">
        <w:rPr>
          <w:spacing w:val="-1"/>
        </w:rPr>
        <w:t>/l i istorijom teških ili rekurentnih infekcija, da</w:t>
      </w:r>
      <w:r w:rsidR="009A1790">
        <w:rPr>
          <w:spacing w:val="-1"/>
        </w:rPr>
        <w:t xml:space="preserve"> bi</w:t>
      </w:r>
      <w:r w:rsidRPr="000C5FDD">
        <w:rPr>
          <w:spacing w:val="-1"/>
        </w:rPr>
        <w:t xml:space="preserve"> se poveća</w:t>
      </w:r>
      <w:r w:rsidR="009A1790">
        <w:rPr>
          <w:spacing w:val="-1"/>
        </w:rPr>
        <w:t>o</w:t>
      </w:r>
      <w:r w:rsidRPr="000C5FDD">
        <w:rPr>
          <w:spacing w:val="-1"/>
        </w:rPr>
        <w:t xml:space="preserve"> broj neutrofila i smanji</w:t>
      </w:r>
      <w:r w:rsidR="009A1790">
        <w:rPr>
          <w:spacing w:val="-1"/>
        </w:rPr>
        <w:t>la</w:t>
      </w:r>
      <w:r w:rsidRPr="000C5FDD">
        <w:rPr>
          <w:spacing w:val="-1"/>
        </w:rPr>
        <w:t xml:space="preserve"> incidenca i trajanje događaja povezanih sa infekcijama.</w:t>
      </w:r>
    </w:p>
    <w:p w:rsidR="00302820" w:rsidRPr="00243A59" w:rsidRDefault="00302820" w:rsidP="003113AC">
      <w:pPr>
        <w:pStyle w:val="BodyText"/>
        <w:ind w:left="454" w:right="113" w:hanging="1"/>
        <w:jc w:val="both"/>
        <w:rPr>
          <w:color w:val="FF0000"/>
          <w:spacing w:val="-1"/>
        </w:rPr>
      </w:pPr>
    </w:p>
    <w:p w:rsidR="00302820" w:rsidRPr="00C67019" w:rsidRDefault="00C22392" w:rsidP="003113AC">
      <w:pPr>
        <w:pStyle w:val="BodyText"/>
        <w:ind w:left="454" w:right="113" w:hanging="1"/>
        <w:jc w:val="both"/>
        <w:rPr>
          <w:spacing w:val="-1"/>
        </w:rPr>
      </w:pPr>
      <w:r w:rsidRPr="00C67019">
        <w:rPr>
          <w:spacing w:val="-1"/>
        </w:rPr>
        <w:t xml:space="preserve">Lijek </w:t>
      </w:r>
      <w:r w:rsidR="000A38B0">
        <w:rPr>
          <w:spacing w:val="-1"/>
        </w:rPr>
        <w:t xml:space="preserve">Accofil </w:t>
      </w:r>
      <w:r w:rsidR="003B7835" w:rsidRPr="00C67019">
        <w:rPr>
          <w:spacing w:val="-1"/>
        </w:rPr>
        <w:t xml:space="preserve"> </w:t>
      </w:r>
      <w:r w:rsidR="00302820" w:rsidRPr="00C67019">
        <w:rPr>
          <w:spacing w:val="-1"/>
        </w:rPr>
        <w:t>je indikovan za terapiju perzistentne neutropenije (ABN manji ili jednak 1,0 x 10</w:t>
      </w:r>
      <w:r w:rsidR="00302820" w:rsidRPr="00C67019">
        <w:rPr>
          <w:spacing w:val="-1"/>
          <w:vertAlign w:val="superscript"/>
        </w:rPr>
        <w:t>9</w:t>
      </w:r>
      <w:r w:rsidR="00302820" w:rsidRPr="00C67019">
        <w:rPr>
          <w:spacing w:val="-1"/>
        </w:rPr>
        <w:t xml:space="preserve">/l) kod pacijenata sa uznapredovalom HIV infekcijom, da </w:t>
      </w:r>
      <w:r w:rsidR="009A1790">
        <w:rPr>
          <w:spacing w:val="-1"/>
        </w:rPr>
        <w:t xml:space="preserve">bi </w:t>
      </w:r>
      <w:r w:rsidR="00302820" w:rsidRPr="00C67019">
        <w:rPr>
          <w:spacing w:val="-1"/>
        </w:rPr>
        <w:t>se smanji</w:t>
      </w:r>
      <w:r w:rsidR="009A1790">
        <w:rPr>
          <w:spacing w:val="-1"/>
        </w:rPr>
        <w:t>o</w:t>
      </w:r>
      <w:r w:rsidR="00302820" w:rsidRPr="00C67019">
        <w:rPr>
          <w:spacing w:val="-1"/>
        </w:rPr>
        <w:t xml:space="preserve"> rizik od bakterijske infekcije, kada druge </w:t>
      </w:r>
      <w:r w:rsidR="00302820" w:rsidRPr="00C67019">
        <w:rPr>
          <w:spacing w:val="-1"/>
        </w:rPr>
        <w:lastRenderedPageBreak/>
        <w:t>mogućnosti terapije neutropenije ne daju zadovoljavajuće rezultate.</w:t>
      </w:r>
    </w:p>
    <w:p w:rsidR="00FE5E30" w:rsidRPr="00C67019" w:rsidRDefault="00FE5E30" w:rsidP="003113AC">
      <w:pPr>
        <w:pStyle w:val="BodyText"/>
        <w:ind w:left="454" w:right="113" w:hanging="1"/>
        <w:jc w:val="both"/>
        <w:rPr>
          <w:spacing w:val="-1"/>
        </w:rPr>
      </w:pPr>
    </w:p>
    <w:p w:rsidR="00FE5E30" w:rsidRPr="00C67019" w:rsidRDefault="000534A2" w:rsidP="003113AC">
      <w:pPr>
        <w:pStyle w:val="Heading1"/>
        <w:numPr>
          <w:ilvl w:val="1"/>
          <w:numId w:val="18"/>
        </w:numPr>
        <w:tabs>
          <w:tab w:val="left" w:pos="878"/>
        </w:tabs>
        <w:ind w:left="454" w:right="113"/>
        <w:jc w:val="both"/>
      </w:pPr>
      <w:r w:rsidRPr="00C67019">
        <w:t>Doziranje i način</w:t>
      </w:r>
      <w:r w:rsidRPr="00C67019">
        <w:rPr>
          <w:spacing w:val="1"/>
        </w:rPr>
        <w:t xml:space="preserve"> </w:t>
      </w:r>
      <w:r w:rsidRPr="00C67019">
        <w:t>primjene</w:t>
      </w:r>
    </w:p>
    <w:p w:rsidR="00FE5E30" w:rsidRPr="00243A59" w:rsidRDefault="00FE5E30" w:rsidP="003113AC">
      <w:pPr>
        <w:pStyle w:val="BodyText"/>
        <w:spacing w:before="4"/>
        <w:ind w:left="454" w:right="113"/>
        <w:jc w:val="both"/>
        <w:rPr>
          <w:b/>
          <w:color w:val="FF0000"/>
          <w:sz w:val="21"/>
        </w:rPr>
      </w:pPr>
    </w:p>
    <w:p w:rsidR="009F6B81" w:rsidRPr="00F41033" w:rsidRDefault="009F6B81" w:rsidP="003113AC">
      <w:pPr>
        <w:pStyle w:val="BodyText"/>
        <w:ind w:left="454" w:right="113" w:hanging="1"/>
        <w:jc w:val="both"/>
        <w:rPr>
          <w:spacing w:val="-1"/>
        </w:rPr>
      </w:pPr>
      <w:r w:rsidRPr="00F41033">
        <w:rPr>
          <w:spacing w:val="-1"/>
        </w:rPr>
        <w:t xml:space="preserve">Terapiju </w:t>
      </w:r>
      <w:r w:rsidR="00C22392" w:rsidRPr="00F41033">
        <w:rPr>
          <w:spacing w:val="-1"/>
        </w:rPr>
        <w:t xml:space="preserve">lijekom </w:t>
      </w:r>
      <w:r w:rsidR="000A38B0">
        <w:rPr>
          <w:spacing w:val="-1"/>
        </w:rPr>
        <w:t xml:space="preserve">Accofil </w:t>
      </w:r>
      <w:r w:rsidR="00631ADC" w:rsidRPr="00F41033">
        <w:rPr>
          <w:spacing w:val="-1"/>
        </w:rPr>
        <w:t xml:space="preserve"> </w:t>
      </w:r>
      <w:r w:rsidRPr="00F41033">
        <w:rPr>
          <w:spacing w:val="-1"/>
        </w:rPr>
        <w:t>treba primjenjivati samo u saradnji sa onkološkim centrima koji imaju iskustva u liječenju faktorom stimulacije rasta granulocitnih kolonija (G-CSF)</w:t>
      </w:r>
      <w:r w:rsidR="00735E7A">
        <w:rPr>
          <w:spacing w:val="-1"/>
        </w:rPr>
        <w:t xml:space="preserve"> </w:t>
      </w:r>
      <w:r w:rsidR="00E52657">
        <w:rPr>
          <w:spacing w:val="-1"/>
        </w:rPr>
        <w:t>i</w:t>
      </w:r>
      <w:r w:rsidR="00735E7A">
        <w:rPr>
          <w:spacing w:val="-1"/>
        </w:rPr>
        <w:t xml:space="preserve"> hematologiji,</w:t>
      </w:r>
      <w:r w:rsidRPr="00F41033">
        <w:rPr>
          <w:spacing w:val="-1"/>
        </w:rPr>
        <w:t xml:space="preserve"> i koji imaju neophodnu dijagnostičku opremu.</w:t>
      </w:r>
    </w:p>
    <w:p w:rsidR="009F6B81" w:rsidRPr="00F41033" w:rsidRDefault="009F6B81" w:rsidP="003113AC">
      <w:pPr>
        <w:pStyle w:val="BodyText"/>
        <w:ind w:left="454" w:right="113" w:hanging="1"/>
        <w:jc w:val="both"/>
        <w:rPr>
          <w:spacing w:val="-1"/>
        </w:rPr>
      </w:pPr>
    </w:p>
    <w:p w:rsidR="009F6B81" w:rsidRPr="00F41033" w:rsidRDefault="009F6B81" w:rsidP="003113AC">
      <w:pPr>
        <w:pStyle w:val="BodyText"/>
        <w:ind w:left="454" w:right="113" w:hanging="1"/>
        <w:jc w:val="both"/>
        <w:rPr>
          <w:spacing w:val="-1"/>
        </w:rPr>
      </w:pPr>
      <w:r w:rsidRPr="00F41033">
        <w:rPr>
          <w:spacing w:val="-1"/>
        </w:rPr>
        <w:t>Postupke mobilizacije i afereze treba sprovoditi u saradnji sa onkološko-hematološkim centrima koji imaju prihvatljivo iskustvo u ovoj oblasti i gdje se na odgovarajući način može sprovoditi praćenje hematopoetskih progenitorskih ćelija.</w:t>
      </w:r>
    </w:p>
    <w:p w:rsidR="00FE5E30" w:rsidRPr="00F41033" w:rsidRDefault="00FE5E30" w:rsidP="00B5774D">
      <w:pPr>
        <w:pStyle w:val="BodyText"/>
        <w:spacing w:before="10"/>
        <w:ind w:left="454" w:right="113"/>
        <w:jc w:val="both"/>
        <w:rPr>
          <w:sz w:val="21"/>
        </w:rPr>
      </w:pPr>
    </w:p>
    <w:p w:rsidR="00FE5E30" w:rsidRPr="00F41033" w:rsidRDefault="000534A2" w:rsidP="00B5774D">
      <w:pPr>
        <w:pStyle w:val="BodyText"/>
        <w:ind w:left="454" w:right="113"/>
        <w:jc w:val="both"/>
      </w:pPr>
      <w:r w:rsidRPr="00F41033">
        <w:rPr>
          <w:u w:val="single"/>
        </w:rPr>
        <w:t>Doziranje</w:t>
      </w:r>
    </w:p>
    <w:p w:rsidR="00FE5E30" w:rsidRPr="00243A59" w:rsidRDefault="00FE5E30" w:rsidP="00B5774D">
      <w:pPr>
        <w:pStyle w:val="BodyText"/>
        <w:spacing w:before="4"/>
        <w:ind w:left="454" w:right="113"/>
        <w:jc w:val="both"/>
        <w:rPr>
          <w:color w:val="FF0000"/>
          <w:sz w:val="14"/>
        </w:rPr>
      </w:pPr>
    </w:p>
    <w:p w:rsidR="00FE5E30" w:rsidRPr="00D45937" w:rsidRDefault="000534A2" w:rsidP="00B5774D">
      <w:pPr>
        <w:spacing w:before="91"/>
        <w:ind w:left="454" w:right="113"/>
        <w:jc w:val="both"/>
        <w:rPr>
          <w:i/>
        </w:rPr>
      </w:pPr>
      <w:r w:rsidRPr="00D45937">
        <w:rPr>
          <w:i/>
          <w:u w:val="single"/>
        </w:rPr>
        <w:t xml:space="preserve">Standardna citotoksična </w:t>
      </w:r>
      <w:r w:rsidR="00A33DF3" w:rsidRPr="00D45937">
        <w:rPr>
          <w:i/>
          <w:u w:val="single"/>
        </w:rPr>
        <w:t>h</w:t>
      </w:r>
      <w:r w:rsidRPr="00D45937">
        <w:rPr>
          <w:i/>
          <w:u w:val="single"/>
        </w:rPr>
        <w:t>em</w:t>
      </w:r>
      <w:r w:rsidR="00200AF4">
        <w:rPr>
          <w:i/>
          <w:u w:val="single"/>
        </w:rPr>
        <w:t>i</w:t>
      </w:r>
      <w:r w:rsidRPr="00D45937">
        <w:rPr>
          <w:i/>
          <w:u w:val="single"/>
        </w:rPr>
        <w:t>oterapija</w:t>
      </w:r>
    </w:p>
    <w:p w:rsidR="00FE5E30" w:rsidRPr="00D45937" w:rsidRDefault="00FE5E30" w:rsidP="00B5774D">
      <w:pPr>
        <w:pStyle w:val="BodyText"/>
        <w:spacing w:before="10"/>
        <w:ind w:left="454" w:right="113"/>
        <w:jc w:val="both"/>
        <w:rPr>
          <w:i/>
          <w:sz w:val="13"/>
        </w:rPr>
      </w:pPr>
    </w:p>
    <w:p w:rsidR="00FE5E30" w:rsidRPr="00D45937" w:rsidRDefault="000534A2" w:rsidP="00B5774D">
      <w:pPr>
        <w:pStyle w:val="BodyText"/>
        <w:spacing w:before="92"/>
        <w:ind w:left="454" w:right="113" w:hanging="1"/>
        <w:jc w:val="both"/>
      </w:pPr>
      <w:r w:rsidRPr="00D45937">
        <w:t>Preporučena doza filgrastima je 0,5 M</w:t>
      </w:r>
      <w:r w:rsidR="00140597" w:rsidRPr="00D45937">
        <w:t>.</w:t>
      </w:r>
      <w:r w:rsidR="001A27FB" w:rsidRPr="00D45937">
        <w:t>j.</w:t>
      </w:r>
      <w:r w:rsidRPr="00D45937">
        <w:t xml:space="preserve">/kg/dan (5 mikrograma/kg/dan). Prva doza </w:t>
      </w:r>
      <w:r w:rsidR="00A33DF3" w:rsidRPr="00D45937">
        <w:t>filgrastima</w:t>
      </w:r>
      <w:r w:rsidR="00F16896" w:rsidRPr="00D45937">
        <w:t xml:space="preserve"> se smije</w:t>
      </w:r>
      <w:r w:rsidRPr="00D45937">
        <w:t xml:space="preserve"> primijeniti </w:t>
      </w:r>
      <w:r w:rsidR="00F16896" w:rsidRPr="00D45937">
        <w:t>najmanje</w:t>
      </w:r>
      <w:r w:rsidRPr="00D45937">
        <w:t xml:space="preserve"> 24 sata nakon citotok</w:t>
      </w:r>
      <w:r w:rsidR="00F16896" w:rsidRPr="00D45937">
        <w:t>sične h</w:t>
      </w:r>
      <w:r w:rsidR="002B7D02" w:rsidRPr="00D45937">
        <w:t>em</w:t>
      </w:r>
      <w:r w:rsidR="00200AF4">
        <w:t>i</w:t>
      </w:r>
      <w:r w:rsidR="002B7D02" w:rsidRPr="00D45937">
        <w:t>oterapije. U randomizov</w:t>
      </w:r>
      <w:r w:rsidRPr="00D45937">
        <w:t>anim kliničkim ispitivanjim</w:t>
      </w:r>
      <w:r w:rsidR="00F16896" w:rsidRPr="00D45937">
        <w:t>a su</w:t>
      </w:r>
      <w:r w:rsidR="001E5B6A">
        <w:t>b</w:t>
      </w:r>
      <w:r w:rsidR="00F16896" w:rsidRPr="00D45937">
        <w:t>kutano je prim</w:t>
      </w:r>
      <w:r w:rsidRPr="00D45937">
        <w:t>j</w:t>
      </w:r>
      <w:r w:rsidR="001E5B6A">
        <w:t>enj</w:t>
      </w:r>
      <w:r w:rsidRPr="00D45937">
        <w:t>ivana doza od 230 mikrograma/m</w:t>
      </w:r>
      <w:r w:rsidRPr="00D45937">
        <w:rPr>
          <w:vertAlign w:val="superscript"/>
        </w:rPr>
        <w:t>2</w:t>
      </w:r>
      <w:r w:rsidRPr="00D45937">
        <w:t>/dan (od 4,0 do 8,4 mikrograma/kg/dan).</w:t>
      </w:r>
    </w:p>
    <w:p w:rsidR="00FE5E30" w:rsidRPr="00243A59" w:rsidRDefault="00FE5E30" w:rsidP="00B5774D">
      <w:pPr>
        <w:pStyle w:val="BodyText"/>
        <w:spacing w:before="2"/>
        <w:ind w:left="454" w:right="113"/>
        <w:jc w:val="both"/>
        <w:rPr>
          <w:color w:val="FF0000"/>
        </w:rPr>
      </w:pPr>
    </w:p>
    <w:p w:rsidR="00FE5E30" w:rsidRPr="00331D44" w:rsidRDefault="000534A2" w:rsidP="00B5774D">
      <w:pPr>
        <w:pStyle w:val="BodyText"/>
        <w:ind w:left="454" w:right="113"/>
        <w:jc w:val="both"/>
      </w:pPr>
      <w:r w:rsidRPr="00331D44">
        <w:t>Svakodnevnu primjenu filgrastima potrebno je nastaviti sve do</w:t>
      </w:r>
      <w:r w:rsidR="00F16896" w:rsidRPr="00331D44">
        <w:t>k se ne postignu</w:t>
      </w:r>
      <w:r w:rsidRPr="00331D44">
        <w:t xml:space="preserve"> očekivan</w:t>
      </w:r>
      <w:r w:rsidR="00F16896" w:rsidRPr="00331D44">
        <w:t>e</w:t>
      </w:r>
      <w:r w:rsidRPr="00331D44">
        <w:t xml:space="preserve"> najniže</w:t>
      </w:r>
      <w:r w:rsidR="00F16896" w:rsidRPr="00331D44">
        <w:t xml:space="preserve"> vrijednosti</w:t>
      </w:r>
      <w:r w:rsidRPr="00331D44">
        <w:t xml:space="preserve"> broja neutrofila i </w:t>
      </w:r>
      <w:r w:rsidR="00F16896" w:rsidRPr="00331D44">
        <w:t>dok se njihov broj ne normalizuje</w:t>
      </w:r>
      <w:r w:rsidRPr="00331D44">
        <w:t xml:space="preserve">. Nakon primjene standardne </w:t>
      </w:r>
      <w:r w:rsidR="00F16896" w:rsidRPr="00331D44">
        <w:t>hem</w:t>
      </w:r>
      <w:r w:rsidR="00457563">
        <w:t>i</w:t>
      </w:r>
      <w:r w:rsidR="00F16896" w:rsidRPr="00331D44">
        <w:t>oter</w:t>
      </w:r>
      <w:r w:rsidRPr="00331D44">
        <w:t>apije za liječenje solidnih tumora, limfoma i limfoidnih leukemija, očekuje se da će trajanje liječenja potrebno da se zadovolje ovi kriterij</w:t>
      </w:r>
      <w:r w:rsidR="00F16896" w:rsidRPr="00331D44">
        <w:t>um</w:t>
      </w:r>
      <w:r w:rsidRPr="00331D44">
        <w:t>i iznositi n</w:t>
      </w:r>
      <w:r w:rsidR="00F16896" w:rsidRPr="00331D44">
        <w:t>ajviše 14 dana. Nakon indukcione i konsolidujuće terapije za akutnu</w:t>
      </w:r>
      <w:r w:rsidRPr="00331D44">
        <w:t xml:space="preserve"> mijeloi</w:t>
      </w:r>
      <w:r w:rsidR="00F16896" w:rsidRPr="00331D44">
        <w:t>dnu</w:t>
      </w:r>
      <w:r w:rsidRPr="00331D44">
        <w:t xml:space="preserve"> leukemij</w:t>
      </w:r>
      <w:r w:rsidR="00F16896" w:rsidRPr="00331D44">
        <w:t>u</w:t>
      </w:r>
      <w:r w:rsidRPr="00331D44">
        <w:t>, trajanje</w:t>
      </w:r>
      <w:r w:rsidR="00F16896" w:rsidRPr="00331D44">
        <w:t xml:space="preserve"> liječenja može biti znatno duž</w:t>
      </w:r>
      <w:r w:rsidRPr="00331D44">
        <w:t xml:space="preserve">e (do 38 dana) </w:t>
      </w:r>
      <w:r w:rsidR="00F16896" w:rsidRPr="00331D44">
        <w:t>u zavisnosti od vrste, doze i protokola</w:t>
      </w:r>
      <w:r w:rsidRPr="00331D44">
        <w:t xml:space="preserve"> citotoksične </w:t>
      </w:r>
      <w:r w:rsidR="00F16896" w:rsidRPr="00331D44">
        <w:t>hem</w:t>
      </w:r>
      <w:r w:rsidR="00457563">
        <w:t>i</w:t>
      </w:r>
      <w:r w:rsidR="00F16896" w:rsidRPr="00331D44">
        <w:t>oter</w:t>
      </w:r>
      <w:r w:rsidRPr="00331D44">
        <w:t>apije koja se primjenjuje.</w:t>
      </w:r>
    </w:p>
    <w:p w:rsidR="00FE5E30" w:rsidRPr="00243A59" w:rsidRDefault="00FE5E30" w:rsidP="00B5774D">
      <w:pPr>
        <w:pStyle w:val="BodyText"/>
        <w:ind w:left="454" w:right="113"/>
        <w:jc w:val="both"/>
        <w:rPr>
          <w:color w:val="FF0000"/>
        </w:rPr>
      </w:pPr>
    </w:p>
    <w:p w:rsidR="00FE5E30" w:rsidRPr="00602523" w:rsidRDefault="003677D3" w:rsidP="00B5774D">
      <w:pPr>
        <w:pStyle w:val="BodyText"/>
        <w:ind w:left="454" w:right="113"/>
        <w:jc w:val="both"/>
      </w:pPr>
      <w:r w:rsidRPr="00602523">
        <w:t>Kod p</w:t>
      </w:r>
      <w:r w:rsidR="00302820" w:rsidRPr="00602523">
        <w:t>acijen</w:t>
      </w:r>
      <w:r w:rsidRPr="00602523">
        <w:t>at</w:t>
      </w:r>
      <w:r w:rsidR="000534A2" w:rsidRPr="00602523">
        <w:t xml:space="preserve">a koji primaju citotoksičnu </w:t>
      </w:r>
      <w:r w:rsidR="00F16896" w:rsidRPr="00602523">
        <w:t>hem</w:t>
      </w:r>
      <w:r w:rsidR="00457563">
        <w:t>i</w:t>
      </w:r>
      <w:r w:rsidR="00F16896" w:rsidRPr="00602523">
        <w:t>oter</w:t>
      </w:r>
      <w:r w:rsidR="000534A2" w:rsidRPr="00602523">
        <w:t xml:space="preserve">apiju, prolazno povećanje broja neutrofila obično uslijedi 1-2 dana nakon početka liječenja filgrastimom. Međutim, </w:t>
      </w:r>
      <w:r w:rsidR="00602523" w:rsidRPr="00602523">
        <w:t>za dugotrajni terapi</w:t>
      </w:r>
      <w:r w:rsidRPr="00602523">
        <w:t>j</w:t>
      </w:r>
      <w:r w:rsidR="00602523" w:rsidRPr="00602523">
        <w:t>s</w:t>
      </w:r>
      <w:r w:rsidRPr="00602523">
        <w:t>ki odgovor</w:t>
      </w:r>
      <w:r w:rsidR="000534A2" w:rsidRPr="00602523">
        <w:t xml:space="preserve">, primjenu filgrastima ne </w:t>
      </w:r>
      <w:r w:rsidRPr="00602523">
        <w:t xml:space="preserve">treba obustavljati </w:t>
      </w:r>
      <w:r w:rsidR="000534A2" w:rsidRPr="00602523">
        <w:t>prije očekivanog najnižeg pada broja neutrofila i njihovog porasta do normalnog raspona vrijednosti. Ne preporučuje se pre</w:t>
      </w:r>
      <w:r w:rsidR="006F22BC" w:rsidRPr="00602523">
        <w:t>rano obustavljanje</w:t>
      </w:r>
      <w:r w:rsidR="000534A2" w:rsidRPr="00602523">
        <w:t xml:space="preserve"> liječenja filgrastimom, prije očekivanog pada broja neutrofila na najnižu vrijednost.</w:t>
      </w:r>
    </w:p>
    <w:p w:rsidR="00FE5E30" w:rsidRPr="00243A59" w:rsidRDefault="00FE5E30" w:rsidP="00B5774D">
      <w:pPr>
        <w:pStyle w:val="BodyText"/>
        <w:spacing w:before="11"/>
        <w:ind w:left="454" w:right="113"/>
        <w:jc w:val="both"/>
        <w:rPr>
          <w:color w:val="FF0000"/>
          <w:sz w:val="21"/>
        </w:rPr>
      </w:pPr>
    </w:p>
    <w:p w:rsidR="00FE5E30" w:rsidRPr="00520163" w:rsidRDefault="00302820" w:rsidP="00B5774D">
      <w:pPr>
        <w:ind w:left="454" w:right="113"/>
        <w:jc w:val="both"/>
        <w:rPr>
          <w:i/>
        </w:rPr>
      </w:pPr>
      <w:r w:rsidRPr="00D9225F">
        <w:rPr>
          <w:i/>
          <w:u w:val="single"/>
        </w:rPr>
        <w:t>Pacijenti</w:t>
      </w:r>
      <w:r w:rsidR="000534A2" w:rsidRPr="00D9225F">
        <w:rPr>
          <w:i/>
          <w:u w:val="single"/>
        </w:rPr>
        <w:t xml:space="preserve"> liječeni mijeloablativnom terapijom </w:t>
      </w:r>
      <w:r w:rsidR="00F8180C" w:rsidRPr="00D9225F">
        <w:rPr>
          <w:i/>
          <w:u w:val="single"/>
        </w:rPr>
        <w:t>nakon</w:t>
      </w:r>
      <w:r w:rsidR="00F8180C">
        <w:rPr>
          <w:i/>
          <w:u w:val="single"/>
        </w:rPr>
        <w:t xml:space="preserve"> koje slijed</w:t>
      </w:r>
      <w:r w:rsidR="00E52657">
        <w:rPr>
          <w:i/>
          <w:u w:val="single"/>
        </w:rPr>
        <w:t>i</w:t>
      </w:r>
      <w:r w:rsidR="00F8180C">
        <w:rPr>
          <w:i/>
          <w:u w:val="single"/>
        </w:rPr>
        <w:t xml:space="preserve"> transplantacija koštane srži</w:t>
      </w:r>
    </w:p>
    <w:p w:rsidR="00FE5E30" w:rsidRPr="00520163" w:rsidRDefault="00FE5E30" w:rsidP="00B5774D">
      <w:pPr>
        <w:pStyle w:val="BodyText"/>
        <w:spacing w:before="2"/>
        <w:ind w:left="454" w:right="113"/>
        <w:jc w:val="both"/>
        <w:rPr>
          <w:i/>
          <w:sz w:val="17"/>
        </w:rPr>
      </w:pPr>
    </w:p>
    <w:p w:rsidR="00FE5E30" w:rsidRPr="00520163" w:rsidRDefault="000534A2" w:rsidP="00B5774D">
      <w:pPr>
        <w:pStyle w:val="BodyText"/>
        <w:spacing w:before="92"/>
        <w:ind w:left="454" w:right="113" w:hanging="1"/>
        <w:jc w:val="both"/>
      </w:pPr>
      <w:r w:rsidRPr="00520163">
        <w:t>Preporučena po</w:t>
      </w:r>
      <w:r w:rsidR="001A27FB" w:rsidRPr="00520163">
        <w:t>četna doza filgrastima je 1,0 M</w:t>
      </w:r>
      <w:r w:rsidR="00520163" w:rsidRPr="00520163">
        <w:t>.</w:t>
      </w:r>
      <w:r w:rsidR="001A27FB" w:rsidRPr="00520163">
        <w:t>j.</w:t>
      </w:r>
      <w:r w:rsidRPr="00520163">
        <w:t xml:space="preserve">/kg/dan (10 mikrograma/kg/dan). Prvu dozu filgrastima treba dati najmanje 24 sata nakon citotoksične </w:t>
      </w:r>
      <w:r w:rsidR="00F16896" w:rsidRPr="00520163">
        <w:t>hem</w:t>
      </w:r>
      <w:r w:rsidR="00457563">
        <w:t>i</w:t>
      </w:r>
      <w:r w:rsidR="00F16896" w:rsidRPr="00520163">
        <w:t>oter</w:t>
      </w:r>
      <w:r w:rsidRPr="00520163">
        <w:t>apije i najmanje 24 sata nakon infuzije koštane srži.</w:t>
      </w:r>
    </w:p>
    <w:p w:rsidR="00FE5E30" w:rsidRPr="00520163" w:rsidRDefault="00FE5E30" w:rsidP="00B5774D">
      <w:pPr>
        <w:pStyle w:val="BodyText"/>
        <w:ind w:left="454" w:right="113"/>
        <w:jc w:val="both"/>
      </w:pPr>
    </w:p>
    <w:p w:rsidR="00FE5E30" w:rsidRPr="00520163" w:rsidRDefault="000534A2" w:rsidP="00B5774D">
      <w:pPr>
        <w:pStyle w:val="BodyText"/>
        <w:spacing w:before="1"/>
        <w:ind w:left="454" w:right="113"/>
        <w:jc w:val="both"/>
      </w:pPr>
      <w:r w:rsidRPr="00520163">
        <w:t xml:space="preserve">Nakon prestanka pada broja neutrofila na najnižu vrijednost, dnevnu dozu filgrastima </w:t>
      </w:r>
      <w:r w:rsidR="0064169A" w:rsidRPr="00520163">
        <w:t xml:space="preserve">je </w:t>
      </w:r>
      <w:r w:rsidRPr="00520163">
        <w:t>potrebno prilagoditi odgovoru neutrofila na sljedeći način:</w:t>
      </w:r>
    </w:p>
    <w:p w:rsidR="00FE5E30" w:rsidRPr="00243A59" w:rsidRDefault="00FE5E30" w:rsidP="00A0130D">
      <w:pPr>
        <w:pStyle w:val="BodyText"/>
        <w:spacing w:before="7"/>
        <w:jc w:val="both"/>
        <w:rPr>
          <w:color w:val="FF0000"/>
        </w:rPr>
      </w:pPr>
    </w:p>
    <w:tbl>
      <w:tblPr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9"/>
        <w:gridCol w:w="4767"/>
      </w:tblGrid>
      <w:tr w:rsidR="00520163" w:rsidRPr="00520163">
        <w:trPr>
          <w:trHeight w:val="253"/>
        </w:trPr>
        <w:tc>
          <w:tcPr>
            <w:tcW w:w="4229" w:type="dxa"/>
          </w:tcPr>
          <w:p w:rsidR="00FE5E30" w:rsidRPr="00520163" w:rsidRDefault="000534A2" w:rsidP="00A0130D">
            <w:pPr>
              <w:pStyle w:val="TableParagraph"/>
              <w:spacing w:line="234" w:lineRule="exact"/>
              <w:ind w:left="86"/>
              <w:jc w:val="both"/>
              <w:rPr>
                <w:b/>
              </w:rPr>
            </w:pPr>
            <w:r w:rsidRPr="00520163">
              <w:rPr>
                <w:b/>
              </w:rPr>
              <w:t>Broj neutrofila</w:t>
            </w:r>
          </w:p>
        </w:tc>
        <w:tc>
          <w:tcPr>
            <w:tcW w:w="4767" w:type="dxa"/>
          </w:tcPr>
          <w:p w:rsidR="00FE5E30" w:rsidRPr="00520163" w:rsidRDefault="00006D20" w:rsidP="00A0130D">
            <w:pPr>
              <w:pStyle w:val="TableParagraph"/>
              <w:spacing w:line="234" w:lineRule="exact"/>
              <w:ind w:left="253"/>
              <w:jc w:val="both"/>
              <w:rPr>
                <w:b/>
              </w:rPr>
            </w:pPr>
            <w:r w:rsidRPr="00520163">
              <w:rPr>
                <w:b/>
              </w:rPr>
              <w:t>Prilagođavanje</w:t>
            </w:r>
            <w:r w:rsidR="000534A2" w:rsidRPr="00520163">
              <w:rPr>
                <w:b/>
              </w:rPr>
              <w:t xml:space="preserve"> doze filgrastima</w:t>
            </w:r>
          </w:p>
        </w:tc>
      </w:tr>
      <w:tr w:rsidR="00520163" w:rsidRPr="00520163">
        <w:trPr>
          <w:trHeight w:val="254"/>
        </w:trPr>
        <w:tc>
          <w:tcPr>
            <w:tcW w:w="4229" w:type="dxa"/>
          </w:tcPr>
          <w:p w:rsidR="00FE5E30" w:rsidRPr="00520163" w:rsidRDefault="000534A2" w:rsidP="00A0130D">
            <w:pPr>
              <w:pStyle w:val="TableParagraph"/>
              <w:spacing w:line="234" w:lineRule="exact"/>
              <w:ind w:left="86"/>
              <w:jc w:val="both"/>
            </w:pPr>
            <w:r w:rsidRPr="00520163">
              <w:t>&gt; 1,0</w:t>
            </w:r>
            <w:r w:rsidR="009D28EE">
              <w:t xml:space="preserve"> </w:t>
            </w:r>
            <w:r w:rsidRPr="00520163">
              <w:t>x</w:t>
            </w:r>
            <w:r w:rsidR="009D28EE">
              <w:t xml:space="preserve"> </w:t>
            </w:r>
            <w:r w:rsidRPr="00520163">
              <w:t>10</w:t>
            </w:r>
            <w:r w:rsidRPr="00520163">
              <w:rPr>
                <w:vertAlign w:val="superscript"/>
              </w:rPr>
              <w:t>9</w:t>
            </w:r>
            <w:r w:rsidRPr="00520163">
              <w:t xml:space="preserve">/l </w:t>
            </w:r>
            <w:r w:rsidR="004272FF" w:rsidRPr="00520163">
              <w:t>tokom</w:t>
            </w:r>
            <w:r w:rsidRPr="00520163">
              <w:t xml:space="preserve"> 3 uzastopna dana</w:t>
            </w:r>
          </w:p>
        </w:tc>
        <w:tc>
          <w:tcPr>
            <w:tcW w:w="4767" w:type="dxa"/>
          </w:tcPr>
          <w:p w:rsidR="00FE5E30" w:rsidRPr="00520163" w:rsidRDefault="00ED1CE3" w:rsidP="00A0130D">
            <w:pPr>
              <w:pStyle w:val="TableParagraph"/>
              <w:spacing w:line="234" w:lineRule="exact"/>
              <w:ind w:left="253"/>
              <w:jc w:val="both"/>
            </w:pPr>
            <w:r w:rsidRPr="00520163">
              <w:t>Smanji</w:t>
            </w:r>
            <w:r w:rsidR="001A27FB" w:rsidRPr="00520163">
              <w:t>ti na 0,5 M</w:t>
            </w:r>
            <w:r w:rsidR="00520163" w:rsidRPr="00520163">
              <w:t>.</w:t>
            </w:r>
            <w:r w:rsidR="001A27FB" w:rsidRPr="00520163">
              <w:t>j.</w:t>
            </w:r>
            <w:r w:rsidR="000534A2" w:rsidRPr="00520163">
              <w:t xml:space="preserve"> (5 µg)/kg/dan</w:t>
            </w:r>
          </w:p>
        </w:tc>
      </w:tr>
      <w:tr w:rsidR="00520163" w:rsidRPr="00520163">
        <w:trPr>
          <w:trHeight w:val="503"/>
        </w:trPr>
        <w:tc>
          <w:tcPr>
            <w:tcW w:w="4229" w:type="dxa"/>
          </w:tcPr>
          <w:p w:rsidR="00FE5E30" w:rsidRPr="00520163" w:rsidRDefault="000534A2" w:rsidP="00A0130D">
            <w:pPr>
              <w:pStyle w:val="TableParagraph"/>
              <w:spacing w:line="242" w:lineRule="exact"/>
              <w:ind w:left="86"/>
              <w:jc w:val="both"/>
            </w:pPr>
            <w:r w:rsidRPr="00520163">
              <w:t>Zatim, ako ABN ostane &gt; 1,0</w:t>
            </w:r>
            <w:r w:rsidR="009D28EE">
              <w:t xml:space="preserve"> </w:t>
            </w:r>
            <w:r w:rsidRPr="00520163">
              <w:t>x</w:t>
            </w:r>
            <w:r w:rsidR="009D28EE">
              <w:t xml:space="preserve"> </w:t>
            </w:r>
            <w:r w:rsidRPr="00520163">
              <w:t>10</w:t>
            </w:r>
            <w:r w:rsidRPr="00520163">
              <w:rPr>
                <w:vertAlign w:val="superscript"/>
              </w:rPr>
              <w:t>9</w:t>
            </w:r>
            <w:r w:rsidRPr="00520163">
              <w:t xml:space="preserve">/l </w:t>
            </w:r>
            <w:r w:rsidR="004272FF" w:rsidRPr="00520163">
              <w:t>tokom</w:t>
            </w:r>
          </w:p>
          <w:p w:rsidR="00FE5E30" w:rsidRPr="00520163" w:rsidRDefault="000534A2" w:rsidP="00A0130D">
            <w:pPr>
              <w:pStyle w:val="TableParagraph"/>
              <w:spacing w:line="241" w:lineRule="exact"/>
              <w:ind w:left="86"/>
              <w:jc w:val="both"/>
            </w:pPr>
            <w:r w:rsidRPr="00520163">
              <w:t>još 3 uzastopna dana</w:t>
            </w:r>
          </w:p>
        </w:tc>
        <w:tc>
          <w:tcPr>
            <w:tcW w:w="4767" w:type="dxa"/>
          </w:tcPr>
          <w:p w:rsidR="00FE5E30" w:rsidRPr="00520163" w:rsidRDefault="000534A2" w:rsidP="00A0130D">
            <w:pPr>
              <w:pStyle w:val="TableParagraph"/>
              <w:spacing w:line="244" w:lineRule="exact"/>
              <w:ind w:left="253"/>
              <w:jc w:val="both"/>
            </w:pPr>
            <w:r w:rsidRPr="00520163">
              <w:t>Prekinuti filgrastim</w:t>
            </w:r>
          </w:p>
        </w:tc>
      </w:tr>
      <w:tr w:rsidR="00520163" w:rsidRPr="00520163">
        <w:trPr>
          <w:trHeight w:val="508"/>
        </w:trPr>
        <w:tc>
          <w:tcPr>
            <w:tcW w:w="8996" w:type="dxa"/>
            <w:gridSpan w:val="2"/>
          </w:tcPr>
          <w:p w:rsidR="00FE5E30" w:rsidRPr="00520163" w:rsidRDefault="000534A2" w:rsidP="00A0130D">
            <w:pPr>
              <w:pStyle w:val="TableParagraph"/>
              <w:spacing w:line="244" w:lineRule="exact"/>
              <w:ind w:left="105"/>
              <w:jc w:val="both"/>
            </w:pPr>
            <w:r w:rsidRPr="00520163">
              <w:t>Ako se ABN smanji na &lt; 1,0</w:t>
            </w:r>
            <w:r w:rsidR="009D28EE">
              <w:t xml:space="preserve"> </w:t>
            </w:r>
            <w:r w:rsidRPr="00520163">
              <w:t>x</w:t>
            </w:r>
            <w:r w:rsidR="009D28EE">
              <w:t xml:space="preserve"> </w:t>
            </w:r>
            <w:r w:rsidRPr="00520163">
              <w:t>10</w:t>
            </w:r>
            <w:r w:rsidRPr="00520163">
              <w:rPr>
                <w:vertAlign w:val="superscript"/>
              </w:rPr>
              <w:t>9</w:t>
            </w:r>
            <w:r w:rsidRPr="00520163">
              <w:t xml:space="preserve">/l </w:t>
            </w:r>
            <w:r w:rsidR="004272FF" w:rsidRPr="00520163">
              <w:t>tokom</w:t>
            </w:r>
            <w:r w:rsidRPr="00520163">
              <w:t xml:space="preserve"> </w:t>
            </w:r>
            <w:r w:rsidR="004272FF" w:rsidRPr="00520163">
              <w:t>period</w:t>
            </w:r>
            <w:r w:rsidRPr="00520163">
              <w:t>a liječenja, dozu filgrastima potrebno je</w:t>
            </w:r>
          </w:p>
          <w:p w:rsidR="00FE5E30" w:rsidRPr="00520163" w:rsidRDefault="00ED1CE3" w:rsidP="00A0130D">
            <w:pPr>
              <w:pStyle w:val="TableParagraph"/>
              <w:spacing w:before="1" w:line="243" w:lineRule="exact"/>
              <w:ind w:left="105"/>
              <w:jc w:val="both"/>
            </w:pPr>
            <w:r w:rsidRPr="00520163">
              <w:t>ponovno poveća</w:t>
            </w:r>
            <w:r w:rsidR="000534A2" w:rsidRPr="00520163">
              <w:t>ti</w:t>
            </w:r>
            <w:r w:rsidRPr="00520163">
              <w:t xml:space="preserve"> u</w:t>
            </w:r>
            <w:r w:rsidR="000534A2" w:rsidRPr="00520163">
              <w:t xml:space="preserve"> sklad</w:t>
            </w:r>
            <w:r w:rsidRPr="00520163">
              <w:t xml:space="preserve">u sa </w:t>
            </w:r>
            <w:r w:rsidR="000534A2" w:rsidRPr="00520163">
              <w:t>gore opisanim koracima.</w:t>
            </w:r>
          </w:p>
        </w:tc>
      </w:tr>
    </w:tbl>
    <w:p w:rsidR="00FE5E30" w:rsidRPr="00520163" w:rsidRDefault="000534A2" w:rsidP="00A0130D">
      <w:pPr>
        <w:pStyle w:val="BodyText"/>
        <w:ind w:left="460"/>
        <w:jc w:val="both"/>
      </w:pPr>
      <w:r w:rsidRPr="00520163">
        <w:t>ABN = apsolutni broj neutrofila</w:t>
      </w:r>
    </w:p>
    <w:p w:rsidR="00FE5E30" w:rsidRPr="00243A59" w:rsidRDefault="00FE5E30" w:rsidP="00A0130D">
      <w:pPr>
        <w:pStyle w:val="BodyText"/>
        <w:spacing w:before="9"/>
        <w:jc w:val="both"/>
        <w:rPr>
          <w:color w:val="FF0000"/>
          <w:sz w:val="21"/>
        </w:rPr>
      </w:pPr>
    </w:p>
    <w:p w:rsidR="00FE5E30" w:rsidRPr="008D0C7C" w:rsidRDefault="000534A2" w:rsidP="00B5774D">
      <w:pPr>
        <w:ind w:left="454" w:right="113"/>
        <w:jc w:val="both"/>
        <w:rPr>
          <w:i/>
        </w:rPr>
      </w:pPr>
      <w:r w:rsidRPr="008D0C7C">
        <w:rPr>
          <w:i/>
          <w:u w:val="single"/>
        </w:rPr>
        <w:t xml:space="preserve">Mobilizacija </w:t>
      </w:r>
      <w:r w:rsidR="00D14DE6" w:rsidRPr="008D0C7C">
        <w:rPr>
          <w:i/>
          <w:u w:val="single"/>
        </w:rPr>
        <w:t>progenitorskih ćelij</w:t>
      </w:r>
      <w:r w:rsidRPr="008D0C7C">
        <w:rPr>
          <w:i/>
          <w:u w:val="single"/>
        </w:rPr>
        <w:t xml:space="preserve">a periferne krvi </w:t>
      </w:r>
      <w:r w:rsidR="00D14DE6" w:rsidRPr="008D0C7C">
        <w:rPr>
          <w:i/>
          <w:u w:val="single"/>
        </w:rPr>
        <w:t>kod</w:t>
      </w:r>
      <w:r w:rsidRPr="008D0C7C">
        <w:rPr>
          <w:i/>
          <w:u w:val="single"/>
        </w:rPr>
        <w:t xml:space="preserve"> </w:t>
      </w:r>
      <w:r w:rsidR="00D14DE6" w:rsidRPr="008D0C7C">
        <w:rPr>
          <w:i/>
          <w:u w:val="single"/>
        </w:rPr>
        <w:t>p</w:t>
      </w:r>
      <w:r w:rsidR="00302820" w:rsidRPr="008D0C7C">
        <w:rPr>
          <w:i/>
          <w:u w:val="single"/>
        </w:rPr>
        <w:t>acijen</w:t>
      </w:r>
      <w:r w:rsidRPr="008D0C7C">
        <w:rPr>
          <w:i/>
          <w:u w:val="single"/>
        </w:rPr>
        <w:t>a</w:t>
      </w:r>
      <w:r w:rsidR="00D14DE6" w:rsidRPr="008D0C7C">
        <w:rPr>
          <w:i/>
          <w:u w:val="single"/>
        </w:rPr>
        <w:t>ta</w:t>
      </w:r>
      <w:r w:rsidRPr="008D0C7C">
        <w:rPr>
          <w:i/>
          <w:u w:val="single"/>
        </w:rPr>
        <w:t xml:space="preserve"> u t</w:t>
      </w:r>
      <w:r w:rsidR="00D14DE6" w:rsidRPr="008D0C7C">
        <w:rPr>
          <w:i/>
          <w:u w:val="single"/>
        </w:rPr>
        <w:t>o</w:t>
      </w:r>
      <w:r w:rsidRPr="008D0C7C">
        <w:rPr>
          <w:i/>
          <w:u w:val="single"/>
        </w:rPr>
        <w:t>ku mijelosupresivnog i mijeloablativnog</w:t>
      </w:r>
      <w:r w:rsidRPr="00A0130D">
        <w:rPr>
          <w:i/>
          <w:u w:val="single"/>
        </w:rPr>
        <w:t xml:space="preserve"> </w:t>
      </w:r>
      <w:r w:rsidRPr="008D0C7C">
        <w:rPr>
          <w:i/>
          <w:u w:val="single"/>
        </w:rPr>
        <w:t xml:space="preserve">liječenja </w:t>
      </w:r>
      <w:r w:rsidR="00D14DE6" w:rsidRPr="008D0C7C">
        <w:rPr>
          <w:i/>
          <w:u w:val="single"/>
        </w:rPr>
        <w:t>prije</w:t>
      </w:r>
      <w:r w:rsidRPr="008D0C7C">
        <w:rPr>
          <w:i/>
          <w:u w:val="single"/>
        </w:rPr>
        <w:t xml:space="preserve"> transplantacij</w:t>
      </w:r>
      <w:r w:rsidR="00D14DE6" w:rsidRPr="008D0C7C">
        <w:rPr>
          <w:i/>
          <w:u w:val="single"/>
        </w:rPr>
        <w:t>e</w:t>
      </w:r>
      <w:r w:rsidRPr="008D0C7C">
        <w:rPr>
          <w:i/>
          <w:u w:val="single"/>
        </w:rPr>
        <w:t xml:space="preserve"> autolognih pr</w:t>
      </w:r>
      <w:r w:rsidR="00D14DE6" w:rsidRPr="008D0C7C">
        <w:rPr>
          <w:i/>
          <w:u w:val="single"/>
        </w:rPr>
        <w:t>ogenitorskih</w:t>
      </w:r>
      <w:r w:rsidRPr="008D0C7C">
        <w:rPr>
          <w:i/>
          <w:u w:val="single"/>
        </w:rPr>
        <w:t xml:space="preserve"> </w:t>
      </w:r>
      <w:r w:rsidR="00D14DE6" w:rsidRPr="008D0C7C">
        <w:rPr>
          <w:i/>
          <w:u w:val="single"/>
        </w:rPr>
        <w:t xml:space="preserve">ćelija </w:t>
      </w:r>
      <w:r w:rsidRPr="008D0C7C">
        <w:rPr>
          <w:i/>
          <w:u w:val="single"/>
        </w:rPr>
        <w:t>periferne krvi</w:t>
      </w:r>
    </w:p>
    <w:p w:rsidR="00FE5E30" w:rsidRPr="00243A59" w:rsidRDefault="00FE5E30" w:rsidP="00B5774D">
      <w:pPr>
        <w:pStyle w:val="BodyText"/>
        <w:ind w:left="454" w:right="113"/>
        <w:jc w:val="both"/>
        <w:rPr>
          <w:i/>
          <w:color w:val="FF0000"/>
          <w:sz w:val="14"/>
        </w:rPr>
      </w:pPr>
    </w:p>
    <w:p w:rsidR="00FE5E30" w:rsidRPr="00C05F2F" w:rsidRDefault="000534A2" w:rsidP="00B5774D">
      <w:pPr>
        <w:pStyle w:val="BodyText"/>
        <w:spacing w:before="92"/>
        <w:ind w:left="454" w:right="113"/>
        <w:jc w:val="both"/>
      </w:pPr>
      <w:r w:rsidRPr="00C05F2F">
        <w:t xml:space="preserve">Preporučena doza filgrastima za mobilizaciju </w:t>
      </w:r>
      <w:r w:rsidR="00D14DE6" w:rsidRPr="00C05F2F">
        <w:t>progenitorskih ćelija</w:t>
      </w:r>
      <w:r w:rsidRPr="00C05F2F">
        <w:t xml:space="preserve"> periferne krvi kad </w:t>
      </w:r>
      <w:r w:rsidR="001A27FB" w:rsidRPr="00C05F2F">
        <w:t>se primjenjuje sam iznosi 1,0 M</w:t>
      </w:r>
      <w:r w:rsidR="00C05F2F" w:rsidRPr="00C05F2F">
        <w:t>.</w:t>
      </w:r>
      <w:r w:rsidR="001A27FB" w:rsidRPr="00C05F2F">
        <w:t>j.</w:t>
      </w:r>
      <w:r w:rsidR="009D28EE">
        <w:t xml:space="preserve"> </w:t>
      </w:r>
      <w:r w:rsidRPr="00C05F2F">
        <w:t xml:space="preserve">(10 µg)/kg/dan </w:t>
      </w:r>
      <w:r w:rsidR="004272FF" w:rsidRPr="00C05F2F">
        <w:t>tokom</w:t>
      </w:r>
      <w:r w:rsidRPr="00C05F2F">
        <w:t xml:space="preserve"> 5 d</w:t>
      </w:r>
      <w:r w:rsidR="00C05F2F" w:rsidRPr="00C05F2F">
        <w:t>o 7 uzastopnih dana. Planiranje</w:t>
      </w:r>
      <w:r w:rsidR="000A675A">
        <w:t xml:space="preserve"> </w:t>
      </w:r>
      <w:r w:rsidRPr="00C05F2F">
        <w:t>leuk</w:t>
      </w:r>
      <w:r w:rsidR="00200AF4">
        <w:t>o</w:t>
      </w:r>
      <w:r w:rsidRPr="00C05F2F">
        <w:t>fereze može se prilagoditi na 1 ili 2 leuk</w:t>
      </w:r>
      <w:r w:rsidR="00200AF4">
        <w:t>o</w:t>
      </w:r>
      <w:r w:rsidRPr="00C05F2F">
        <w:t>fereze 5. i 6. dan, što je često dovoljno. U drugim okolnostima mogu biti potrebne dodatne leuk</w:t>
      </w:r>
      <w:r w:rsidR="00200AF4">
        <w:t>o</w:t>
      </w:r>
      <w:r w:rsidRPr="00C05F2F">
        <w:t>fereze. Filgrastim je potrebno primjenjivati sve do posljednje leuk</w:t>
      </w:r>
      <w:r w:rsidR="00200AF4">
        <w:t>o</w:t>
      </w:r>
      <w:r w:rsidRPr="00C05F2F">
        <w:t>fereze.</w:t>
      </w:r>
    </w:p>
    <w:p w:rsidR="00FE5E30" w:rsidRPr="00243A59" w:rsidRDefault="00FE5E30" w:rsidP="00B5774D">
      <w:pPr>
        <w:pStyle w:val="BodyText"/>
        <w:spacing w:before="1"/>
        <w:ind w:left="454" w:right="113"/>
        <w:jc w:val="both"/>
        <w:rPr>
          <w:color w:val="FF0000"/>
        </w:rPr>
      </w:pPr>
    </w:p>
    <w:p w:rsidR="004224D5" w:rsidRPr="0097687E" w:rsidRDefault="000534A2" w:rsidP="00B5774D">
      <w:pPr>
        <w:pStyle w:val="BodyText"/>
        <w:spacing w:before="1"/>
        <w:ind w:left="454" w:right="113"/>
        <w:jc w:val="both"/>
      </w:pPr>
      <w:r w:rsidRPr="0097687E">
        <w:t xml:space="preserve">Preporučena doza filgrastima za mobilizaciju </w:t>
      </w:r>
      <w:r w:rsidR="00D14DE6" w:rsidRPr="0097687E">
        <w:t>progenitorskih ćelija</w:t>
      </w:r>
      <w:r w:rsidRPr="0097687E">
        <w:t xml:space="preserve"> periferne krvi nakon mijelosupresivne </w:t>
      </w:r>
      <w:r w:rsidR="00F16896" w:rsidRPr="0097687E">
        <w:t>hem</w:t>
      </w:r>
      <w:r w:rsidR="009D28EE">
        <w:t>i</w:t>
      </w:r>
      <w:r w:rsidR="00F16896" w:rsidRPr="0097687E">
        <w:t>oter</w:t>
      </w:r>
      <w:r w:rsidR="001A27FB" w:rsidRPr="0097687E">
        <w:t>apije iznosi 0,5 M</w:t>
      </w:r>
      <w:r w:rsidR="00E41A91" w:rsidRPr="0097687E">
        <w:t>.</w:t>
      </w:r>
      <w:r w:rsidR="001A27FB" w:rsidRPr="0097687E">
        <w:t>j.</w:t>
      </w:r>
      <w:r w:rsidRPr="0097687E">
        <w:t xml:space="preserve"> (5 µg)/kg/dan i daje se svakodnevno od prvog dana nakon završetka </w:t>
      </w:r>
      <w:r w:rsidR="00F16896" w:rsidRPr="0097687E">
        <w:t>hem</w:t>
      </w:r>
      <w:r w:rsidR="009D28EE">
        <w:t>i</w:t>
      </w:r>
      <w:r w:rsidR="00F16896" w:rsidRPr="0097687E">
        <w:t>oter</w:t>
      </w:r>
      <w:r w:rsidRPr="0097687E">
        <w:t>apije do očekivanog n</w:t>
      </w:r>
      <w:r w:rsidR="0097687E" w:rsidRPr="0097687E">
        <w:t>ajnižeg pada broja neutrofila i</w:t>
      </w:r>
      <w:r w:rsidRPr="0097687E">
        <w:t xml:space="preserve"> njihovog oporavka do normalnog </w:t>
      </w:r>
      <w:r w:rsidR="00D14DE6" w:rsidRPr="0097687E">
        <w:t>nivoa</w:t>
      </w:r>
      <w:r w:rsidRPr="0097687E">
        <w:t>. Leuk</w:t>
      </w:r>
      <w:r w:rsidR="00200AF4">
        <w:t>o</w:t>
      </w:r>
      <w:r w:rsidRPr="0097687E">
        <w:t xml:space="preserve">ferezu je potrebno </w:t>
      </w:r>
      <w:r w:rsidR="00D4487C">
        <w:t>s</w:t>
      </w:r>
      <w:r w:rsidRPr="0097687E">
        <w:t xml:space="preserve">provoditi </w:t>
      </w:r>
      <w:r w:rsidR="004272FF" w:rsidRPr="0097687E">
        <w:t>tokom</w:t>
      </w:r>
      <w:r w:rsidRPr="0097687E">
        <w:t xml:space="preserve"> </w:t>
      </w:r>
      <w:r w:rsidR="004272FF" w:rsidRPr="0097687E">
        <w:t>period</w:t>
      </w:r>
      <w:r w:rsidRPr="0097687E">
        <w:t>a kad se ABN poveća s</w:t>
      </w:r>
      <w:r w:rsidR="00D4487C">
        <w:t>a</w:t>
      </w:r>
      <w:r w:rsidRPr="0097687E">
        <w:t xml:space="preserve"> &lt; 0,5 x 10</w:t>
      </w:r>
      <w:r w:rsidRPr="0097687E">
        <w:rPr>
          <w:vertAlign w:val="superscript"/>
        </w:rPr>
        <w:t>9</w:t>
      </w:r>
      <w:r w:rsidRPr="0097687E">
        <w:t>/l na &gt; 5,0 x 10</w:t>
      </w:r>
      <w:r w:rsidRPr="0097687E">
        <w:rPr>
          <w:vertAlign w:val="superscript"/>
        </w:rPr>
        <w:t>9</w:t>
      </w:r>
      <w:r w:rsidRPr="0097687E">
        <w:t xml:space="preserve">/l. </w:t>
      </w:r>
      <w:r w:rsidR="00D14DE6" w:rsidRPr="0097687E">
        <w:t>Kod</w:t>
      </w:r>
      <w:r w:rsidRPr="0097687E">
        <w:t xml:space="preserve"> </w:t>
      </w:r>
      <w:r w:rsidR="00D14DE6" w:rsidRPr="0097687E">
        <w:t>p</w:t>
      </w:r>
      <w:r w:rsidR="00302820" w:rsidRPr="0097687E">
        <w:t>acijen</w:t>
      </w:r>
      <w:r w:rsidRPr="0097687E">
        <w:t>a</w:t>
      </w:r>
      <w:r w:rsidR="00D14DE6" w:rsidRPr="0097687E">
        <w:t>ta</w:t>
      </w:r>
      <w:r w:rsidRPr="0097687E">
        <w:t xml:space="preserve"> koji ni</w:t>
      </w:r>
      <w:r w:rsidR="00D4487C">
        <w:t>je</w:t>
      </w:r>
      <w:r w:rsidRPr="0097687E">
        <w:t xml:space="preserve">su primili mnogo ciklusa </w:t>
      </w:r>
      <w:r w:rsidR="00F16896" w:rsidRPr="0097687E">
        <w:t>hem</w:t>
      </w:r>
      <w:r w:rsidR="00D4487C">
        <w:t>i</w:t>
      </w:r>
      <w:r w:rsidR="00F16896" w:rsidRPr="0097687E">
        <w:t>oter</w:t>
      </w:r>
      <w:r w:rsidRPr="0097687E">
        <w:t>apije obično je dovoljna jedna leuk</w:t>
      </w:r>
      <w:r w:rsidR="00200AF4">
        <w:t>o</w:t>
      </w:r>
      <w:r w:rsidRPr="0097687E">
        <w:t>fereza. U drugim se okolnostima preporučuju dodatne leuk</w:t>
      </w:r>
      <w:r w:rsidR="00200AF4">
        <w:t>o</w:t>
      </w:r>
      <w:r w:rsidRPr="0097687E">
        <w:t>fereze.</w:t>
      </w:r>
    </w:p>
    <w:p w:rsidR="004224D5" w:rsidRPr="00243A59" w:rsidRDefault="004224D5" w:rsidP="00B5774D">
      <w:pPr>
        <w:pStyle w:val="BodyText"/>
        <w:spacing w:before="1"/>
        <w:ind w:left="454" w:right="113"/>
        <w:jc w:val="both"/>
        <w:rPr>
          <w:color w:val="FF0000"/>
        </w:rPr>
      </w:pPr>
    </w:p>
    <w:p w:rsidR="00FE5E30" w:rsidRPr="00207013" w:rsidRDefault="004A61B4" w:rsidP="00B5774D">
      <w:pPr>
        <w:pStyle w:val="BodyText"/>
        <w:spacing w:before="1"/>
        <w:ind w:left="454" w:right="113"/>
        <w:jc w:val="both"/>
        <w:rPr>
          <w:i/>
        </w:rPr>
      </w:pPr>
      <w:r w:rsidRPr="00207013">
        <w:rPr>
          <w:i/>
          <w:u w:val="single"/>
        </w:rPr>
        <w:t>M</w:t>
      </w:r>
      <w:r w:rsidR="000534A2" w:rsidRPr="00207013">
        <w:rPr>
          <w:i/>
          <w:u w:val="single"/>
        </w:rPr>
        <w:t>obilizacij</w:t>
      </w:r>
      <w:r w:rsidRPr="00207013">
        <w:rPr>
          <w:i/>
          <w:u w:val="single"/>
        </w:rPr>
        <w:t>a</w:t>
      </w:r>
      <w:r w:rsidR="000534A2" w:rsidRPr="00207013">
        <w:rPr>
          <w:i/>
          <w:u w:val="single"/>
        </w:rPr>
        <w:t xml:space="preserve"> </w:t>
      </w:r>
      <w:r w:rsidR="00D14DE6" w:rsidRPr="00207013">
        <w:rPr>
          <w:i/>
          <w:u w:val="single"/>
        </w:rPr>
        <w:t>progenitorskih ćelija</w:t>
      </w:r>
      <w:r w:rsidR="000534A2" w:rsidRPr="00207013">
        <w:rPr>
          <w:i/>
          <w:u w:val="single"/>
        </w:rPr>
        <w:t xml:space="preserve"> periferne krvi </w:t>
      </w:r>
      <w:r w:rsidRPr="00207013">
        <w:rPr>
          <w:i/>
          <w:u w:val="single"/>
        </w:rPr>
        <w:t>kod</w:t>
      </w:r>
      <w:r w:rsidR="000534A2" w:rsidRPr="00207013">
        <w:rPr>
          <w:i/>
          <w:u w:val="single"/>
        </w:rPr>
        <w:t xml:space="preserve"> zdravih da</w:t>
      </w:r>
      <w:r w:rsidRPr="00207013">
        <w:rPr>
          <w:i/>
          <w:u w:val="single"/>
        </w:rPr>
        <w:t>valaca</w:t>
      </w:r>
      <w:r w:rsidR="000534A2" w:rsidRPr="00207013">
        <w:rPr>
          <w:i/>
          <w:u w:val="single"/>
        </w:rPr>
        <w:t xml:space="preserve"> prije transplantacije alogenih</w:t>
      </w:r>
      <w:r w:rsidR="000534A2" w:rsidRPr="00207013">
        <w:rPr>
          <w:i/>
        </w:rPr>
        <w:t xml:space="preserve"> </w:t>
      </w:r>
      <w:r w:rsidR="00D14DE6" w:rsidRPr="00207013">
        <w:rPr>
          <w:i/>
          <w:u w:val="single"/>
        </w:rPr>
        <w:t>progenitorskih ćelija</w:t>
      </w:r>
      <w:r w:rsidR="000534A2" w:rsidRPr="00207013">
        <w:rPr>
          <w:i/>
          <w:u w:val="single"/>
        </w:rPr>
        <w:t xml:space="preserve"> periferne krvi</w:t>
      </w:r>
    </w:p>
    <w:p w:rsidR="00FE5E30" w:rsidRPr="00207013" w:rsidRDefault="00FE5E30" w:rsidP="00B5774D">
      <w:pPr>
        <w:pStyle w:val="BodyText"/>
        <w:spacing w:before="11"/>
        <w:ind w:left="454" w:right="113"/>
        <w:jc w:val="both"/>
        <w:rPr>
          <w:i/>
          <w:sz w:val="13"/>
        </w:rPr>
      </w:pPr>
    </w:p>
    <w:p w:rsidR="00FE5E30" w:rsidRPr="00207013" w:rsidRDefault="000534A2" w:rsidP="00B5774D">
      <w:pPr>
        <w:pStyle w:val="BodyText"/>
        <w:spacing w:before="91"/>
        <w:ind w:left="454" w:right="113"/>
        <w:jc w:val="both"/>
      </w:pPr>
      <w:r w:rsidRPr="00207013">
        <w:t xml:space="preserve">Za mobilizaciju </w:t>
      </w:r>
      <w:r w:rsidR="00D14DE6" w:rsidRPr="00207013">
        <w:t>progenitorskih ćelija</w:t>
      </w:r>
      <w:r w:rsidR="004A61B4" w:rsidRPr="00207013">
        <w:t xml:space="preserve"> periferne krvi kod</w:t>
      </w:r>
      <w:r w:rsidRPr="00207013">
        <w:t xml:space="preserve"> zdravih da</w:t>
      </w:r>
      <w:r w:rsidR="004A61B4" w:rsidRPr="00207013">
        <w:t>valac</w:t>
      </w:r>
      <w:r w:rsidRPr="00207013">
        <w:t>a, filgrastim je potrebno primijeniti</w:t>
      </w:r>
      <w:r w:rsidR="004A61B4" w:rsidRPr="00207013">
        <w:t xml:space="preserve"> </w:t>
      </w:r>
      <w:r w:rsidR="001A27FB" w:rsidRPr="00207013">
        <w:t>u dozi od 1,0 M</w:t>
      </w:r>
      <w:r w:rsidR="00D4487C">
        <w:t>.</w:t>
      </w:r>
      <w:r w:rsidR="001A27FB" w:rsidRPr="00207013">
        <w:t>j.</w:t>
      </w:r>
      <w:r w:rsidRPr="00207013">
        <w:t xml:space="preserve"> (10 µg)/kg/dan </w:t>
      </w:r>
      <w:r w:rsidR="004272FF" w:rsidRPr="00207013">
        <w:t>tokom</w:t>
      </w:r>
      <w:r w:rsidRPr="00207013">
        <w:t xml:space="preserve"> 4-5 uzastopnih dana. Leuk</w:t>
      </w:r>
      <w:r w:rsidR="00200AF4">
        <w:t>o</w:t>
      </w:r>
      <w:r w:rsidRPr="00207013">
        <w:t>ferezu je potrebno započeti</w:t>
      </w:r>
      <w:r w:rsidR="004A61B4" w:rsidRPr="00207013">
        <w:t xml:space="preserve"> </w:t>
      </w:r>
      <w:r w:rsidR="00207013" w:rsidRPr="00207013">
        <w:t>5.</w:t>
      </w:r>
      <w:r w:rsidRPr="00207013">
        <w:t xml:space="preserve"> dana i, a</w:t>
      </w:r>
      <w:r w:rsidR="00207013" w:rsidRPr="00207013">
        <w:t>ko je potrebno, nastaviti do 6.</w:t>
      </w:r>
      <w:r w:rsidRPr="00207013">
        <w:t xml:space="preserve"> dana kako bi se prikupilo 4 x 10</w:t>
      </w:r>
      <w:r w:rsidRPr="00207013">
        <w:rPr>
          <w:vertAlign w:val="superscript"/>
        </w:rPr>
        <w:t>6</w:t>
      </w:r>
      <w:r w:rsidRPr="00207013">
        <w:t xml:space="preserve"> CD34</w:t>
      </w:r>
      <w:r w:rsidRPr="00207013">
        <w:rPr>
          <w:vertAlign w:val="superscript"/>
        </w:rPr>
        <w:t>+</w:t>
      </w:r>
      <w:r w:rsidRPr="00207013">
        <w:t xml:space="preserve"> </w:t>
      </w:r>
      <w:r w:rsidR="00D14DE6" w:rsidRPr="00207013">
        <w:t>ćelij</w:t>
      </w:r>
      <w:r w:rsidRPr="00207013">
        <w:t xml:space="preserve">a/kg tjelesne </w:t>
      </w:r>
      <w:r w:rsidR="00D9225F">
        <w:t xml:space="preserve">mase </w:t>
      </w:r>
      <w:r w:rsidRPr="00207013">
        <w:t>prima</w:t>
      </w:r>
      <w:r w:rsidR="004A61B4" w:rsidRPr="00207013">
        <w:t>oc</w:t>
      </w:r>
      <w:r w:rsidRPr="00207013">
        <w:t>a.</w:t>
      </w:r>
    </w:p>
    <w:p w:rsidR="00FE5E30" w:rsidRPr="00243A59" w:rsidRDefault="00FE5E30" w:rsidP="00B5774D">
      <w:pPr>
        <w:pStyle w:val="BodyText"/>
        <w:spacing w:before="3"/>
        <w:ind w:left="454" w:right="113"/>
        <w:jc w:val="both"/>
        <w:rPr>
          <w:color w:val="FF0000"/>
        </w:rPr>
      </w:pPr>
    </w:p>
    <w:p w:rsidR="00FE5E30" w:rsidRPr="00E15AC7" w:rsidRDefault="00302820" w:rsidP="00B5774D">
      <w:pPr>
        <w:ind w:left="454" w:right="113"/>
        <w:jc w:val="both"/>
        <w:rPr>
          <w:i/>
        </w:rPr>
      </w:pPr>
      <w:r w:rsidRPr="00E15AC7">
        <w:rPr>
          <w:i/>
          <w:u w:val="single"/>
        </w:rPr>
        <w:t>Pacijenti</w:t>
      </w:r>
      <w:r w:rsidR="000534A2" w:rsidRPr="00E15AC7">
        <w:rPr>
          <w:i/>
          <w:u w:val="single"/>
        </w:rPr>
        <w:t xml:space="preserve"> s</w:t>
      </w:r>
      <w:r w:rsidR="001374C3" w:rsidRPr="00E15AC7">
        <w:rPr>
          <w:i/>
          <w:u w:val="single"/>
        </w:rPr>
        <w:t>a</w:t>
      </w:r>
      <w:r w:rsidR="000534A2" w:rsidRPr="00E15AC7">
        <w:rPr>
          <w:i/>
          <w:u w:val="single"/>
        </w:rPr>
        <w:t xml:space="preserve"> teškom </w:t>
      </w:r>
      <w:r w:rsidR="001374C3" w:rsidRPr="00E15AC7">
        <w:rPr>
          <w:i/>
          <w:u w:val="single"/>
        </w:rPr>
        <w:t>hronič</w:t>
      </w:r>
      <w:r w:rsidR="000534A2" w:rsidRPr="00E15AC7">
        <w:rPr>
          <w:i/>
          <w:u w:val="single"/>
        </w:rPr>
        <w:t>nom neutropenijom</w:t>
      </w:r>
    </w:p>
    <w:p w:rsidR="00FE5E30" w:rsidRPr="00E15AC7" w:rsidRDefault="00FE5E30" w:rsidP="00B5774D">
      <w:pPr>
        <w:pStyle w:val="BodyText"/>
        <w:spacing w:before="10"/>
        <w:ind w:left="454" w:right="113"/>
        <w:jc w:val="both"/>
        <w:rPr>
          <w:i/>
          <w:sz w:val="13"/>
        </w:rPr>
      </w:pPr>
    </w:p>
    <w:p w:rsidR="00FE5E30" w:rsidRPr="00E15AC7" w:rsidRDefault="000534A2" w:rsidP="00B5774D">
      <w:pPr>
        <w:spacing w:before="91"/>
        <w:ind w:left="454" w:right="113"/>
        <w:jc w:val="both"/>
        <w:rPr>
          <w:i/>
        </w:rPr>
      </w:pPr>
      <w:r w:rsidRPr="00E15AC7">
        <w:rPr>
          <w:i/>
        </w:rPr>
        <w:t>Kongenitalna neutropenija</w:t>
      </w:r>
    </w:p>
    <w:p w:rsidR="00FA70DE" w:rsidRPr="00E15AC7" w:rsidRDefault="000534A2" w:rsidP="00B5774D">
      <w:pPr>
        <w:pStyle w:val="BodyText"/>
        <w:spacing w:before="1"/>
        <w:ind w:left="454" w:right="113"/>
        <w:jc w:val="both"/>
      </w:pPr>
      <w:r w:rsidRPr="00E15AC7">
        <w:t>Pr</w:t>
      </w:r>
      <w:r w:rsidR="001A27FB" w:rsidRPr="00E15AC7">
        <w:t>eporučena početna doza je 1,2 M</w:t>
      </w:r>
      <w:r w:rsidR="00942A92">
        <w:t>.</w:t>
      </w:r>
      <w:r w:rsidR="001A27FB" w:rsidRPr="00E15AC7">
        <w:t>j.</w:t>
      </w:r>
      <w:r w:rsidRPr="00E15AC7">
        <w:t xml:space="preserve"> (12 µg)/kg/dan primijenjena </w:t>
      </w:r>
      <w:r w:rsidR="00FA70DE" w:rsidRPr="00E15AC7">
        <w:t>kao pojedinačna doza ili u podijeljenim dozama.</w:t>
      </w:r>
    </w:p>
    <w:p w:rsidR="00FE5E30" w:rsidRPr="00E15AC7" w:rsidRDefault="00FE5E30" w:rsidP="00B5774D">
      <w:pPr>
        <w:pStyle w:val="BodyText"/>
        <w:spacing w:before="2"/>
        <w:ind w:left="454" w:right="113"/>
        <w:jc w:val="both"/>
        <w:rPr>
          <w:sz w:val="21"/>
        </w:rPr>
      </w:pPr>
    </w:p>
    <w:p w:rsidR="00FE5E30" w:rsidRPr="00E15AC7" w:rsidRDefault="000534A2" w:rsidP="00B5774D">
      <w:pPr>
        <w:ind w:left="454" w:right="113"/>
        <w:jc w:val="both"/>
        <w:rPr>
          <w:i/>
        </w:rPr>
      </w:pPr>
      <w:r w:rsidRPr="00E15AC7">
        <w:rPr>
          <w:i/>
        </w:rPr>
        <w:t>Idiopatska ili ciklička neutropenija</w:t>
      </w:r>
    </w:p>
    <w:p w:rsidR="00FE5E30" w:rsidRPr="00E15AC7" w:rsidRDefault="000534A2" w:rsidP="00B5774D">
      <w:pPr>
        <w:pStyle w:val="BodyText"/>
        <w:spacing w:before="1"/>
        <w:ind w:left="454" w:right="113"/>
        <w:jc w:val="both"/>
      </w:pPr>
      <w:r w:rsidRPr="00E15AC7">
        <w:t>Pr</w:t>
      </w:r>
      <w:r w:rsidR="001A27FB" w:rsidRPr="00E15AC7">
        <w:t>eporučena početna doza je 0,5 M</w:t>
      </w:r>
      <w:r w:rsidR="00942A92">
        <w:t>.</w:t>
      </w:r>
      <w:r w:rsidR="001A27FB" w:rsidRPr="00E15AC7">
        <w:t>j.</w:t>
      </w:r>
      <w:r w:rsidRPr="00E15AC7">
        <w:t xml:space="preserve"> (5 µg)/kg/dan primijenjena </w:t>
      </w:r>
      <w:r w:rsidR="00FA70DE" w:rsidRPr="00E15AC7">
        <w:t>kao pojedinačna doza ili u podijeljenim dozama.</w:t>
      </w:r>
    </w:p>
    <w:p w:rsidR="00FE5E30" w:rsidRPr="00243A59" w:rsidRDefault="00FE5E30" w:rsidP="00BB396E">
      <w:pPr>
        <w:pStyle w:val="BodyText"/>
        <w:spacing w:before="3"/>
        <w:ind w:left="454" w:right="113"/>
        <w:jc w:val="both"/>
        <w:rPr>
          <w:color w:val="FF0000"/>
        </w:rPr>
      </w:pPr>
    </w:p>
    <w:p w:rsidR="00FE5E30" w:rsidRPr="00D774FE" w:rsidRDefault="00006D20" w:rsidP="00BB396E">
      <w:pPr>
        <w:spacing w:line="251" w:lineRule="exact"/>
        <w:ind w:left="454" w:right="113"/>
        <w:jc w:val="both"/>
        <w:rPr>
          <w:b/>
          <w:i/>
        </w:rPr>
      </w:pPr>
      <w:r w:rsidRPr="00D774FE">
        <w:rPr>
          <w:b/>
          <w:i/>
        </w:rPr>
        <w:t>Prilagođavanje</w:t>
      </w:r>
      <w:r w:rsidR="000534A2" w:rsidRPr="00D774FE">
        <w:rPr>
          <w:b/>
          <w:i/>
        </w:rPr>
        <w:t xml:space="preserve"> doze</w:t>
      </w:r>
    </w:p>
    <w:p w:rsidR="00FE5E30" w:rsidRPr="00D774FE" w:rsidRDefault="000534A2" w:rsidP="00BB396E">
      <w:pPr>
        <w:pStyle w:val="BodyText"/>
        <w:ind w:left="454" w:right="113"/>
        <w:jc w:val="both"/>
      </w:pPr>
      <w:r w:rsidRPr="00D774FE">
        <w:t>Filgrastim je potrebno primjenjivati svakodnevno su</w:t>
      </w:r>
      <w:r w:rsidR="00D4487C">
        <w:t>b</w:t>
      </w:r>
      <w:r w:rsidRPr="00D774FE">
        <w:t xml:space="preserve">kutanom injekcijom sve dok broj neutrofila ne poraste i održi </w:t>
      </w:r>
      <w:r w:rsidRPr="00D774FE">
        <w:rPr>
          <w:spacing w:val="2"/>
        </w:rPr>
        <w:t xml:space="preserve">se </w:t>
      </w:r>
      <w:r w:rsidRPr="00D774FE">
        <w:t>iznad vrijednosti od 1,5 x 10</w:t>
      </w:r>
      <w:r w:rsidRPr="00D774FE">
        <w:rPr>
          <w:vertAlign w:val="superscript"/>
        </w:rPr>
        <w:t>9</w:t>
      </w:r>
      <w:r w:rsidRPr="00D774FE">
        <w:t xml:space="preserve">/l. Po odgovoru </w:t>
      </w:r>
      <w:r w:rsidRPr="00D774FE">
        <w:rPr>
          <w:spacing w:val="-3"/>
        </w:rPr>
        <w:t xml:space="preserve">na </w:t>
      </w:r>
      <w:r w:rsidRPr="00D774FE">
        <w:t xml:space="preserve">liječenje, potrebno je odrediti </w:t>
      </w:r>
      <w:r w:rsidR="00866481" w:rsidRPr="00D774FE">
        <w:t>minimalnu efektivnu dozu održavanja</w:t>
      </w:r>
      <w:r w:rsidRPr="00D774FE">
        <w:t xml:space="preserve">. Potrebna je dugotrajna svakodnevna </w:t>
      </w:r>
      <w:r w:rsidRPr="00D774FE">
        <w:rPr>
          <w:spacing w:val="-3"/>
        </w:rPr>
        <w:t xml:space="preserve">primjena </w:t>
      </w:r>
      <w:r w:rsidRPr="00D774FE">
        <w:t xml:space="preserve">kako bi </w:t>
      </w:r>
      <w:r w:rsidRPr="00D774FE">
        <w:rPr>
          <w:spacing w:val="2"/>
        </w:rPr>
        <w:t xml:space="preserve">se </w:t>
      </w:r>
      <w:r w:rsidRPr="00D774FE">
        <w:t>održao odgovaraju</w:t>
      </w:r>
      <w:r w:rsidR="00866481" w:rsidRPr="00D774FE">
        <w:t>ći broj neutrofila. Nakon jedne</w:t>
      </w:r>
      <w:r w:rsidRPr="00D774FE">
        <w:t xml:space="preserve"> do dv</w:t>
      </w:r>
      <w:r w:rsidR="00866481" w:rsidRPr="00D774FE">
        <w:t xml:space="preserve">ije nedjelje </w:t>
      </w:r>
      <w:r w:rsidRPr="00D774FE">
        <w:t xml:space="preserve">liječenja, početnu dozu moguće je udvostručiti ili smanjiti </w:t>
      </w:r>
      <w:r w:rsidRPr="00D774FE">
        <w:rPr>
          <w:spacing w:val="-3"/>
        </w:rPr>
        <w:t xml:space="preserve">na pola </w:t>
      </w:r>
      <w:r w:rsidR="00866481" w:rsidRPr="00D774FE">
        <w:rPr>
          <w:spacing w:val="-3"/>
        </w:rPr>
        <w:t>u zavisn</w:t>
      </w:r>
      <w:r w:rsidRPr="00D774FE">
        <w:t>o</w:t>
      </w:r>
      <w:r w:rsidR="00866481" w:rsidRPr="00D774FE">
        <w:t>sti</w:t>
      </w:r>
      <w:r w:rsidRPr="00D774FE">
        <w:t xml:space="preserve"> o</w:t>
      </w:r>
      <w:r w:rsidR="00866481" w:rsidRPr="00D774FE">
        <w:t>d odgovora pacij</w:t>
      </w:r>
      <w:r w:rsidR="00876519">
        <w:t>e</w:t>
      </w:r>
      <w:r w:rsidR="00866481" w:rsidRPr="00D774FE">
        <w:t>nta.</w:t>
      </w:r>
      <w:r w:rsidRPr="00D774FE">
        <w:t xml:space="preserve"> Nakon toga, dozu je kod svakog pojedinog </w:t>
      </w:r>
      <w:r w:rsidR="00866481" w:rsidRPr="00D774FE">
        <w:t>p</w:t>
      </w:r>
      <w:r w:rsidR="00302820" w:rsidRPr="00D774FE">
        <w:t>acijent</w:t>
      </w:r>
      <w:r w:rsidR="00866481" w:rsidRPr="00D774FE">
        <w:t>a moguće prilagođavati svake</w:t>
      </w:r>
      <w:r w:rsidRPr="00D774FE">
        <w:t xml:space="preserve"> 1-2 </w:t>
      </w:r>
      <w:r w:rsidR="00866481" w:rsidRPr="00D774FE">
        <w:t>nedjelje</w:t>
      </w:r>
      <w:r w:rsidRPr="00D774FE">
        <w:t xml:space="preserve"> kako bi </w:t>
      </w:r>
      <w:r w:rsidRPr="00D774FE">
        <w:rPr>
          <w:spacing w:val="2"/>
        </w:rPr>
        <w:t xml:space="preserve">se </w:t>
      </w:r>
      <w:r w:rsidRPr="00D774FE">
        <w:t xml:space="preserve">prosječan broj neutrofila održao </w:t>
      </w:r>
      <w:r w:rsidRPr="00D774FE">
        <w:rPr>
          <w:spacing w:val="-3"/>
        </w:rPr>
        <w:t xml:space="preserve">na </w:t>
      </w:r>
      <w:r w:rsidRPr="00D774FE">
        <w:t>vrijednostima između 1,5 x 10</w:t>
      </w:r>
      <w:r w:rsidRPr="00D774FE">
        <w:rPr>
          <w:vertAlign w:val="superscript"/>
        </w:rPr>
        <w:t>9</w:t>
      </w:r>
      <w:r w:rsidRPr="00D774FE">
        <w:t>/l i 10 x 10</w:t>
      </w:r>
      <w:r w:rsidRPr="00D774FE">
        <w:rPr>
          <w:vertAlign w:val="superscript"/>
        </w:rPr>
        <w:t>9</w:t>
      </w:r>
      <w:r w:rsidRPr="00D774FE">
        <w:t xml:space="preserve">/l. Brži raspored povećanja doze može </w:t>
      </w:r>
      <w:r w:rsidRPr="00D774FE">
        <w:rPr>
          <w:spacing w:val="2"/>
        </w:rPr>
        <w:t xml:space="preserve">se </w:t>
      </w:r>
      <w:r w:rsidR="00866481" w:rsidRPr="00D774FE">
        <w:t>razmotriti kod</w:t>
      </w:r>
      <w:r w:rsidRPr="00D774FE">
        <w:t xml:space="preserve"> </w:t>
      </w:r>
      <w:r w:rsidR="00866481" w:rsidRPr="00D774FE">
        <w:t>p</w:t>
      </w:r>
      <w:r w:rsidR="00302820" w:rsidRPr="00D774FE">
        <w:t>acijen</w:t>
      </w:r>
      <w:r w:rsidR="00866481" w:rsidRPr="00D774FE">
        <w:t>a</w:t>
      </w:r>
      <w:r w:rsidR="00302820" w:rsidRPr="00D774FE">
        <w:t>t</w:t>
      </w:r>
      <w:r w:rsidRPr="00D774FE">
        <w:t>a koji imaju teške infekcije. U kliničkim je ispitivanjima 97%</w:t>
      </w:r>
      <w:r w:rsidRPr="00D774FE">
        <w:rPr>
          <w:spacing w:val="-35"/>
        </w:rPr>
        <w:t xml:space="preserve"> </w:t>
      </w:r>
      <w:r w:rsidR="00866481" w:rsidRPr="00D774FE">
        <w:rPr>
          <w:spacing w:val="-35"/>
        </w:rPr>
        <w:t xml:space="preserve"> </w:t>
      </w:r>
      <w:r w:rsidR="00866481" w:rsidRPr="00D774FE">
        <w:t xml:space="preserve"> pacijenata</w:t>
      </w:r>
      <w:r w:rsidRPr="00D774FE">
        <w:t xml:space="preserve"> koji su odgovorili </w:t>
      </w:r>
      <w:r w:rsidRPr="00D774FE">
        <w:rPr>
          <w:spacing w:val="-3"/>
        </w:rPr>
        <w:t xml:space="preserve">na </w:t>
      </w:r>
      <w:r w:rsidRPr="00D774FE">
        <w:t xml:space="preserve">liječenje imalo potpuni odgovor pri dozama ≤ 24 µg/kg/dan. </w:t>
      </w:r>
      <w:r w:rsidR="00866481" w:rsidRPr="00D774FE">
        <w:t>Bezbjednost</w:t>
      </w:r>
      <w:r w:rsidRPr="00D774FE">
        <w:t xml:space="preserve"> dugotrajne primjene filgrastima u </w:t>
      </w:r>
      <w:r w:rsidRPr="00D774FE">
        <w:rPr>
          <w:spacing w:val="-3"/>
        </w:rPr>
        <w:t xml:space="preserve">dozama </w:t>
      </w:r>
      <w:r w:rsidRPr="00D774FE">
        <w:t xml:space="preserve">većim od 24 µg/kg/dan </w:t>
      </w:r>
      <w:r w:rsidR="00866481" w:rsidRPr="00D774FE">
        <w:t>kod pacijenata</w:t>
      </w:r>
      <w:r w:rsidRPr="00D774FE">
        <w:t xml:space="preserve"> s</w:t>
      </w:r>
      <w:r w:rsidR="00866481" w:rsidRPr="00D774FE">
        <w:t>a</w:t>
      </w:r>
      <w:r w:rsidRPr="00D774FE">
        <w:t xml:space="preserve"> teškom </w:t>
      </w:r>
      <w:r w:rsidR="001374C3" w:rsidRPr="00D774FE">
        <w:t>hronič</w:t>
      </w:r>
      <w:r w:rsidRPr="00D774FE">
        <w:t>nom neutropenijom nije</w:t>
      </w:r>
      <w:r w:rsidRPr="00D774FE">
        <w:rPr>
          <w:spacing w:val="-7"/>
        </w:rPr>
        <w:t xml:space="preserve"> </w:t>
      </w:r>
      <w:r w:rsidRPr="00D774FE">
        <w:t>utvrđena.</w:t>
      </w:r>
    </w:p>
    <w:p w:rsidR="00FE5E30" w:rsidRPr="00D774FE" w:rsidRDefault="00FE5E30" w:rsidP="00BB396E">
      <w:pPr>
        <w:pStyle w:val="BodyText"/>
        <w:spacing w:before="1"/>
        <w:ind w:left="454" w:right="113"/>
        <w:jc w:val="both"/>
      </w:pPr>
    </w:p>
    <w:p w:rsidR="00FE5E30" w:rsidRPr="00D774FE" w:rsidRDefault="00302820" w:rsidP="00BB396E">
      <w:pPr>
        <w:spacing w:before="1"/>
        <w:ind w:left="454" w:right="113"/>
        <w:jc w:val="both"/>
        <w:rPr>
          <w:i/>
        </w:rPr>
      </w:pPr>
      <w:r w:rsidRPr="00D774FE">
        <w:rPr>
          <w:i/>
          <w:u w:val="single"/>
        </w:rPr>
        <w:t>Pacijenti</w:t>
      </w:r>
      <w:r w:rsidR="008B5499" w:rsidRPr="00D774FE">
        <w:rPr>
          <w:i/>
          <w:u w:val="single"/>
        </w:rPr>
        <w:t xml:space="preserve"> s</w:t>
      </w:r>
      <w:r w:rsidR="00362288" w:rsidRPr="00D774FE">
        <w:rPr>
          <w:i/>
          <w:u w:val="single"/>
        </w:rPr>
        <w:t>a</w:t>
      </w:r>
      <w:r w:rsidR="008B5499" w:rsidRPr="00D774FE">
        <w:rPr>
          <w:i/>
          <w:u w:val="single"/>
        </w:rPr>
        <w:t xml:space="preserve"> HIV </w:t>
      </w:r>
      <w:r w:rsidR="000534A2" w:rsidRPr="00D774FE">
        <w:rPr>
          <w:i/>
          <w:u w:val="single"/>
        </w:rPr>
        <w:t>infekcijom</w:t>
      </w:r>
    </w:p>
    <w:p w:rsidR="00FE5E30" w:rsidRPr="00243A59" w:rsidRDefault="00FE5E30" w:rsidP="00BB396E">
      <w:pPr>
        <w:pStyle w:val="BodyText"/>
        <w:spacing w:before="10"/>
        <w:ind w:left="454" w:right="113"/>
        <w:jc w:val="both"/>
        <w:rPr>
          <w:i/>
          <w:color w:val="FF0000"/>
          <w:sz w:val="13"/>
        </w:rPr>
      </w:pPr>
    </w:p>
    <w:p w:rsidR="00FE5E30" w:rsidRPr="006D4B9A" w:rsidRDefault="000534A2" w:rsidP="00BB396E">
      <w:pPr>
        <w:spacing w:before="91"/>
        <w:ind w:left="454" w:right="113"/>
        <w:jc w:val="both"/>
        <w:rPr>
          <w:i/>
        </w:rPr>
      </w:pPr>
      <w:r w:rsidRPr="00E52657">
        <w:rPr>
          <w:i/>
        </w:rPr>
        <w:t xml:space="preserve">Za </w:t>
      </w:r>
      <w:r w:rsidR="00362288" w:rsidRPr="00E52657">
        <w:rPr>
          <w:i/>
        </w:rPr>
        <w:t>reverziju</w:t>
      </w:r>
      <w:r w:rsidRPr="006D4B9A">
        <w:rPr>
          <w:i/>
        </w:rPr>
        <w:t xml:space="preserve"> neutropenije</w:t>
      </w:r>
    </w:p>
    <w:p w:rsidR="006D4B9A" w:rsidRDefault="000534A2" w:rsidP="00BB396E">
      <w:pPr>
        <w:pStyle w:val="BodyText"/>
        <w:spacing w:before="1"/>
        <w:ind w:left="454" w:right="113"/>
        <w:jc w:val="both"/>
      </w:pPr>
      <w:r w:rsidRPr="006D4B9A">
        <w:t>Preporučena po</w:t>
      </w:r>
      <w:r w:rsidR="001A27FB" w:rsidRPr="006D4B9A">
        <w:t>četna doza filgrastima je 0,1 M</w:t>
      </w:r>
      <w:r w:rsidR="006D4B9A" w:rsidRPr="006D4B9A">
        <w:t>.</w:t>
      </w:r>
      <w:r w:rsidR="001A27FB" w:rsidRPr="006D4B9A">
        <w:t>j.</w:t>
      </w:r>
      <w:r w:rsidRPr="006D4B9A">
        <w:t xml:space="preserve"> (1 µg)/kg/dan </w:t>
      </w:r>
      <w:r w:rsidR="001A27FB" w:rsidRPr="006D4B9A">
        <w:t>uz titraciju do najviše 0,4 M</w:t>
      </w:r>
      <w:r w:rsidR="006D4B9A" w:rsidRPr="006D4B9A">
        <w:t>.</w:t>
      </w:r>
      <w:r w:rsidR="001A27FB" w:rsidRPr="006D4B9A">
        <w:t>j.</w:t>
      </w:r>
      <w:r w:rsidRPr="006D4B9A">
        <w:t xml:space="preserve"> (4 µg)/kg/dan dok se ne postigne normalan broj neutrofila koji je moguće održati (ABN &gt; 2,0 x 10</w:t>
      </w:r>
      <w:r w:rsidRPr="006D4B9A">
        <w:rPr>
          <w:vertAlign w:val="superscript"/>
        </w:rPr>
        <w:t>9</w:t>
      </w:r>
      <w:r w:rsidRPr="006D4B9A">
        <w:t xml:space="preserve">/l). U kliničkim studijama, više od 90% </w:t>
      </w:r>
      <w:r w:rsidR="00362288" w:rsidRPr="006D4B9A">
        <w:t>pacijenata</w:t>
      </w:r>
      <w:r w:rsidRPr="006D4B9A">
        <w:t xml:space="preserve"> je odgovorilo na te doze, postižući </w:t>
      </w:r>
      <w:r w:rsidR="00362288" w:rsidRPr="006D4B9A">
        <w:t xml:space="preserve">reverziju </w:t>
      </w:r>
      <w:r w:rsidRPr="006D4B9A">
        <w:t>neutropenije s</w:t>
      </w:r>
      <w:r w:rsidR="00362288" w:rsidRPr="006D4B9A">
        <w:t>a</w:t>
      </w:r>
      <w:r w:rsidRPr="006D4B9A">
        <w:t xml:space="preserve"> medijanom od 2 dana. </w:t>
      </w:r>
      <w:r w:rsidR="006D4B9A">
        <w:t xml:space="preserve"> </w:t>
      </w:r>
    </w:p>
    <w:p w:rsidR="00FE5E30" w:rsidRPr="006D4B9A" w:rsidRDefault="000534A2" w:rsidP="00BB396E">
      <w:pPr>
        <w:pStyle w:val="BodyText"/>
        <w:spacing w:before="1"/>
        <w:ind w:left="454" w:right="113"/>
        <w:jc w:val="both"/>
      </w:pPr>
      <w:r w:rsidRPr="006D4B9A">
        <w:t xml:space="preserve">Malom broju </w:t>
      </w:r>
      <w:r w:rsidR="00362288" w:rsidRPr="006D4B9A">
        <w:t>p</w:t>
      </w:r>
      <w:r w:rsidR="00302820" w:rsidRPr="006D4B9A">
        <w:t>acijen</w:t>
      </w:r>
      <w:r w:rsidR="00362288" w:rsidRPr="006D4B9A">
        <w:t>a</w:t>
      </w:r>
      <w:r w:rsidR="00302820" w:rsidRPr="006D4B9A">
        <w:t>t</w:t>
      </w:r>
      <w:r w:rsidRPr="006D4B9A">
        <w:t>a (&lt; 10%),</w:t>
      </w:r>
      <w:r w:rsidR="001A27FB" w:rsidRPr="006D4B9A">
        <w:t xml:space="preserve"> bile su potrebne doze do 1,0 M</w:t>
      </w:r>
      <w:r w:rsidR="006D4B9A">
        <w:t>.</w:t>
      </w:r>
      <w:r w:rsidR="001A27FB" w:rsidRPr="006D4B9A">
        <w:t>j.</w:t>
      </w:r>
      <w:r w:rsidRPr="006D4B9A">
        <w:t xml:space="preserve"> (10 µg)/kg/dan kako bi se postig</w:t>
      </w:r>
      <w:r w:rsidR="00362288" w:rsidRPr="006D4B9A">
        <w:t>l</w:t>
      </w:r>
      <w:r w:rsidRPr="006D4B9A">
        <w:t xml:space="preserve">a </w:t>
      </w:r>
      <w:r w:rsidR="00362288" w:rsidRPr="006D4B9A">
        <w:t>rever</w:t>
      </w:r>
      <w:r w:rsidR="00EE783E" w:rsidRPr="006D4B9A">
        <w:t>z</w:t>
      </w:r>
      <w:r w:rsidR="00362288" w:rsidRPr="006D4B9A">
        <w:t>ija</w:t>
      </w:r>
      <w:r w:rsidRPr="006D4B9A">
        <w:t xml:space="preserve"> neutropenije.</w:t>
      </w:r>
    </w:p>
    <w:p w:rsidR="00FE5E30" w:rsidRPr="00243A59" w:rsidRDefault="00FE5E30" w:rsidP="00BB396E">
      <w:pPr>
        <w:pStyle w:val="BodyText"/>
        <w:spacing w:before="11"/>
        <w:ind w:left="454" w:right="113"/>
        <w:jc w:val="both"/>
        <w:rPr>
          <w:color w:val="FF0000"/>
          <w:sz w:val="21"/>
        </w:rPr>
      </w:pPr>
    </w:p>
    <w:p w:rsidR="00FE5E30" w:rsidRPr="00CB0B17" w:rsidRDefault="000534A2" w:rsidP="00BB396E">
      <w:pPr>
        <w:ind w:left="454" w:right="113"/>
        <w:jc w:val="both"/>
        <w:rPr>
          <w:i/>
        </w:rPr>
      </w:pPr>
      <w:r w:rsidRPr="00CB0B17">
        <w:rPr>
          <w:i/>
        </w:rPr>
        <w:t>Za održavanje normalnog broja neutrofila</w:t>
      </w:r>
    </w:p>
    <w:p w:rsidR="00FE5E30" w:rsidRPr="00A7567F" w:rsidRDefault="000534A2" w:rsidP="00BB396E">
      <w:pPr>
        <w:pStyle w:val="BodyText"/>
        <w:spacing w:before="40" w:line="273" w:lineRule="auto"/>
        <w:ind w:left="454" w:right="113"/>
        <w:jc w:val="both"/>
      </w:pPr>
      <w:r w:rsidRPr="00CB0B17">
        <w:t>Nakon što se posti</w:t>
      </w:r>
      <w:r w:rsidR="005F772D" w:rsidRPr="00CB0B17">
        <w:t>gne reverzija</w:t>
      </w:r>
      <w:r w:rsidRPr="00CB0B17">
        <w:t xml:space="preserve"> neutropenije, potrebno je odrediti </w:t>
      </w:r>
      <w:r w:rsidR="005F772D" w:rsidRPr="00CB0B17">
        <w:t>minimalnu efektivnu</w:t>
      </w:r>
      <w:r w:rsidRPr="00CB0B17">
        <w:t xml:space="preserve"> dozu za održavanje normalnog broja ne</w:t>
      </w:r>
      <w:r w:rsidR="005F772D" w:rsidRPr="00CB0B17">
        <w:t>utrofila. Preporučuje se početno</w:t>
      </w:r>
      <w:r w:rsidRPr="00CB0B17">
        <w:t xml:space="preserve"> </w:t>
      </w:r>
      <w:r w:rsidR="00006D20" w:rsidRPr="00CB0B17">
        <w:t>prilagođavanje</w:t>
      </w:r>
      <w:r w:rsidRPr="00CB0B17">
        <w:t xml:space="preserve"> doze na 30 M</w:t>
      </w:r>
      <w:r w:rsidR="00CB0B17" w:rsidRPr="00CB0B17">
        <w:t>.</w:t>
      </w:r>
      <w:r w:rsidR="001A27FB" w:rsidRPr="00CB0B17">
        <w:t>j.</w:t>
      </w:r>
      <w:r w:rsidRPr="00CB0B17">
        <w:t xml:space="preserve">/dan </w:t>
      </w:r>
      <w:r w:rsidR="00BB396E">
        <w:t xml:space="preserve"> </w:t>
      </w:r>
      <w:r w:rsidRPr="00A7567F">
        <w:t>(300</w:t>
      </w:r>
      <w:r w:rsidR="005F772D" w:rsidRPr="00A7567F">
        <w:t xml:space="preserve"> </w:t>
      </w:r>
      <w:r w:rsidRPr="00A7567F">
        <w:t>µg)/dan primijenjena svaki dru</w:t>
      </w:r>
      <w:r w:rsidR="005F772D" w:rsidRPr="00A7567F">
        <w:t>gi dan. Može biti potrebno dalje</w:t>
      </w:r>
      <w:r w:rsidRPr="00A7567F">
        <w:t xml:space="preserve"> </w:t>
      </w:r>
      <w:r w:rsidR="00006D20" w:rsidRPr="00A7567F">
        <w:t>prilagođavanje</w:t>
      </w:r>
      <w:r w:rsidRPr="00A7567F">
        <w:t xml:space="preserve"> doze, što se određuje prema ABN </w:t>
      </w:r>
      <w:r w:rsidR="005F772D" w:rsidRPr="00A7567F">
        <w:t>p</w:t>
      </w:r>
      <w:r w:rsidR="00302820" w:rsidRPr="00A7567F">
        <w:t>acijent</w:t>
      </w:r>
      <w:r w:rsidRPr="00A7567F">
        <w:t>a, za održavanje broja neutrofila na &gt; 2,0 x 10</w:t>
      </w:r>
      <w:r w:rsidRPr="00A7567F">
        <w:rPr>
          <w:vertAlign w:val="superscript"/>
        </w:rPr>
        <w:t>9</w:t>
      </w:r>
      <w:r w:rsidRPr="00A7567F">
        <w:t xml:space="preserve">/l. U kliničkim </w:t>
      </w:r>
      <w:r w:rsidR="00276FC2">
        <w:t>studijama</w:t>
      </w:r>
      <w:r w:rsidR="00276FC2" w:rsidRPr="00A7567F">
        <w:t xml:space="preserve"> </w:t>
      </w:r>
      <w:r w:rsidR="005F772D" w:rsidRPr="00A7567F">
        <w:t xml:space="preserve">je </w:t>
      </w:r>
      <w:r w:rsidRPr="00A7567F">
        <w:t>bila potrebna primjena doze od 30 M</w:t>
      </w:r>
      <w:r w:rsidR="00276FC2">
        <w:t>.</w:t>
      </w:r>
      <w:r w:rsidR="001A27FB" w:rsidRPr="00A7567F">
        <w:t>j.</w:t>
      </w:r>
      <w:r w:rsidR="00276FC2">
        <w:t xml:space="preserve"> </w:t>
      </w:r>
      <w:r w:rsidRPr="00A7567F">
        <w:t xml:space="preserve">(300 µg)/dan 1 do 7 dana </w:t>
      </w:r>
      <w:r w:rsidR="005F772D" w:rsidRPr="00A7567F">
        <w:t>nedjeljno</w:t>
      </w:r>
      <w:r w:rsidRPr="00A7567F">
        <w:t xml:space="preserve"> kako bi se održao ABN &gt; 2,0 x 10</w:t>
      </w:r>
      <w:r w:rsidRPr="00A7567F">
        <w:rPr>
          <w:vertAlign w:val="superscript"/>
        </w:rPr>
        <w:t>9</w:t>
      </w:r>
      <w:r w:rsidRPr="00A7567F">
        <w:t>/l, uz medijan</w:t>
      </w:r>
      <w:r w:rsidR="005F772D" w:rsidRPr="00A7567F">
        <w:t>u</w:t>
      </w:r>
      <w:r w:rsidRPr="00A7567F">
        <w:t xml:space="preserve"> učestalosti doziranja od 3 dana </w:t>
      </w:r>
      <w:r w:rsidR="005F772D" w:rsidRPr="00A7567F">
        <w:t>nedjelj</w:t>
      </w:r>
      <w:r w:rsidRPr="00A7567F">
        <w:t>no. Može biti potrebna dugotrajna primjena kako bi se održao ABN &gt; 2,0 x 10</w:t>
      </w:r>
      <w:r w:rsidRPr="00A7567F">
        <w:rPr>
          <w:vertAlign w:val="superscript"/>
        </w:rPr>
        <w:t>9</w:t>
      </w:r>
      <w:r w:rsidRPr="00A7567F">
        <w:t>/l.</w:t>
      </w:r>
    </w:p>
    <w:p w:rsidR="00FE5E30" w:rsidRPr="00243A59" w:rsidRDefault="00FE5E30" w:rsidP="00BB396E">
      <w:pPr>
        <w:pStyle w:val="BodyText"/>
        <w:spacing w:before="4"/>
        <w:ind w:left="454" w:right="113"/>
        <w:jc w:val="both"/>
        <w:rPr>
          <w:color w:val="FF0000"/>
        </w:rPr>
      </w:pPr>
    </w:p>
    <w:p w:rsidR="00BF332D" w:rsidRDefault="000534A2" w:rsidP="00BB396E">
      <w:pPr>
        <w:spacing w:line="237" w:lineRule="auto"/>
        <w:ind w:left="454" w:right="113"/>
        <w:jc w:val="both"/>
        <w:rPr>
          <w:i/>
        </w:rPr>
      </w:pPr>
      <w:r w:rsidRPr="00A7567F">
        <w:rPr>
          <w:i/>
          <w:u w:val="single"/>
        </w:rPr>
        <w:t>Posebne populacije</w:t>
      </w:r>
      <w:r w:rsidRPr="00A7567F">
        <w:rPr>
          <w:i/>
        </w:rPr>
        <w:t xml:space="preserve"> </w:t>
      </w:r>
    </w:p>
    <w:p w:rsidR="00BF332D" w:rsidRDefault="00BF332D" w:rsidP="00BB396E">
      <w:pPr>
        <w:spacing w:line="237" w:lineRule="auto"/>
        <w:ind w:left="454" w:right="113"/>
        <w:jc w:val="both"/>
        <w:rPr>
          <w:i/>
        </w:rPr>
      </w:pPr>
    </w:p>
    <w:p w:rsidR="00FE5E30" w:rsidRPr="00A7567F" w:rsidRDefault="000534A2" w:rsidP="00BB396E">
      <w:pPr>
        <w:spacing w:line="237" w:lineRule="auto"/>
        <w:ind w:left="454" w:right="113"/>
        <w:jc w:val="both"/>
        <w:rPr>
          <w:i/>
        </w:rPr>
      </w:pPr>
      <w:r w:rsidRPr="00A7567F">
        <w:rPr>
          <w:i/>
        </w:rPr>
        <w:t>Starije osobe</w:t>
      </w:r>
    </w:p>
    <w:p w:rsidR="00FE5E30" w:rsidRPr="00A7567F" w:rsidRDefault="00FE5E30" w:rsidP="00BB396E">
      <w:pPr>
        <w:pStyle w:val="BodyText"/>
        <w:spacing w:before="2"/>
        <w:ind w:left="454" w:right="113"/>
        <w:jc w:val="both"/>
        <w:rPr>
          <w:i/>
        </w:rPr>
      </w:pPr>
    </w:p>
    <w:p w:rsidR="00FE5E30" w:rsidRPr="00A7567F" w:rsidRDefault="000534A2" w:rsidP="00BB396E">
      <w:pPr>
        <w:pStyle w:val="BodyText"/>
        <w:ind w:left="454" w:right="113"/>
        <w:jc w:val="both"/>
      </w:pPr>
      <w:r w:rsidRPr="00A7567F">
        <w:t>Klinička ispitivanja s</w:t>
      </w:r>
      <w:r w:rsidR="00C37B0B" w:rsidRPr="00A7567F">
        <w:t>a</w:t>
      </w:r>
      <w:r w:rsidRPr="00A7567F">
        <w:t xml:space="preserve"> filgrastimom uključivala su i mali broj starijih </w:t>
      </w:r>
      <w:r w:rsidR="00C37B0B" w:rsidRPr="00A7567F">
        <w:t>p</w:t>
      </w:r>
      <w:r w:rsidR="00302820" w:rsidRPr="00A7567F">
        <w:t>acijen</w:t>
      </w:r>
      <w:r w:rsidR="00C37B0B" w:rsidRPr="00A7567F">
        <w:t>a</w:t>
      </w:r>
      <w:r w:rsidR="00302820" w:rsidRPr="00A7567F">
        <w:t>t</w:t>
      </w:r>
      <w:r w:rsidRPr="00A7567F">
        <w:t xml:space="preserve">a, ali posebna ispitivanja nisu </w:t>
      </w:r>
      <w:r w:rsidR="00C37B0B" w:rsidRPr="00A7567F">
        <w:t>s</w:t>
      </w:r>
      <w:r w:rsidRPr="00A7567F">
        <w:t xml:space="preserve">provedena u ovoj </w:t>
      </w:r>
      <w:r w:rsidR="00C37B0B" w:rsidRPr="00A7567F">
        <w:t>gr</w:t>
      </w:r>
      <w:r w:rsidRPr="00A7567F">
        <w:t xml:space="preserve">upi </w:t>
      </w:r>
      <w:r w:rsidR="00C37B0B" w:rsidRPr="00A7567F">
        <w:t>p</w:t>
      </w:r>
      <w:r w:rsidR="00302820" w:rsidRPr="00A7567F">
        <w:t>acijen</w:t>
      </w:r>
      <w:r w:rsidR="00C37B0B" w:rsidRPr="00A7567F">
        <w:t>a</w:t>
      </w:r>
      <w:r w:rsidR="00302820" w:rsidRPr="00A7567F">
        <w:t>t</w:t>
      </w:r>
      <w:r w:rsidRPr="00A7567F">
        <w:t>a</w:t>
      </w:r>
      <w:r w:rsidR="00276FC2">
        <w:t>,</w:t>
      </w:r>
      <w:r w:rsidRPr="00A7567F">
        <w:t xml:space="preserve"> </w:t>
      </w:r>
      <w:r w:rsidR="00C37B0B" w:rsidRPr="00A7567F">
        <w:t xml:space="preserve">pa se zato </w:t>
      </w:r>
      <w:r w:rsidR="00DC462B" w:rsidRPr="00A7567F">
        <w:t>i</w:t>
      </w:r>
      <w:r w:rsidR="00C37B0B" w:rsidRPr="00A7567F">
        <w:t xml:space="preserve"> ne mogu dati</w:t>
      </w:r>
      <w:r w:rsidRPr="00A7567F">
        <w:t xml:space="preserve"> posebne preporuke za doziranje.</w:t>
      </w:r>
    </w:p>
    <w:p w:rsidR="00FE5E30" w:rsidRPr="00243A59" w:rsidRDefault="00FE5E30" w:rsidP="00BB396E">
      <w:pPr>
        <w:pStyle w:val="BodyText"/>
        <w:spacing w:before="1"/>
        <w:ind w:left="454" w:right="113"/>
        <w:jc w:val="both"/>
        <w:rPr>
          <w:color w:val="FF0000"/>
        </w:rPr>
      </w:pPr>
    </w:p>
    <w:p w:rsidR="00FE5E30" w:rsidRPr="00A7567F" w:rsidRDefault="00302820" w:rsidP="00BB396E">
      <w:pPr>
        <w:spacing w:after="240"/>
        <w:ind w:left="454" w:right="113"/>
        <w:jc w:val="both"/>
        <w:rPr>
          <w:i/>
        </w:rPr>
      </w:pPr>
      <w:r w:rsidRPr="00A7567F">
        <w:rPr>
          <w:i/>
        </w:rPr>
        <w:t>Pacijenti</w:t>
      </w:r>
      <w:r w:rsidR="000534A2" w:rsidRPr="00A7567F">
        <w:rPr>
          <w:i/>
        </w:rPr>
        <w:t xml:space="preserve"> s</w:t>
      </w:r>
      <w:r w:rsidR="00C37B0B" w:rsidRPr="00A7567F">
        <w:rPr>
          <w:i/>
        </w:rPr>
        <w:t>a</w:t>
      </w:r>
      <w:r w:rsidR="000534A2" w:rsidRPr="00A7567F">
        <w:rPr>
          <w:i/>
        </w:rPr>
        <w:t xml:space="preserve"> oštećenjem funkcije bubrega</w:t>
      </w:r>
    </w:p>
    <w:p w:rsidR="00FE5E30" w:rsidRPr="00A7567F" w:rsidRDefault="000534A2" w:rsidP="00BB396E">
      <w:pPr>
        <w:pStyle w:val="BodyText"/>
        <w:spacing w:before="66"/>
        <w:ind w:left="454" w:right="113"/>
        <w:jc w:val="both"/>
      </w:pPr>
      <w:r w:rsidRPr="00A7567F">
        <w:t xml:space="preserve">Ispitivanja filgrastima </w:t>
      </w:r>
      <w:r w:rsidR="00C37B0B" w:rsidRPr="00A7567F">
        <w:t>kod p</w:t>
      </w:r>
      <w:r w:rsidR="00302820" w:rsidRPr="00A7567F">
        <w:t>acijen</w:t>
      </w:r>
      <w:r w:rsidR="00C37B0B" w:rsidRPr="00A7567F">
        <w:t>a</w:t>
      </w:r>
      <w:r w:rsidR="00276FC2">
        <w:t>t</w:t>
      </w:r>
      <w:r w:rsidRPr="00A7567F">
        <w:t>a s</w:t>
      </w:r>
      <w:r w:rsidR="00C37B0B" w:rsidRPr="00A7567F">
        <w:t>a</w:t>
      </w:r>
      <w:r w:rsidRPr="00A7567F">
        <w:t xml:space="preserve"> teškim oštećenjem funkcije bubrega ili jetre pokazuju farmakokinetički i farmakodinamički profil sličan onome kod zdravih pojedinaca. U takvim okolnostima nije potrebn</w:t>
      </w:r>
      <w:r w:rsidR="00276FC2">
        <w:t>o</w:t>
      </w:r>
      <w:r w:rsidRPr="00A7567F">
        <w:t xml:space="preserve"> </w:t>
      </w:r>
      <w:r w:rsidR="00006D20" w:rsidRPr="00A7567F">
        <w:t>prilagođavanje</w:t>
      </w:r>
      <w:r w:rsidRPr="00A7567F">
        <w:t xml:space="preserve"> doze.</w:t>
      </w:r>
    </w:p>
    <w:p w:rsidR="00FE5E30" w:rsidRPr="00A7567F" w:rsidRDefault="00FE5E30" w:rsidP="00BB396E">
      <w:pPr>
        <w:pStyle w:val="BodyText"/>
        <w:ind w:left="454" w:right="113"/>
        <w:jc w:val="both"/>
      </w:pPr>
    </w:p>
    <w:p w:rsidR="00FE5E30" w:rsidRPr="00A7567F" w:rsidRDefault="000534A2" w:rsidP="00BB396E">
      <w:pPr>
        <w:ind w:left="454" w:right="113"/>
        <w:jc w:val="both"/>
        <w:rPr>
          <w:i/>
        </w:rPr>
      </w:pPr>
      <w:r w:rsidRPr="00A7567F">
        <w:rPr>
          <w:i/>
        </w:rPr>
        <w:t xml:space="preserve">Pedijatrijski </w:t>
      </w:r>
      <w:r w:rsidR="00C37B0B" w:rsidRPr="00A7567F">
        <w:rPr>
          <w:i/>
        </w:rPr>
        <w:t>p</w:t>
      </w:r>
      <w:r w:rsidR="00302820" w:rsidRPr="00A7567F">
        <w:rPr>
          <w:i/>
        </w:rPr>
        <w:t>acijenti</w:t>
      </w:r>
      <w:r w:rsidRPr="00A7567F">
        <w:rPr>
          <w:i/>
        </w:rPr>
        <w:t xml:space="preserve"> s</w:t>
      </w:r>
      <w:r w:rsidR="00C37B0B" w:rsidRPr="00A7567F">
        <w:rPr>
          <w:i/>
        </w:rPr>
        <w:t>a</w:t>
      </w:r>
      <w:r w:rsidRPr="00A7567F">
        <w:rPr>
          <w:i/>
        </w:rPr>
        <w:t xml:space="preserve"> teškom </w:t>
      </w:r>
      <w:r w:rsidR="001374C3" w:rsidRPr="00A7567F">
        <w:rPr>
          <w:i/>
        </w:rPr>
        <w:t>hronič</w:t>
      </w:r>
      <w:r w:rsidRPr="00A7567F">
        <w:rPr>
          <w:i/>
        </w:rPr>
        <w:t>nom neutropenijom i karcinomom</w:t>
      </w:r>
    </w:p>
    <w:p w:rsidR="00FE5E30" w:rsidRPr="00243A59" w:rsidRDefault="00FE5E30" w:rsidP="00BB396E">
      <w:pPr>
        <w:pStyle w:val="BodyText"/>
        <w:spacing w:before="9"/>
        <w:ind w:left="454" w:right="113"/>
        <w:jc w:val="both"/>
        <w:rPr>
          <w:i/>
          <w:color w:val="FF0000"/>
          <w:sz w:val="21"/>
        </w:rPr>
      </w:pPr>
    </w:p>
    <w:p w:rsidR="00FE5E30" w:rsidRPr="00A7567F" w:rsidRDefault="000534A2" w:rsidP="00BB396E">
      <w:pPr>
        <w:pStyle w:val="BodyText"/>
        <w:spacing w:before="1"/>
        <w:ind w:left="454" w:right="113"/>
        <w:jc w:val="both"/>
      </w:pPr>
      <w:r w:rsidRPr="00A7567F">
        <w:t xml:space="preserve">Šezdeset pet posto </w:t>
      </w:r>
      <w:r w:rsidR="00D41533" w:rsidRPr="00A7567F">
        <w:t>p</w:t>
      </w:r>
      <w:r w:rsidR="00302820" w:rsidRPr="00A7567F">
        <w:t>acijen</w:t>
      </w:r>
      <w:r w:rsidR="00D41533" w:rsidRPr="00A7567F">
        <w:t>a</w:t>
      </w:r>
      <w:r w:rsidR="00302820" w:rsidRPr="00A7567F">
        <w:t>t</w:t>
      </w:r>
      <w:r w:rsidRPr="00A7567F">
        <w:t xml:space="preserve">a u kliničkom programu ispitivanja kod teške </w:t>
      </w:r>
      <w:r w:rsidR="001374C3" w:rsidRPr="00A7567F">
        <w:t>hronič</w:t>
      </w:r>
      <w:r w:rsidRPr="00A7567F">
        <w:t xml:space="preserve">ne neutropenije bilo je mlađe od 18 godina. </w:t>
      </w:r>
      <w:r w:rsidR="00D41533" w:rsidRPr="00A7567F">
        <w:t>E</w:t>
      </w:r>
      <w:r w:rsidR="00BF35BD" w:rsidRPr="00A7567F">
        <w:t>fikas</w:t>
      </w:r>
      <w:r w:rsidRPr="00A7567F">
        <w:t xml:space="preserve">nost liječenja bila je jasna za ovu </w:t>
      </w:r>
      <w:r w:rsidR="00D41533" w:rsidRPr="00A7567F">
        <w:t>grupu</w:t>
      </w:r>
      <w:r w:rsidRPr="00A7567F">
        <w:t xml:space="preserve">, koja je uključivala većinu </w:t>
      </w:r>
      <w:r w:rsidR="00AB3736" w:rsidRPr="00A7567F">
        <w:t>p</w:t>
      </w:r>
      <w:r w:rsidR="00302820" w:rsidRPr="00A7567F">
        <w:t>acijen</w:t>
      </w:r>
      <w:r w:rsidR="00AB3736" w:rsidRPr="00A7567F">
        <w:t>a</w:t>
      </w:r>
      <w:r w:rsidR="00302820" w:rsidRPr="00A7567F">
        <w:t>t</w:t>
      </w:r>
      <w:r w:rsidRPr="00A7567F">
        <w:t>a s</w:t>
      </w:r>
      <w:r w:rsidR="00AB3736" w:rsidRPr="00A7567F">
        <w:t>a</w:t>
      </w:r>
      <w:r w:rsidRPr="00A7567F">
        <w:t xml:space="preserve"> kongenitalnom neutropenijom. Nije bilo razlika u </w:t>
      </w:r>
      <w:r w:rsidR="00AB3736" w:rsidRPr="00A7567F">
        <w:t>bezbjednos</w:t>
      </w:r>
      <w:r w:rsidRPr="00A7567F">
        <w:t xml:space="preserve">nom profilu za pedijatrijske </w:t>
      </w:r>
      <w:r w:rsidR="00AB3736" w:rsidRPr="00A7567F">
        <w:t>p</w:t>
      </w:r>
      <w:r w:rsidR="00302820" w:rsidRPr="00A7567F">
        <w:t>acijen</w:t>
      </w:r>
      <w:r w:rsidR="00276FC2">
        <w:t>t</w:t>
      </w:r>
      <w:r w:rsidRPr="00A7567F">
        <w:t xml:space="preserve">e koji su se liječili od teške </w:t>
      </w:r>
      <w:r w:rsidR="001374C3" w:rsidRPr="00A7567F">
        <w:t>hronič</w:t>
      </w:r>
      <w:r w:rsidRPr="00A7567F">
        <w:t>ne neutropenije.</w:t>
      </w:r>
    </w:p>
    <w:p w:rsidR="00FE5E30" w:rsidRPr="00243A59" w:rsidRDefault="00FE5E30" w:rsidP="00BB396E">
      <w:pPr>
        <w:pStyle w:val="BodyText"/>
        <w:spacing w:before="1"/>
        <w:ind w:left="454" w:right="113"/>
        <w:jc w:val="both"/>
        <w:rPr>
          <w:color w:val="FF0000"/>
        </w:rPr>
      </w:pPr>
    </w:p>
    <w:p w:rsidR="00FE5E30" w:rsidRPr="00A7567F" w:rsidRDefault="000534A2" w:rsidP="00BB396E">
      <w:pPr>
        <w:pStyle w:val="BodyText"/>
        <w:spacing w:before="1"/>
        <w:ind w:left="454" w:right="113"/>
        <w:jc w:val="both"/>
      </w:pPr>
      <w:r w:rsidRPr="00A7567F">
        <w:t>P</w:t>
      </w:r>
      <w:r w:rsidR="0009088E" w:rsidRPr="00A7567F">
        <w:t xml:space="preserve">odaci iz kliničkih </w:t>
      </w:r>
      <w:r w:rsidR="00711ED5">
        <w:t>studija</w:t>
      </w:r>
      <w:r w:rsidR="00711ED5" w:rsidRPr="00A7567F">
        <w:t xml:space="preserve"> </w:t>
      </w:r>
      <w:r w:rsidR="0009088E" w:rsidRPr="00A7567F">
        <w:t>kod</w:t>
      </w:r>
      <w:r w:rsidRPr="00A7567F">
        <w:t xml:space="preserve"> pedijatrijskih </w:t>
      </w:r>
      <w:r w:rsidR="0009088E" w:rsidRPr="00A7567F">
        <w:t>p</w:t>
      </w:r>
      <w:r w:rsidR="00302820" w:rsidRPr="00A7567F">
        <w:t>acijen</w:t>
      </w:r>
      <w:r w:rsidR="0009088E" w:rsidRPr="00A7567F">
        <w:t>a</w:t>
      </w:r>
      <w:r w:rsidR="00302820" w:rsidRPr="00A7567F">
        <w:t>t</w:t>
      </w:r>
      <w:r w:rsidRPr="00A7567F">
        <w:t xml:space="preserve">a pokazuju da su </w:t>
      </w:r>
      <w:r w:rsidR="0009088E" w:rsidRPr="00A7567F">
        <w:t>bezbjedn</w:t>
      </w:r>
      <w:r w:rsidRPr="00A7567F">
        <w:t xml:space="preserve">ost i </w:t>
      </w:r>
      <w:r w:rsidR="0009088E" w:rsidRPr="00A7567F">
        <w:t>efikasn</w:t>
      </w:r>
      <w:r w:rsidRPr="00A7567F">
        <w:t>ost</w:t>
      </w:r>
      <w:r w:rsidR="00BB396E">
        <w:t xml:space="preserve"> </w:t>
      </w:r>
      <w:r w:rsidRPr="00A7567F">
        <w:t xml:space="preserve">filgrastima </w:t>
      </w:r>
      <w:r w:rsidR="0009088E" w:rsidRPr="00A7567F">
        <w:t>kod</w:t>
      </w:r>
      <w:r w:rsidRPr="00A7567F">
        <w:t xml:space="preserve"> djece koja primaju citotoksičnu </w:t>
      </w:r>
      <w:r w:rsidR="00F16896" w:rsidRPr="00A7567F">
        <w:t>hem</w:t>
      </w:r>
      <w:r w:rsidR="00711ED5">
        <w:t>i</w:t>
      </w:r>
      <w:r w:rsidR="00F16896" w:rsidRPr="00A7567F">
        <w:t>oter</w:t>
      </w:r>
      <w:r w:rsidR="0009088E" w:rsidRPr="00A7567F">
        <w:t xml:space="preserve">apiju slične onima kod </w:t>
      </w:r>
      <w:r w:rsidRPr="00A7567F">
        <w:t>odraslih.</w:t>
      </w:r>
    </w:p>
    <w:p w:rsidR="00FE5E30" w:rsidRPr="00A7567F" w:rsidRDefault="00FE5E30" w:rsidP="00A0130D">
      <w:pPr>
        <w:pStyle w:val="BodyText"/>
        <w:spacing w:before="9"/>
        <w:jc w:val="both"/>
        <w:rPr>
          <w:sz w:val="21"/>
        </w:rPr>
      </w:pPr>
    </w:p>
    <w:p w:rsidR="00BF332D" w:rsidRDefault="0009088E" w:rsidP="00BB396E">
      <w:pPr>
        <w:pStyle w:val="BodyText"/>
        <w:ind w:left="454" w:right="113"/>
        <w:jc w:val="both"/>
        <w:rPr>
          <w:color w:val="FF0000"/>
        </w:rPr>
      </w:pPr>
      <w:r w:rsidRPr="00A7567F">
        <w:t>Preporuke za doziranje kod</w:t>
      </w:r>
      <w:r w:rsidR="000534A2" w:rsidRPr="00A7567F">
        <w:t xml:space="preserve"> pedijatrijskih </w:t>
      </w:r>
      <w:r w:rsidRPr="00A7567F">
        <w:t>p</w:t>
      </w:r>
      <w:r w:rsidR="00302820" w:rsidRPr="00A7567F">
        <w:t>acijen</w:t>
      </w:r>
      <w:r w:rsidRPr="00A7567F">
        <w:t>a</w:t>
      </w:r>
      <w:r w:rsidR="00302820" w:rsidRPr="00A7567F">
        <w:t>t</w:t>
      </w:r>
      <w:r w:rsidR="000534A2" w:rsidRPr="00A7567F">
        <w:t>a iste su kao one za odrasle koji primaju</w:t>
      </w:r>
      <w:r w:rsidR="00BB396E">
        <w:t xml:space="preserve"> </w:t>
      </w:r>
      <w:r w:rsidR="000534A2" w:rsidRPr="00A7567F">
        <w:t xml:space="preserve">mijelosupresivnu citotoksičnu </w:t>
      </w:r>
      <w:r w:rsidR="00F16896" w:rsidRPr="00A7567F">
        <w:t>hem</w:t>
      </w:r>
      <w:r w:rsidR="008C15D9">
        <w:t>i</w:t>
      </w:r>
      <w:r w:rsidR="00F16896" w:rsidRPr="00A7567F">
        <w:t>oter</w:t>
      </w:r>
      <w:r w:rsidR="000534A2" w:rsidRPr="00A7567F">
        <w:t>apiju.</w:t>
      </w:r>
      <w:r w:rsidR="000534A2" w:rsidRPr="00243A59">
        <w:rPr>
          <w:color w:val="FF0000"/>
        </w:rPr>
        <w:t xml:space="preserve"> </w:t>
      </w:r>
    </w:p>
    <w:p w:rsidR="00BF332D" w:rsidRDefault="00BF332D" w:rsidP="00BB396E">
      <w:pPr>
        <w:pStyle w:val="BodyText"/>
        <w:ind w:left="454" w:right="113"/>
        <w:jc w:val="both"/>
        <w:rPr>
          <w:color w:val="FF0000"/>
        </w:rPr>
      </w:pPr>
    </w:p>
    <w:p w:rsidR="00FE5E30" w:rsidRDefault="000534A2" w:rsidP="00BB396E">
      <w:pPr>
        <w:pStyle w:val="BodyText"/>
        <w:ind w:left="454" w:right="113"/>
        <w:jc w:val="both"/>
        <w:rPr>
          <w:u w:val="single"/>
        </w:rPr>
      </w:pPr>
      <w:r w:rsidRPr="00A7567F">
        <w:rPr>
          <w:u w:val="single"/>
        </w:rPr>
        <w:t>Način primjene</w:t>
      </w:r>
    </w:p>
    <w:p w:rsidR="00BF332D" w:rsidRPr="00A7567F" w:rsidRDefault="00BF332D" w:rsidP="00BB396E">
      <w:pPr>
        <w:pStyle w:val="BodyText"/>
        <w:ind w:left="454" w:right="113"/>
        <w:jc w:val="both"/>
      </w:pPr>
    </w:p>
    <w:p w:rsidR="00FE5E30" w:rsidRPr="00A7567F" w:rsidRDefault="000534A2" w:rsidP="00601AFC">
      <w:pPr>
        <w:spacing w:before="2"/>
        <w:ind w:left="454" w:right="113"/>
        <w:jc w:val="both"/>
        <w:rPr>
          <w:i/>
        </w:rPr>
      </w:pPr>
      <w:r w:rsidRPr="00A7567F">
        <w:rPr>
          <w:i/>
          <w:u w:val="single"/>
        </w:rPr>
        <w:t xml:space="preserve">Standardna citotoksična </w:t>
      </w:r>
      <w:r w:rsidR="00F16896" w:rsidRPr="00A7567F">
        <w:rPr>
          <w:i/>
          <w:u w:val="single"/>
        </w:rPr>
        <w:t>hem</w:t>
      </w:r>
      <w:r w:rsidR="008C15D9">
        <w:rPr>
          <w:i/>
          <w:u w:val="single"/>
        </w:rPr>
        <w:t>i</w:t>
      </w:r>
      <w:r w:rsidR="00F16896" w:rsidRPr="00A7567F">
        <w:rPr>
          <w:i/>
          <w:u w:val="single"/>
        </w:rPr>
        <w:t>oter</w:t>
      </w:r>
      <w:r w:rsidRPr="00A7567F">
        <w:rPr>
          <w:i/>
          <w:u w:val="single"/>
        </w:rPr>
        <w:t>apija</w:t>
      </w:r>
    </w:p>
    <w:p w:rsidR="00FE5E30" w:rsidRPr="00243A59" w:rsidRDefault="00FE5E30" w:rsidP="00601AFC">
      <w:pPr>
        <w:pStyle w:val="BodyText"/>
        <w:spacing w:before="9"/>
        <w:ind w:left="454" w:right="113"/>
        <w:jc w:val="both"/>
        <w:rPr>
          <w:i/>
          <w:color w:val="FF0000"/>
          <w:sz w:val="13"/>
        </w:rPr>
      </w:pPr>
    </w:p>
    <w:p w:rsidR="00FE5E30" w:rsidRPr="001D5012" w:rsidRDefault="000534A2" w:rsidP="00601AFC">
      <w:pPr>
        <w:pStyle w:val="BodyText"/>
        <w:spacing w:before="92"/>
        <w:ind w:left="454" w:right="113"/>
        <w:jc w:val="both"/>
      </w:pPr>
      <w:r w:rsidRPr="001D5012">
        <w:t xml:space="preserve">Filgrastim se može primjenjivati svakodnevno </w:t>
      </w:r>
      <w:r w:rsidR="008C15D9">
        <w:t>subkutanom</w:t>
      </w:r>
      <w:r w:rsidR="008C15D9" w:rsidRPr="001D5012">
        <w:t xml:space="preserve"> </w:t>
      </w:r>
      <w:r w:rsidRPr="001D5012">
        <w:t xml:space="preserve">injekcijom ili intravenskom infuzijom, razrijeđen u </w:t>
      </w:r>
      <w:r w:rsidR="001923F3" w:rsidRPr="001D5012">
        <w:t>rastvor</w:t>
      </w:r>
      <w:r w:rsidR="001D5012" w:rsidRPr="001D5012">
        <w:t>u</w:t>
      </w:r>
      <w:r w:rsidR="00B03136" w:rsidRPr="001D5012">
        <w:t xml:space="preserve"> 5%</w:t>
      </w:r>
      <w:r w:rsidRPr="001D5012">
        <w:t xml:space="preserve"> (50 </w:t>
      </w:r>
      <w:r w:rsidR="008C15D9">
        <w:t>m</w:t>
      </w:r>
      <w:r w:rsidRPr="001D5012">
        <w:t>g/ml) glukoze, u t</w:t>
      </w:r>
      <w:r w:rsidR="00B03136" w:rsidRPr="001D5012">
        <w:t>rajanju od 30 minuta. Za dodatna</w:t>
      </w:r>
      <w:r w:rsidRPr="001D5012">
        <w:t xml:space="preserve"> uput</w:t>
      </w:r>
      <w:r w:rsidR="00B03136" w:rsidRPr="001D5012">
        <w:t>stva</w:t>
      </w:r>
      <w:r w:rsidRPr="001D5012">
        <w:t xml:space="preserve"> o razrjeđivanju prije infuzije vidjeti dio </w:t>
      </w:r>
      <w:hyperlink w:anchor="_bookmark4" w:history="1">
        <w:r w:rsidRPr="001D5012">
          <w:t xml:space="preserve">6.6. </w:t>
        </w:r>
      </w:hyperlink>
      <w:r w:rsidRPr="001D5012">
        <w:t>U većini se slučajeva prednost daje su</w:t>
      </w:r>
      <w:r w:rsidR="008C15D9">
        <w:t>b</w:t>
      </w:r>
      <w:r w:rsidRPr="001D5012">
        <w:t xml:space="preserve">kutanom putu primjene. Neki dokazi iz ispitivanja primjene jednokratne doze pokazuju da intravenska primjena može skratiti trajanje </w:t>
      </w:r>
      <w:r w:rsidR="00B03136" w:rsidRPr="001D5012">
        <w:t xml:space="preserve">efekta. </w:t>
      </w:r>
      <w:r w:rsidRPr="001D5012">
        <w:t xml:space="preserve">Klinička važnost ovog nalaza za primjenu višestrukih doza nije jasna. Izbor puta primjene </w:t>
      </w:r>
      <w:r w:rsidR="00B03136" w:rsidRPr="001D5012">
        <w:t>za</w:t>
      </w:r>
      <w:r w:rsidRPr="001D5012">
        <w:t>visi o</w:t>
      </w:r>
      <w:r w:rsidR="00B03136" w:rsidRPr="001D5012">
        <w:t>d</w:t>
      </w:r>
      <w:r w:rsidRPr="001D5012">
        <w:t xml:space="preserve"> kliničk</w:t>
      </w:r>
      <w:r w:rsidR="00B03136" w:rsidRPr="001D5012">
        <w:t>e</w:t>
      </w:r>
      <w:r w:rsidRPr="001D5012">
        <w:t xml:space="preserve"> situacij</w:t>
      </w:r>
      <w:r w:rsidR="00B03136" w:rsidRPr="001D5012">
        <w:t>e</w:t>
      </w:r>
      <w:r w:rsidRPr="001D5012">
        <w:t xml:space="preserve"> u pojedinom slučaju.</w:t>
      </w:r>
    </w:p>
    <w:p w:rsidR="00FE5E30" w:rsidRPr="00243A59" w:rsidRDefault="00FE5E30" w:rsidP="00601AFC">
      <w:pPr>
        <w:pStyle w:val="BodyText"/>
        <w:ind w:left="454" w:right="113"/>
        <w:jc w:val="both"/>
        <w:rPr>
          <w:color w:val="FF0000"/>
        </w:rPr>
      </w:pPr>
    </w:p>
    <w:p w:rsidR="00FE5E30" w:rsidRPr="00460A8F" w:rsidRDefault="00302820" w:rsidP="00601AFC">
      <w:pPr>
        <w:ind w:left="454" w:right="113"/>
        <w:jc w:val="both"/>
        <w:rPr>
          <w:i/>
        </w:rPr>
      </w:pPr>
      <w:r w:rsidRPr="00460A8F">
        <w:rPr>
          <w:i/>
          <w:u w:val="single"/>
        </w:rPr>
        <w:t>Pacijenti</w:t>
      </w:r>
      <w:r w:rsidR="000534A2" w:rsidRPr="00460A8F">
        <w:rPr>
          <w:i/>
          <w:u w:val="single"/>
        </w:rPr>
        <w:t xml:space="preserve"> liječeni mijeloablativnom terapijom nakon koje slijedi transplantacija koštane srži</w:t>
      </w:r>
    </w:p>
    <w:p w:rsidR="00FE5E30" w:rsidRPr="00460A8F" w:rsidRDefault="00FE5E30" w:rsidP="00601AFC">
      <w:pPr>
        <w:pStyle w:val="BodyText"/>
        <w:spacing w:before="10"/>
        <w:ind w:left="454" w:right="113"/>
        <w:jc w:val="both"/>
        <w:rPr>
          <w:i/>
          <w:sz w:val="13"/>
        </w:rPr>
      </w:pPr>
    </w:p>
    <w:p w:rsidR="00FE5E30" w:rsidRPr="00460A8F" w:rsidRDefault="000534A2" w:rsidP="00601AFC">
      <w:pPr>
        <w:pStyle w:val="BodyText"/>
        <w:spacing w:before="92"/>
        <w:ind w:left="454" w:right="113"/>
        <w:jc w:val="both"/>
      </w:pPr>
      <w:r w:rsidRPr="00460A8F">
        <w:t xml:space="preserve">Filgrastim </w:t>
      </w:r>
      <w:r w:rsidRPr="00460A8F">
        <w:rPr>
          <w:spacing w:val="2"/>
        </w:rPr>
        <w:t xml:space="preserve">se </w:t>
      </w:r>
      <w:r w:rsidRPr="00460A8F">
        <w:t>primjenjuje kao kratkotrajna intravenska infuzija u trajanju od 30 minuta ili kao su</w:t>
      </w:r>
      <w:r w:rsidR="00F8180C">
        <w:t>b</w:t>
      </w:r>
      <w:r w:rsidRPr="00460A8F">
        <w:t xml:space="preserve">kutana </w:t>
      </w:r>
      <w:r w:rsidRPr="00460A8F">
        <w:rPr>
          <w:spacing w:val="-3"/>
        </w:rPr>
        <w:t xml:space="preserve">ili </w:t>
      </w:r>
      <w:r w:rsidRPr="00460A8F">
        <w:t xml:space="preserve">intravenska kontinuirana infuzija u trajanju </w:t>
      </w:r>
      <w:r w:rsidRPr="00460A8F">
        <w:rPr>
          <w:spacing w:val="-3"/>
        </w:rPr>
        <w:t xml:space="preserve">od </w:t>
      </w:r>
      <w:r w:rsidRPr="00460A8F">
        <w:t xml:space="preserve">24 sata, u oba slučaja nakon razrjeđenja u 20 </w:t>
      </w:r>
      <w:r w:rsidRPr="00460A8F">
        <w:rPr>
          <w:spacing w:val="-5"/>
        </w:rPr>
        <w:t xml:space="preserve">ml </w:t>
      </w:r>
      <w:r w:rsidR="001923F3" w:rsidRPr="00460A8F">
        <w:t>rastvor</w:t>
      </w:r>
      <w:r w:rsidR="00F8180C">
        <w:t>a</w:t>
      </w:r>
      <w:r w:rsidRPr="00460A8F">
        <w:t xml:space="preserve"> gluk</w:t>
      </w:r>
      <w:r w:rsidR="005573AE" w:rsidRPr="00460A8F">
        <w:t>oze od 50 mg/ml (5%). Za dodatna</w:t>
      </w:r>
      <w:r w:rsidRPr="00460A8F">
        <w:t xml:space="preserve"> uput</w:t>
      </w:r>
      <w:r w:rsidR="005573AE" w:rsidRPr="00460A8F">
        <w:t xml:space="preserve">stva </w:t>
      </w:r>
      <w:r w:rsidRPr="00460A8F">
        <w:t xml:space="preserve">o razrjeđivanju pomoću </w:t>
      </w:r>
      <w:r w:rsidR="001923F3" w:rsidRPr="00460A8F">
        <w:t>rastvor</w:t>
      </w:r>
      <w:r w:rsidR="005573AE" w:rsidRPr="00460A8F">
        <w:t>a</w:t>
      </w:r>
      <w:r w:rsidRPr="00460A8F">
        <w:t xml:space="preserve"> glukoze od 50 mg/ml (5%) prije infuzije, vidjeti dio</w:t>
      </w:r>
      <w:r w:rsidRPr="00460A8F">
        <w:rPr>
          <w:spacing w:val="-8"/>
        </w:rPr>
        <w:t xml:space="preserve"> </w:t>
      </w:r>
      <w:hyperlink w:anchor="_bookmark4" w:history="1">
        <w:r w:rsidRPr="00460A8F">
          <w:t>6.6.</w:t>
        </w:r>
      </w:hyperlink>
    </w:p>
    <w:p w:rsidR="00FE5E30" w:rsidRPr="00243A59" w:rsidRDefault="00FE5E30" w:rsidP="00601AFC">
      <w:pPr>
        <w:pStyle w:val="BodyText"/>
        <w:spacing w:before="2"/>
        <w:ind w:left="454" w:right="113"/>
        <w:jc w:val="both"/>
        <w:rPr>
          <w:color w:val="FF0000"/>
        </w:rPr>
      </w:pPr>
    </w:p>
    <w:p w:rsidR="00FE5E30" w:rsidRPr="004D3FE0" w:rsidRDefault="00302820" w:rsidP="00601AFC">
      <w:pPr>
        <w:ind w:left="454" w:right="113"/>
        <w:jc w:val="both"/>
        <w:rPr>
          <w:i/>
        </w:rPr>
      </w:pPr>
      <w:r w:rsidRPr="004D3FE0">
        <w:rPr>
          <w:i/>
          <w:u w:val="single"/>
        </w:rPr>
        <w:t>Pacijenti</w:t>
      </w:r>
      <w:r w:rsidR="000534A2" w:rsidRPr="004D3FE0">
        <w:rPr>
          <w:i/>
          <w:u w:val="single"/>
        </w:rPr>
        <w:t xml:space="preserve"> s</w:t>
      </w:r>
      <w:r w:rsidR="00F8180C">
        <w:rPr>
          <w:i/>
          <w:u w:val="single"/>
        </w:rPr>
        <w:t>a</w:t>
      </w:r>
      <w:r w:rsidR="000534A2" w:rsidRPr="004D3FE0">
        <w:rPr>
          <w:i/>
          <w:u w:val="single"/>
        </w:rPr>
        <w:t xml:space="preserve"> mobilizacijom </w:t>
      </w:r>
      <w:r w:rsidR="00D14DE6" w:rsidRPr="004D3FE0">
        <w:rPr>
          <w:i/>
          <w:u w:val="single"/>
        </w:rPr>
        <w:t>progenitorskih ćelija</w:t>
      </w:r>
      <w:r w:rsidR="000534A2" w:rsidRPr="004D3FE0">
        <w:rPr>
          <w:i/>
          <w:u w:val="single"/>
        </w:rPr>
        <w:t xml:space="preserve"> periferne</w:t>
      </w:r>
      <w:r w:rsidR="000534A2" w:rsidRPr="004D3FE0">
        <w:rPr>
          <w:i/>
          <w:spacing w:val="-1"/>
          <w:u w:val="single"/>
        </w:rPr>
        <w:t xml:space="preserve"> </w:t>
      </w:r>
      <w:r w:rsidR="000534A2" w:rsidRPr="004D3FE0">
        <w:rPr>
          <w:i/>
          <w:spacing w:val="-3"/>
          <w:u w:val="single"/>
        </w:rPr>
        <w:t>krvi</w:t>
      </w:r>
    </w:p>
    <w:p w:rsidR="00FE5E30" w:rsidRPr="004D3FE0" w:rsidRDefault="00FE5E30" w:rsidP="00601AFC">
      <w:pPr>
        <w:pStyle w:val="BodyText"/>
        <w:spacing w:before="10"/>
        <w:ind w:left="454" w:right="113"/>
        <w:jc w:val="both"/>
        <w:rPr>
          <w:i/>
          <w:sz w:val="13"/>
        </w:rPr>
      </w:pPr>
    </w:p>
    <w:p w:rsidR="00FE5E30" w:rsidRPr="004D3FE0" w:rsidRDefault="000534A2" w:rsidP="00601AFC">
      <w:pPr>
        <w:pStyle w:val="BodyText"/>
        <w:spacing w:before="92"/>
        <w:ind w:left="454" w:right="113"/>
        <w:jc w:val="both"/>
      </w:pPr>
      <w:r w:rsidRPr="00A0130D">
        <w:rPr>
          <w:i/>
        </w:rPr>
        <w:t xml:space="preserve">Filgrastim za mobilizaciju </w:t>
      </w:r>
      <w:r w:rsidR="00D14DE6" w:rsidRPr="00A0130D">
        <w:rPr>
          <w:i/>
        </w:rPr>
        <w:t>progenitorskih ćelija</w:t>
      </w:r>
      <w:r w:rsidRPr="00A0130D">
        <w:rPr>
          <w:i/>
        </w:rPr>
        <w:t xml:space="preserve"> periferne krvi, kada se primjenjuje sam</w:t>
      </w:r>
    </w:p>
    <w:p w:rsidR="00FE5E30" w:rsidRPr="004D3FE0" w:rsidRDefault="000534A2" w:rsidP="00601AFC">
      <w:pPr>
        <w:pStyle w:val="BodyText"/>
        <w:spacing w:before="1"/>
        <w:ind w:left="454" w:right="113"/>
        <w:jc w:val="both"/>
      </w:pPr>
      <w:r w:rsidRPr="004D3FE0">
        <w:t>Filgrastim se može primjenjivati kao kontinuirana su</w:t>
      </w:r>
      <w:r w:rsidR="00F8180C">
        <w:t>b</w:t>
      </w:r>
      <w:r w:rsidRPr="004D3FE0">
        <w:t>kutana infuzija u trajanju od 24 sata ili kao su</w:t>
      </w:r>
      <w:r w:rsidR="00F8180C">
        <w:t>b</w:t>
      </w:r>
      <w:r w:rsidRPr="004D3FE0">
        <w:t xml:space="preserve">kutana injekcija. Filgrastim je, za infuziju, potrebno razrijediti u 20 ml </w:t>
      </w:r>
      <w:r w:rsidR="001923F3" w:rsidRPr="004D3FE0">
        <w:t>rastvor</w:t>
      </w:r>
      <w:r w:rsidR="00F8180C">
        <w:t>a</w:t>
      </w:r>
      <w:r w:rsidRPr="004D3FE0">
        <w:t xml:space="preserve"> 5% glukoze (vidjeti dio 6.6).</w:t>
      </w:r>
    </w:p>
    <w:p w:rsidR="00336210" w:rsidRPr="00243A59" w:rsidRDefault="00336210" w:rsidP="00601AFC">
      <w:pPr>
        <w:ind w:left="454" w:right="113"/>
        <w:jc w:val="both"/>
        <w:rPr>
          <w:i/>
          <w:color w:val="FF0000"/>
        </w:rPr>
      </w:pPr>
    </w:p>
    <w:p w:rsidR="00FE5E30" w:rsidRPr="00C34075" w:rsidRDefault="000534A2" w:rsidP="00601AFC">
      <w:pPr>
        <w:ind w:left="454" w:right="113"/>
        <w:jc w:val="both"/>
        <w:rPr>
          <w:i/>
        </w:rPr>
      </w:pPr>
      <w:r w:rsidRPr="00C34075">
        <w:rPr>
          <w:i/>
        </w:rPr>
        <w:t xml:space="preserve">Filgrastim za mobilizaciju </w:t>
      </w:r>
      <w:r w:rsidR="00D14DE6" w:rsidRPr="00C34075">
        <w:rPr>
          <w:i/>
        </w:rPr>
        <w:t>progenitorskih ćelija</w:t>
      </w:r>
      <w:r w:rsidRPr="00C34075">
        <w:rPr>
          <w:i/>
        </w:rPr>
        <w:t xml:space="preserve"> periferne krvi nakon mijelosupresivne </w:t>
      </w:r>
      <w:r w:rsidR="00F16896" w:rsidRPr="00C34075">
        <w:rPr>
          <w:i/>
        </w:rPr>
        <w:t>hem</w:t>
      </w:r>
      <w:r w:rsidR="00F8180C">
        <w:rPr>
          <w:i/>
        </w:rPr>
        <w:t>i</w:t>
      </w:r>
      <w:r w:rsidR="00F16896" w:rsidRPr="00C34075">
        <w:rPr>
          <w:i/>
        </w:rPr>
        <w:t>oter</w:t>
      </w:r>
      <w:r w:rsidRPr="00C34075">
        <w:rPr>
          <w:i/>
        </w:rPr>
        <w:t>apije</w:t>
      </w:r>
    </w:p>
    <w:p w:rsidR="00FE5E30" w:rsidRPr="00C34075" w:rsidRDefault="000534A2" w:rsidP="00601AFC">
      <w:pPr>
        <w:pStyle w:val="BodyText"/>
        <w:spacing w:before="1"/>
        <w:ind w:left="454" w:right="113"/>
        <w:jc w:val="both"/>
      </w:pPr>
      <w:r w:rsidRPr="00C34075">
        <w:t>Filgrastim je potrebno primijeniti su</w:t>
      </w:r>
      <w:r w:rsidR="00F8180C">
        <w:t>b</w:t>
      </w:r>
      <w:r w:rsidRPr="00C34075">
        <w:t>kutanom injekcijom.</w:t>
      </w:r>
    </w:p>
    <w:p w:rsidR="00FE5E30" w:rsidRPr="00C34075" w:rsidRDefault="00FE5E30" w:rsidP="00A0130D">
      <w:pPr>
        <w:pStyle w:val="BodyText"/>
        <w:spacing w:before="10"/>
        <w:jc w:val="both"/>
        <w:rPr>
          <w:sz w:val="21"/>
        </w:rPr>
      </w:pPr>
    </w:p>
    <w:p w:rsidR="00F8180C" w:rsidRPr="00A0130D" w:rsidRDefault="000534A2" w:rsidP="00601AFC">
      <w:pPr>
        <w:ind w:left="454" w:right="113"/>
        <w:jc w:val="both"/>
        <w:rPr>
          <w:i/>
        </w:rPr>
      </w:pPr>
      <w:r w:rsidRPr="00A0130D">
        <w:rPr>
          <w:i/>
        </w:rPr>
        <w:t xml:space="preserve">Filgrastim za mobilizaciju </w:t>
      </w:r>
      <w:r w:rsidR="00D14DE6" w:rsidRPr="00A0130D">
        <w:rPr>
          <w:i/>
        </w:rPr>
        <w:t>progenitorskih ćelija</w:t>
      </w:r>
      <w:r w:rsidR="003022D7" w:rsidRPr="00A0130D">
        <w:rPr>
          <w:i/>
        </w:rPr>
        <w:t xml:space="preserve"> periferne krvi kod zdravih da</w:t>
      </w:r>
      <w:r w:rsidRPr="00A0130D">
        <w:rPr>
          <w:i/>
        </w:rPr>
        <w:t>va</w:t>
      </w:r>
      <w:r w:rsidR="003022D7" w:rsidRPr="00A0130D">
        <w:rPr>
          <w:i/>
        </w:rPr>
        <w:t>lac</w:t>
      </w:r>
      <w:r w:rsidR="00601AFC">
        <w:rPr>
          <w:i/>
        </w:rPr>
        <w:t xml:space="preserve">a prije </w:t>
      </w:r>
      <w:r w:rsidRPr="00A0130D">
        <w:rPr>
          <w:i/>
        </w:rPr>
        <w:t xml:space="preserve">transplantacije alogenih </w:t>
      </w:r>
      <w:r w:rsidR="00D14DE6" w:rsidRPr="00A0130D">
        <w:rPr>
          <w:i/>
        </w:rPr>
        <w:t>progenitorskih ćelija</w:t>
      </w:r>
      <w:r w:rsidRPr="00A0130D">
        <w:rPr>
          <w:i/>
        </w:rPr>
        <w:t xml:space="preserve"> periferne krvi</w:t>
      </w:r>
    </w:p>
    <w:p w:rsidR="00FE5E30" w:rsidRPr="00C34075" w:rsidRDefault="000534A2" w:rsidP="00601AFC">
      <w:pPr>
        <w:ind w:left="454" w:right="113"/>
        <w:jc w:val="both"/>
      </w:pPr>
      <w:r w:rsidRPr="00C34075">
        <w:t>Filgrastim je potrebno primijeniti su</w:t>
      </w:r>
      <w:r w:rsidR="00F8180C">
        <w:t>b</w:t>
      </w:r>
      <w:r w:rsidRPr="00C34075">
        <w:t>kutanom injekcijom.</w:t>
      </w:r>
    </w:p>
    <w:p w:rsidR="00FE5E30" w:rsidRPr="00243A59" w:rsidRDefault="00FE5E30" w:rsidP="00601AFC">
      <w:pPr>
        <w:pStyle w:val="BodyText"/>
        <w:spacing w:before="10"/>
        <w:ind w:left="454" w:right="113"/>
        <w:jc w:val="both"/>
        <w:rPr>
          <w:color w:val="FF0000"/>
          <w:sz w:val="21"/>
        </w:rPr>
      </w:pPr>
    </w:p>
    <w:p w:rsidR="00FE5E30" w:rsidRPr="00C34075" w:rsidRDefault="00302820" w:rsidP="00601AFC">
      <w:pPr>
        <w:ind w:left="454" w:right="113"/>
        <w:jc w:val="both"/>
        <w:rPr>
          <w:i/>
        </w:rPr>
      </w:pPr>
      <w:r w:rsidRPr="00C34075">
        <w:rPr>
          <w:i/>
          <w:u w:val="single"/>
        </w:rPr>
        <w:t>Pacijenti</w:t>
      </w:r>
      <w:r w:rsidR="000534A2" w:rsidRPr="00C34075">
        <w:rPr>
          <w:i/>
          <w:u w:val="single"/>
        </w:rPr>
        <w:t xml:space="preserve"> s</w:t>
      </w:r>
      <w:r w:rsidR="003022D7" w:rsidRPr="00C34075">
        <w:rPr>
          <w:i/>
          <w:u w:val="single"/>
        </w:rPr>
        <w:t>a</w:t>
      </w:r>
      <w:r w:rsidR="000534A2" w:rsidRPr="00C34075">
        <w:rPr>
          <w:i/>
          <w:u w:val="single"/>
        </w:rPr>
        <w:t xml:space="preserve"> teškom </w:t>
      </w:r>
      <w:r w:rsidR="001374C3" w:rsidRPr="00C34075">
        <w:rPr>
          <w:i/>
          <w:u w:val="single"/>
        </w:rPr>
        <w:t>hronič</w:t>
      </w:r>
      <w:r w:rsidR="000534A2" w:rsidRPr="00C34075">
        <w:rPr>
          <w:i/>
          <w:u w:val="single"/>
        </w:rPr>
        <w:t>nom neutropenijom</w:t>
      </w:r>
    </w:p>
    <w:p w:rsidR="00FE5E30" w:rsidRPr="00C34075" w:rsidRDefault="00FE5E30" w:rsidP="00601AFC">
      <w:pPr>
        <w:pStyle w:val="BodyText"/>
        <w:spacing w:before="3"/>
        <w:ind w:left="454" w:right="113"/>
        <w:jc w:val="both"/>
        <w:rPr>
          <w:i/>
          <w:sz w:val="14"/>
        </w:rPr>
      </w:pPr>
    </w:p>
    <w:p w:rsidR="00FE5E30" w:rsidRDefault="000534A2" w:rsidP="00601AFC">
      <w:pPr>
        <w:pStyle w:val="BodyText"/>
        <w:spacing w:before="92"/>
        <w:ind w:left="454" w:right="113"/>
        <w:jc w:val="both"/>
      </w:pPr>
      <w:r w:rsidRPr="00C34075">
        <w:t>Kongenitalna, idiopatska ili ciklič</w:t>
      </w:r>
      <w:r w:rsidR="00F74594">
        <w:t>n</w:t>
      </w:r>
      <w:r w:rsidRPr="00C34075">
        <w:t>a neutropenija: filgrastim je potrebno primijeniti su</w:t>
      </w:r>
      <w:r w:rsidR="00F74594">
        <w:t>b</w:t>
      </w:r>
      <w:r w:rsidRPr="00C34075">
        <w:t>kutanom</w:t>
      </w:r>
      <w:r w:rsidR="00601AFC">
        <w:t xml:space="preserve"> </w:t>
      </w:r>
      <w:r w:rsidRPr="00C34075">
        <w:t>injekcijom.</w:t>
      </w:r>
    </w:p>
    <w:p w:rsidR="00F8180C" w:rsidRPr="00C34075" w:rsidRDefault="00F8180C" w:rsidP="00601AFC">
      <w:pPr>
        <w:pStyle w:val="BodyText"/>
        <w:spacing w:before="1"/>
        <w:ind w:left="454" w:right="113"/>
        <w:jc w:val="both"/>
      </w:pPr>
    </w:p>
    <w:p w:rsidR="00FE5E30" w:rsidRPr="00C34075" w:rsidRDefault="00302820" w:rsidP="00601AFC">
      <w:pPr>
        <w:spacing w:before="66"/>
        <w:ind w:left="454" w:right="113"/>
        <w:jc w:val="both"/>
        <w:rPr>
          <w:i/>
        </w:rPr>
      </w:pPr>
      <w:r w:rsidRPr="00C34075">
        <w:rPr>
          <w:i/>
          <w:u w:val="single"/>
        </w:rPr>
        <w:t>Pacijenti</w:t>
      </w:r>
      <w:r w:rsidR="000534A2" w:rsidRPr="00C34075">
        <w:rPr>
          <w:i/>
          <w:u w:val="single"/>
        </w:rPr>
        <w:t xml:space="preserve"> s</w:t>
      </w:r>
      <w:r w:rsidR="004303DA" w:rsidRPr="00C34075">
        <w:rPr>
          <w:i/>
          <w:u w:val="single"/>
        </w:rPr>
        <w:t xml:space="preserve">a HIV </w:t>
      </w:r>
      <w:r w:rsidR="000534A2" w:rsidRPr="00C34075">
        <w:rPr>
          <w:i/>
          <w:u w:val="single"/>
        </w:rPr>
        <w:t>infekcijom</w:t>
      </w:r>
    </w:p>
    <w:p w:rsidR="00FE5E30" w:rsidRPr="00C34075" w:rsidRDefault="00FE5E30" w:rsidP="00601AFC">
      <w:pPr>
        <w:pStyle w:val="BodyText"/>
        <w:spacing w:before="3"/>
        <w:ind w:left="454" w:right="113"/>
        <w:jc w:val="both"/>
        <w:rPr>
          <w:i/>
          <w:sz w:val="14"/>
        </w:rPr>
      </w:pPr>
    </w:p>
    <w:p w:rsidR="00FE5E30" w:rsidRPr="00C34075" w:rsidRDefault="000534A2" w:rsidP="00601AFC">
      <w:pPr>
        <w:pStyle w:val="BodyText"/>
        <w:spacing w:before="93" w:line="237" w:lineRule="auto"/>
        <w:ind w:left="454" w:right="113" w:hanging="1"/>
        <w:jc w:val="both"/>
      </w:pPr>
      <w:r w:rsidRPr="00C34075">
        <w:t xml:space="preserve">Za </w:t>
      </w:r>
      <w:r w:rsidR="004303DA" w:rsidRPr="00C34075">
        <w:t>reverziju</w:t>
      </w:r>
      <w:r w:rsidRPr="00C34075">
        <w:t xml:space="preserve"> neutropenije i održavanje normalnog broja neutrofila </w:t>
      </w:r>
      <w:r w:rsidR="004303DA" w:rsidRPr="00C34075">
        <w:t>kod</w:t>
      </w:r>
      <w:r w:rsidRPr="00C34075">
        <w:t xml:space="preserve"> </w:t>
      </w:r>
      <w:r w:rsidR="004303DA" w:rsidRPr="00C34075">
        <w:t>pacijenat</w:t>
      </w:r>
      <w:r w:rsidRPr="00C34075">
        <w:t>a s</w:t>
      </w:r>
      <w:r w:rsidR="004303DA" w:rsidRPr="00C34075">
        <w:t>a</w:t>
      </w:r>
      <w:r w:rsidR="00601AFC">
        <w:t xml:space="preserve"> HIV infekcijom, </w:t>
      </w:r>
      <w:r w:rsidRPr="00C34075">
        <w:t xml:space="preserve">filgrastim se primijenjuje </w:t>
      </w:r>
      <w:r w:rsidR="00F74594">
        <w:t>subkutano</w:t>
      </w:r>
      <w:r w:rsidRPr="00C34075">
        <w:t>.</w:t>
      </w:r>
    </w:p>
    <w:p w:rsidR="00FE5E30" w:rsidRPr="00243A59" w:rsidRDefault="00FE5E30" w:rsidP="00601AFC">
      <w:pPr>
        <w:pStyle w:val="BodyText"/>
        <w:spacing w:before="7"/>
        <w:ind w:left="454" w:right="113"/>
        <w:jc w:val="both"/>
        <w:rPr>
          <w:color w:val="FF0000"/>
        </w:rPr>
      </w:pPr>
    </w:p>
    <w:p w:rsidR="00FE5E30" w:rsidRPr="009D1994" w:rsidRDefault="000534A2" w:rsidP="00601AFC">
      <w:pPr>
        <w:pStyle w:val="Heading1"/>
        <w:numPr>
          <w:ilvl w:val="1"/>
          <w:numId w:val="18"/>
        </w:numPr>
        <w:tabs>
          <w:tab w:val="left" w:pos="878"/>
        </w:tabs>
        <w:spacing w:before="1"/>
        <w:ind w:left="454" w:right="113" w:hanging="417"/>
        <w:jc w:val="both"/>
      </w:pPr>
      <w:r w:rsidRPr="009D1994">
        <w:t>Kontraindikacije</w:t>
      </w:r>
    </w:p>
    <w:p w:rsidR="00FE5E30" w:rsidRPr="009D1994" w:rsidRDefault="00FE5E30" w:rsidP="00601AFC">
      <w:pPr>
        <w:pStyle w:val="BodyText"/>
        <w:spacing w:before="4"/>
        <w:ind w:left="454" w:right="113"/>
        <w:jc w:val="both"/>
        <w:rPr>
          <w:b/>
          <w:sz w:val="21"/>
        </w:rPr>
      </w:pPr>
    </w:p>
    <w:p w:rsidR="00FE5E30" w:rsidRPr="009D1994" w:rsidRDefault="000534A2" w:rsidP="00601AFC">
      <w:pPr>
        <w:pStyle w:val="BodyText"/>
        <w:ind w:left="454" w:right="113"/>
        <w:jc w:val="both"/>
      </w:pPr>
      <w:r w:rsidRPr="009D1994">
        <w:t xml:space="preserve">Preosjetljivost na </w:t>
      </w:r>
      <w:r w:rsidR="00C36A5B" w:rsidRPr="009D1994">
        <w:t>aktivnu supstancu</w:t>
      </w:r>
      <w:r w:rsidRPr="009D1994">
        <w:t xml:space="preserve"> ili neku od pomoćnih </w:t>
      </w:r>
      <w:r w:rsidR="00C36A5B" w:rsidRPr="009D1994">
        <w:t>supstanc</w:t>
      </w:r>
      <w:r w:rsidRPr="009D1994">
        <w:t>i navedenih u dijelu 6.1.</w:t>
      </w:r>
    </w:p>
    <w:p w:rsidR="00FE5E30" w:rsidRPr="009D1994" w:rsidRDefault="00FE5E30" w:rsidP="00601AFC">
      <w:pPr>
        <w:pStyle w:val="BodyText"/>
        <w:spacing w:before="8"/>
        <w:ind w:left="454" w:right="113"/>
        <w:jc w:val="both"/>
      </w:pPr>
    </w:p>
    <w:p w:rsidR="00FE5E30" w:rsidRPr="009D1994" w:rsidRDefault="000534A2" w:rsidP="00601AFC">
      <w:pPr>
        <w:pStyle w:val="Heading1"/>
        <w:numPr>
          <w:ilvl w:val="1"/>
          <w:numId w:val="18"/>
        </w:numPr>
        <w:tabs>
          <w:tab w:val="left" w:pos="878"/>
        </w:tabs>
        <w:ind w:left="454" w:right="113" w:hanging="417"/>
        <w:jc w:val="both"/>
      </w:pPr>
      <w:r w:rsidRPr="009D1994">
        <w:t>Posebna upozorenja i mjere opreza pri</w:t>
      </w:r>
      <w:r w:rsidRPr="009D1994">
        <w:rPr>
          <w:spacing w:val="1"/>
        </w:rPr>
        <w:t xml:space="preserve"> </w:t>
      </w:r>
      <w:r w:rsidRPr="009D1994">
        <w:t>upo</w:t>
      </w:r>
      <w:r w:rsidR="008B728D" w:rsidRPr="009D1994">
        <w:t>t</w:t>
      </w:r>
      <w:r w:rsidRPr="009D1994">
        <w:t>r</w:t>
      </w:r>
      <w:r w:rsidR="008B728D" w:rsidRPr="009D1994">
        <w:t>e</w:t>
      </w:r>
      <w:r w:rsidRPr="009D1994">
        <w:t>bi</w:t>
      </w:r>
      <w:r w:rsidR="008B728D" w:rsidRPr="009D1994">
        <w:t xml:space="preserve"> lijeka</w:t>
      </w:r>
    </w:p>
    <w:p w:rsidR="00FE5E30" w:rsidRPr="009D1994" w:rsidRDefault="00FE5E30" w:rsidP="00601AFC">
      <w:pPr>
        <w:pStyle w:val="BodyText"/>
        <w:spacing w:before="5"/>
        <w:ind w:left="454" w:right="113"/>
        <w:jc w:val="both"/>
        <w:rPr>
          <w:b/>
          <w:sz w:val="21"/>
        </w:rPr>
      </w:pPr>
    </w:p>
    <w:p w:rsidR="00FE5E30" w:rsidRPr="009D1994" w:rsidRDefault="000534A2" w:rsidP="00601AFC">
      <w:pPr>
        <w:pStyle w:val="BodyText"/>
        <w:ind w:left="454" w:right="113"/>
        <w:jc w:val="both"/>
        <w:rPr>
          <w:u w:val="single"/>
        </w:rPr>
      </w:pPr>
      <w:r w:rsidRPr="009D1994">
        <w:rPr>
          <w:u w:val="single"/>
        </w:rPr>
        <w:t>Sljed</w:t>
      </w:r>
      <w:r w:rsidR="0024025F" w:rsidRPr="009D1994">
        <w:rPr>
          <w:u w:val="single"/>
        </w:rPr>
        <w:t>lj</w:t>
      </w:r>
      <w:r w:rsidRPr="009D1994">
        <w:rPr>
          <w:u w:val="single"/>
        </w:rPr>
        <w:t>ivost</w:t>
      </w:r>
    </w:p>
    <w:p w:rsidR="00FE5E30" w:rsidRPr="009D1994" w:rsidRDefault="00FE5E30" w:rsidP="00601AFC">
      <w:pPr>
        <w:pStyle w:val="BodyText"/>
        <w:spacing w:before="10"/>
        <w:ind w:left="454" w:right="113"/>
        <w:jc w:val="both"/>
        <w:rPr>
          <w:sz w:val="13"/>
        </w:rPr>
      </w:pPr>
    </w:p>
    <w:p w:rsidR="00FE5E30" w:rsidRPr="009D1994" w:rsidRDefault="000534A2" w:rsidP="00601AFC">
      <w:pPr>
        <w:pStyle w:val="BodyText"/>
        <w:spacing w:before="91"/>
        <w:ind w:left="454" w:right="113"/>
        <w:jc w:val="both"/>
      </w:pPr>
      <w:r w:rsidRPr="009D1994">
        <w:t xml:space="preserve">Kako bi </w:t>
      </w:r>
      <w:r w:rsidRPr="009D1994">
        <w:rPr>
          <w:spacing w:val="2"/>
        </w:rPr>
        <w:t xml:space="preserve">se </w:t>
      </w:r>
      <w:r w:rsidRPr="009D1994">
        <w:t>mogl</w:t>
      </w:r>
      <w:r w:rsidR="00A0620F" w:rsidRPr="009D1994">
        <w:t>i pratiti primijenjeni</w:t>
      </w:r>
      <w:r w:rsidRPr="009D1994">
        <w:t xml:space="preserve"> </w:t>
      </w:r>
      <w:r w:rsidR="00A0620F" w:rsidRPr="009D1994">
        <w:t>faktori stimulacije</w:t>
      </w:r>
      <w:r w:rsidRPr="009D1994">
        <w:t xml:space="preserve"> rasta granulocitnih kolonija (G</w:t>
      </w:r>
      <w:r w:rsidRPr="009D1994">
        <w:rPr>
          <w:spacing w:val="-32"/>
        </w:rPr>
        <w:t xml:space="preserve"> </w:t>
      </w:r>
      <w:r w:rsidRPr="009D1994">
        <w:t xml:space="preserve">CSF), zaštićeni naziv primijenjenog lijeka </w:t>
      </w:r>
      <w:r w:rsidR="00A0620F" w:rsidRPr="009D1994">
        <w:t xml:space="preserve">je </w:t>
      </w:r>
      <w:r w:rsidRPr="009D1994">
        <w:t xml:space="preserve">potrebno čitko zapisati u medicinsku dokumentaciju </w:t>
      </w:r>
      <w:r w:rsidR="00A0620F" w:rsidRPr="009D1994">
        <w:t>p</w:t>
      </w:r>
      <w:r w:rsidR="00302820" w:rsidRPr="009D1994">
        <w:t>acijent</w:t>
      </w:r>
      <w:r w:rsidRPr="009D1994">
        <w:t>a.</w:t>
      </w:r>
    </w:p>
    <w:p w:rsidR="00FE5E30" w:rsidRPr="009D1994" w:rsidRDefault="00FE5E30" w:rsidP="00601AFC">
      <w:pPr>
        <w:pStyle w:val="BodyText"/>
        <w:spacing w:before="2"/>
        <w:ind w:left="454" w:right="113"/>
        <w:jc w:val="both"/>
        <w:rPr>
          <w:sz w:val="14"/>
        </w:rPr>
      </w:pPr>
    </w:p>
    <w:p w:rsidR="00FE5E30" w:rsidRPr="009D1994" w:rsidRDefault="000534A2" w:rsidP="00601AFC">
      <w:pPr>
        <w:pStyle w:val="BodyText"/>
        <w:spacing w:before="91"/>
        <w:ind w:left="454" w:right="113"/>
        <w:jc w:val="both"/>
      </w:pPr>
      <w:r w:rsidRPr="009D1994">
        <w:rPr>
          <w:u w:val="single"/>
        </w:rPr>
        <w:t>Posebna upozorenja i mjere opreza za sve indikacije</w:t>
      </w:r>
    </w:p>
    <w:p w:rsidR="00FE5E30" w:rsidRPr="00243A59" w:rsidRDefault="00FE5E30" w:rsidP="00601AFC">
      <w:pPr>
        <w:pStyle w:val="BodyText"/>
        <w:spacing w:before="3"/>
        <w:ind w:left="454" w:right="113"/>
        <w:jc w:val="both"/>
        <w:rPr>
          <w:color w:val="FF0000"/>
          <w:sz w:val="14"/>
        </w:rPr>
      </w:pPr>
    </w:p>
    <w:p w:rsidR="00FE5E30" w:rsidRPr="009D1994" w:rsidRDefault="000534A2" w:rsidP="00601AFC">
      <w:pPr>
        <w:pStyle w:val="BodyText"/>
        <w:spacing w:before="94" w:line="237" w:lineRule="auto"/>
        <w:ind w:left="454" w:right="113" w:hanging="1"/>
        <w:jc w:val="both"/>
      </w:pPr>
      <w:r w:rsidRPr="009D1994">
        <w:t xml:space="preserve">Filgrastim se ne smije primjenjivati za povećanje doze citotoksične </w:t>
      </w:r>
      <w:r w:rsidR="00F16896" w:rsidRPr="009D1994">
        <w:t>hem</w:t>
      </w:r>
      <w:r w:rsidR="00F74594">
        <w:t>i</w:t>
      </w:r>
      <w:r w:rsidR="00F16896" w:rsidRPr="009D1994">
        <w:t>oter</w:t>
      </w:r>
      <w:r w:rsidRPr="009D1994">
        <w:t xml:space="preserve">apije iznad doza propisanih u standardnim </w:t>
      </w:r>
      <w:r w:rsidR="00F16896" w:rsidRPr="009D1994">
        <w:t>hem</w:t>
      </w:r>
      <w:r w:rsidR="00200AF4">
        <w:t>i</w:t>
      </w:r>
      <w:r w:rsidR="00F16896" w:rsidRPr="009D1994">
        <w:t>oter</w:t>
      </w:r>
      <w:r w:rsidRPr="009D1994">
        <w:t>apijskim protokolima.</w:t>
      </w:r>
    </w:p>
    <w:p w:rsidR="00FE5E30" w:rsidRPr="009D1994" w:rsidRDefault="00FE5E30" w:rsidP="00601AFC">
      <w:pPr>
        <w:pStyle w:val="BodyText"/>
        <w:spacing w:before="4"/>
        <w:ind w:left="454" w:right="113"/>
        <w:jc w:val="both"/>
      </w:pPr>
    </w:p>
    <w:p w:rsidR="00FE5E30" w:rsidRPr="009D1994" w:rsidRDefault="000534A2" w:rsidP="00601AFC">
      <w:pPr>
        <w:pStyle w:val="BodyText"/>
        <w:spacing w:line="237" w:lineRule="auto"/>
        <w:ind w:left="454" w:right="113" w:hanging="1"/>
        <w:jc w:val="both"/>
      </w:pPr>
      <w:r w:rsidRPr="009D1994">
        <w:t xml:space="preserve">Filgrastim se ne smije primjenjivati </w:t>
      </w:r>
      <w:r w:rsidR="00DC4DE5" w:rsidRPr="009D1994">
        <w:t>kod</w:t>
      </w:r>
      <w:r w:rsidRPr="009D1994">
        <w:t xml:space="preserve"> </w:t>
      </w:r>
      <w:r w:rsidR="00DC4DE5" w:rsidRPr="009D1994">
        <w:t>p</w:t>
      </w:r>
      <w:r w:rsidR="00302820" w:rsidRPr="009D1994">
        <w:t>acijen</w:t>
      </w:r>
      <w:r w:rsidR="00DC4DE5" w:rsidRPr="009D1994">
        <w:t>at</w:t>
      </w:r>
      <w:r w:rsidRPr="009D1994">
        <w:t>a s</w:t>
      </w:r>
      <w:r w:rsidR="00DC4DE5" w:rsidRPr="009D1994">
        <w:t>a</w:t>
      </w:r>
      <w:r w:rsidRPr="009D1994">
        <w:t xml:space="preserve"> teškom kongenitalnom neutropenijom koji imaju leukemiju ili </w:t>
      </w:r>
      <w:r w:rsidR="00F74594">
        <w:t>kod</w:t>
      </w:r>
      <w:r w:rsidRPr="009D1994">
        <w:t xml:space="preserve"> kojih postoji dokaz razvoja leukemije.</w:t>
      </w:r>
    </w:p>
    <w:p w:rsidR="00FE5E30" w:rsidRPr="00243A59" w:rsidRDefault="00FE5E30" w:rsidP="00601AFC">
      <w:pPr>
        <w:pStyle w:val="BodyText"/>
        <w:spacing w:before="3"/>
        <w:ind w:left="454" w:right="113"/>
        <w:jc w:val="both"/>
        <w:rPr>
          <w:color w:val="FF0000"/>
        </w:rPr>
      </w:pPr>
    </w:p>
    <w:p w:rsidR="00FE5E30" w:rsidRPr="009D1994" w:rsidRDefault="000534A2" w:rsidP="00601AFC">
      <w:pPr>
        <w:ind w:left="454" w:right="113"/>
        <w:jc w:val="both"/>
        <w:rPr>
          <w:i/>
        </w:rPr>
      </w:pPr>
      <w:r w:rsidRPr="009D1994">
        <w:rPr>
          <w:i/>
          <w:u w:val="single"/>
        </w:rPr>
        <w:t>Preosjetljivost</w:t>
      </w:r>
    </w:p>
    <w:p w:rsidR="00FE5E30" w:rsidRPr="009D1994" w:rsidRDefault="000534A2" w:rsidP="00601AFC">
      <w:pPr>
        <w:pStyle w:val="BodyText"/>
        <w:spacing w:before="2"/>
        <w:ind w:left="454" w:right="113"/>
        <w:jc w:val="both"/>
      </w:pPr>
      <w:r w:rsidRPr="009D1994">
        <w:t xml:space="preserve">Preosjetljivost, uključujući anafilaktičke reakcije, zabilježeni su na početku ili kasnije </w:t>
      </w:r>
      <w:r w:rsidR="004272FF" w:rsidRPr="009D1994">
        <w:t>tokom</w:t>
      </w:r>
      <w:r w:rsidR="007A1197" w:rsidRPr="009D1994">
        <w:t xml:space="preserve"> liječenja kod</w:t>
      </w:r>
      <w:r w:rsidRPr="009D1994">
        <w:t xml:space="preserve"> </w:t>
      </w:r>
      <w:r w:rsidR="007A1197" w:rsidRPr="009D1994">
        <w:t>p</w:t>
      </w:r>
      <w:r w:rsidR="00302820" w:rsidRPr="009D1994">
        <w:t>acijen</w:t>
      </w:r>
      <w:r w:rsidR="007A1197" w:rsidRPr="009D1994">
        <w:t>at</w:t>
      </w:r>
      <w:r w:rsidRPr="009D1994">
        <w:t xml:space="preserve">a koji su primali filgrastim. Primjenu filgrastima </w:t>
      </w:r>
      <w:r w:rsidR="007A1197" w:rsidRPr="009D1994">
        <w:t xml:space="preserve">je </w:t>
      </w:r>
      <w:r w:rsidRPr="009D1994">
        <w:t>potrebno</w:t>
      </w:r>
      <w:r w:rsidR="007A1197" w:rsidRPr="009D1994">
        <w:t xml:space="preserve"> trajno prekinuti kod</w:t>
      </w:r>
      <w:r w:rsidRPr="009D1994">
        <w:t xml:space="preserve"> </w:t>
      </w:r>
      <w:r w:rsidR="007A1197" w:rsidRPr="009D1994">
        <w:t>p</w:t>
      </w:r>
      <w:r w:rsidR="00302820" w:rsidRPr="009D1994">
        <w:t>acijen</w:t>
      </w:r>
      <w:r w:rsidR="007A1197" w:rsidRPr="009D1994">
        <w:t>at</w:t>
      </w:r>
      <w:r w:rsidRPr="009D1994">
        <w:t>a s</w:t>
      </w:r>
      <w:r w:rsidR="007A1197" w:rsidRPr="009D1994">
        <w:t>a</w:t>
      </w:r>
      <w:r w:rsidRPr="009D1994">
        <w:t xml:space="preserve"> klinički značajnom preosjetljivošću. Filgrastim se ne smije primjenjivati </w:t>
      </w:r>
      <w:r w:rsidR="007A1197" w:rsidRPr="009D1994">
        <w:t>kod</w:t>
      </w:r>
      <w:r w:rsidRPr="009D1994">
        <w:t xml:space="preserve"> </w:t>
      </w:r>
      <w:r w:rsidR="007A1197" w:rsidRPr="009D1994">
        <w:t>p</w:t>
      </w:r>
      <w:r w:rsidR="00302820" w:rsidRPr="009D1994">
        <w:t>acijen</w:t>
      </w:r>
      <w:r w:rsidR="007A1197" w:rsidRPr="009D1994">
        <w:t>at</w:t>
      </w:r>
      <w:r w:rsidRPr="009D1994">
        <w:t>a s preosjetljivošću na filgrastim ili pegfilgrastim u anamnezi.</w:t>
      </w:r>
    </w:p>
    <w:p w:rsidR="00FE5E30" w:rsidRPr="00243A59" w:rsidRDefault="00FE5E30" w:rsidP="00601AFC">
      <w:pPr>
        <w:pStyle w:val="BodyText"/>
        <w:spacing w:before="8"/>
        <w:ind w:left="454" w:right="113"/>
        <w:jc w:val="both"/>
        <w:rPr>
          <w:color w:val="FF0000"/>
          <w:sz w:val="21"/>
        </w:rPr>
      </w:pPr>
    </w:p>
    <w:p w:rsidR="00FE5E30" w:rsidRPr="009D1994" w:rsidRDefault="000534A2" w:rsidP="00601AFC">
      <w:pPr>
        <w:spacing w:before="1"/>
        <w:ind w:left="454" w:right="113"/>
        <w:jc w:val="both"/>
        <w:rPr>
          <w:i/>
        </w:rPr>
      </w:pPr>
      <w:r w:rsidRPr="009D1994">
        <w:rPr>
          <w:i/>
          <w:u w:val="single"/>
        </w:rPr>
        <w:t>Imunogenost</w:t>
      </w:r>
    </w:p>
    <w:p w:rsidR="00FE5E30" w:rsidRPr="009D1994" w:rsidRDefault="000534A2" w:rsidP="00601AFC">
      <w:pPr>
        <w:pStyle w:val="BodyText"/>
        <w:spacing w:before="1"/>
        <w:ind w:left="454" w:right="113"/>
        <w:jc w:val="both"/>
      </w:pPr>
      <w:r w:rsidRPr="009D1994">
        <w:t>Kao što je slučaj sa svim terapijskim proteinima, moguća je pojava imunogenosti. Stopa</w:t>
      </w:r>
      <w:r w:rsidR="007F03F7">
        <w:t xml:space="preserve"> </w:t>
      </w:r>
      <w:r w:rsidR="009D1994" w:rsidRPr="009D1994">
        <w:rPr>
          <w:spacing w:val="-32"/>
        </w:rPr>
        <w:t xml:space="preserve"> </w:t>
      </w:r>
      <w:r w:rsidRPr="009D1994">
        <w:t xml:space="preserve">stvaranja </w:t>
      </w:r>
      <w:r w:rsidR="007A3974" w:rsidRPr="009D1994">
        <w:t>anti</w:t>
      </w:r>
      <w:r w:rsidRPr="009D1994">
        <w:t xml:space="preserve">tijela </w:t>
      </w:r>
      <w:r w:rsidRPr="009D1994">
        <w:rPr>
          <w:spacing w:val="-3"/>
        </w:rPr>
        <w:t xml:space="preserve">na </w:t>
      </w:r>
      <w:r w:rsidRPr="009D1994">
        <w:t xml:space="preserve">filgrastim je </w:t>
      </w:r>
      <w:r w:rsidR="007A3974" w:rsidRPr="009D1994">
        <w:t>uglav</w:t>
      </w:r>
      <w:r w:rsidRPr="009D1994">
        <w:t xml:space="preserve">nom niska. Očekivano dolazi do vezivanja </w:t>
      </w:r>
      <w:r w:rsidR="007A3974" w:rsidRPr="009D1994">
        <w:t>anti</w:t>
      </w:r>
      <w:r w:rsidRPr="009D1994">
        <w:t>ijela sa svim biolo</w:t>
      </w:r>
      <w:r w:rsidR="007A3974" w:rsidRPr="009D1994">
        <w:t>šk</w:t>
      </w:r>
      <w:r w:rsidRPr="009D1994">
        <w:t xml:space="preserve">im </w:t>
      </w:r>
      <w:r w:rsidR="007A3974" w:rsidRPr="009D1994">
        <w:t>ljeko</w:t>
      </w:r>
      <w:r w:rsidRPr="009D1994">
        <w:t xml:space="preserve">vima, ali </w:t>
      </w:r>
      <w:r w:rsidRPr="009D1994">
        <w:rPr>
          <w:spacing w:val="2"/>
        </w:rPr>
        <w:t xml:space="preserve">se </w:t>
      </w:r>
      <w:r w:rsidRPr="009D1994">
        <w:t xml:space="preserve">do sada nije pokazalo </w:t>
      </w:r>
      <w:r w:rsidRPr="009D1994">
        <w:rPr>
          <w:spacing w:val="-3"/>
        </w:rPr>
        <w:t xml:space="preserve">da </w:t>
      </w:r>
      <w:r w:rsidRPr="009D1994">
        <w:t xml:space="preserve">su </w:t>
      </w:r>
      <w:r w:rsidRPr="009D1994">
        <w:rPr>
          <w:spacing w:val="-4"/>
        </w:rPr>
        <w:t xml:space="preserve">ona </w:t>
      </w:r>
      <w:r w:rsidRPr="009D1994">
        <w:t>povezana s</w:t>
      </w:r>
      <w:r w:rsidR="007A3974" w:rsidRPr="009D1994">
        <w:t>a</w:t>
      </w:r>
      <w:r w:rsidRPr="009D1994">
        <w:t xml:space="preserve"> neutrali</w:t>
      </w:r>
      <w:r w:rsidR="007A3974" w:rsidRPr="009D1994">
        <w:t>šućom aktivnošću</w:t>
      </w:r>
      <w:r w:rsidRPr="009D1994">
        <w:t>.</w:t>
      </w:r>
    </w:p>
    <w:p w:rsidR="00FE5E30" w:rsidRPr="009D1994" w:rsidRDefault="00FE5E30" w:rsidP="00601AFC">
      <w:pPr>
        <w:pStyle w:val="BodyText"/>
        <w:spacing w:before="9"/>
        <w:ind w:left="454" w:right="113"/>
        <w:jc w:val="both"/>
        <w:rPr>
          <w:sz w:val="21"/>
        </w:rPr>
      </w:pPr>
    </w:p>
    <w:p w:rsidR="00FE5E30" w:rsidRPr="009D1994" w:rsidRDefault="000534A2" w:rsidP="00601AFC">
      <w:pPr>
        <w:pStyle w:val="BodyText"/>
        <w:ind w:left="454" w:right="113"/>
        <w:jc w:val="both"/>
      </w:pPr>
      <w:r w:rsidRPr="009D1994">
        <w:rPr>
          <w:u w:val="single"/>
        </w:rPr>
        <w:t xml:space="preserve">Posebne mjere opreza </w:t>
      </w:r>
      <w:r w:rsidR="00E06721" w:rsidRPr="009D1994">
        <w:rPr>
          <w:u w:val="single"/>
        </w:rPr>
        <w:t>kod pacijenata</w:t>
      </w:r>
      <w:r w:rsidRPr="009D1994">
        <w:rPr>
          <w:u w:val="single"/>
        </w:rPr>
        <w:t xml:space="preserve"> s</w:t>
      </w:r>
      <w:r w:rsidR="001B1E50" w:rsidRPr="009D1994">
        <w:rPr>
          <w:u w:val="single"/>
        </w:rPr>
        <w:t>a</w:t>
      </w:r>
      <w:r w:rsidRPr="009D1994">
        <w:rPr>
          <w:u w:val="single"/>
        </w:rPr>
        <w:t xml:space="preserve"> akutnom </w:t>
      </w:r>
      <w:r w:rsidR="001B1E50" w:rsidRPr="009D1994">
        <w:rPr>
          <w:u w:val="single"/>
        </w:rPr>
        <w:t>mijeloidn</w:t>
      </w:r>
      <w:r w:rsidRPr="009D1994">
        <w:rPr>
          <w:u w:val="single"/>
        </w:rPr>
        <w:t>om leukemijom (AML)</w:t>
      </w:r>
    </w:p>
    <w:p w:rsidR="00FE5E30" w:rsidRPr="009D1994" w:rsidRDefault="00FE5E30" w:rsidP="00601AFC">
      <w:pPr>
        <w:pStyle w:val="BodyText"/>
        <w:spacing w:before="3"/>
        <w:ind w:left="454" w:right="113"/>
        <w:jc w:val="both"/>
        <w:rPr>
          <w:sz w:val="14"/>
        </w:rPr>
      </w:pPr>
    </w:p>
    <w:p w:rsidR="00FE5E30" w:rsidRPr="009D1994" w:rsidRDefault="000534A2" w:rsidP="00601AFC">
      <w:pPr>
        <w:spacing w:before="92" w:line="251" w:lineRule="exact"/>
        <w:ind w:left="454" w:right="113"/>
        <w:jc w:val="both"/>
        <w:rPr>
          <w:i/>
        </w:rPr>
      </w:pPr>
      <w:r w:rsidRPr="009D1994">
        <w:rPr>
          <w:i/>
          <w:u w:val="single"/>
        </w:rPr>
        <w:t xml:space="preserve">Rast </w:t>
      </w:r>
      <w:r w:rsidR="001B1E50" w:rsidRPr="009D1994">
        <w:rPr>
          <w:i/>
          <w:u w:val="single"/>
        </w:rPr>
        <w:t>malign</w:t>
      </w:r>
      <w:r w:rsidRPr="009D1994">
        <w:rPr>
          <w:i/>
          <w:u w:val="single"/>
        </w:rPr>
        <w:t xml:space="preserve">ih </w:t>
      </w:r>
      <w:r w:rsidR="00D14DE6" w:rsidRPr="009D1994">
        <w:rPr>
          <w:i/>
          <w:u w:val="single"/>
        </w:rPr>
        <w:t>ćelij</w:t>
      </w:r>
      <w:r w:rsidRPr="009D1994">
        <w:rPr>
          <w:i/>
          <w:u w:val="single"/>
        </w:rPr>
        <w:t>a</w:t>
      </w:r>
    </w:p>
    <w:p w:rsidR="00FE5E30" w:rsidRPr="009D1994" w:rsidRDefault="000534A2" w:rsidP="00601AFC">
      <w:pPr>
        <w:pStyle w:val="BodyText"/>
        <w:spacing w:line="251" w:lineRule="exact"/>
        <w:ind w:left="454" w:right="113"/>
        <w:jc w:val="both"/>
      </w:pPr>
      <w:r w:rsidRPr="009D1994">
        <w:t>G-CSF može po</w:t>
      </w:r>
      <w:r w:rsidR="001B1E50" w:rsidRPr="009D1994">
        <w:t>dstać</w:t>
      </w:r>
      <w:r w:rsidRPr="009D1994">
        <w:t xml:space="preserve">i rast </w:t>
      </w:r>
      <w:r w:rsidR="001B1E50" w:rsidRPr="009D1994">
        <w:t>mijeloidn</w:t>
      </w:r>
      <w:r w:rsidRPr="009D1994">
        <w:t xml:space="preserve">ih </w:t>
      </w:r>
      <w:r w:rsidR="00D14DE6" w:rsidRPr="009D1994">
        <w:t>ćelij</w:t>
      </w:r>
      <w:r w:rsidRPr="009D1994">
        <w:t xml:space="preserve">a </w:t>
      </w:r>
      <w:r w:rsidRPr="009D1994">
        <w:rPr>
          <w:i/>
        </w:rPr>
        <w:t>in vitro</w:t>
      </w:r>
      <w:r w:rsidR="007F03F7">
        <w:t>,</w:t>
      </w:r>
      <w:r w:rsidRPr="009D1994">
        <w:rPr>
          <w:i/>
        </w:rPr>
        <w:t xml:space="preserve"> </w:t>
      </w:r>
      <w:r w:rsidR="001B1E50" w:rsidRPr="009D1994">
        <w:t>a</w:t>
      </w:r>
      <w:r w:rsidRPr="009D1994">
        <w:t xml:space="preserve"> slični </w:t>
      </w:r>
      <w:r w:rsidR="001B1E50" w:rsidRPr="009D1994">
        <w:t xml:space="preserve">efekti </w:t>
      </w:r>
      <w:r w:rsidRPr="009D1994">
        <w:t xml:space="preserve">se mogu </w:t>
      </w:r>
      <w:r w:rsidR="001B1E50" w:rsidRPr="009D1994">
        <w:t>primijeti</w:t>
      </w:r>
      <w:r w:rsidRPr="009D1994">
        <w:t>ti na nekim</w:t>
      </w:r>
      <w:r w:rsidR="00601AFC">
        <w:t xml:space="preserve"> </w:t>
      </w:r>
      <w:r w:rsidRPr="009D1994">
        <w:t>ne</w:t>
      </w:r>
      <w:r w:rsidR="001B1E50" w:rsidRPr="009D1994">
        <w:t>mijeloidn</w:t>
      </w:r>
      <w:r w:rsidRPr="009D1994">
        <w:t xml:space="preserve">im </w:t>
      </w:r>
      <w:r w:rsidR="00D14DE6" w:rsidRPr="009D1994">
        <w:t>ćelij</w:t>
      </w:r>
      <w:r w:rsidRPr="009D1994">
        <w:t xml:space="preserve">ama </w:t>
      </w:r>
      <w:r w:rsidRPr="009D1994">
        <w:rPr>
          <w:i/>
        </w:rPr>
        <w:t>in vitro</w:t>
      </w:r>
      <w:r w:rsidRPr="009D1994">
        <w:t>.</w:t>
      </w:r>
    </w:p>
    <w:p w:rsidR="00FE5E30" w:rsidRPr="009D1994" w:rsidRDefault="00FE5E30" w:rsidP="00601AFC">
      <w:pPr>
        <w:pStyle w:val="BodyText"/>
        <w:spacing w:before="3"/>
        <w:ind w:left="454" w:right="113"/>
        <w:jc w:val="both"/>
      </w:pPr>
    </w:p>
    <w:p w:rsidR="00FE5E30" w:rsidRPr="009D1994" w:rsidRDefault="000534A2" w:rsidP="00601AFC">
      <w:pPr>
        <w:spacing w:line="251" w:lineRule="exact"/>
        <w:ind w:left="454" w:right="113"/>
        <w:jc w:val="both"/>
        <w:rPr>
          <w:i/>
        </w:rPr>
      </w:pPr>
      <w:r w:rsidRPr="009D1994">
        <w:rPr>
          <w:i/>
          <w:u w:val="single"/>
        </w:rPr>
        <w:t xml:space="preserve">Mijelodisplastični sindrom ili </w:t>
      </w:r>
      <w:r w:rsidR="001374C3" w:rsidRPr="009D1994">
        <w:rPr>
          <w:i/>
          <w:u w:val="single"/>
        </w:rPr>
        <w:t>hronič</w:t>
      </w:r>
      <w:r w:rsidRPr="009D1994">
        <w:rPr>
          <w:i/>
          <w:u w:val="single"/>
        </w:rPr>
        <w:t xml:space="preserve">na </w:t>
      </w:r>
      <w:r w:rsidR="001B1E50" w:rsidRPr="009D1994">
        <w:rPr>
          <w:i/>
          <w:u w:val="single"/>
        </w:rPr>
        <w:t>mijeloidn</w:t>
      </w:r>
      <w:r w:rsidRPr="009D1994">
        <w:rPr>
          <w:i/>
          <w:u w:val="single"/>
        </w:rPr>
        <w:t>a leukemija</w:t>
      </w:r>
    </w:p>
    <w:p w:rsidR="00336210" w:rsidRPr="00243A59" w:rsidRDefault="001B226E" w:rsidP="00601AFC">
      <w:pPr>
        <w:pStyle w:val="BodyText"/>
        <w:kinsoku w:val="0"/>
        <w:overflowPunct w:val="0"/>
        <w:ind w:left="454" w:right="113"/>
        <w:contextualSpacing/>
        <w:jc w:val="both"/>
        <w:rPr>
          <w:color w:val="FF0000"/>
        </w:rPr>
      </w:pPr>
      <w:r w:rsidRPr="009D1994">
        <w:t>Bezbjednost</w:t>
      </w:r>
      <w:r w:rsidR="000534A2" w:rsidRPr="009D1994">
        <w:t xml:space="preserve"> i </w:t>
      </w:r>
      <w:r w:rsidRPr="009D1994">
        <w:t>efikasnost</w:t>
      </w:r>
      <w:r w:rsidR="000534A2" w:rsidRPr="009D1994">
        <w:t xml:space="preserve"> primjene filgrastima </w:t>
      </w:r>
      <w:r w:rsidR="00E06721" w:rsidRPr="009D1994">
        <w:t>kod pacijenata</w:t>
      </w:r>
      <w:r w:rsidR="000534A2" w:rsidRPr="009D1994">
        <w:t xml:space="preserve"> s</w:t>
      </w:r>
      <w:r w:rsidR="009D1994" w:rsidRPr="009D1994">
        <w:t>a</w:t>
      </w:r>
      <w:r w:rsidR="000534A2" w:rsidRPr="009D1994">
        <w:t xml:space="preserve"> mijelodisplastičnim sindromom ili </w:t>
      </w:r>
      <w:r w:rsidR="001374C3" w:rsidRPr="009D1994">
        <w:t>hronič</w:t>
      </w:r>
      <w:r w:rsidR="000534A2" w:rsidRPr="009D1994">
        <w:t xml:space="preserve">nom </w:t>
      </w:r>
      <w:r w:rsidR="001B1E50" w:rsidRPr="009D1994">
        <w:t>mijeloidn</w:t>
      </w:r>
      <w:r w:rsidR="000534A2" w:rsidRPr="009D1994">
        <w:t>om leukemijom ni</w:t>
      </w:r>
      <w:r w:rsidR="007F03F7">
        <w:t>je</w:t>
      </w:r>
      <w:r w:rsidR="000534A2" w:rsidRPr="009D1994">
        <w:t xml:space="preserve">su ustanovljene. </w:t>
      </w:r>
      <w:r w:rsidRPr="009D1994">
        <w:t xml:space="preserve">Zbog </w:t>
      </w:r>
      <w:r w:rsidR="000534A2" w:rsidRPr="009D1994">
        <w:t>toga p</w:t>
      </w:r>
      <w:r w:rsidRPr="009D1994">
        <w:t>rimjena filgrastima nije indikov</w:t>
      </w:r>
      <w:r w:rsidR="000534A2" w:rsidRPr="009D1994">
        <w:t>ana</w:t>
      </w:r>
    </w:p>
    <w:p w:rsidR="001B226E" w:rsidRPr="009D1994" w:rsidRDefault="000534A2" w:rsidP="00601AFC">
      <w:pPr>
        <w:pStyle w:val="BodyText"/>
        <w:kinsoku w:val="0"/>
        <w:overflowPunct w:val="0"/>
        <w:ind w:left="454" w:right="113"/>
        <w:contextualSpacing/>
        <w:jc w:val="both"/>
        <w:rPr>
          <w:lang w:val="sv-SE"/>
        </w:rPr>
      </w:pPr>
      <w:r w:rsidRPr="009D1994">
        <w:t xml:space="preserve">u tim stanjima. </w:t>
      </w:r>
      <w:r w:rsidR="001B226E" w:rsidRPr="009D1994">
        <w:rPr>
          <w:lang w:val="sv-SE"/>
        </w:rPr>
        <w:t>Neophodan</w:t>
      </w:r>
      <w:r w:rsidR="001B226E" w:rsidRPr="009D1994">
        <w:rPr>
          <w:spacing w:val="1"/>
          <w:lang w:val="sv-SE"/>
        </w:rPr>
        <w:t xml:space="preserve"> </w:t>
      </w:r>
      <w:r w:rsidR="001B226E" w:rsidRPr="009D1994">
        <w:rPr>
          <w:lang w:val="sv-SE"/>
        </w:rPr>
        <w:t>je</w:t>
      </w:r>
      <w:r w:rsidR="001B226E" w:rsidRPr="009D1994">
        <w:rPr>
          <w:spacing w:val="23"/>
          <w:lang w:val="sv-SE"/>
        </w:rPr>
        <w:t xml:space="preserve"> </w:t>
      </w:r>
      <w:r w:rsidR="001B226E" w:rsidRPr="009D1994">
        <w:rPr>
          <w:spacing w:val="-2"/>
          <w:lang w:val="sv-SE"/>
        </w:rPr>
        <w:t>poseban</w:t>
      </w:r>
      <w:r w:rsidR="001B226E" w:rsidRPr="009D1994">
        <w:rPr>
          <w:spacing w:val="8"/>
          <w:lang w:val="sv-SE"/>
        </w:rPr>
        <w:t xml:space="preserve"> </w:t>
      </w:r>
      <w:r w:rsidR="001B226E" w:rsidRPr="009D1994">
        <w:rPr>
          <w:spacing w:val="-2"/>
          <w:lang w:val="sv-SE"/>
        </w:rPr>
        <w:t>oprez</w:t>
      </w:r>
      <w:r w:rsidR="001B226E" w:rsidRPr="009D1994">
        <w:rPr>
          <w:spacing w:val="4"/>
          <w:lang w:val="sv-SE"/>
        </w:rPr>
        <w:t xml:space="preserve"> </w:t>
      </w:r>
      <w:r w:rsidR="001B226E" w:rsidRPr="009D1994">
        <w:rPr>
          <w:lang w:val="sv-SE"/>
        </w:rPr>
        <w:t>u</w:t>
      </w:r>
      <w:r w:rsidR="001B226E" w:rsidRPr="009D1994">
        <w:rPr>
          <w:spacing w:val="5"/>
          <w:lang w:val="sv-SE"/>
        </w:rPr>
        <w:t xml:space="preserve"> </w:t>
      </w:r>
      <w:r w:rsidR="001B226E" w:rsidRPr="009D1994">
        <w:rPr>
          <w:spacing w:val="-1"/>
          <w:lang w:val="sv-SE"/>
        </w:rPr>
        <w:t>razlikovanju</w:t>
      </w:r>
      <w:r w:rsidR="001B226E" w:rsidRPr="009D1994">
        <w:rPr>
          <w:spacing w:val="4"/>
          <w:lang w:val="sv-SE"/>
        </w:rPr>
        <w:t xml:space="preserve"> </w:t>
      </w:r>
      <w:r w:rsidR="001B226E" w:rsidRPr="009D1994">
        <w:rPr>
          <w:spacing w:val="-1"/>
          <w:lang w:val="sv-SE"/>
        </w:rPr>
        <w:t>dijagnoza</w:t>
      </w:r>
      <w:r w:rsidR="001B226E" w:rsidRPr="009D1994">
        <w:rPr>
          <w:spacing w:val="4"/>
          <w:lang w:val="sv-SE"/>
        </w:rPr>
        <w:t xml:space="preserve"> </w:t>
      </w:r>
      <w:r w:rsidR="001B226E" w:rsidRPr="009D1994">
        <w:rPr>
          <w:spacing w:val="-1"/>
          <w:lang w:val="sv-SE"/>
        </w:rPr>
        <w:t>blastne</w:t>
      </w:r>
      <w:r w:rsidR="001B226E" w:rsidRPr="009D1994">
        <w:rPr>
          <w:spacing w:val="3"/>
          <w:lang w:val="sv-SE"/>
        </w:rPr>
        <w:t xml:space="preserve"> </w:t>
      </w:r>
      <w:r w:rsidR="001B226E" w:rsidRPr="009D1994">
        <w:rPr>
          <w:spacing w:val="-1"/>
          <w:lang w:val="sv-SE"/>
        </w:rPr>
        <w:t>transformacije</w:t>
      </w:r>
      <w:r w:rsidR="001B226E" w:rsidRPr="009D1994">
        <w:rPr>
          <w:spacing w:val="9"/>
          <w:lang w:val="sv-SE"/>
        </w:rPr>
        <w:t xml:space="preserve"> </w:t>
      </w:r>
      <w:r w:rsidR="001B226E" w:rsidRPr="009D1994">
        <w:rPr>
          <w:spacing w:val="-2"/>
          <w:lang w:val="sv-SE"/>
        </w:rPr>
        <w:t>hronične</w:t>
      </w:r>
      <w:r w:rsidR="001B226E" w:rsidRPr="009D1994">
        <w:rPr>
          <w:spacing w:val="8"/>
          <w:lang w:val="sv-SE"/>
        </w:rPr>
        <w:t xml:space="preserve"> </w:t>
      </w:r>
      <w:r w:rsidR="001B226E" w:rsidRPr="009D1994">
        <w:rPr>
          <w:spacing w:val="-2"/>
          <w:lang w:val="sv-SE"/>
        </w:rPr>
        <w:t>mijeloidne</w:t>
      </w:r>
      <w:r w:rsidR="001B226E" w:rsidRPr="009D1994">
        <w:rPr>
          <w:spacing w:val="8"/>
          <w:lang w:val="sv-SE"/>
        </w:rPr>
        <w:t xml:space="preserve"> </w:t>
      </w:r>
      <w:r w:rsidR="001B226E" w:rsidRPr="009D1994">
        <w:rPr>
          <w:spacing w:val="-1"/>
          <w:lang w:val="sv-SE"/>
        </w:rPr>
        <w:t>leukemije</w:t>
      </w:r>
      <w:r w:rsidR="001B226E" w:rsidRPr="009D1994">
        <w:rPr>
          <w:spacing w:val="4"/>
          <w:lang w:val="sv-SE"/>
        </w:rPr>
        <w:t xml:space="preserve"> </w:t>
      </w:r>
      <w:r w:rsidR="001B226E" w:rsidRPr="009D1994">
        <w:rPr>
          <w:lang w:val="sv-SE"/>
        </w:rPr>
        <w:t>i</w:t>
      </w:r>
      <w:r w:rsidR="001B226E" w:rsidRPr="009D1994">
        <w:rPr>
          <w:spacing w:val="1"/>
          <w:lang w:val="sv-SE"/>
        </w:rPr>
        <w:t xml:space="preserve"> </w:t>
      </w:r>
      <w:r w:rsidR="001B226E" w:rsidRPr="009D1994">
        <w:rPr>
          <w:lang w:val="sv-SE"/>
        </w:rPr>
        <w:t>akutne</w:t>
      </w:r>
      <w:r w:rsidR="001B226E" w:rsidRPr="009D1994">
        <w:rPr>
          <w:spacing w:val="25"/>
          <w:lang w:val="sv-SE"/>
        </w:rPr>
        <w:t xml:space="preserve"> </w:t>
      </w:r>
      <w:r w:rsidR="001B226E" w:rsidRPr="009D1994">
        <w:rPr>
          <w:spacing w:val="-1"/>
          <w:lang w:val="sv-SE"/>
        </w:rPr>
        <w:t>mijeloidne leukemije (AML).</w:t>
      </w:r>
    </w:p>
    <w:p w:rsidR="00FE5E30" w:rsidRPr="00243A59" w:rsidRDefault="00FE5E30" w:rsidP="00A0130D">
      <w:pPr>
        <w:pStyle w:val="BodyText"/>
        <w:ind w:left="460" w:right="374"/>
        <w:jc w:val="both"/>
        <w:rPr>
          <w:color w:val="FF0000"/>
        </w:rPr>
      </w:pPr>
    </w:p>
    <w:p w:rsidR="00FE5E30" w:rsidRPr="009D1994" w:rsidRDefault="000534A2" w:rsidP="00A0130D">
      <w:pPr>
        <w:spacing w:before="1" w:line="251" w:lineRule="exact"/>
        <w:ind w:left="460"/>
        <w:jc w:val="both"/>
        <w:rPr>
          <w:i/>
        </w:rPr>
      </w:pPr>
      <w:r w:rsidRPr="009D1994">
        <w:rPr>
          <w:i/>
          <w:u w:val="single"/>
        </w:rPr>
        <w:t xml:space="preserve">Akutna </w:t>
      </w:r>
      <w:r w:rsidR="001B1E50" w:rsidRPr="009D1994">
        <w:rPr>
          <w:i/>
          <w:u w:val="single"/>
        </w:rPr>
        <w:t>mijeloidn</w:t>
      </w:r>
      <w:r w:rsidRPr="009D1994">
        <w:rPr>
          <w:i/>
          <w:u w:val="single"/>
        </w:rPr>
        <w:t>a leukemija</w:t>
      </w:r>
    </w:p>
    <w:p w:rsidR="00912FD9" w:rsidRPr="009D1994" w:rsidRDefault="00912FD9" w:rsidP="00601AFC">
      <w:pPr>
        <w:pStyle w:val="BodyText"/>
        <w:kinsoku w:val="0"/>
        <w:overflowPunct w:val="0"/>
        <w:ind w:left="454" w:right="113"/>
        <w:contextualSpacing/>
        <w:jc w:val="both"/>
        <w:rPr>
          <w:lang w:val="sv-SE"/>
        </w:rPr>
      </w:pPr>
      <w:r w:rsidRPr="009D1994">
        <w:rPr>
          <w:spacing w:val="-1"/>
          <w:lang w:val="sv-SE"/>
        </w:rPr>
        <w:t>Usl</w:t>
      </w:r>
      <w:r w:rsidR="007F03F7">
        <w:rPr>
          <w:spacing w:val="-1"/>
          <w:lang w:val="sv-SE"/>
        </w:rPr>
        <w:t>j</w:t>
      </w:r>
      <w:r w:rsidRPr="009D1994">
        <w:rPr>
          <w:spacing w:val="-1"/>
          <w:lang w:val="sv-SE"/>
        </w:rPr>
        <w:t>ed</w:t>
      </w:r>
      <w:r w:rsidRPr="009D1994">
        <w:rPr>
          <w:spacing w:val="34"/>
          <w:lang w:val="sv-SE"/>
        </w:rPr>
        <w:t xml:space="preserve"> </w:t>
      </w:r>
      <w:r w:rsidRPr="009D1994">
        <w:rPr>
          <w:spacing w:val="-1"/>
          <w:lang w:val="sv-SE"/>
        </w:rPr>
        <w:t>ograničenih</w:t>
      </w:r>
      <w:r w:rsidRPr="009D1994">
        <w:rPr>
          <w:spacing w:val="30"/>
          <w:lang w:val="sv-SE"/>
        </w:rPr>
        <w:t xml:space="preserve"> </w:t>
      </w:r>
      <w:r w:rsidRPr="009D1994">
        <w:rPr>
          <w:lang w:val="sv-SE"/>
        </w:rPr>
        <w:t>podataka</w:t>
      </w:r>
      <w:r w:rsidRPr="009D1994">
        <w:rPr>
          <w:spacing w:val="32"/>
          <w:lang w:val="sv-SE"/>
        </w:rPr>
        <w:t xml:space="preserve"> </w:t>
      </w:r>
      <w:r w:rsidRPr="009D1994">
        <w:rPr>
          <w:lang w:val="sv-SE"/>
        </w:rPr>
        <w:t>o</w:t>
      </w:r>
      <w:r w:rsidRPr="009D1994">
        <w:rPr>
          <w:spacing w:val="26"/>
          <w:lang w:val="sv-SE"/>
        </w:rPr>
        <w:t xml:space="preserve"> </w:t>
      </w:r>
      <w:r w:rsidRPr="009D1994">
        <w:rPr>
          <w:spacing w:val="-1"/>
          <w:lang w:val="sv-SE"/>
        </w:rPr>
        <w:t>bezbjednosti</w:t>
      </w:r>
      <w:r w:rsidRPr="009D1994">
        <w:rPr>
          <w:spacing w:val="35"/>
          <w:lang w:val="sv-SE"/>
        </w:rPr>
        <w:t xml:space="preserve"> </w:t>
      </w:r>
      <w:r w:rsidRPr="009D1994">
        <w:rPr>
          <w:lang w:val="sv-SE"/>
        </w:rPr>
        <w:t>i</w:t>
      </w:r>
      <w:r w:rsidRPr="009D1994">
        <w:rPr>
          <w:spacing w:val="32"/>
          <w:lang w:val="sv-SE"/>
        </w:rPr>
        <w:t xml:space="preserve"> </w:t>
      </w:r>
      <w:r w:rsidRPr="009D1994">
        <w:rPr>
          <w:spacing w:val="-1"/>
          <w:lang w:val="sv-SE"/>
        </w:rPr>
        <w:t>efikasnosti</w:t>
      </w:r>
      <w:r w:rsidRPr="009D1994">
        <w:rPr>
          <w:spacing w:val="30"/>
          <w:lang w:val="sv-SE"/>
        </w:rPr>
        <w:t xml:space="preserve"> </w:t>
      </w:r>
      <w:r w:rsidRPr="009D1994">
        <w:rPr>
          <w:spacing w:val="-2"/>
          <w:lang w:val="sv-SE"/>
        </w:rPr>
        <w:t>primjene</w:t>
      </w:r>
      <w:r w:rsidRPr="009D1994">
        <w:rPr>
          <w:spacing w:val="34"/>
          <w:lang w:val="sv-SE"/>
        </w:rPr>
        <w:t xml:space="preserve"> </w:t>
      </w:r>
      <w:r w:rsidRPr="009D1994">
        <w:rPr>
          <w:spacing w:val="-2"/>
          <w:lang w:val="sv-SE"/>
        </w:rPr>
        <w:t>kod</w:t>
      </w:r>
      <w:r w:rsidRPr="009D1994">
        <w:rPr>
          <w:spacing w:val="29"/>
          <w:lang w:val="sv-SE"/>
        </w:rPr>
        <w:t xml:space="preserve"> </w:t>
      </w:r>
      <w:r w:rsidRPr="009D1994">
        <w:rPr>
          <w:lang w:val="sv-SE"/>
        </w:rPr>
        <w:t>pacijenata</w:t>
      </w:r>
      <w:r w:rsidRPr="009D1994">
        <w:rPr>
          <w:spacing w:val="31"/>
          <w:lang w:val="sv-SE"/>
        </w:rPr>
        <w:t xml:space="preserve"> </w:t>
      </w:r>
      <w:r w:rsidRPr="009D1994">
        <w:rPr>
          <w:lang w:val="sv-SE"/>
        </w:rPr>
        <w:t>sa</w:t>
      </w:r>
      <w:r w:rsidRPr="009D1994">
        <w:rPr>
          <w:spacing w:val="33"/>
          <w:lang w:val="sv-SE"/>
        </w:rPr>
        <w:t xml:space="preserve"> </w:t>
      </w:r>
      <w:r w:rsidRPr="009D1994">
        <w:rPr>
          <w:spacing w:val="-2"/>
          <w:lang w:val="sv-SE"/>
        </w:rPr>
        <w:t>sekundarnom</w:t>
      </w:r>
      <w:r w:rsidRPr="009D1994">
        <w:rPr>
          <w:spacing w:val="29"/>
          <w:lang w:val="sv-SE"/>
        </w:rPr>
        <w:t xml:space="preserve"> </w:t>
      </w:r>
      <w:r w:rsidRPr="009D1994">
        <w:rPr>
          <w:lang w:val="sv-SE"/>
        </w:rPr>
        <w:t>akutnom</w:t>
      </w:r>
      <w:r w:rsidRPr="009D1994">
        <w:rPr>
          <w:spacing w:val="30"/>
          <w:lang w:val="sv-SE"/>
        </w:rPr>
        <w:t xml:space="preserve"> </w:t>
      </w:r>
      <w:r w:rsidRPr="009D1994">
        <w:rPr>
          <w:spacing w:val="-1"/>
          <w:lang w:val="sv-SE"/>
        </w:rPr>
        <w:t>mijeloidnom</w:t>
      </w:r>
      <w:r w:rsidRPr="009D1994">
        <w:rPr>
          <w:spacing w:val="3"/>
          <w:lang w:val="sv-SE"/>
        </w:rPr>
        <w:t xml:space="preserve"> </w:t>
      </w:r>
      <w:r w:rsidRPr="009D1994">
        <w:rPr>
          <w:spacing w:val="-2"/>
          <w:lang w:val="sv-SE"/>
        </w:rPr>
        <w:t>leukemijom</w:t>
      </w:r>
      <w:r w:rsidRPr="009D1994">
        <w:rPr>
          <w:spacing w:val="3"/>
          <w:lang w:val="sv-SE"/>
        </w:rPr>
        <w:t xml:space="preserve"> </w:t>
      </w:r>
      <w:r w:rsidRPr="009D1994">
        <w:rPr>
          <w:spacing w:val="-1"/>
          <w:lang w:val="sv-SE"/>
        </w:rPr>
        <w:t>(AML),</w:t>
      </w:r>
      <w:r w:rsidRPr="009D1994">
        <w:rPr>
          <w:spacing w:val="2"/>
          <w:lang w:val="sv-SE"/>
        </w:rPr>
        <w:t xml:space="preserve"> </w:t>
      </w:r>
      <w:r w:rsidRPr="009D1994">
        <w:rPr>
          <w:spacing w:val="-1"/>
          <w:lang w:val="sv-SE"/>
        </w:rPr>
        <w:t>filgrastim</w:t>
      </w:r>
      <w:r w:rsidRPr="009D1994">
        <w:rPr>
          <w:spacing w:val="46"/>
          <w:lang w:val="sv-SE"/>
        </w:rPr>
        <w:t xml:space="preserve"> </w:t>
      </w:r>
      <w:r w:rsidRPr="009D1994">
        <w:rPr>
          <w:lang w:val="sv-SE"/>
        </w:rPr>
        <w:t xml:space="preserve">treba </w:t>
      </w:r>
      <w:r w:rsidRPr="009D1994">
        <w:rPr>
          <w:spacing w:val="-1"/>
          <w:lang w:val="sv-SE"/>
        </w:rPr>
        <w:t>primjenjivati</w:t>
      </w:r>
      <w:r w:rsidRPr="009D1994">
        <w:rPr>
          <w:spacing w:val="54"/>
          <w:lang w:val="sv-SE"/>
        </w:rPr>
        <w:t xml:space="preserve"> </w:t>
      </w:r>
      <w:r w:rsidRPr="009D1994">
        <w:rPr>
          <w:lang w:val="sv-SE"/>
        </w:rPr>
        <w:t>sa</w:t>
      </w:r>
      <w:r w:rsidRPr="009D1994">
        <w:rPr>
          <w:spacing w:val="2"/>
          <w:lang w:val="sv-SE"/>
        </w:rPr>
        <w:t xml:space="preserve"> </w:t>
      </w:r>
      <w:r w:rsidRPr="009D1994">
        <w:rPr>
          <w:spacing w:val="-2"/>
          <w:lang w:val="sv-SE"/>
        </w:rPr>
        <w:t>oprezom.</w:t>
      </w:r>
      <w:r w:rsidRPr="009D1994">
        <w:rPr>
          <w:spacing w:val="2"/>
          <w:lang w:val="sv-SE"/>
        </w:rPr>
        <w:t xml:space="preserve"> </w:t>
      </w:r>
      <w:r w:rsidRPr="009D1994">
        <w:rPr>
          <w:spacing w:val="-2"/>
          <w:lang w:val="sv-SE"/>
        </w:rPr>
        <w:t>Nije</w:t>
      </w:r>
      <w:r w:rsidRPr="009D1994">
        <w:rPr>
          <w:spacing w:val="53"/>
          <w:lang w:val="sv-SE"/>
        </w:rPr>
        <w:t xml:space="preserve"> </w:t>
      </w:r>
      <w:r w:rsidRPr="009D1994">
        <w:rPr>
          <w:lang w:val="sv-SE"/>
        </w:rPr>
        <w:t xml:space="preserve">utvrđena </w:t>
      </w:r>
      <w:r w:rsidRPr="009D1994">
        <w:rPr>
          <w:spacing w:val="-1"/>
          <w:lang w:val="sv-SE"/>
        </w:rPr>
        <w:t>bezbjednost</w:t>
      </w:r>
      <w:r w:rsidRPr="009D1994">
        <w:rPr>
          <w:spacing w:val="54"/>
          <w:lang w:val="sv-SE"/>
        </w:rPr>
        <w:t xml:space="preserve"> </w:t>
      </w:r>
      <w:r w:rsidRPr="009D1994">
        <w:rPr>
          <w:lang w:val="sv-SE"/>
        </w:rPr>
        <w:t>i</w:t>
      </w:r>
      <w:r w:rsidRPr="009D1994">
        <w:rPr>
          <w:spacing w:val="23"/>
          <w:lang w:val="sv-SE"/>
        </w:rPr>
        <w:t xml:space="preserve"> </w:t>
      </w:r>
      <w:r w:rsidRPr="009D1994">
        <w:rPr>
          <w:spacing w:val="-1"/>
          <w:lang w:val="sv-SE"/>
        </w:rPr>
        <w:t>efikasnost</w:t>
      </w:r>
      <w:r w:rsidRPr="009D1994">
        <w:rPr>
          <w:spacing w:val="4"/>
          <w:lang w:val="sv-SE"/>
        </w:rPr>
        <w:t xml:space="preserve"> </w:t>
      </w:r>
      <w:r w:rsidRPr="009D1994">
        <w:rPr>
          <w:spacing w:val="-1"/>
          <w:lang w:val="sv-SE"/>
        </w:rPr>
        <w:t>primjene</w:t>
      </w:r>
      <w:r w:rsidRPr="009D1994">
        <w:rPr>
          <w:spacing w:val="4"/>
          <w:lang w:val="sv-SE"/>
        </w:rPr>
        <w:t xml:space="preserve"> </w:t>
      </w:r>
      <w:r w:rsidRPr="009D1994">
        <w:rPr>
          <w:spacing w:val="-1"/>
          <w:lang w:val="sv-SE"/>
        </w:rPr>
        <w:t>filgrastima</w:t>
      </w:r>
      <w:r w:rsidRPr="009D1994">
        <w:rPr>
          <w:spacing w:val="4"/>
          <w:lang w:val="sv-SE"/>
        </w:rPr>
        <w:t xml:space="preserve"> </w:t>
      </w:r>
      <w:r w:rsidRPr="009D1994">
        <w:rPr>
          <w:spacing w:val="-2"/>
          <w:lang w:val="sv-SE"/>
        </w:rPr>
        <w:t>kod</w:t>
      </w:r>
      <w:r w:rsidRPr="009D1994">
        <w:rPr>
          <w:spacing w:val="3"/>
          <w:lang w:val="sv-SE"/>
        </w:rPr>
        <w:t xml:space="preserve"> </w:t>
      </w:r>
      <w:r w:rsidRPr="009D1994">
        <w:rPr>
          <w:lang w:val="sv-SE"/>
        </w:rPr>
        <w:t>pacijenata</w:t>
      </w:r>
      <w:r w:rsidRPr="009D1994">
        <w:rPr>
          <w:spacing w:val="5"/>
          <w:lang w:val="sv-SE"/>
        </w:rPr>
        <w:t xml:space="preserve"> </w:t>
      </w:r>
      <w:r w:rsidRPr="009D1994">
        <w:rPr>
          <w:spacing w:val="-1"/>
          <w:lang w:val="sv-SE"/>
        </w:rPr>
        <w:t>mlađih</w:t>
      </w:r>
      <w:r w:rsidRPr="009D1994">
        <w:rPr>
          <w:spacing w:val="5"/>
          <w:lang w:val="sv-SE"/>
        </w:rPr>
        <w:t xml:space="preserve"> </w:t>
      </w:r>
      <w:r w:rsidRPr="009D1994">
        <w:rPr>
          <w:spacing w:val="-2"/>
          <w:lang w:val="sv-SE"/>
        </w:rPr>
        <w:t>od</w:t>
      </w:r>
      <w:r w:rsidRPr="009D1994">
        <w:rPr>
          <w:spacing w:val="2"/>
          <w:lang w:val="sv-SE"/>
        </w:rPr>
        <w:t xml:space="preserve"> </w:t>
      </w:r>
      <w:r w:rsidRPr="009D1994">
        <w:rPr>
          <w:lang w:val="sv-SE"/>
        </w:rPr>
        <w:t>55</w:t>
      </w:r>
      <w:r w:rsidRPr="009D1994">
        <w:rPr>
          <w:spacing w:val="5"/>
          <w:lang w:val="sv-SE"/>
        </w:rPr>
        <w:t xml:space="preserve"> </w:t>
      </w:r>
      <w:r w:rsidRPr="009D1994">
        <w:rPr>
          <w:spacing w:val="-1"/>
          <w:lang w:val="sv-SE"/>
        </w:rPr>
        <w:t>godina</w:t>
      </w:r>
      <w:r w:rsidRPr="009D1994">
        <w:rPr>
          <w:spacing w:val="4"/>
          <w:lang w:val="sv-SE"/>
        </w:rPr>
        <w:t xml:space="preserve"> </w:t>
      </w:r>
      <w:r w:rsidRPr="009D1994">
        <w:rPr>
          <w:lang w:val="sv-SE"/>
        </w:rPr>
        <w:t>sa</w:t>
      </w:r>
      <w:r w:rsidRPr="009D1994">
        <w:rPr>
          <w:spacing w:val="6"/>
          <w:lang w:val="sv-SE"/>
        </w:rPr>
        <w:t xml:space="preserve"> </w:t>
      </w:r>
      <w:r w:rsidRPr="009D1994">
        <w:rPr>
          <w:i/>
          <w:iCs/>
          <w:spacing w:val="-1"/>
          <w:lang w:val="sv-SE"/>
        </w:rPr>
        <w:t>de</w:t>
      </w:r>
      <w:r w:rsidRPr="009D1994">
        <w:rPr>
          <w:i/>
          <w:iCs/>
          <w:spacing w:val="4"/>
          <w:lang w:val="sv-SE"/>
        </w:rPr>
        <w:t xml:space="preserve"> </w:t>
      </w:r>
      <w:r w:rsidRPr="009D1994">
        <w:rPr>
          <w:i/>
          <w:iCs/>
          <w:spacing w:val="-1"/>
          <w:lang w:val="sv-SE"/>
        </w:rPr>
        <w:t>novo</w:t>
      </w:r>
      <w:r w:rsidRPr="009D1994">
        <w:rPr>
          <w:i/>
          <w:iCs/>
          <w:lang w:val="sv-SE"/>
        </w:rPr>
        <w:t xml:space="preserve"> </w:t>
      </w:r>
      <w:r w:rsidRPr="009D1994">
        <w:rPr>
          <w:spacing w:val="-2"/>
          <w:lang w:val="sv-SE"/>
        </w:rPr>
        <w:t>akutnom</w:t>
      </w:r>
      <w:r w:rsidRPr="009D1994">
        <w:rPr>
          <w:spacing w:val="8"/>
          <w:lang w:val="sv-SE"/>
        </w:rPr>
        <w:t xml:space="preserve"> </w:t>
      </w:r>
      <w:r w:rsidRPr="009D1994">
        <w:rPr>
          <w:spacing w:val="-1"/>
          <w:lang w:val="sv-SE"/>
        </w:rPr>
        <w:lastRenderedPageBreak/>
        <w:t>mijeloidnom</w:t>
      </w:r>
      <w:r w:rsidRPr="009D1994">
        <w:rPr>
          <w:spacing w:val="26"/>
          <w:lang w:val="sv-SE"/>
        </w:rPr>
        <w:t xml:space="preserve"> </w:t>
      </w:r>
      <w:r w:rsidRPr="009D1994">
        <w:rPr>
          <w:spacing w:val="-1"/>
          <w:lang w:val="sv-SE"/>
        </w:rPr>
        <w:t>leukemijom</w:t>
      </w:r>
      <w:r w:rsidRPr="009D1994">
        <w:rPr>
          <w:spacing w:val="-2"/>
          <w:lang w:val="sv-SE"/>
        </w:rPr>
        <w:t xml:space="preserve"> </w:t>
      </w:r>
      <w:r w:rsidRPr="009D1994">
        <w:rPr>
          <w:lang w:val="sv-SE"/>
        </w:rPr>
        <w:t>i</w:t>
      </w:r>
      <w:r w:rsidRPr="009D1994">
        <w:rPr>
          <w:spacing w:val="1"/>
          <w:lang w:val="sv-SE"/>
        </w:rPr>
        <w:t xml:space="preserve"> </w:t>
      </w:r>
      <w:r w:rsidRPr="009D1994">
        <w:rPr>
          <w:spacing w:val="-1"/>
          <w:lang w:val="sv-SE"/>
        </w:rPr>
        <w:t xml:space="preserve">dobrim citogenetskim nalazom [t (8;21), t(15;17) </w:t>
      </w:r>
      <w:r w:rsidRPr="009D1994">
        <w:rPr>
          <w:lang w:val="sv-SE"/>
        </w:rPr>
        <w:t>i</w:t>
      </w:r>
      <w:r w:rsidRPr="009D1994">
        <w:rPr>
          <w:spacing w:val="-1"/>
          <w:lang w:val="sv-SE"/>
        </w:rPr>
        <w:t xml:space="preserve"> inv (16)].</w:t>
      </w:r>
    </w:p>
    <w:p w:rsidR="00FE5E30" w:rsidRPr="00BF46D3" w:rsidRDefault="00FE5E30" w:rsidP="00601AFC">
      <w:pPr>
        <w:pStyle w:val="BodyText"/>
        <w:ind w:left="454" w:right="113"/>
        <w:jc w:val="both"/>
        <w:rPr>
          <w:lang w:val="sv-SE"/>
        </w:rPr>
      </w:pPr>
    </w:p>
    <w:p w:rsidR="00BF332D" w:rsidRPr="00BF46D3" w:rsidRDefault="000534A2" w:rsidP="00601AFC">
      <w:pPr>
        <w:ind w:left="454" w:right="113"/>
        <w:jc w:val="both"/>
        <w:rPr>
          <w:i/>
          <w:lang w:val="sv-SE"/>
        </w:rPr>
      </w:pPr>
      <w:r w:rsidRPr="00BF46D3">
        <w:rPr>
          <w:i/>
          <w:u w:val="single"/>
          <w:lang w:val="sv-SE"/>
        </w:rPr>
        <w:t>Druge posebne mjere opreza</w:t>
      </w:r>
      <w:r w:rsidRPr="00BF46D3">
        <w:rPr>
          <w:i/>
          <w:lang w:val="sv-SE"/>
        </w:rPr>
        <w:t xml:space="preserve"> </w:t>
      </w:r>
    </w:p>
    <w:p w:rsidR="00BF332D" w:rsidRPr="00BF46D3" w:rsidRDefault="00BF332D" w:rsidP="00601AFC">
      <w:pPr>
        <w:ind w:left="454" w:right="113"/>
        <w:jc w:val="both"/>
        <w:rPr>
          <w:i/>
          <w:lang w:val="sv-SE"/>
        </w:rPr>
      </w:pPr>
    </w:p>
    <w:p w:rsidR="00FE5E30" w:rsidRPr="00BF46D3" w:rsidRDefault="000534A2" w:rsidP="00601AFC">
      <w:pPr>
        <w:ind w:left="454" w:right="113"/>
        <w:jc w:val="both"/>
        <w:rPr>
          <w:i/>
          <w:lang w:val="sv-SE"/>
        </w:rPr>
      </w:pPr>
      <w:r w:rsidRPr="00BF46D3">
        <w:rPr>
          <w:i/>
          <w:lang w:val="sv-SE"/>
        </w:rPr>
        <w:t>Osteoporoza</w:t>
      </w:r>
    </w:p>
    <w:p w:rsidR="00FE5E30" w:rsidRPr="00BF46D3" w:rsidRDefault="00E06721" w:rsidP="00601AFC">
      <w:pPr>
        <w:pStyle w:val="BodyText"/>
        <w:spacing w:before="66"/>
        <w:ind w:left="454" w:right="113"/>
        <w:jc w:val="both"/>
        <w:rPr>
          <w:lang w:val="sv-SE"/>
        </w:rPr>
      </w:pPr>
      <w:r w:rsidRPr="00BF46D3">
        <w:rPr>
          <w:lang w:val="sv-SE"/>
        </w:rPr>
        <w:t>Kod pacijenata</w:t>
      </w:r>
      <w:r w:rsidR="000534A2" w:rsidRPr="00BF46D3">
        <w:rPr>
          <w:lang w:val="sv-SE"/>
        </w:rPr>
        <w:t xml:space="preserve"> s</w:t>
      </w:r>
      <w:r w:rsidR="00912FD9" w:rsidRPr="00BF46D3">
        <w:rPr>
          <w:lang w:val="sv-SE"/>
        </w:rPr>
        <w:t>a</w:t>
      </w:r>
      <w:r w:rsidR="000534A2" w:rsidRPr="00BF46D3">
        <w:rPr>
          <w:lang w:val="sv-SE"/>
        </w:rPr>
        <w:t xml:space="preserve"> postojećom osteoporozom koji su na kontinui</w:t>
      </w:r>
      <w:r w:rsidR="00912FD9" w:rsidRPr="00BF46D3">
        <w:rPr>
          <w:lang w:val="sv-SE"/>
        </w:rPr>
        <w:t>ranoj terapiji filgrastimom duže od 6 mjeseci indikov</w:t>
      </w:r>
      <w:r w:rsidR="000534A2" w:rsidRPr="00BF46D3">
        <w:rPr>
          <w:lang w:val="sv-SE"/>
        </w:rPr>
        <w:t>ano</w:t>
      </w:r>
      <w:r w:rsidR="00912FD9" w:rsidRPr="00BF46D3">
        <w:rPr>
          <w:lang w:val="sv-SE"/>
        </w:rPr>
        <w:t xml:space="preserve"> je mjerenje gustin</w:t>
      </w:r>
      <w:r w:rsidR="000534A2" w:rsidRPr="00BF46D3">
        <w:rPr>
          <w:lang w:val="sv-SE"/>
        </w:rPr>
        <w:t>e kostiju.</w:t>
      </w:r>
    </w:p>
    <w:p w:rsidR="00FE5E30" w:rsidRPr="00BF46D3" w:rsidRDefault="00FE5E30" w:rsidP="00601AFC">
      <w:pPr>
        <w:pStyle w:val="BodyText"/>
        <w:spacing w:before="10"/>
        <w:ind w:left="454" w:right="113"/>
        <w:jc w:val="both"/>
        <w:rPr>
          <w:color w:val="FF0000"/>
          <w:sz w:val="21"/>
          <w:lang w:val="sv-SE"/>
        </w:rPr>
      </w:pPr>
    </w:p>
    <w:p w:rsidR="00FE5E30" w:rsidRPr="00BF46D3" w:rsidRDefault="00912FD9" w:rsidP="00601AFC">
      <w:pPr>
        <w:ind w:left="454" w:right="113"/>
        <w:jc w:val="both"/>
        <w:rPr>
          <w:i/>
          <w:lang w:val="sv-SE"/>
        </w:rPr>
      </w:pPr>
      <w:r w:rsidRPr="00BF46D3">
        <w:rPr>
          <w:i/>
          <w:lang w:val="sv-SE"/>
        </w:rPr>
        <w:t>Neželjena desjtva na plućima</w:t>
      </w:r>
    </w:p>
    <w:p w:rsidR="00912FD9" w:rsidRPr="009D1994" w:rsidRDefault="00912FD9" w:rsidP="00601AFC">
      <w:pPr>
        <w:pStyle w:val="BodyText"/>
        <w:kinsoku w:val="0"/>
        <w:overflowPunct w:val="0"/>
        <w:ind w:left="454" w:right="113"/>
        <w:contextualSpacing/>
        <w:jc w:val="both"/>
        <w:rPr>
          <w:lang w:val="sv-SE"/>
        </w:rPr>
      </w:pPr>
      <w:r w:rsidRPr="009D1994">
        <w:rPr>
          <w:spacing w:val="-1"/>
          <w:lang w:val="sv-SE"/>
        </w:rPr>
        <w:t>Slučajevi neželjenih</w:t>
      </w:r>
      <w:r w:rsidRPr="009D1994">
        <w:rPr>
          <w:spacing w:val="6"/>
          <w:lang w:val="sv-SE"/>
        </w:rPr>
        <w:t xml:space="preserve"> </w:t>
      </w:r>
      <w:r w:rsidRPr="009D1994">
        <w:rPr>
          <w:spacing w:val="-1"/>
          <w:lang w:val="sv-SE"/>
        </w:rPr>
        <w:t>reakcija</w:t>
      </w:r>
      <w:r w:rsidRPr="009D1994">
        <w:rPr>
          <w:spacing w:val="1"/>
          <w:lang w:val="sv-SE"/>
        </w:rPr>
        <w:t xml:space="preserve"> </w:t>
      </w:r>
      <w:r w:rsidRPr="009D1994">
        <w:rPr>
          <w:lang w:val="sv-SE"/>
        </w:rPr>
        <w:t>na</w:t>
      </w:r>
      <w:r w:rsidRPr="009D1994">
        <w:rPr>
          <w:spacing w:val="1"/>
          <w:lang w:val="sv-SE"/>
        </w:rPr>
        <w:t xml:space="preserve"> </w:t>
      </w:r>
      <w:r w:rsidRPr="009D1994">
        <w:rPr>
          <w:spacing w:val="-1"/>
          <w:lang w:val="sv-SE"/>
        </w:rPr>
        <w:t>plućima,</w:t>
      </w:r>
      <w:r w:rsidRPr="009D1994">
        <w:rPr>
          <w:lang w:val="sv-SE"/>
        </w:rPr>
        <w:t xml:space="preserve"> naročito intersticijalna </w:t>
      </w:r>
      <w:r w:rsidRPr="009D1994">
        <w:rPr>
          <w:spacing w:val="-1"/>
          <w:lang w:val="sv-SE"/>
        </w:rPr>
        <w:t>pneumonija,</w:t>
      </w:r>
      <w:r w:rsidRPr="009D1994">
        <w:rPr>
          <w:lang w:val="sv-SE"/>
        </w:rPr>
        <w:t xml:space="preserve"> prijavljeni su posl</w:t>
      </w:r>
      <w:r w:rsidR="00A525C7" w:rsidRPr="009D1994">
        <w:rPr>
          <w:lang w:val="sv-SE"/>
        </w:rPr>
        <w:t>ij</w:t>
      </w:r>
      <w:r w:rsidRPr="009D1994">
        <w:rPr>
          <w:lang w:val="sv-SE"/>
        </w:rPr>
        <w:t xml:space="preserve">e primjene </w:t>
      </w:r>
      <w:r w:rsidRPr="009D1994">
        <w:rPr>
          <w:spacing w:val="1"/>
          <w:lang w:val="sv-SE"/>
        </w:rPr>
        <w:t>G-</w:t>
      </w:r>
      <w:r w:rsidRPr="009D1994">
        <w:rPr>
          <w:lang w:val="sv-SE"/>
        </w:rPr>
        <w:t>CSF.</w:t>
      </w:r>
      <w:r w:rsidRPr="009D1994">
        <w:rPr>
          <w:spacing w:val="1"/>
          <w:lang w:val="sv-SE"/>
        </w:rPr>
        <w:t xml:space="preserve"> </w:t>
      </w:r>
      <w:r w:rsidRPr="009D1994">
        <w:rPr>
          <w:spacing w:val="-2"/>
          <w:lang w:val="sv-SE"/>
        </w:rPr>
        <w:t>Pacijenti</w:t>
      </w:r>
      <w:r w:rsidRPr="009D1994">
        <w:rPr>
          <w:spacing w:val="3"/>
          <w:lang w:val="sv-SE"/>
        </w:rPr>
        <w:t xml:space="preserve"> </w:t>
      </w:r>
      <w:r w:rsidRPr="009D1994">
        <w:rPr>
          <w:lang w:val="sv-SE"/>
        </w:rPr>
        <w:t>sa</w:t>
      </w:r>
      <w:r w:rsidRPr="009D1994">
        <w:rPr>
          <w:spacing w:val="6"/>
          <w:lang w:val="sv-SE"/>
        </w:rPr>
        <w:t xml:space="preserve"> </w:t>
      </w:r>
      <w:r w:rsidRPr="009D1994">
        <w:rPr>
          <w:spacing w:val="-2"/>
          <w:lang w:val="sv-SE"/>
        </w:rPr>
        <w:t>anamnestičkim</w:t>
      </w:r>
      <w:r w:rsidRPr="009D1994">
        <w:rPr>
          <w:spacing w:val="3"/>
          <w:lang w:val="sv-SE"/>
        </w:rPr>
        <w:t xml:space="preserve"> </w:t>
      </w:r>
      <w:r w:rsidRPr="009D1994">
        <w:rPr>
          <w:spacing w:val="-1"/>
          <w:lang w:val="sv-SE"/>
        </w:rPr>
        <w:t>podacima</w:t>
      </w:r>
      <w:r w:rsidRPr="009D1994">
        <w:rPr>
          <w:spacing w:val="9"/>
          <w:lang w:val="sv-SE"/>
        </w:rPr>
        <w:t xml:space="preserve"> </w:t>
      </w:r>
      <w:r w:rsidRPr="009D1994">
        <w:rPr>
          <w:lang w:val="sv-SE"/>
        </w:rPr>
        <w:t xml:space="preserve">o </w:t>
      </w:r>
      <w:r w:rsidRPr="009D1994">
        <w:rPr>
          <w:spacing w:val="-1"/>
          <w:lang w:val="sv-SE"/>
        </w:rPr>
        <w:t>skorašnjoj</w:t>
      </w:r>
      <w:r w:rsidRPr="009D1994">
        <w:rPr>
          <w:spacing w:val="4"/>
          <w:lang w:val="sv-SE"/>
        </w:rPr>
        <w:t xml:space="preserve"> </w:t>
      </w:r>
      <w:r w:rsidRPr="009D1994">
        <w:rPr>
          <w:spacing w:val="-1"/>
          <w:lang w:val="sv-SE"/>
        </w:rPr>
        <w:t>plućnoj</w:t>
      </w:r>
      <w:r w:rsidRPr="009D1994">
        <w:rPr>
          <w:spacing w:val="9"/>
          <w:lang w:val="sv-SE"/>
        </w:rPr>
        <w:t xml:space="preserve"> </w:t>
      </w:r>
      <w:r w:rsidRPr="009D1994">
        <w:rPr>
          <w:spacing w:val="-1"/>
          <w:lang w:val="sv-SE"/>
        </w:rPr>
        <w:t>infiltraciji</w:t>
      </w:r>
      <w:r w:rsidRPr="009D1994">
        <w:rPr>
          <w:spacing w:val="3"/>
          <w:lang w:val="sv-SE"/>
        </w:rPr>
        <w:t xml:space="preserve"> </w:t>
      </w:r>
      <w:r w:rsidRPr="009D1994">
        <w:rPr>
          <w:spacing w:val="-1"/>
          <w:lang w:val="sv-SE"/>
        </w:rPr>
        <w:t>ili</w:t>
      </w:r>
      <w:r w:rsidRPr="009D1994">
        <w:rPr>
          <w:spacing w:val="4"/>
          <w:lang w:val="sv-SE"/>
        </w:rPr>
        <w:t xml:space="preserve"> </w:t>
      </w:r>
      <w:r w:rsidRPr="009D1994">
        <w:rPr>
          <w:spacing w:val="-1"/>
          <w:lang w:val="sv-SE"/>
        </w:rPr>
        <w:t>pneumoniji</w:t>
      </w:r>
      <w:r w:rsidRPr="009D1994">
        <w:rPr>
          <w:spacing w:val="9"/>
          <w:lang w:val="sv-SE"/>
        </w:rPr>
        <w:t xml:space="preserve"> </w:t>
      </w:r>
      <w:r w:rsidRPr="009D1994">
        <w:rPr>
          <w:spacing w:val="-3"/>
          <w:lang w:val="sv-SE"/>
        </w:rPr>
        <w:t>mogu</w:t>
      </w:r>
      <w:r w:rsidRPr="009D1994">
        <w:rPr>
          <w:lang w:val="sv-SE"/>
        </w:rPr>
        <w:t xml:space="preserve"> imati</w:t>
      </w:r>
      <w:r w:rsidRPr="009D1994">
        <w:rPr>
          <w:spacing w:val="29"/>
          <w:lang w:val="sv-SE"/>
        </w:rPr>
        <w:t xml:space="preserve"> </w:t>
      </w:r>
      <w:r w:rsidRPr="009D1994">
        <w:rPr>
          <w:lang w:val="sv-SE"/>
        </w:rPr>
        <w:t>povećan</w:t>
      </w:r>
      <w:r w:rsidRPr="009D1994">
        <w:rPr>
          <w:spacing w:val="1"/>
          <w:lang w:val="sv-SE"/>
        </w:rPr>
        <w:t xml:space="preserve"> </w:t>
      </w:r>
      <w:r w:rsidRPr="009D1994">
        <w:rPr>
          <w:lang w:val="sv-SE"/>
        </w:rPr>
        <w:t>rizik.</w:t>
      </w:r>
      <w:r w:rsidRPr="009D1994">
        <w:rPr>
          <w:spacing w:val="1"/>
          <w:lang w:val="sv-SE"/>
        </w:rPr>
        <w:t xml:space="preserve"> </w:t>
      </w:r>
      <w:r w:rsidRPr="009D1994">
        <w:rPr>
          <w:lang w:val="sv-SE"/>
        </w:rPr>
        <w:t>Pojava</w:t>
      </w:r>
      <w:r w:rsidRPr="009D1994">
        <w:rPr>
          <w:spacing w:val="1"/>
          <w:lang w:val="sv-SE"/>
        </w:rPr>
        <w:t xml:space="preserve"> </w:t>
      </w:r>
      <w:r w:rsidRPr="009D1994">
        <w:rPr>
          <w:lang w:val="sv-SE"/>
        </w:rPr>
        <w:t>znakova</w:t>
      </w:r>
      <w:r w:rsidRPr="009D1994">
        <w:rPr>
          <w:spacing w:val="1"/>
          <w:lang w:val="sv-SE"/>
        </w:rPr>
        <w:t xml:space="preserve"> </w:t>
      </w:r>
      <w:r w:rsidRPr="009D1994">
        <w:rPr>
          <w:lang w:val="sv-SE"/>
        </w:rPr>
        <w:t>na</w:t>
      </w:r>
      <w:r w:rsidRPr="009D1994">
        <w:rPr>
          <w:spacing w:val="12"/>
          <w:lang w:val="sv-SE"/>
        </w:rPr>
        <w:t xml:space="preserve"> </w:t>
      </w:r>
      <w:r w:rsidRPr="009D1994">
        <w:rPr>
          <w:lang w:val="sv-SE"/>
        </w:rPr>
        <w:t>nivou</w:t>
      </w:r>
      <w:r w:rsidRPr="009D1994">
        <w:rPr>
          <w:spacing w:val="1"/>
          <w:lang w:val="sv-SE"/>
        </w:rPr>
        <w:t xml:space="preserve"> </w:t>
      </w:r>
      <w:r w:rsidRPr="009D1994">
        <w:rPr>
          <w:lang w:val="sv-SE"/>
        </w:rPr>
        <w:t>pluća,</w:t>
      </w:r>
      <w:r w:rsidRPr="009D1994">
        <w:rPr>
          <w:spacing w:val="1"/>
          <w:lang w:val="sv-SE"/>
        </w:rPr>
        <w:t xml:space="preserve"> </w:t>
      </w:r>
      <w:r w:rsidRPr="009D1994">
        <w:rPr>
          <w:lang w:val="sv-SE"/>
        </w:rPr>
        <w:t>kao</w:t>
      </w:r>
      <w:r w:rsidRPr="009D1994">
        <w:rPr>
          <w:spacing w:val="1"/>
          <w:lang w:val="sv-SE"/>
        </w:rPr>
        <w:t xml:space="preserve"> </w:t>
      </w:r>
      <w:r w:rsidRPr="009D1994">
        <w:rPr>
          <w:lang w:val="sv-SE"/>
        </w:rPr>
        <w:t>što</w:t>
      </w:r>
      <w:r w:rsidRPr="009D1994">
        <w:rPr>
          <w:spacing w:val="12"/>
          <w:lang w:val="sv-SE"/>
        </w:rPr>
        <w:t xml:space="preserve"> </w:t>
      </w:r>
      <w:r w:rsidRPr="009D1994">
        <w:rPr>
          <w:lang w:val="sv-SE"/>
        </w:rPr>
        <w:t>su kašalj,</w:t>
      </w:r>
      <w:r w:rsidRPr="009D1994">
        <w:rPr>
          <w:spacing w:val="12"/>
          <w:lang w:val="sv-SE"/>
        </w:rPr>
        <w:t xml:space="preserve"> </w:t>
      </w:r>
      <w:r w:rsidRPr="009D1994">
        <w:rPr>
          <w:spacing w:val="-1"/>
          <w:lang w:val="sv-SE"/>
        </w:rPr>
        <w:t>groznica</w:t>
      </w:r>
      <w:r w:rsidRPr="009D1994">
        <w:rPr>
          <w:spacing w:val="1"/>
          <w:lang w:val="sv-SE"/>
        </w:rPr>
        <w:t xml:space="preserve"> </w:t>
      </w:r>
      <w:r w:rsidRPr="009D1994">
        <w:rPr>
          <w:lang w:val="sv-SE"/>
        </w:rPr>
        <w:t>i</w:t>
      </w:r>
      <w:r w:rsidRPr="009D1994">
        <w:rPr>
          <w:spacing w:val="12"/>
          <w:lang w:val="sv-SE"/>
        </w:rPr>
        <w:t xml:space="preserve"> </w:t>
      </w:r>
      <w:r w:rsidRPr="009D1994">
        <w:rPr>
          <w:lang w:val="sv-SE"/>
        </w:rPr>
        <w:t>dispneja sa radiološkim</w:t>
      </w:r>
      <w:r w:rsidRPr="009D1994">
        <w:rPr>
          <w:spacing w:val="12"/>
          <w:lang w:val="sv-SE"/>
        </w:rPr>
        <w:t xml:space="preserve"> </w:t>
      </w:r>
      <w:r w:rsidRPr="009D1994">
        <w:rPr>
          <w:spacing w:val="-1"/>
          <w:lang w:val="sv-SE"/>
        </w:rPr>
        <w:t>znacima</w:t>
      </w:r>
      <w:r w:rsidRPr="009D1994">
        <w:rPr>
          <w:spacing w:val="23"/>
          <w:lang w:val="sv-SE"/>
        </w:rPr>
        <w:t xml:space="preserve"> </w:t>
      </w:r>
      <w:r w:rsidRPr="009D1994">
        <w:rPr>
          <w:spacing w:val="-2"/>
          <w:lang w:val="sv-SE"/>
        </w:rPr>
        <w:t>plućne</w:t>
      </w:r>
      <w:r w:rsidRPr="009D1994">
        <w:rPr>
          <w:spacing w:val="10"/>
          <w:lang w:val="sv-SE"/>
        </w:rPr>
        <w:t xml:space="preserve"> </w:t>
      </w:r>
      <w:r w:rsidRPr="009D1994">
        <w:rPr>
          <w:spacing w:val="-1"/>
          <w:lang w:val="sv-SE"/>
        </w:rPr>
        <w:t>infiltracije</w:t>
      </w:r>
      <w:r w:rsidRPr="009D1994">
        <w:rPr>
          <w:spacing w:val="10"/>
          <w:lang w:val="sv-SE"/>
        </w:rPr>
        <w:t xml:space="preserve"> </w:t>
      </w:r>
      <w:r w:rsidRPr="009D1994">
        <w:rPr>
          <w:lang w:val="sv-SE"/>
        </w:rPr>
        <w:t>i</w:t>
      </w:r>
      <w:r w:rsidRPr="009D1994">
        <w:rPr>
          <w:spacing w:val="3"/>
          <w:lang w:val="sv-SE"/>
        </w:rPr>
        <w:t xml:space="preserve"> </w:t>
      </w:r>
      <w:r w:rsidRPr="009D1994">
        <w:rPr>
          <w:spacing w:val="-1"/>
          <w:lang w:val="sv-SE"/>
        </w:rPr>
        <w:t>pogoršanja plućne</w:t>
      </w:r>
      <w:r w:rsidRPr="009D1994">
        <w:rPr>
          <w:spacing w:val="11"/>
          <w:lang w:val="sv-SE"/>
        </w:rPr>
        <w:t xml:space="preserve"> </w:t>
      </w:r>
      <w:r w:rsidRPr="009D1994">
        <w:rPr>
          <w:spacing w:val="-1"/>
          <w:lang w:val="sv-SE"/>
        </w:rPr>
        <w:t>funkcije</w:t>
      </w:r>
      <w:r w:rsidRPr="009D1994">
        <w:rPr>
          <w:spacing w:val="10"/>
          <w:lang w:val="sv-SE"/>
        </w:rPr>
        <w:t xml:space="preserve"> </w:t>
      </w:r>
      <w:r w:rsidRPr="009D1994">
        <w:rPr>
          <w:lang w:val="sv-SE"/>
        </w:rPr>
        <w:t>mogu biti znaci koji prethode respiratornom</w:t>
      </w:r>
      <w:r w:rsidRPr="009D1994">
        <w:rPr>
          <w:spacing w:val="11"/>
          <w:lang w:val="sv-SE"/>
        </w:rPr>
        <w:t xml:space="preserve"> </w:t>
      </w:r>
      <w:r w:rsidRPr="009D1994">
        <w:rPr>
          <w:lang w:val="sv-SE"/>
        </w:rPr>
        <w:t>distres sindromu</w:t>
      </w:r>
      <w:r w:rsidRPr="009D1994">
        <w:rPr>
          <w:spacing w:val="27"/>
          <w:lang w:val="sv-SE"/>
        </w:rPr>
        <w:t xml:space="preserve"> </w:t>
      </w:r>
      <w:r w:rsidRPr="009D1994">
        <w:rPr>
          <w:spacing w:val="-2"/>
          <w:lang w:val="sv-SE"/>
        </w:rPr>
        <w:t>kod</w:t>
      </w:r>
      <w:r w:rsidRPr="009D1994">
        <w:rPr>
          <w:spacing w:val="13"/>
          <w:lang w:val="sv-SE"/>
        </w:rPr>
        <w:t xml:space="preserve"> </w:t>
      </w:r>
      <w:r w:rsidRPr="009D1994">
        <w:rPr>
          <w:spacing w:val="-2"/>
          <w:lang w:val="sv-SE"/>
        </w:rPr>
        <w:t>odraslih</w:t>
      </w:r>
      <w:r w:rsidRPr="009D1994">
        <w:rPr>
          <w:spacing w:val="8"/>
          <w:lang w:val="sv-SE"/>
        </w:rPr>
        <w:t xml:space="preserve"> </w:t>
      </w:r>
      <w:r w:rsidRPr="009D1994">
        <w:rPr>
          <w:spacing w:val="-1"/>
          <w:lang w:val="sv-SE"/>
        </w:rPr>
        <w:t>(engl.</w:t>
      </w:r>
      <w:r w:rsidRPr="009D1994">
        <w:rPr>
          <w:spacing w:val="9"/>
          <w:lang w:val="sv-SE"/>
        </w:rPr>
        <w:t xml:space="preserve"> </w:t>
      </w:r>
      <w:r w:rsidRPr="009D1994">
        <w:rPr>
          <w:i/>
          <w:iCs/>
          <w:spacing w:val="-1"/>
          <w:lang w:val="sv-SE"/>
        </w:rPr>
        <w:t>acute</w:t>
      </w:r>
      <w:r w:rsidRPr="009D1994">
        <w:rPr>
          <w:i/>
          <w:iCs/>
          <w:spacing w:val="9"/>
          <w:lang w:val="sv-SE"/>
        </w:rPr>
        <w:t xml:space="preserve"> </w:t>
      </w:r>
      <w:r w:rsidRPr="009D1994">
        <w:rPr>
          <w:i/>
          <w:iCs/>
          <w:lang w:val="sv-SE"/>
        </w:rPr>
        <w:t>respiratory</w:t>
      </w:r>
      <w:r w:rsidRPr="009D1994">
        <w:rPr>
          <w:i/>
          <w:iCs/>
          <w:spacing w:val="10"/>
          <w:lang w:val="sv-SE"/>
        </w:rPr>
        <w:t xml:space="preserve"> </w:t>
      </w:r>
      <w:r w:rsidRPr="009D1994">
        <w:rPr>
          <w:i/>
          <w:iCs/>
          <w:lang w:val="sv-SE"/>
        </w:rPr>
        <w:t>distress</w:t>
      </w:r>
      <w:r w:rsidRPr="009D1994">
        <w:rPr>
          <w:i/>
          <w:iCs/>
          <w:spacing w:val="10"/>
          <w:lang w:val="sv-SE"/>
        </w:rPr>
        <w:t xml:space="preserve"> </w:t>
      </w:r>
      <w:r w:rsidRPr="009D1994">
        <w:rPr>
          <w:i/>
          <w:iCs/>
          <w:spacing w:val="-1"/>
          <w:lang w:val="sv-SE"/>
        </w:rPr>
        <w:t>syndrome</w:t>
      </w:r>
      <w:r w:rsidRPr="009D1994">
        <w:rPr>
          <w:spacing w:val="-1"/>
          <w:lang w:val="sv-SE"/>
        </w:rPr>
        <w:t>,</w:t>
      </w:r>
      <w:r w:rsidRPr="009D1994">
        <w:rPr>
          <w:spacing w:val="12"/>
          <w:lang w:val="sv-SE"/>
        </w:rPr>
        <w:t xml:space="preserve"> </w:t>
      </w:r>
      <w:r w:rsidRPr="009D1994">
        <w:rPr>
          <w:spacing w:val="-1"/>
          <w:lang w:val="sv-SE"/>
        </w:rPr>
        <w:t>ARDS).</w:t>
      </w:r>
      <w:r w:rsidRPr="009D1994">
        <w:rPr>
          <w:spacing w:val="9"/>
          <w:lang w:val="sv-SE"/>
        </w:rPr>
        <w:t xml:space="preserve"> </w:t>
      </w:r>
      <w:r w:rsidRPr="009D1994">
        <w:rPr>
          <w:lang w:val="sv-SE"/>
        </w:rPr>
        <w:t>U</w:t>
      </w:r>
      <w:r w:rsidRPr="009D1994">
        <w:rPr>
          <w:spacing w:val="4"/>
          <w:lang w:val="sv-SE"/>
        </w:rPr>
        <w:t xml:space="preserve"> </w:t>
      </w:r>
      <w:r w:rsidRPr="009D1994">
        <w:rPr>
          <w:spacing w:val="-1"/>
          <w:lang w:val="sv-SE"/>
        </w:rPr>
        <w:t>ovim</w:t>
      </w:r>
      <w:r w:rsidRPr="009D1994">
        <w:rPr>
          <w:spacing w:val="9"/>
          <w:lang w:val="sv-SE"/>
        </w:rPr>
        <w:t xml:space="preserve"> </w:t>
      </w:r>
      <w:r w:rsidRPr="009D1994">
        <w:rPr>
          <w:spacing w:val="-1"/>
          <w:lang w:val="sv-SE"/>
        </w:rPr>
        <w:t>slučajevima</w:t>
      </w:r>
      <w:r w:rsidRPr="009D1994">
        <w:rPr>
          <w:spacing w:val="9"/>
          <w:lang w:val="sv-SE"/>
        </w:rPr>
        <w:t xml:space="preserve"> </w:t>
      </w:r>
      <w:r w:rsidRPr="009D1994">
        <w:rPr>
          <w:lang w:val="sv-SE"/>
        </w:rPr>
        <w:t xml:space="preserve">treba </w:t>
      </w:r>
      <w:r w:rsidRPr="009D1994">
        <w:rPr>
          <w:spacing w:val="-1"/>
          <w:lang w:val="sv-SE"/>
        </w:rPr>
        <w:t>prekinuti</w:t>
      </w:r>
      <w:r w:rsidRPr="009D1994">
        <w:rPr>
          <w:spacing w:val="30"/>
          <w:lang w:val="sv-SE"/>
        </w:rPr>
        <w:t xml:space="preserve"> </w:t>
      </w:r>
      <w:r w:rsidRPr="009D1994">
        <w:rPr>
          <w:spacing w:val="-1"/>
          <w:lang w:val="sv-SE"/>
        </w:rPr>
        <w:t xml:space="preserve">primjenu filgrastima </w:t>
      </w:r>
      <w:r w:rsidRPr="009D1994">
        <w:rPr>
          <w:lang w:val="sv-SE"/>
        </w:rPr>
        <w:t>i</w:t>
      </w:r>
      <w:r w:rsidRPr="009D1994">
        <w:rPr>
          <w:spacing w:val="-1"/>
          <w:lang w:val="sv-SE"/>
        </w:rPr>
        <w:t xml:space="preserve"> primijeniti odgovarajuću terapiju.</w:t>
      </w:r>
    </w:p>
    <w:p w:rsidR="00FE5E30" w:rsidRPr="00243A59" w:rsidRDefault="00FE5E30" w:rsidP="00601AFC">
      <w:pPr>
        <w:pStyle w:val="BodyText"/>
        <w:spacing w:before="11"/>
        <w:ind w:left="454" w:right="113"/>
        <w:jc w:val="both"/>
        <w:rPr>
          <w:color w:val="FF0000"/>
          <w:sz w:val="21"/>
        </w:rPr>
      </w:pPr>
    </w:p>
    <w:p w:rsidR="0079698F" w:rsidRPr="00BF332D" w:rsidRDefault="0079698F" w:rsidP="00601AFC">
      <w:pPr>
        <w:pStyle w:val="BodyText"/>
        <w:kinsoku w:val="0"/>
        <w:overflowPunct w:val="0"/>
        <w:ind w:left="454" w:right="113"/>
        <w:contextualSpacing/>
        <w:jc w:val="both"/>
        <w:rPr>
          <w:lang w:val="sv-SE"/>
        </w:rPr>
      </w:pPr>
      <w:r w:rsidRPr="00BF332D">
        <w:rPr>
          <w:i/>
          <w:iCs/>
          <w:lang w:val="sv-SE"/>
        </w:rPr>
        <w:t>Sindrom</w:t>
      </w:r>
      <w:r w:rsidRPr="00BF332D">
        <w:rPr>
          <w:i/>
          <w:iCs/>
          <w:spacing w:val="2"/>
          <w:lang w:val="sv-SE"/>
        </w:rPr>
        <w:t xml:space="preserve"> </w:t>
      </w:r>
      <w:r w:rsidRPr="00BF332D">
        <w:rPr>
          <w:i/>
          <w:iCs/>
          <w:spacing w:val="-1"/>
          <w:lang w:val="sv-SE"/>
        </w:rPr>
        <w:t>povećane propustljivosti</w:t>
      </w:r>
      <w:r w:rsidRPr="00BF332D">
        <w:rPr>
          <w:i/>
          <w:iCs/>
          <w:spacing w:val="1"/>
          <w:lang w:val="sv-SE"/>
        </w:rPr>
        <w:t xml:space="preserve"> </w:t>
      </w:r>
      <w:r w:rsidRPr="00BF332D">
        <w:rPr>
          <w:i/>
          <w:iCs/>
          <w:lang w:val="sv-SE"/>
        </w:rPr>
        <w:t>kapilara</w:t>
      </w:r>
    </w:p>
    <w:p w:rsidR="0079698F" w:rsidRPr="009D1994" w:rsidRDefault="0079698F" w:rsidP="00601AFC">
      <w:pPr>
        <w:pStyle w:val="BodyText"/>
        <w:kinsoku w:val="0"/>
        <w:overflowPunct w:val="0"/>
        <w:ind w:left="454" w:right="113"/>
        <w:contextualSpacing/>
        <w:jc w:val="both"/>
        <w:rPr>
          <w:lang w:val="sv-SE"/>
        </w:rPr>
      </w:pPr>
      <w:r w:rsidRPr="009D1994">
        <w:rPr>
          <w:spacing w:val="-2"/>
          <w:lang w:val="sv-SE"/>
        </w:rPr>
        <w:t>Sindrom</w:t>
      </w:r>
      <w:r w:rsidRPr="009D1994">
        <w:rPr>
          <w:spacing w:val="15"/>
          <w:lang w:val="sv-SE"/>
        </w:rPr>
        <w:t xml:space="preserve"> </w:t>
      </w:r>
      <w:r w:rsidRPr="009D1994">
        <w:rPr>
          <w:spacing w:val="-1"/>
          <w:lang w:val="sv-SE"/>
        </w:rPr>
        <w:t>povećane</w:t>
      </w:r>
      <w:r w:rsidRPr="009D1994">
        <w:rPr>
          <w:spacing w:val="16"/>
          <w:lang w:val="sv-SE"/>
        </w:rPr>
        <w:t xml:space="preserve"> </w:t>
      </w:r>
      <w:r w:rsidRPr="009D1994">
        <w:rPr>
          <w:spacing w:val="-1"/>
          <w:lang w:val="sv-SE"/>
        </w:rPr>
        <w:t>propustljivosti</w:t>
      </w:r>
      <w:r w:rsidRPr="009D1994">
        <w:rPr>
          <w:spacing w:val="16"/>
          <w:lang w:val="sv-SE"/>
        </w:rPr>
        <w:t xml:space="preserve"> </w:t>
      </w:r>
      <w:r w:rsidRPr="009D1994">
        <w:rPr>
          <w:spacing w:val="-1"/>
          <w:lang w:val="sv-SE"/>
        </w:rPr>
        <w:t>kapilara,</w:t>
      </w:r>
      <w:r w:rsidRPr="009D1994">
        <w:rPr>
          <w:spacing w:val="17"/>
          <w:lang w:val="sv-SE"/>
        </w:rPr>
        <w:t xml:space="preserve"> </w:t>
      </w:r>
      <w:r w:rsidRPr="00D9225F">
        <w:rPr>
          <w:spacing w:val="-1"/>
          <w:lang w:val="sv-SE"/>
        </w:rPr>
        <w:t>prijavljen</w:t>
      </w:r>
      <w:r w:rsidRPr="00D9225F">
        <w:rPr>
          <w:spacing w:val="37"/>
          <w:lang w:val="sv-SE"/>
        </w:rPr>
        <w:t xml:space="preserve"> </w:t>
      </w:r>
      <w:r w:rsidRPr="00D9225F">
        <w:rPr>
          <w:spacing w:val="-1"/>
          <w:lang w:val="sv-SE"/>
        </w:rPr>
        <w:t>je</w:t>
      </w:r>
      <w:r w:rsidRPr="00D9225F">
        <w:rPr>
          <w:spacing w:val="33"/>
          <w:lang w:val="sv-SE"/>
        </w:rPr>
        <w:t xml:space="preserve"> </w:t>
      </w:r>
      <w:r w:rsidRPr="00D9225F">
        <w:rPr>
          <w:spacing w:val="-1"/>
          <w:lang w:val="sv-SE"/>
        </w:rPr>
        <w:t>nakon</w:t>
      </w:r>
      <w:r w:rsidRPr="00D9225F">
        <w:rPr>
          <w:spacing w:val="32"/>
          <w:lang w:val="sv-SE"/>
        </w:rPr>
        <w:t xml:space="preserve"> </w:t>
      </w:r>
      <w:r w:rsidRPr="00D9225F">
        <w:rPr>
          <w:spacing w:val="-1"/>
          <w:lang w:val="sv-SE"/>
        </w:rPr>
        <w:t>primjene</w:t>
      </w:r>
      <w:r w:rsidRPr="00D9225F">
        <w:rPr>
          <w:spacing w:val="36"/>
          <w:lang w:val="sv-SE"/>
        </w:rPr>
        <w:t xml:space="preserve"> </w:t>
      </w:r>
      <w:r w:rsidRPr="00D9225F">
        <w:rPr>
          <w:lang w:val="sv-SE"/>
        </w:rPr>
        <w:t>faktora</w:t>
      </w:r>
      <w:r w:rsidRPr="009D1994">
        <w:rPr>
          <w:spacing w:val="34"/>
          <w:lang w:val="sv-SE"/>
        </w:rPr>
        <w:t xml:space="preserve"> </w:t>
      </w:r>
      <w:r w:rsidRPr="009D1994">
        <w:rPr>
          <w:spacing w:val="-1"/>
          <w:lang w:val="sv-SE"/>
        </w:rPr>
        <w:t>stimulacije</w:t>
      </w:r>
      <w:r w:rsidRPr="009D1994">
        <w:rPr>
          <w:spacing w:val="37"/>
          <w:lang w:val="sv-SE"/>
        </w:rPr>
        <w:t xml:space="preserve"> </w:t>
      </w:r>
      <w:r w:rsidRPr="009D1994">
        <w:rPr>
          <w:spacing w:val="-1"/>
          <w:lang w:val="sv-SE"/>
        </w:rPr>
        <w:t>granulocitne</w:t>
      </w:r>
      <w:r w:rsidRPr="009D1994">
        <w:rPr>
          <w:spacing w:val="37"/>
          <w:lang w:val="sv-SE"/>
        </w:rPr>
        <w:t xml:space="preserve"> </w:t>
      </w:r>
      <w:r w:rsidRPr="009D1994">
        <w:rPr>
          <w:spacing w:val="-1"/>
          <w:lang w:val="sv-SE"/>
        </w:rPr>
        <w:t>kolonije</w:t>
      </w:r>
      <w:r w:rsidRPr="009D1994">
        <w:rPr>
          <w:spacing w:val="38"/>
          <w:lang w:val="sv-SE"/>
        </w:rPr>
        <w:t xml:space="preserve"> </w:t>
      </w:r>
      <w:r w:rsidRPr="009D1994">
        <w:rPr>
          <w:lang w:val="sv-SE"/>
        </w:rPr>
        <w:t>i</w:t>
      </w:r>
      <w:r w:rsidRPr="009D1994">
        <w:rPr>
          <w:spacing w:val="35"/>
          <w:lang w:val="sv-SE"/>
        </w:rPr>
        <w:t xml:space="preserve"> </w:t>
      </w:r>
      <w:r w:rsidRPr="009D1994">
        <w:rPr>
          <w:spacing w:val="-1"/>
          <w:lang w:val="sv-SE"/>
        </w:rPr>
        <w:t>karakteriš</w:t>
      </w:r>
      <w:r w:rsidR="00DF6431">
        <w:rPr>
          <w:spacing w:val="-1"/>
          <w:lang w:val="sv-SE"/>
        </w:rPr>
        <w:t>u</w:t>
      </w:r>
      <w:r w:rsidRPr="009D1994">
        <w:rPr>
          <w:spacing w:val="38"/>
          <w:lang w:val="sv-SE"/>
        </w:rPr>
        <w:t xml:space="preserve"> </w:t>
      </w:r>
      <w:r w:rsidRPr="009D1994">
        <w:rPr>
          <w:spacing w:val="-1"/>
          <w:lang w:val="sv-SE"/>
        </w:rPr>
        <w:t>ga</w:t>
      </w:r>
      <w:r w:rsidRPr="009D1994">
        <w:rPr>
          <w:spacing w:val="32"/>
          <w:lang w:val="sv-SE"/>
        </w:rPr>
        <w:t xml:space="preserve"> </w:t>
      </w:r>
      <w:r w:rsidRPr="009D1994">
        <w:rPr>
          <w:lang w:val="sv-SE"/>
        </w:rPr>
        <w:t>hipotenzija,</w:t>
      </w:r>
      <w:r w:rsidRPr="009D1994">
        <w:rPr>
          <w:spacing w:val="23"/>
          <w:lang w:val="sv-SE"/>
        </w:rPr>
        <w:t xml:space="preserve"> </w:t>
      </w:r>
      <w:r w:rsidRPr="009D1994">
        <w:rPr>
          <w:spacing w:val="-1"/>
          <w:lang w:val="sv-SE"/>
        </w:rPr>
        <w:t>hipoalbuminemija,</w:t>
      </w:r>
      <w:r w:rsidRPr="009D1994">
        <w:rPr>
          <w:spacing w:val="45"/>
          <w:lang w:val="sv-SE"/>
        </w:rPr>
        <w:t xml:space="preserve"> </w:t>
      </w:r>
      <w:r w:rsidRPr="009D1994">
        <w:rPr>
          <w:spacing w:val="-2"/>
          <w:lang w:val="sv-SE"/>
        </w:rPr>
        <w:t>edem</w:t>
      </w:r>
      <w:r w:rsidRPr="009D1994">
        <w:rPr>
          <w:spacing w:val="43"/>
          <w:lang w:val="sv-SE"/>
        </w:rPr>
        <w:t xml:space="preserve"> </w:t>
      </w:r>
      <w:r w:rsidRPr="009D1994">
        <w:rPr>
          <w:lang w:val="sv-SE"/>
        </w:rPr>
        <w:t>i</w:t>
      </w:r>
      <w:r w:rsidRPr="009D1994">
        <w:rPr>
          <w:spacing w:val="46"/>
          <w:lang w:val="sv-SE"/>
        </w:rPr>
        <w:t xml:space="preserve"> </w:t>
      </w:r>
      <w:r w:rsidRPr="009D1994">
        <w:rPr>
          <w:spacing w:val="-1"/>
          <w:lang w:val="sv-SE"/>
        </w:rPr>
        <w:t>hemokoncentracija.</w:t>
      </w:r>
      <w:r w:rsidRPr="009D1994">
        <w:rPr>
          <w:spacing w:val="45"/>
          <w:lang w:val="sv-SE"/>
        </w:rPr>
        <w:t xml:space="preserve"> </w:t>
      </w:r>
      <w:r w:rsidRPr="009D1994">
        <w:rPr>
          <w:spacing w:val="-2"/>
          <w:lang w:val="sv-SE"/>
        </w:rPr>
        <w:t>Pacijente</w:t>
      </w:r>
      <w:r w:rsidRPr="009D1994">
        <w:rPr>
          <w:spacing w:val="49"/>
          <w:lang w:val="sv-SE"/>
        </w:rPr>
        <w:t xml:space="preserve"> </w:t>
      </w:r>
      <w:r w:rsidRPr="009D1994">
        <w:rPr>
          <w:spacing w:val="-2"/>
          <w:lang w:val="sv-SE"/>
        </w:rPr>
        <w:t>kod</w:t>
      </w:r>
      <w:r w:rsidRPr="009D1994">
        <w:rPr>
          <w:spacing w:val="44"/>
          <w:lang w:val="sv-SE"/>
        </w:rPr>
        <w:t xml:space="preserve"> </w:t>
      </w:r>
      <w:r w:rsidRPr="009D1994">
        <w:rPr>
          <w:spacing w:val="-1"/>
          <w:lang w:val="sv-SE"/>
        </w:rPr>
        <w:t>kojih</w:t>
      </w:r>
      <w:r w:rsidRPr="009D1994">
        <w:rPr>
          <w:spacing w:val="45"/>
          <w:lang w:val="sv-SE"/>
        </w:rPr>
        <w:t xml:space="preserve"> </w:t>
      </w:r>
      <w:r w:rsidRPr="009D1994">
        <w:rPr>
          <w:spacing w:val="-2"/>
          <w:lang w:val="sv-SE"/>
        </w:rPr>
        <w:t>se</w:t>
      </w:r>
      <w:r w:rsidRPr="009D1994">
        <w:rPr>
          <w:spacing w:val="47"/>
          <w:lang w:val="sv-SE"/>
        </w:rPr>
        <w:t xml:space="preserve"> </w:t>
      </w:r>
      <w:r w:rsidRPr="009D1994">
        <w:rPr>
          <w:spacing w:val="-2"/>
          <w:lang w:val="sv-SE"/>
        </w:rPr>
        <w:t>jave</w:t>
      </w:r>
      <w:r w:rsidRPr="009D1994">
        <w:rPr>
          <w:spacing w:val="43"/>
          <w:lang w:val="sv-SE"/>
        </w:rPr>
        <w:t xml:space="preserve"> </w:t>
      </w:r>
      <w:r w:rsidRPr="009D1994">
        <w:rPr>
          <w:spacing w:val="-1"/>
          <w:lang w:val="sv-SE"/>
        </w:rPr>
        <w:t>simptomi</w:t>
      </w:r>
      <w:r w:rsidRPr="009D1994">
        <w:rPr>
          <w:spacing w:val="45"/>
          <w:lang w:val="sv-SE"/>
        </w:rPr>
        <w:t xml:space="preserve"> </w:t>
      </w:r>
      <w:r w:rsidRPr="009D1994">
        <w:rPr>
          <w:spacing w:val="-1"/>
          <w:lang w:val="sv-SE"/>
        </w:rPr>
        <w:t>sindroma</w:t>
      </w:r>
      <w:r w:rsidRPr="009D1994">
        <w:rPr>
          <w:spacing w:val="48"/>
          <w:lang w:val="sv-SE"/>
        </w:rPr>
        <w:t xml:space="preserve"> </w:t>
      </w:r>
      <w:r w:rsidRPr="009D1994">
        <w:rPr>
          <w:lang w:val="sv-SE"/>
        </w:rPr>
        <w:t>povećane</w:t>
      </w:r>
      <w:r w:rsidRPr="009D1994">
        <w:rPr>
          <w:spacing w:val="27"/>
          <w:lang w:val="sv-SE"/>
        </w:rPr>
        <w:t xml:space="preserve"> </w:t>
      </w:r>
      <w:r w:rsidRPr="009D1994">
        <w:rPr>
          <w:spacing w:val="-1"/>
          <w:lang w:val="sv-SE"/>
        </w:rPr>
        <w:t>propustljivosti</w:t>
      </w:r>
      <w:r w:rsidRPr="009D1994">
        <w:rPr>
          <w:spacing w:val="35"/>
          <w:lang w:val="sv-SE"/>
        </w:rPr>
        <w:t xml:space="preserve"> </w:t>
      </w:r>
      <w:r w:rsidRPr="009D1994">
        <w:rPr>
          <w:spacing w:val="-1"/>
          <w:lang w:val="sv-SE"/>
        </w:rPr>
        <w:t>kapilara</w:t>
      </w:r>
      <w:r w:rsidRPr="009D1994">
        <w:rPr>
          <w:spacing w:val="34"/>
          <w:lang w:val="sv-SE"/>
        </w:rPr>
        <w:t xml:space="preserve"> </w:t>
      </w:r>
      <w:r w:rsidRPr="009D1994">
        <w:rPr>
          <w:spacing w:val="-1"/>
          <w:lang w:val="sv-SE"/>
        </w:rPr>
        <w:t>treba</w:t>
      </w:r>
      <w:r w:rsidRPr="009D1994">
        <w:rPr>
          <w:spacing w:val="30"/>
          <w:lang w:val="sv-SE"/>
        </w:rPr>
        <w:t xml:space="preserve"> </w:t>
      </w:r>
      <w:r w:rsidRPr="009D1994">
        <w:rPr>
          <w:spacing w:val="-1"/>
          <w:lang w:val="sv-SE"/>
        </w:rPr>
        <w:t>pažljivo</w:t>
      </w:r>
      <w:r w:rsidRPr="009D1994">
        <w:rPr>
          <w:spacing w:val="6"/>
          <w:lang w:val="sv-SE"/>
        </w:rPr>
        <w:t xml:space="preserve"> </w:t>
      </w:r>
      <w:r w:rsidRPr="009D1994">
        <w:rPr>
          <w:lang w:val="sv-SE"/>
        </w:rPr>
        <w:t>pratiti</w:t>
      </w:r>
      <w:r w:rsidRPr="009D1994">
        <w:rPr>
          <w:spacing w:val="31"/>
          <w:lang w:val="sv-SE"/>
        </w:rPr>
        <w:t xml:space="preserve"> </w:t>
      </w:r>
      <w:r w:rsidRPr="009D1994">
        <w:rPr>
          <w:lang w:val="sv-SE"/>
        </w:rPr>
        <w:t>i</w:t>
      </w:r>
      <w:r w:rsidRPr="009D1994">
        <w:rPr>
          <w:spacing w:val="32"/>
          <w:lang w:val="sv-SE"/>
        </w:rPr>
        <w:t xml:space="preserve"> </w:t>
      </w:r>
      <w:r w:rsidRPr="009D1994">
        <w:rPr>
          <w:spacing w:val="-1"/>
          <w:lang w:val="sv-SE"/>
        </w:rPr>
        <w:t>treba</w:t>
      </w:r>
      <w:r w:rsidRPr="009D1994">
        <w:rPr>
          <w:spacing w:val="38"/>
          <w:lang w:val="sv-SE"/>
        </w:rPr>
        <w:t xml:space="preserve"> </w:t>
      </w:r>
      <w:r w:rsidRPr="009D1994">
        <w:rPr>
          <w:spacing w:val="-1"/>
          <w:lang w:val="sv-SE"/>
        </w:rPr>
        <w:t>im</w:t>
      </w:r>
      <w:r w:rsidRPr="009D1994">
        <w:rPr>
          <w:spacing w:val="29"/>
          <w:lang w:val="sv-SE"/>
        </w:rPr>
        <w:t xml:space="preserve"> </w:t>
      </w:r>
      <w:r w:rsidRPr="009D1994">
        <w:rPr>
          <w:spacing w:val="-1"/>
          <w:lang w:val="sv-SE"/>
        </w:rPr>
        <w:t>primijeniti</w:t>
      </w:r>
      <w:r w:rsidRPr="009D1994">
        <w:rPr>
          <w:spacing w:val="30"/>
          <w:lang w:val="sv-SE"/>
        </w:rPr>
        <w:t xml:space="preserve"> </w:t>
      </w:r>
      <w:r w:rsidRPr="009D1994">
        <w:rPr>
          <w:spacing w:val="-1"/>
          <w:lang w:val="sv-SE"/>
        </w:rPr>
        <w:t>standardnu</w:t>
      </w:r>
      <w:r w:rsidRPr="009D1994">
        <w:rPr>
          <w:spacing w:val="30"/>
          <w:lang w:val="sv-SE"/>
        </w:rPr>
        <w:t xml:space="preserve"> </w:t>
      </w:r>
      <w:r w:rsidRPr="009D1994">
        <w:rPr>
          <w:spacing w:val="-1"/>
          <w:lang w:val="sv-SE"/>
        </w:rPr>
        <w:t>simptomatsku</w:t>
      </w:r>
      <w:r w:rsidRPr="009D1994">
        <w:rPr>
          <w:spacing w:val="30"/>
          <w:lang w:val="sv-SE"/>
        </w:rPr>
        <w:t xml:space="preserve"> </w:t>
      </w:r>
      <w:r w:rsidRPr="009D1994">
        <w:rPr>
          <w:spacing w:val="-1"/>
          <w:lang w:val="sv-SE"/>
        </w:rPr>
        <w:t>terapiju,</w:t>
      </w:r>
      <w:r w:rsidRPr="009D1994">
        <w:rPr>
          <w:spacing w:val="31"/>
          <w:lang w:val="sv-SE"/>
        </w:rPr>
        <w:t xml:space="preserve"> </w:t>
      </w:r>
      <w:r w:rsidRPr="009D1994">
        <w:rPr>
          <w:spacing w:val="-1"/>
          <w:lang w:val="sv-SE"/>
        </w:rPr>
        <w:t>koja</w:t>
      </w:r>
      <w:r w:rsidRPr="009D1994">
        <w:rPr>
          <w:spacing w:val="50"/>
          <w:lang w:val="sv-SE"/>
        </w:rPr>
        <w:t xml:space="preserve"> </w:t>
      </w:r>
      <w:r w:rsidRPr="009D1994">
        <w:rPr>
          <w:spacing w:val="-1"/>
          <w:lang w:val="sv-SE"/>
        </w:rPr>
        <w:t xml:space="preserve">može uključiti </w:t>
      </w:r>
      <w:r w:rsidRPr="009D1994">
        <w:rPr>
          <w:lang w:val="sv-SE"/>
        </w:rPr>
        <w:t>i</w:t>
      </w:r>
      <w:r w:rsidRPr="009D1994">
        <w:rPr>
          <w:spacing w:val="-1"/>
          <w:lang w:val="sv-SE"/>
        </w:rPr>
        <w:t xml:space="preserve"> potrebu za intenzivnim liječenjem (vidjeti</w:t>
      </w:r>
      <w:r w:rsidRPr="009D1994">
        <w:rPr>
          <w:lang w:val="sv-SE"/>
        </w:rPr>
        <w:t xml:space="preserve"> </w:t>
      </w:r>
      <w:r w:rsidRPr="009D1994">
        <w:rPr>
          <w:spacing w:val="-1"/>
          <w:lang w:val="sv-SE"/>
        </w:rPr>
        <w:t>odjeljak</w:t>
      </w:r>
      <w:r w:rsidRPr="009D1994">
        <w:rPr>
          <w:lang w:val="sv-SE"/>
        </w:rPr>
        <w:t xml:space="preserve"> </w:t>
      </w:r>
      <w:r w:rsidRPr="009D1994">
        <w:rPr>
          <w:spacing w:val="-1"/>
          <w:lang w:val="sv-SE"/>
        </w:rPr>
        <w:t>4.8).</w:t>
      </w:r>
    </w:p>
    <w:p w:rsidR="00FE5E30" w:rsidRPr="00BF46D3" w:rsidRDefault="00FE5E30" w:rsidP="00601AFC">
      <w:pPr>
        <w:pStyle w:val="BodyText"/>
        <w:spacing w:before="9"/>
        <w:ind w:left="454" w:right="113"/>
        <w:jc w:val="both"/>
        <w:rPr>
          <w:color w:val="FF0000"/>
          <w:sz w:val="21"/>
          <w:lang w:val="sv-SE"/>
        </w:rPr>
      </w:pPr>
    </w:p>
    <w:p w:rsidR="0079698F" w:rsidRPr="00BF332D" w:rsidRDefault="0079698F" w:rsidP="00601AFC">
      <w:pPr>
        <w:pStyle w:val="BodyText"/>
        <w:kinsoku w:val="0"/>
        <w:overflowPunct w:val="0"/>
        <w:ind w:left="454" w:right="113"/>
        <w:contextualSpacing/>
        <w:jc w:val="both"/>
        <w:rPr>
          <w:lang w:val="sv-SE"/>
        </w:rPr>
      </w:pPr>
      <w:r w:rsidRPr="00BF332D">
        <w:rPr>
          <w:i/>
          <w:iCs/>
          <w:spacing w:val="-1"/>
          <w:lang w:val="sv-SE"/>
        </w:rPr>
        <w:t>Glomerulonefritis</w:t>
      </w:r>
    </w:p>
    <w:p w:rsidR="0079698F" w:rsidRPr="009D1994" w:rsidRDefault="0079698F" w:rsidP="00601AFC">
      <w:pPr>
        <w:pStyle w:val="BodyText"/>
        <w:kinsoku w:val="0"/>
        <w:overflowPunct w:val="0"/>
        <w:ind w:left="454" w:right="113"/>
        <w:contextualSpacing/>
        <w:jc w:val="both"/>
        <w:rPr>
          <w:spacing w:val="-1"/>
          <w:lang w:val="sv-SE"/>
        </w:rPr>
      </w:pPr>
      <w:r w:rsidRPr="009D1994">
        <w:rPr>
          <w:spacing w:val="-2"/>
          <w:lang w:val="sv-SE"/>
        </w:rPr>
        <w:t>Kod</w:t>
      </w:r>
      <w:r w:rsidRPr="009D1994">
        <w:rPr>
          <w:spacing w:val="17"/>
          <w:lang w:val="sv-SE"/>
        </w:rPr>
        <w:t xml:space="preserve"> </w:t>
      </w:r>
      <w:r w:rsidRPr="009D1994">
        <w:rPr>
          <w:lang w:val="sv-SE"/>
        </w:rPr>
        <w:t>pacijenata</w:t>
      </w:r>
      <w:r w:rsidRPr="009D1994">
        <w:rPr>
          <w:spacing w:val="19"/>
          <w:lang w:val="sv-SE"/>
        </w:rPr>
        <w:t xml:space="preserve"> </w:t>
      </w:r>
      <w:r w:rsidRPr="009D1994">
        <w:rPr>
          <w:spacing w:val="-2"/>
          <w:lang w:val="sv-SE"/>
        </w:rPr>
        <w:t>koji</w:t>
      </w:r>
      <w:r w:rsidRPr="009D1994">
        <w:rPr>
          <w:spacing w:val="17"/>
          <w:lang w:val="sv-SE"/>
        </w:rPr>
        <w:t xml:space="preserve"> </w:t>
      </w:r>
      <w:r w:rsidRPr="009D1994">
        <w:rPr>
          <w:lang w:val="sv-SE"/>
        </w:rPr>
        <w:t>su</w:t>
      </w:r>
      <w:r w:rsidRPr="009D1994">
        <w:rPr>
          <w:spacing w:val="19"/>
          <w:lang w:val="sv-SE"/>
        </w:rPr>
        <w:t xml:space="preserve"> </w:t>
      </w:r>
      <w:r w:rsidRPr="009D1994">
        <w:rPr>
          <w:spacing w:val="-1"/>
          <w:lang w:val="sv-SE"/>
        </w:rPr>
        <w:t>primali</w:t>
      </w:r>
      <w:r w:rsidRPr="009D1994">
        <w:rPr>
          <w:spacing w:val="20"/>
          <w:lang w:val="sv-SE"/>
        </w:rPr>
        <w:t xml:space="preserve"> </w:t>
      </w:r>
      <w:r w:rsidRPr="009D1994">
        <w:rPr>
          <w:spacing w:val="-1"/>
          <w:lang w:val="sv-SE"/>
        </w:rPr>
        <w:t>filgrastim</w:t>
      </w:r>
      <w:r w:rsidRPr="009D1994">
        <w:rPr>
          <w:spacing w:val="23"/>
          <w:lang w:val="sv-SE"/>
        </w:rPr>
        <w:t xml:space="preserve"> </w:t>
      </w:r>
      <w:r w:rsidRPr="009D1994">
        <w:rPr>
          <w:lang w:val="sv-SE"/>
        </w:rPr>
        <w:t>ili</w:t>
      </w:r>
      <w:r w:rsidRPr="009D1994">
        <w:rPr>
          <w:spacing w:val="15"/>
          <w:lang w:val="sv-SE"/>
        </w:rPr>
        <w:t xml:space="preserve"> </w:t>
      </w:r>
      <w:r w:rsidRPr="009D1994">
        <w:rPr>
          <w:spacing w:val="-1"/>
          <w:lang w:val="sv-SE"/>
        </w:rPr>
        <w:t>pegfilgrastim</w:t>
      </w:r>
      <w:r w:rsidRPr="009D1994">
        <w:rPr>
          <w:spacing w:val="18"/>
          <w:lang w:val="sv-SE"/>
        </w:rPr>
        <w:t xml:space="preserve"> </w:t>
      </w:r>
      <w:r w:rsidRPr="009D1994">
        <w:rPr>
          <w:spacing w:val="-1"/>
          <w:lang w:val="sv-SE"/>
        </w:rPr>
        <w:t>prijavljen</w:t>
      </w:r>
      <w:r w:rsidRPr="009D1994">
        <w:rPr>
          <w:spacing w:val="23"/>
          <w:lang w:val="sv-SE"/>
        </w:rPr>
        <w:t xml:space="preserve"> </w:t>
      </w:r>
      <w:r w:rsidRPr="009D1994">
        <w:rPr>
          <w:spacing w:val="-2"/>
          <w:lang w:val="sv-SE"/>
        </w:rPr>
        <w:t>je</w:t>
      </w:r>
      <w:r w:rsidRPr="009D1994">
        <w:rPr>
          <w:spacing w:val="21"/>
          <w:lang w:val="sv-SE"/>
        </w:rPr>
        <w:t xml:space="preserve"> </w:t>
      </w:r>
      <w:r w:rsidRPr="009D1994">
        <w:rPr>
          <w:spacing w:val="-1"/>
          <w:lang w:val="sv-SE"/>
        </w:rPr>
        <w:t>glomerulonefritis.</w:t>
      </w:r>
      <w:r w:rsidRPr="009D1994">
        <w:rPr>
          <w:spacing w:val="18"/>
          <w:lang w:val="sv-SE"/>
        </w:rPr>
        <w:t xml:space="preserve"> </w:t>
      </w:r>
      <w:r w:rsidRPr="009D1994">
        <w:rPr>
          <w:spacing w:val="-1"/>
          <w:lang w:val="sv-SE"/>
        </w:rPr>
        <w:t>Generalno,</w:t>
      </w:r>
      <w:r w:rsidRPr="009D1994">
        <w:rPr>
          <w:spacing w:val="28"/>
          <w:lang w:val="sv-SE"/>
        </w:rPr>
        <w:t xml:space="preserve"> </w:t>
      </w:r>
      <w:r w:rsidRPr="00E52657">
        <w:rPr>
          <w:spacing w:val="-2"/>
          <w:lang w:val="sv-SE"/>
        </w:rPr>
        <w:t>simptomi</w:t>
      </w:r>
      <w:r w:rsidRPr="00E52657">
        <w:rPr>
          <w:spacing w:val="1"/>
          <w:lang w:val="sv-SE"/>
        </w:rPr>
        <w:t xml:space="preserve"> </w:t>
      </w:r>
      <w:r w:rsidRPr="00E52657">
        <w:rPr>
          <w:spacing w:val="-1"/>
          <w:lang w:val="sv-SE"/>
        </w:rPr>
        <w:t>glomerulonefritisa</w:t>
      </w:r>
      <w:r w:rsidRPr="00E52657">
        <w:rPr>
          <w:spacing w:val="52"/>
          <w:lang w:val="sv-SE"/>
        </w:rPr>
        <w:t xml:space="preserve"> </w:t>
      </w:r>
      <w:r w:rsidRPr="00E52657">
        <w:rPr>
          <w:spacing w:val="-2"/>
          <w:lang w:val="sv-SE"/>
        </w:rPr>
        <w:t>se</w:t>
      </w:r>
      <w:r w:rsidRPr="00E52657">
        <w:rPr>
          <w:spacing w:val="50"/>
          <w:lang w:val="sv-SE"/>
        </w:rPr>
        <w:t xml:space="preserve"> </w:t>
      </w:r>
      <w:r w:rsidRPr="00E52657">
        <w:rPr>
          <w:spacing w:val="-1"/>
          <w:lang w:val="sv-SE"/>
        </w:rPr>
        <w:t>povlače</w:t>
      </w:r>
      <w:r w:rsidRPr="009D1994">
        <w:rPr>
          <w:spacing w:val="52"/>
          <w:lang w:val="sv-SE"/>
        </w:rPr>
        <w:t xml:space="preserve"> </w:t>
      </w:r>
      <w:r w:rsidRPr="009D1994">
        <w:rPr>
          <w:spacing w:val="-2"/>
          <w:lang w:val="sv-SE"/>
        </w:rPr>
        <w:t>nakon</w:t>
      </w:r>
      <w:r w:rsidRPr="009D1994">
        <w:rPr>
          <w:spacing w:val="50"/>
          <w:lang w:val="sv-SE"/>
        </w:rPr>
        <w:t xml:space="preserve"> </w:t>
      </w:r>
      <w:r w:rsidRPr="009D1994">
        <w:rPr>
          <w:spacing w:val="-1"/>
          <w:lang w:val="sv-SE"/>
        </w:rPr>
        <w:t>smanjenja</w:t>
      </w:r>
      <w:r w:rsidRPr="009D1994">
        <w:rPr>
          <w:spacing w:val="53"/>
          <w:lang w:val="sv-SE"/>
        </w:rPr>
        <w:t xml:space="preserve"> </w:t>
      </w:r>
      <w:r w:rsidRPr="009D1994">
        <w:rPr>
          <w:spacing w:val="-3"/>
          <w:lang w:val="sv-SE"/>
        </w:rPr>
        <w:t>doze</w:t>
      </w:r>
      <w:r w:rsidRPr="009D1994">
        <w:rPr>
          <w:spacing w:val="50"/>
          <w:lang w:val="sv-SE"/>
        </w:rPr>
        <w:t xml:space="preserve"> </w:t>
      </w:r>
      <w:r w:rsidRPr="009D1994">
        <w:rPr>
          <w:spacing w:val="-1"/>
          <w:lang w:val="sv-SE"/>
        </w:rPr>
        <w:t>ili</w:t>
      </w:r>
      <w:r w:rsidRPr="009D1994">
        <w:rPr>
          <w:spacing w:val="52"/>
          <w:lang w:val="sv-SE"/>
        </w:rPr>
        <w:t xml:space="preserve"> </w:t>
      </w:r>
      <w:r w:rsidRPr="009D1994">
        <w:rPr>
          <w:spacing w:val="-1"/>
          <w:lang w:val="sv-SE"/>
        </w:rPr>
        <w:t>prekida</w:t>
      </w:r>
      <w:r w:rsidRPr="009D1994">
        <w:rPr>
          <w:spacing w:val="52"/>
          <w:lang w:val="sv-SE"/>
        </w:rPr>
        <w:t xml:space="preserve"> </w:t>
      </w:r>
      <w:r w:rsidRPr="009D1994">
        <w:rPr>
          <w:spacing w:val="-2"/>
          <w:lang w:val="sv-SE"/>
        </w:rPr>
        <w:t>primjene</w:t>
      </w:r>
      <w:r w:rsidRPr="009D1994">
        <w:rPr>
          <w:spacing w:val="51"/>
          <w:lang w:val="sv-SE"/>
        </w:rPr>
        <w:t xml:space="preserve"> </w:t>
      </w:r>
      <w:r w:rsidRPr="009D1994">
        <w:rPr>
          <w:spacing w:val="-1"/>
          <w:lang w:val="sv-SE"/>
        </w:rPr>
        <w:t>filgrastima</w:t>
      </w:r>
      <w:r w:rsidRPr="009D1994">
        <w:rPr>
          <w:spacing w:val="52"/>
          <w:lang w:val="sv-SE"/>
        </w:rPr>
        <w:t xml:space="preserve"> </w:t>
      </w:r>
      <w:r w:rsidRPr="009D1994">
        <w:rPr>
          <w:spacing w:val="-2"/>
          <w:lang w:val="sv-SE"/>
        </w:rPr>
        <w:t>ili</w:t>
      </w:r>
      <w:r w:rsidRPr="009D1994">
        <w:rPr>
          <w:spacing w:val="59"/>
          <w:lang w:val="sv-SE"/>
        </w:rPr>
        <w:t xml:space="preserve"> </w:t>
      </w:r>
      <w:r w:rsidRPr="009D1994">
        <w:rPr>
          <w:spacing w:val="-1"/>
          <w:lang w:val="sv-SE"/>
        </w:rPr>
        <w:t>pegfilgras</w:t>
      </w:r>
      <w:r w:rsidR="00DF6431">
        <w:rPr>
          <w:spacing w:val="-1"/>
          <w:lang w:val="sv-SE"/>
        </w:rPr>
        <w:t>t</w:t>
      </w:r>
      <w:r w:rsidRPr="009D1994">
        <w:rPr>
          <w:spacing w:val="-1"/>
          <w:lang w:val="sv-SE"/>
        </w:rPr>
        <w:t>ima. Savjetuje se</w:t>
      </w:r>
      <w:r w:rsidRPr="009D1994">
        <w:rPr>
          <w:spacing w:val="1"/>
          <w:lang w:val="sv-SE"/>
        </w:rPr>
        <w:t xml:space="preserve"> </w:t>
      </w:r>
      <w:r w:rsidRPr="009D1994">
        <w:rPr>
          <w:spacing w:val="-1"/>
          <w:lang w:val="sv-SE"/>
        </w:rPr>
        <w:t>laboratorijsko</w:t>
      </w:r>
      <w:r w:rsidRPr="009D1994">
        <w:rPr>
          <w:spacing w:val="1"/>
          <w:lang w:val="sv-SE"/>
        </w:rPr>
        <w:t xml:space="preserve"> </w:t>
      </w:r>
      <w:r w:rsidRPr="009D1994">
        <w:rPr>
          <w:spacing w:val="-1"/>
          <w:lang w:val="sv-SE"/>
        </w:rPr>
        <w:t>praćenje analize urina.</w:t>
      </w:r>
    </w:p>
    <w:p w:rsidR="00FE5E30" w:rsidRPr="009D1994" w:rsidRDefault="00FE5E30" w:rsidP="00601AFC">
      <w:pPr>
        <w:pStyle w:val="BodyText"/>
        <w:spacing w:before="8"/>
        <w:ind w:left="454" w:right="113"/>
        <w:jc w:val="both"/>
        <w:rPr>
          <w:sz w:val="21"/>
        </w:rPr>
      </w:pPr>
    </w:p>
    <w:p w:rsidR="00993075" w:rsidRDefault="00A75B9B" w:rsidP="00A75B9B">
      <w:pPr>
        <w:pStyle w:val="BodyText"/>
        <w:spacing w:before="1"/>
        <w:ind w:right="113"/>
        <w:jc w:val="both"/>
        <w:rPr>
          <w:u w:val="single"/>
        </w:rPr>
      </w:pPr>
      <w:r w:rsidRPr="00A75B9B">
        <w:t xml:space="preserve">        </w:t>
      </w:r>
      <w:r w:rsidR="000534A2" w:rsidRPr="009D1994">
        <w:rPr>
          <w:u w:val="single"/>
        </w:rPr>
        <w:t xml:space="preserve">Posebne mjere opreza </w:t>
      </w:r>
      <w:r w:rsidR="00E06721" w:rsidRPr="009D1994">
        <w:rPr>
          <w:u w:val="single"/>
        </w:rPr>
        <w:t>kod pacijenata</w:t>
      </w:r>
      <w:r w:rsidR="000534A2" w:rsidRPr="009D1994">
        <w:rPr>
          <w:u w:val="single"/>
        </w:rPr>
        <w:t xml:space="preserve"> koji boluju od </w:t>
      </w:r>
      <w:r w:rsidR="00BF332D">
        <w:rPr>
          <w:u w:val="single"/>
        </w:rPr>
        <w:t>k</w:t>
      </w:r>
      <w:r w:rsidR="00993075">
        <w:rPr>
          <w:u w:val="single"/>
        </w:rPr>
        <w:t>arcinoma</w:t>
      </w:r>
    </w:p>
    <w:p w:rsidR="00993075" w:rsidRDefault="00993075" w:rsidP="00993075">
      <w:pPr>
        <w:pStyle w:val="BodyText"/>
        <w:spacing w:before="1"/>
        <w:ind w:firstLine="360"/>
        <w:jc w:val="both"/>
        <w:rPr>
          <w:u w:val="single"/>
        </w:rPr>
      </w:pPr>
    </w:p>
    <w:p w:rsidR="00FE5E30" w:rsidRPr="00993075" w:rsidRDefault="00993075" w:rsidP="00993075">
      <w:pPr>
        <w:pStyle w:val="BodyText"/>
        <w:spacing w:before="1"/>
        <w:ind w:firstLine="360"/>
        <w:jc w:val="both"/>
      </w:pPr>
      <w:r w:rsidRPr="00993075">
        <w:rPr>
          <w:i/>
        </w:rPr>
        <w:t xml:space="preserve">  </w:t>
      </w:r>
      <w:r w:rsidR="0024025F" w:rsidRPr="009D1994">
        <w:rPr>
          <w:i/>
          <w:u w:val="single"/>
        </w:rPr>
        <w:t>Splenomegalija i ruptura slezi</w:t>
      </w:r>
      <w:r w:rsidR="000534A2" w:rsidRPr="009D1994">
        <w:rPr>
          <w:i/>
          <w:u w:val="single"/>
        </w:rPr>
        <w:t>ne</w:t>
      </w:r>
    </w:p>
    <w:p w:rsidR="00E96A4E" w:rsidRPr="00C37AA8" w:rsidRDefault="009A2014" w:rsidP="00993075">
      <w:pPr>
        <w:pStyle w:val="BodyText"/>
        <w:kinsoku w:val="0"/>
        <w:overflowPunct w:val="0"/>
        <w:ind w:left="454" w:right="113"/>
        <w:contextualSpacing/>
        <w:jc w:val="both"/>
        <w:rPr>
          <w:lang w:val="sv-SE"/>
        </w:rPr>
      </w:pPr>
      <w:r w:rsidRPr="00C37AA8">
        <w:rPr>
          <w:spacing w:val="-1"/>
          <w:lang w:val="sv-SE"/>
        </w:rPr>
        <w:t>S</w:t>
      </w:r>
      <w:r w:rsidR="00E96A4E" w:rsidRPr="00C37AA8">
        <w:rPr>
          <w:spacing w:val="-1"/>
          <w:lang w:val="sv-SE"/>
        </w:rPr>
        <w:t>lučajevi</w:t>
      </w:r>
      <w:r w:rsidR="00E96A4E" w:rsidRPr="00C37AA8">
        <w:rPr>
          <w:spacing w:val="45"/>
          <w:lang w:val="sv-SE"/>
        </w:rPr>
        <w:t xml:space="preserve"> </w:t>
      </w:r>
      <w:r w:rsidR="00E96A4E" w:rsidRPr="00C37AA8">
        <w:rPr>
          <w:spacing w:val="-1"/>
          <w:lang w:val="sv-SE"/>
        </w:rPr>
        <w:t>splenomegalije</w:t>
      </w:r>
      <w:r w:rsidR="00E96A4E" w:rsidRPr="00C37AA8">
        <w:rPr>
          <w:spacing w:val="49"/>
          <w:lang w:val="sv-SE"/>
        </w:rPr>
        <w:t xml:space="preserve"> </w:t>
      </w:r>
      <w:r w:rsidR="00E96A4E" w:rsidRPr="00C37AA8">
        <w:rPr>
          <w:lang w:val="sv-SE"/>
        </w:rPr>
        <w:t>i</w:t>
      </w:r>
      <w:r w:rsidR="00E96A4E" w:rsidRPr="00C37AA8">
        <w:rPr>
          <w:spacing w:val="42"/>
          <w:lang w:val="sv-SE"/>
        </w:rPr>
        <w:t xml:space="preserve"> </w:t>
      </w:r>
      <w:r w:rsidR="00E96A4E" w:rsidRPr="00C37AA8">
        <w:rPr>
          <w:lang w:val="sv-SE"/>
        </w:rPr>
        <w:t>rupture</w:t>
      </w:r>
      <w:r w:rsidR="00E96A4E" w:rsidRPr="00C37AA8">
        <w:rPr>
          <w:spacing w:val="45"/>
          <w:lang w:val="sv-SE"/>
        </w:rPr>
        <w:t xml:space="preserve"> </w:t>
      </w:r>
      <w:r w:rsidR="00E96A4E" w:rsidRPr="00C37AA8">
        <w:rPr>
          <w:spacing w:val="-1"/>
          <w:lang w:val="sv-SE"/>
        </w:rPr>
        <w:t>slezine</w:t>
      </w:r>
      <w:r w:rsidR="00E96A4E" w:rsidRPr="00C37AA8">
        <w:rPr>
          <w:spacing w:val="43"/>
          <w:lang w:val="sv-SE"/>
        </w:rPr>
        <w:t xml:space="preserve"> </w:t>
      </w:r>
      <w:r w:rsidR="00E96A4E" w:rsidRPr="00C37AA8">
        <w:rPr>
          <w:spacing w:val="-1"/>
          <w:lang w:val="sv-SE"/>
        </w:rPr>
        <w:t>zabilježeni</w:t>
      </w:r>
      <w:r w:rsidRPr="00C37AA8">
        <w:rPr>
          <w:spacing w:val="-1"/>
          <w:lang w:val="sv-SE"/>
        </w:rPr>
        <w:t xml:space="preserve"> su povremeno</w:t>
      </w:r>
      <w:r w:rsidR="00E96A4E" w:rsidRPr="00C37AA8">
        <w:rPr>
          <w:spacing w:val="49"/>
          <w:lang w:val="sv-SE"/>
        </w:rPr>
        <w:t xml:space="preserve"> </w:t>
      </w:r>
      <w:r w:rsidR="00E96A4E" w:rsidRPr="00C37AA8">
        <w:rPr>
          <w:spacing w:val="-3"/>
          <w:lang w:val="sv-SE"/>
        </w:rPr>
        <w:t>nakon</w:t>
      </w:r>
      <w:r w:rsidR="00E96A4E" w:rsidRPr="00C37AA8">
        <w:rPr>
          <w:spacing w:val="48"/>
          <w:lang w:val="sv-SE"/>
        </w:rPr>
        <w:t xml:space="preserve"> </w:t>
      </w:r>
      <w:r w:rsidR="00E96A4E" w:rsidRPr="00C37AA8">
        <w:rPr>
          <w:lang w:val="sv-SE"/>
        </w:rPr>
        <w:t>primjene</w:t>
      </w:r>
      <w:r w:rsidR="00E96A4E" w:rsidRPr="00C37AA8">
        <w:rPr>
          <w:spacing w:val="50"/>
          <w:lang w:val="sv-SE"/>
        </w:rPr>
        <w:t xml:space="preserve"> </w:t>
      </w:r>
      <w:r w:rsidR="00E96A4E" w:rsidRPr="00C37AA8">
        <w:rPr>
          <w:spacing w:val="-1"/>
          <w:lang w:val="sv-SE"/>
        </w:rPr>
        <w:t>filgrastima.</w:t>
      </w:r>
      <w:r w:rsidR="00E96A4E" w:rsidRPr="00C37AA8">
        <w:rPr>
          <w:spacing w:val="53"/>
          <w:lang w:val="sv-SE"/>
        </w:rPr>
        <w:t xml:space="preserve"> </w:t>
      </w:r>
      <w:r w:rsidR="00E96A4E" w:rsidRPr="00C37AA8">
        <w:rPr>
          <w:spacing w:val="-1"/>
          <w:lang w:val="sv-SE"/>
        </w:rPr>
        <w:t>Pojedini</w:t>
      </w:r>
      <w:r w:rsidR="00E96A4E" w:rsidRPr="00C37AA8">
        <w:rPr>
          <w:spacing w:val="49"/>
          <w:lang w:val="sv-SE"/>
        </w:rPr>
        <w:t xml:space="preserve"> </w:t>
      </w:r>
      <w:r w:rsidR="00E96A4E" w:rsidRPr="00C37AA8">
        <w:rPr>
          <w:spacing w:val="-1"/>
          <w:lang w:val="sv-SE"/>
        </w:rPr>
        <w:t>slučajevi</w:t>
      </w:r>
      <w:r w:rsidR="00E96A4E" w:rsidRPr="00C37AA8">
        <w:rPr>
          <w:spacing w:val="50"/>
          <w:lang w:val="sv-SE"/>
        </w:rPr>
        <w:t xml:space="preserve"> </w:t>
      </w:r>
      <w:r w:rsidR="00E96A4E" w:rsidRPr="00C37AA8">
        <w:rPr>
          <w:lang w:val="sv-SE"/>
        </w:rPr>
        <w:t>rupture</w:t>
      </w:r>
      <w:r w:rsidR="00E96A4E" w:rsidRPr="00C37AA8">
        <w:rPr>
          <w:spacing w:val="50"/>
          <w:lang w:val="sv-SE"/>
        </w:rPr>
        <w:t xml:space="preserve"> </w:t>
      </w:r>
      <w:r w:rsidR="00E96A4E" w:rsidRPr="00C37AA8">
        <w:rPr>
          <w:spacing w:val="-1"/>
          <w:lang w:val="sv-SE"/>
        </w:rPr>
        <w:t>slezine</w:t>
      </w:r>
      <w:r w:rsidR="00E96A4E" w:rsidRPr="00C37AA8">
        <w:rPr>
          <w:spacing w:val="49"/>
          <w:lang w:val="sv-SE"/>
        </w:rPr>
        <w:t xml:space="preserve"> </w:t>
      </w:r>
      <w:r w:rsidR="00E96A4E" w:rsidRPr="00C37AA8">
        <w:rPr>
          <w:spacing w:val="-1"/>
          <w:lang w:val="sv-SE"/>
        </w:rPr>
        <w:t>imali</w:t>
      </w:r>
      <w:r w:rsidR="00E96A4E" w:rsidRPr="00C37AA8">
        <w:rPr>
          <w:spacing w:val="49"/>
          <w:lang w:val="sv-SE"/>
        </w:rPr>
        <w:t xml:space="preserve"> </w:t>
      </w:r>
      <w:r w:rsidR="00E96A4E" w:rsidRPr="00C37AA8">
        <w:rPr>
          <w:lang w:val="sv-SE"/>
        </w:rPr>
        <w:t>su</w:t>
      </w:r>
      <w:r w:rsidR="00E96A4E" w:rsidRPr="00C37AA8">
        <w:rPr>
          <w:spacing w:val="50"/>
          <w:lang w:val="sv-SE"/>
        </w:rPr>
        <w:t xml:space="preserve"> </w:t>
      </w:r>
      <w:r w:rsidR="00E96A4E" w:rsidRPr="00C37AA8">
        <w:rPr>
          <w:spacing w:val="-1"/>
          <w:lang w:val="sv-SE"/>
        </w:rPr>
        <w:t>fatalan</w:t>
      </w:r>
      <w:r w:rsidR="00E96A4E" w:rsidRPr="00C37AA8">
        <w:rPr>
          <w:spacing w:val="50"/>
          <w:lang w:val="sv-SE"/>
        </w:rPr>
        <w:t xml:space="preserve"> </w:t>
      </w:r>
      <w:r w:rsidR="00E96A4E" w:rsidRPr="00C37AA8">
        <w:rPr>
          <w:spacing w:val="-1"/>
          <w:lang w:val="sv-SE"/>
        </w:rPr>
        <w:t>ishod.</w:t>
      </w:r>
      <w:r w:rsidR="00E96A4E" w:rsidRPr="00C37AA8">
        <w:rPr>
          <w:spacing w:val="50"/>
          <w:lang w:val="sv-SE"/>
        </w:rPr>
        <w:t xml:space="preserve"> </w:t>
      </w:r>
      <w:r w:rsidR="00C37AA8" w:rsidRPr="00C37AA8">
        <w:rPr>
          <w:spacing w:val="-2"/>
          <w:lang w:val="sv-SE"/>
        </w:rPr>
        <w:t>Osobe koje primaju filgrastim i žale</w:t>
      </w:r>
      <w:r w:rsidR="00C37AA8" w:rsidRPr="00C37AA8">
        <w:rPr>
          <w:spacing w:val="15"/>
          <w:lang w:val="sv-SE"/>
        </w:rPr>
        <w:t xml:space="preserve"> se </w:t>
      </w:r>
      <w:r w:rsidR="00C37AA8" w:rsidRPr="00C37AA8">
        <w:rPr>
          <w:spacing w:val="-1"/>
          <w:lang w:val="sv-SE"/>
        </w:rPr>
        <w:t>na</w:t>
      </w:r>
      <w:r w:rsidR="00C37AA8" w:rsidRPr="00C37AA8">
        <w:rPr>
          <w:spacing w:val="11"/>
          <w:lang w:val="sv-SE"/>
        </w:rPr>
        <w:t xml:space="preserve"> </w:t>
      </w:r>
      <w:r w:rsidR="00C37AA8" w:rsidRPr="00C37AA8">
        <w:rPr>
          <w:spacing w:val="-2"/>
          <w:lang w:val="sv-SE"/>
        </w:rPr>
        <w:t>bol</w:t>
      </w:r>
      <w:r w:rsidR="00C37AA8" w:rsidRPr="00C37AA8">
        <w:rPr>
          <w:spacing w:val="9"/>
          <w:lang w:val="sv-SE"/>
        </w:rPr>
        <w:t xml:space="preserve"> </w:t>
      </w:r>
      <w:r w:rsidR="00C37AA8" w:rsidRPr="00C37AA8">
        <w:rPr>
          <w:lang w:val="sv-SE"/>
        </w:rPr>
        <w:t>u</w:t>
      </w:r>
      <w:r w:rsidR="00C37AA8" w:rsidRPr="00C37AA8">
        <w:rPr>
          <w:spacing w:val="12"/>
          <w:lang w:val="sv-SE"/>
        </w:rPr>
        <w:t xml:space="preserve"> </w:t>
      </w:r>
      <w:r w:rsidR="00C37AA8" w:rsidRPr="00C37AA8">
        <w:rPr>
          <w:spacing w:val="-2"/>
          <w:lang w:val="sv-SE"/>
        </w:rPr>
        <w:t>gornjem</w:t>
      </w:r>
      <w:r w:rsidR="00C37AA8" w:rsidRPr="00C37AA8">
        <w:rPr>
          <w:spacing w:val="15"/>
          <w:lang w:val="sv-SE"/>
        </w:rPr>
        <w:t xml:space="preserve"> </w:t>
      </w:r>
      <w:r w:rsidR="00C37AA8" w:rsidRPr="00C37AA8">
        <w:rPr>
          <w:spacing w:val="-2"/>
          <w:lang w:val="sv-SE"/>
        </w:rPr>
        <w:t>lijevom</w:t>
      </w:r>
      <w:r w:rsidR="00C37AA8" w:rsidRPr="00C37AA8">
        <w:rPr>
          <w:spacing w:val="15"/>
          <w:lang w:val="sv-SE"/>
        </w:rPr>
        <w:t xml:space="preserve"> </w:t>
      </w:r>
      <w:r w:rsidR="00C37AA8" w:rsidRPr="00C37AA8">
        <w:rPr>
          <w:spacing w:val="-2"/>
          <w:lang w:val="sv-SE"/>
        </w:rPr>
        <w:t>delu</w:t>
      </w:r>
      <w:r w:rsidR="00C37AA8" w:rsidRPr="00C37AA8">
        <w:rPr>
          <w:spacing w:val="10"/>
          <w:lang w:val="sv-SE"/>
        </w:rPr>
        <w:t xml:space="preserve"> </w:t>
      </w:r>
      <w:r w:rsidR="00C37AA8" w:rsidRPr="00A0130D">
        <w:rPr>
          <w:lang w:val="sv-SE"/>
        </w:rPr>
        <w:t xml:space="preserve">abdomena </w:t>
      </w:r>
      <w:r w:rsidR="00BF52F8" w:rsidRPr="00A0130D">
        <w:rPr>
          <w:lang w:val="sv-SE"/>
        </w:rPr>
        <w:t>i/</w:t>
      </w:r>
      <w:r w:rsidR="00C37AA8" w:rsidRPr="00A0130D">
        <w:rPr>
          <w:lang w:val="sv-SE"/>
        </w:rPr>
        <w:t xml:space="preserve">ili </w:t>
      </w:r>
      <w:r w:rsidR="00220AF8" w:rsidRPr="00A0130D">
        <w:rPr>
          <w:lang w:val="sv-SE"/>
        </w:rPr>
        <w:t xml:space="preserve">na </w:t>
      </w:r>
      <w:r w:rsidR="00C37AA8" w:rsidRPr="00A0130D">
        <w:rPr>
          <w:lang w:val="sv-SE"/>
        </w:rPr>
        <w:t>vrh</w:t>
      </w:r>
      <w:r w:rsidR="00BF52F8" w:rsidRPr="00A0130D">
        <w:rPr>
          <w:lang w:val="sv-SE"/>
        </w:rPr>
        <w:t>u</w:t>
      </w:r>
      <w:r w:rsidR="00C37AA8" w:rsidRPr="00A0130D">
        <w:rPr>
          <w:lang w:val="sv-SE"/>
        </w:rPr>
        <w:t xml:space="preserve"> ramena</w:t>
      </w:r>
      <w:r w:rsidR="00C37AA8" w:rsidRPr="00C37AA8">
        <w:rPr>
          <w:spacing w:val="-1"/>
          <w:lang w:val="sv-SE"/>
        </w:rPr>
        <w:t xml:space="preserve"> potrebno je testirati na uvećanje slezine ili </w:t>
      </w:r>
      <w:r w:rsidR="00E96A4E" w:rsidRPr="00C37AA8">
        <w:rPr>
          <w:lang w:val="sv-SE"/>
        </w:rPr>
        <w:t>ruptur</w:t>
      </w:r>
      <w:r w:rsidR="00C37AA8" w:rsidRPr="00C37AA8">
        <w:rPr>
          <w:lang w:val="sv-SE"/>
        </w:rPr>
        <w:t>u</w:t>
      </w:r>
      <w:r w:rsidR="00E96A4E" w:rsidRPr="00C37AA8">
        <w:rPr>
          <w:spacing w:val="21"/>
          <w:lang w:val="sv-SE"/>
        </w:rPr>
        <w:t xml:space="preserve"> </w:t>
      </w:r>
      <w:r w:rsidR="00E96A4E" w:rsidRPr="00C37AA8">
        <w:rPr>
          <w:spacing w:val="-1"/>
          <w:lang w:val="sv-SE"/>
        </w:rPr>
        <w:t>slezine</w:t>
      </w:r>
      <w:r w:rsidR="00C37AA8" w:rsidRPr="00C37AA8">
        <w:rPr>
          <w:spacing w:val="5"/>
          <w:lang w:val="sv-SE"/>
        </w:rPr>
        <w:t xml:space="preserve">. </w:t>
      </w:r>
      <w:r w:rsidR="00E96A4E" w:rsidRPr="00C37AA8">
        <w:rPr>
          <w:spacing w:val="-2"/>
          <w:lang w:val="sv-SE"/>
        </w:rPr>
        <w:t>Zabilježeno</w:t>
      </w:r>
      <w:r w:rsidR="00E96A4E" w:rsidRPr="00C37AA8">
        <w:rPr>
          <w:spacing w:val="34"/>
          <w:lang w:val="sv-SE"/>
        </w:rPr>
        <w:t xml:space="preserve"> </w:t>
      </w:r>
      <w:r w:rsidR="00E96A4E" w:rsidRPr="00C37AA8">
        <w:rPr>
          <w:spacing w:val="-2"/>
          <w:lang w:val="sv-SE"/>
        </w:rPr>
        <w:t>je</w:t>
      </w:r>
      <w:r w:rsidR="00E96A4E" w:rsidRPr="00C37AA8">
        <w:rPr>
          <w:spacing w:val="33"/>
          <w:lang w:val="sv-SE"/>
        </w:rPr>
        <w:t xml:space="preserve"> </w:t>
      </w:r>
      <w:r w:rsidR="00E96A4E" w:rsidRPr="00C37AA8">
        <w:rPr>
          <w:spacing w:val="-1"/>
          <w:lang w:val="sv-SE"/>
        </w:rPr>
        <w:t>da</w:t>
      </w:r>
      <w:r w:rsidR="00E96A4E" w:rsidRPr="00C37AA8">
        <w:rPr>
          <w:spacing w:val="30"/>
          <w:lang w:val="sv-SE"/>
        </w:rPr>
        <w:t xml:space="preserve"> </w:t>
      </w:r>
      <w:r w:rsidR="00E96A4E" w:rsidRPr="00C37AA8">
        <w:rPr>
          <w:spacing w:val="-2"/>
          <w:lang w:val="sv-SE"/>
        </w:rPr>
        <w:t>smanjenje</w:t>
      </w:r>
      <w:r w:rsidR="00E96A4E" w:rsidRPr="00C37AA8">
        <w:rPr>
          <w:spacing w:val="34"/>
          <w:lang w:val="sv-SE"/>
        </w:rPr>
        <w:t xml:space="preserve"> </w:t>
      </w:r>
      <w:r w:rsidR="00E96A4E" w:rsidRPr="00A0130D">
        <w:rPr>
          <w:spacing w:val="-2"/>
          <w:lang w:val="sv-SE"/>
        </w:rPr>
        <w:t xml:space="preserve">doze </w:t>
      </w:r>
      <w:r w:rsidR="00BF52F8" w:rsidRPr="00A0130D">
        <w:rPr>
          <w:spacing w:val="-2"/>
          <w:lang w:val="sv-SE"/>
        </w:rPr>
        <w:t>filgrastima</w:t>
      </w:r>
      <w:r w:rsidR="00BF52F8">
        <w:rPr>
          <w:spacing w:val="30"/>
          <w:lang w:val="sv-SE"/>
        </w:rPr>
        <w:t xml:space="preserve"> </w:t>
      </w:r>
      <w:r w:rsidR="00E96A4E" w:rsidRPr="00C37AA8">
        <w:rPr>
          <w:lang w:val="sv-SE"/>
        </w:rPr>
        <w:t>usporava</w:t>
      </w:r>
      <w:r w:rsidR="00E96A4E" w:rsidRPr="00C37AA8">
        <w:rPr>
          <w:spacing w:val="31"/>
          <w:lang w:val="sv-SE"/>
        </w:rPr>
        <w:t xml:space="preserve"> </w:t>
      </w:r>
      <w:r w:rsidR="00E96A4E" w:rsidRPr="00C37AA8">
        <w:rPr>
          <w:spacing w:val="-2"/>
          <w:lang w:val="sv-SE"/>
        </w:rPr>
        <w:t>ili</w:t>
      </w:r>
      <w:r w:rsidR="00E96A4E" w:rsidRPr="00C37AA8">
        <w:rPr>
          <w:spacing w:val="29"/>
          <w:lang w:val="sv-SE"/>
        </w:rPr>
        <w:t xml:space="preserve"> </w:t>
      </w:r>
      <w:r w:rsidR="00E96A4E" w:rsidRPr="00C37AA8">
        <w:rPr>
          <w:spacing w:val="-1"/>
          <w:lang w:val="sv-SE"/>
        </w:rPr>
        <w:t>zaustavlja</w:t>
      </w:r>
      <w:r w:rsidR="00E96A4E" w:rsidRPr="00C37AA8">
        <w:rPr>
          <w:spacing w:val="30"/>
          <w:lang w:val="sv-SE"/>
        </w:rPr>
        <w:t xml:space="preserve"> </w:t>
      </w:r>
      <w:r w:rsidR="00E96A4E" w:rsidRPr="00C37AA8">
        <w:rPr>
          <w:spacing w:val="-1"/>
          <w:lang w:val="sv-SE"/>
        </w:rPr>
        <w:t>dalji</w:t>
      </w:r>
      <w:r w:rsidR="00E96A4E" w:rsidRPr="00C37AA8">
        <w:rPr>
          <w:spacing w:val="30"/>
          <w:lang w:val="sv-SE"/>
        </w:rPr>
        <w:t xml:space="preserve"> </w:t>
      </w:r>
      <w:r w:rsidR="00E96A4E" w:rsidRPr="00C37AA8">
        <w:rPr>
          <w:lang w:val="sv-SE"/>
        </w:rPr>
        <w:t>rast</w:t>
      </w:r>
      <w:r w:rsidR="00E96A4E" w:rsidRPr="00C37AA8">
        <w:rPr>
          <w:spacing w:val="32"/>
          <w:lang w:val="sv-SE"/>
        </w:rPr>
        <w:t xml:space="preserve"> </w:t>
      </w:r>
      <w:r w:rsidR="00E96A4E" w:rsidRPr="00C37AA8">
        <w:rPr>
          <w:spacing w:val="-2"/>
          <w:lang w:val="sv-SE"/>
        </w:rPr>
        <w:t>slezine</w:t>
      </w:r>
      <w:r w:rsidR="00E96A4E" w:rsidRPr="00C37AA8">
        <w:rPr>
          <w:spacing w:val="29"/>
          <w:lang w:val="sv-SE"/>
        </w:rPr>
        <w:t xml:space="preserve"> </w:t>
      </w:r>
      <w:r w:rsidR="00E96A4E" w:rsidRPr="00C37AA8">
        <w:rPr>
          <w:spacing w:val="-2"/>
          <w:lang w:val="sv-SE"/>
        </w:rPr>
        <w:t>kod</w:t>
      </w:r>
      <w:r w:rsidR="00E96A4E" w:rsidRPr="00C37AA8">
        <w:rPr>
          <w:spacing w:val="29"/>
          <w:lang w:val="sv-SE"/>
        </w:rPr>
        <w:t xml:space="preserve"> </w:t>
      </w:r>
      <w:r w:rsidR="00E96A4E" w:rsidRPr="00C37AA8">
        <w:rPr>
          <w:lang w:val="sv-SE"/>
        </w:rPr>
        <w:t>pacijenata</w:t>
      </w:r>
      <w:r w:rsidR="00E96A4E" w:rsidRPr="00C37AA8">
        <w:rPr>
          <w:spacing w:val="31"/>
          <w:lang w:val="sv-SE"/>
        </w:rPr>
        <w:t xml:space="preserve"> </w:t>
      </w:r>
      <w:r w:rsidR="00E96A4E" w:rsidRPr="00C37AA8">
        <w:rPr>
          <w:spacing w:val="-1"/>
          <w:lang w:val="sv-SE"/>
        </w:rPr>
        <w:t>sa</w:t>
      </w:r>
      <w:r w:rsidR="00E96A4E" w:rsidRPr="00C37AA8">
        <w:rPr>
          <w:spacing w:val="42"/>
          <w:lang w:val="sv-SE"/>
        </w:rPr>
        <w:t xml:space="preserve"> </w:t>
      </w:r>
      <w:r w:rsidR="00E96A4E" w:rsidRPr="00C37AA8">
        <w:rPr>
          <w:spacing w:val="-1"/>
          <w:lang w:val="sv-SE"/>
        </w:rPr>
        <w:t xml:space="preserve">teškom hroničnom </w:t>
      </w:r>
      <w:r w:rsidR="00E96A4E" w:rsidRPr="00C37AA8">
        <w:rPr>
          <w:spacing w:val="-2"/>
          <w:lang w:val="sv-SE"/>
        </w:rPr>
        <w:t>neutropenijom,</w:t>
      </w:r>
      <w:r w:rsidR="00E96A4E" w:rsidRPr="00C37AA8">
        <w:rPr>
          <w:lang w:val="sv-SE"/>
        </w:rPr>
        <w:t xml:space="preserve"> ali kod 3% </w:t>
      </w:r>
      <w:r w:rsidR="00E96A4E" w:rsidRPr="00C37AA8">
        <w:rPr>
          <w:spacing w:val="-1"/>
          <w:lang w:val="sv-SE"/>
        </w:rPr>
        <w:t>pacijenata bila je neophodna splenektomija.</w:t>
      </w:r>
    </w:p>
    <w:p w:rsidR="00FE5E30" w:rsidRPr="00BF46D3" w:rsidRDefault="00FE5E30" w:rsidP="00993075">
      <w:pPr>
        <w:pStyle w:val="BodyText"/>
        <w:spacing w:before="7"/>
        <w:ind w:left="454" w:right="113"/>
        <w:jc w:val="both"/>
        <w:rPr>
          <w:color w:val="FF0000"/>
          <w:sz w:val="21"/>
          <w:lang w:val="sv-SE"/>
        </w:rPr>
      </w:pPr>
    </w:p>
    <w:p w:rsidR="00FE5E30" w:rsidRPr="00BF46D3" w:rsidRDefault="000534A2" w:rsidP="00993075">
      <w:pPr>
        <w:ind w:left="454" w:right="113"/>
        <w:jc w:val="both"/>
        <w:rPr>
          <w:i/>
          <w:lang w:val="sv-SE"/>
        </w:rPr>
      </w:pPr>
      <w:r w:rsidRPr="00BF46D3">
        <w:rPr>
          <w:i/>
          <w:u w:val="single"/>
          <w:lang w:val="sv-SE"/>
        </w:rPr>
        <w:t>Leukocitoza</w:t>
      </w:r>
    </w:p>
    <w:p w:rsidR="00E96A4E" w:rsidRPr="002822B9" w:rsidRDefault="00E96A4E" w:rsidP="00993075">
      <w:pPr>
        <w:pStyle w:val="BodyText"/>
        <w:kinsoku w:val="0"/>
        <w:overflowPunct w:val="0"/>
        <w:ind w:left="454" w:right="113"/>
        <w:contextualSpacing/>
        <w:jc w:val="both"/>
        <w:rPr>
          <w:lang w:val="sv-SE"/>
        </w:rPr>
      </w:pPr>
      <w:r w:rsidRPr="002822B9">
        <w:rPr>
          <w:spacing w:val="-3"/>
          <w:lang w:val="sv-SE"/>
        </w:rPr>
        <w:t>Broj</w:t>
      </w:r>
      <w:r w:rsidRPr="002822B9">
        <w:rPr>
          <w:spacing w:val="33"/>
          <w:lang w:val="sv-SE"/>
        </w:rPr>
        <w:t xml:space="preserve"> </w:t>
      </w:r>
      <w:r w:rsidRPr="002822B9">
        <w:rPr>
          <w:spacing w:val="-1"/>
          <w:lang w:val="sv-SE"/>
        </w:rPr>
        <w:t>leukocita</w:t>
      </w:r>
      <w:r w:rsidRPr="002822B9">
        <w:rPr>
          <w:spacing w:val="30"/>
          <w:lang w:val="sv-SE"/>
        </w:rPr>
        <w:t xml:space="preserve"> </w:t>
      </w:r>
      <w:r w:rsidRPr="002822B9">
        <w:rPr>
          <w:spacing w:val="-2"/>
          <w:lang w:val="sv-SE"/>
        </w:rPr>
        <w:t>od</w:t>
      </w:r>
      <w:r w:rsidRPr="002822B9">
        <w:rPr>
          <w:spacing w:val="29"/>
          <w:lang w:val="sv-SE"/>
        </w:rPr>
        <w:t xml:space="preserve"> </w:t>
      </w:r>
      <w:r w:rsidRPr="002822B9">
        <w:rPr>
          <w:lang w:val="sv-SE"/>
        </w:rPr>
        <w:t>100</w:t>
      </w:r>
      <w:r w:rsidRPr="002822B9">
        <w:rPr>
          <w:spacing w:val="31"/>
          <w:lang w:val="sv-SE"/>
        </w:rPr>
        <w:t xml:space="preserve"> </w:t>
      </w:r>
      <w:r w:rsidRPr="002822B9">
        <w:rPr>
          <w:lang w:val="sv-SE"/>
        </w:rPr>
        <w:t>x</w:t>
      </w:r>
      <w:r w:rsidRPr="002822B9">
        <w:rPr>
          <w:spacing w:val="31"/>
          <w:lang w:val="sv-SE"/>
        </w:rPr>
        <w:t xml:space="preserve"> </w:t>
      </w:r>
      <w:r w:rsidRPr="002822B9">
        <w:rPr>
          <w:spacing w:val="-1"/>
          <w:lang w:val="sv-SE"/>
        </w:rPr>
        <w:t>10</w:t>
      </w:r>
      <w:r w:rsidRPr="002822B9">
        <w:rPr>
          <w:spacing w:val="-1"/>
          <w:vertAlign w:val="superscript"/>
          <w:lang w:val="sv-SE"/>
        </w:rPr>
        <w:t>9</w:t>
      </w:r>
      <w:r w:rsidRPr="002822B9">
        <w:rPr>
          <w:spacing w:val="-1"/>
          <w:lang w:val="sv-SE"/>
        </w:rPr>
        <w:t>/l</w:t>
      </w:r>
      <w:r w:rsidRPr="002822B9">
        <w:rPr>
          <w:spacing w:val="31"/>
          <w:lang w:val="sv-SE"/>
        </w:rPr>
        <w:t xml:space="preserve"> </w:t>
      </w:r>
      <w:r w:rsidRPr="002822B9">
        <w:rPr>
          <w:spacing w:val="-3"/>
          <w:lang w:val="sv-SE"/>
        </w:rPr>
        <w:t>ili</w:t>
      </w:r>
      <w:r w:rsidRPr="002822B9">
        <w:rPr>
          <w:spacing w:val="32"/>
          <w:lang w:val="sv-SE"/>
        </w:rPr>
        <w:t xml:space="preserve"> </w:t>
      </w:r>
      <w:r w:rsidRPr="002822B9">
        <w:rPr>
          <w:spacing w:val="-2"/>
          <w:lang w:val="sv-SE"/>
        </w:rPr>
        <w:t>veći</w:t>
      </w:r>
      <w:r w:rsidRPr="002822B9">
        <w:rPr>
          <w:spacing w:val="29"/>
          <w:lang w:val="sv-SE"/>
        </w:rPr>
        <w:t xml:space="preserve"> </w:t>
      </w:r>
      <w:r w:rsidRPr="002822B9">
        <w:rPr>
          <w:spacing w:val="-1"/>
          <w:lang w:val="sv-SE"/>
        </w:rPr>
        <w:t>uočen</w:t>
      </w:r>
      <w:r w:rsidRPr="002822B9">
        <w:rPr>
          <w:spacing w:val="35"/>
          <w:lang w:val="sv-SE"/>
        </w:rPr>
        <w:t xml:space="preserve"> </w:t>
      </w:r>
      <w:r w:rsidRPr="002822B9">
        <w:rPr>
          <w:spacing w:val="-2"/>
          <w:lang w:val="sv-SE"/>
        </w:rPr>
        <w:t>je</w:t>
      </w:r>
      <w:r w:rsidRPr="002822B9">
        <w:rPr>
          <w:spacing w:val="33"/>
          <w:lang w:val="sv-SE"/>
        </w:rPr>
        <w:t xml:space="preserve"> </w:t>
      </w:r>
      <w:r w:rsidRPr="002822B9">
        <w:rPr>
          <w:spacing w:val="-2"/>
          <w:lang w:val="sv-SE"/>
        </w:rPr>
        <w:t>kod</w:t>
      </w:r>
      <w:r w:rsidRPr="002822B9">
        <w:rPr>
          <w:spacing w:val="29"/>
          <w:lang w:val="sv-SE"/>
        </w:rPr>
        <w:t xml:space="preserve"> </w:t>
      </w:r>
      <w:r w:rsidRPr="002822B9">
        <w:rPr>
          <w:spacing w:val="-2"/>
          <w:lang w:val="sv-SE"/>
        </w:rPr>
        <w:t>manje</w:t>
      </w:r>
      <w:r w:rsidRPr="002822B9">
        <w:rPr>
          <w:spacing w:val="34"/>
          <w:lang w:val="sv-SE"/>
        </w:rPr>
        <w:t xml:space="preserve"> </w:t>
      </w:r>
      <w:r w:rsidRPr="002822B9">
        <w:rPr>
          <w:spacing w:val="-3"/>
          <w:lang w:val="sv-SE"/>
        </w:rPr>
        <w:t>od</w:t>
      </w:r>
      <w:r w:rsidRPr="002822B9">
        <w:rPr>
          <w:spacing w:val="26"/>
          <w:lang w:val="sv-SE"/>
        </w:rPr>
        <w:t xml:space="preserve"> </w:t>
      </w:r>
      <w:r w:rsidRPr="002822B9">
        <w:rPr>
          <w:spacing w:val="-1"/>
          <w:lang w:val="sv-SE"/>
        </w:rPr>
        <w:t>5%</w:t>
      </w:r>
      <w:r w:rsidRPr="002822B9">
        <w:rPr>
          <w:spacing w:val="30"/>
          <w:lang w:val="sv-SE"/>
        </w:rPr>
        <w:t xml:space="preserve"> </w:t>
      </w:r>
      <w:r w:rsidRPr="002822B9">
        <w:rPr>
          <w:lang w:val="sv-SE"/>
        </w:rPr>
        <w:t>pacijenata</w:t>
      </w:r>
      <w:r w:rsidRPr="002822B9">
        <w:rPr>
          <w:spacing w:val="31"/>
          <w:lang w:val="sv-SE"/>
        </w:rPr>
        <w:t xml:space="preserve"> </w:t>
      </w:r>
      <w:r w:rsidRPr="002822B9">
        <w:rPr>
          <w:spacing w:val="-2"/>
          <w:lang w:val="sv-SE"/>
        </w:rPr>
        <w:t>koji</w:t>
      </w:r>
      <w:r w:rsidRPr="002822B9">
        <w:rPr>
          <w:spacing w:val="29"/>
          <w:lang w:val="sv-SE"/>
        </w:rPr>
        <w:t xml:space="preserve"> </w:t>
      </w:r>
      <w:r w:rsidRPr="002822B9">
        <w:rPr>
          <w:lang w:val="sv-SE"/>
        </w:rPr>
        <w:t>su</w:t>
      </w:r>
      <w:r w:rsidRPr="002822B9">
        <w:rPr>
          <w:spacing w:val="31"/>
          <w:lang w:val="sv-SE"/>
        </w:rPr>
        <w:t xml:space="preserve"> </w:t>
      </w:r>
      <w:r w:rsidRPr="002822B9">
        <w:rPr>
          <w:spacing w:val="-1"/>
          <w:lang w:val="sv-SE"/>
        </w:rPr>
        <w:t>dobijali</w:t>
      </w:r>
      <w:r w:rsidRPr="002822B9">
        <w:rPr>
          <w:spacing w:val="30"/>
          <w:lang w:val="sv-SE"/>
        </w:rPr>
        <w:t xml:space="preserve"> </w:t>
      </w:r>
      <w:r w:rsidRPr="002822B9">
        <w:rPr>
          <w:spacing w:val="-1"/>
          <w:lang w:val="sv-SE"/>
        </w:rPr>
        <w:t>filgrastim</w:t>
      </w:r>
      <w:r w:rsidRPr="002822B9">
        <w:rPr>
          <w:spacing w:val="30"/>
          <w:lang w:val="sv-SE"/>
        </w:rPr>
        <w:t xml:space="preserve"> </w:t>
      </w:r>
      <w:r w:rsidRPr="002822B9">
        <w:rPr>
          <w:lang w:val="sv-SE"/>
        </w:rPr>
        <w:t>u</w:t>
      </w:r>
      <w:r w:rsidRPr="002822B9">
        <w:rPr>
          <w:spacing w:val="49"/>
          <w:lang w:val="sv-SE"/>
        </w:rPr>
        <w:t xml:space="preserve"> </w:t>
      </w:r>
      <w:r w:rsidRPr="002822B9">
        <w:rPr>
          <w:spacing w:val="-2"/>
          <w:lang w:val="sv-SE"/>
        </w:rPr>
        <w:t>dozama</w:t>
      </w:r>
      <w:r w:rsidRPr="002822B9">
        <w:rPr>
          <w:spacing w:val="43"/>
          <w:lang w:val="sv-SE"/>
        </w:rPr>
        <w:t xml:space="preserve"> </w:t>
      </w:r>
      <w:r w:rsidRPr="002822B9">
        <w:rPr>
          <w:spacing w:val="-2"/>
          <w:lang w:val="sv-SE"/>
        </w:rPr>
        <w:t>većim</w:t>
      </w:r>
      <w:r w:rsidRPr="002822B9">
        <w:rPr>
          <w:spacing w:val="43"/>
          <w:lang w:val="sv-SE"/>
        </w:rPr>
        <w:t xml:space="preserve"> </w:t>
      </w:r>
      <w:r w:rsidRPr="002822B9">
        <w:rPr>
          <w:spacing w:val="-2"/>
          <w:lang w:val="sv-SE"/>
        </w:rPr>
        <w:t>od</w:t>
      </w:r>
      <w:r w:rsidRPr="002822B9">
        <w:rPr>
          <w:spacing w:val="38"/>
          <w:lang w:val="sv-SE"/>
        </w:rPr>
        <w:t xml:space="preserve"> </w:t>
      </w:r>
      <w:r w:rsidRPr="002822B9">
        <w:rPr>
          <w:lang w:val="sv-SE"/>
        </w:rPr>
        <w:t>0,3</w:t>
      </w:r>
      <w:r w:rsidRPr="002822B9">
        <w:rPr>
          <w:spacing w:val="41"/>
          <w:lang w:val="sv-SE"/>
        </w:rPr>
        <w:t xml:space="preserve"> </w:t>
      </w:r>
      <w:r w:rsidRPr="002822B9">
        <w:rPr>
          <w:spacing w:val="-1"/>
          <w:lang w:val="sv-SE"/>
        </w:rPr>
        <w:t>M</w:t>
      </w:r>
      <w:r w:rsidR="002822B9" w:rsidRPr="002822B9">
        <w:rPr>
          <w:spacing w:val="-1"/>
          <w:lang w:val="sv-SE"/>
        </w:rPr>
        <w:t>.</w:t>
      </w:r>
      <w:r w:rsidRPr="002822B9">
        <w:rPr>
          <w:spacing w:val="-1"/>
          <w:lang w:val="sv-SE"/>
        </w:rPr>
        <w:t>j./kg/dan</w:t>
      </w:r>
      <w:r w:rsidRPr="002822B9">
        <w:rPr>
          <w:spacing w:val="39"/>
          <w:lang w:val="sv-SE"/>
        </w:rPr>
        <w:t xml:space="preserve"> </w:t>
      </w:r>
      <w:r w:rsidRPr="002822B9">
        <w:rPr>
          <w:spacing w:val="-1"/>
          <w:lang w:val="sv-SE"/>
        </w:rPr>
        <w:t>(3</w:t>
      </w:r>
      <w:r w:rsidRPr="002822B9">
        <w:rPr>
          <w:spacing w:val="45"/>
          <w:lang w:val="sv-SE"/>
        </w:rPr>
        <w:t xml:space="preserve"> </w:t>
      </w:r>
      <w:r w:rsidRPr="002822B9">
        <w:rPr>
          <w:spacing w:val="-1"/>
          <w:lang w:val="sv-SE"/>
        </w:rPr>
        <w:t>mikrograma/kg/dan).</w:t>
      </w:r>
      <w:r w:rsidRPr="002822B9">
        <w:rPr>
          <w:spacing w:val="39"/>
          <w:lang w:val="sv-SE"/>
        </w:rPr>
        <w:t xml:space="preserve"> </w:t>
      </w:r>
      <w:r w:rsidRPr="002822B9">
        <w:rPr>
          <w:lang w:val="sv-SE"/>
        </w:rPr>
        <w:t>Ni</w:t>
      </w:r>
      <w:r w:rsidR="008D02A4">
        <w:rPr>
          <w:lang w:val="sv-SE"/>
        </w:rPr>
        <w:t>je</w:t>
      </w:r>
      <w:r w:rsidRPr="002822B9">
        <w:rPr>
          <w:lang w:val="sv-SE"/>
        </w:rPr>
        <w:t>su</w:t>
      </w:r>
      <w:r w:rsidRPr="002822B9">
        <w:rPr>
          <w:spacing w:val="41"/>
          <w:lang w:val="sv-SE"/>
        </w:rPr>
        <w:t xml:space="preserve"> </w:t>
      </w:r>
      <w:r w:rsidRPr="002822B9">
        <w:rPr>
          <w:spacing w:val="-1"/>
          <w:lang w:val="sv-SE"/>
        </w:rPr>
        <w:t>prijavljeni</w:t>
      </w:r>
      <w:r w:rsidRPr="002822B9">
        <w:rPr>
          <w:spacing w:val="44"/>
          <w:lang w:val="sv-SE"/>
        </w:rPr>
        <w:t xml:space="preserve"> </w:t>
      </w:r>
      <w:r w:rsidRPr="002822B9">
        <w:rPr>
          <w:spacing w:val="-1"/>
          <w:lang w:val="sv-SE"/>
        </w:rPr>
        <w:t>neželjeni</w:t>
      </w:r>
      <w:r w:rsidRPr="002822B9">
        <w:rPr>
          <w:spacing w:val="45"/>
          <w:lang w:val="sv-SE"/>
        </w:rPr>
        <w:t xml:space="preserve"> </w:t>
      </w:r>
      <w:r w:rsidRPr="002822B9">
        <w:rPr>
          <w:spacing w:val="-2"/>
          <w:lang w:val="sv-SE"/>
        </w:rPr>
        <w:t>efekti</w:t>
      </w:r>
      <w:r w:rsidRPr="002822B9">
        <w:rPr>
          <w:spacing w:val="44"/>
          <w:lang w:val="sv-SE"/>
        </w:rPr>
        <w:t xml:space="preserve"> </w:t>
      </w:r>
      <w:r w:rsidRPr="002822B9">
        <w:rPr>
          <w:spacing w:val="-2"/>
          <w:lang w:val="sv-SE"/>
        </w:rPr>
        <w:t>koji</w:t>
      </w:r>
      <w:r w:rsidRPr="002822B9">
        <w:rPr>
          <w:spacing w:val="39"/>
          <w:lang w:val="sv-SE"/>
        </w:rPr>
        <w:t xml:space="preserve"> </w:t>
      </w:r>
      <w:r w:rsidRPr="002822B9">
        <w:rPr>
          <w:lang w:val="sv-SE"/>
        </w:rPr>
        <w:t>su</w:t>
      </w:r>
      <w:r w:rsidRPr="002822B9">
        <w:rPr>
          <w:spacing w:val="46"/>
          <w:lang w:val="sv-SE"/>
        </w:rPr>
        <w:t xml:space="preserve"> </w:t>
      </w:r>
      <w:r w:rsidRPr="002822B9">
        <w:rPr>
          <w:spacing w:val="-1"/>
          <w:lang w:val="sv-SE"/>
        </w:rPr>
        <w:t>mogli</w:t>
      </w:r>
      <w:r w:rsidRPr="002822B9">
        <w:rPr>
          <w:spacing w:val="38"/>
          <w:lang w:val="sv-SE"/>
        </w:rPr>
        <w:t xml:space="preserve"> </w:t>
      </w:r>
      <w:r w:rsidRPr="002822B9">
        <w:rPr>
          <w:spacing w:val="-1"/>
          <w:lang w:val="sv-SE"/>
        </w:rPr>
        <w:t>direktno</w:t>
      </w:r>
      <w:r w:rsidRPr="002822B9">
        <w:rPr>
          <w:spacing w:val="30"/>
          <w:lang w:val="sv-SE"/>
        </w:rPr>
        <w:t xml:space="preserve"> </w:t>
      </w:r>
      <w:r w:rsidRPr="002822B9">
        <w:rPr>
          <w:spacing w:val="-1"/>
          <w:lang w:val="sv-SE"/>
        </w:rPr>
        <w:t>da</w:t>
      </w:r>
      <w:r w:rsidRPr="002822B9">
        <w:rPr>
          <w:spacing w:val="30"/>
          <w:lang w:val="sv-SE"/>
        </w:rPr>
        <w:t xml:space="preserve"> </w:t>
      </w:r>
      <w:r w:rsidRPr="002822B9">
        <w:rPr>
          <w:spacing w:val="-1"/>
          <w:lang w:val="sv-SE"/>
        </w:rPr>
        <w:t>doprinesu</w:t>
      </w:r>
      <w:r w:rsidRPr="002822B9">
        <w:rPr>
          <w:spacing w:val="36"/>
          <w:lang w:val="sv-SE"/>
        </w:rPr>
        <w:t xml:space="preserve"> </w:t>
      </w:r>
      <w:r w:rsidRPr="002822B9">
        <w:rPr>
          <w:spacing w:val="-3"/>
          <w:lang w:val="sv-SE"/>
        </w:rPr>
        <w:t>ovom</w:t>
      </w:r>
      <w:r w:rsidRPr="002822B9">
        <w:rPr>
          <w:spacing w:val="29"/>
          <w:lang w:val="sv-SE"/>
        </w:rPr>
        <w:t xml:space="preserve"> </w:t>
      </w:r>
      <w:r w:rsidRPr="002822B9">
        <w:rPr>
          <w:spacing w:val="-1"/>
          <w:lang w:val="sv-SE"/>
        </w:rPr>
        <w:t>stepenu</w:t>
      </w:r>
      <w:r w:rsidRPr="002822B9">
        <w:rPr>
          <w:spacing w:val="35"/>
          <w:lang w:val="sv-SE"/>
        </w:rPr>
        <w:t xml:space="preserve"> </w:t>
      </w:r>
      <w:r w:rsidRPr="002822B9">
        <w:rPr>
          <w:spacing w:val="-1"/>
          <w:lang w:val="sv-SE"/>
        </w:rPr>
        <w:t>leukocitoze.</w:t>
      </w:r>
      <w:r w:rsidRPr="002822B9">
        <w:rPr>
          <w:spacing w:val="30"/>
          <w:lang w:val="sv-SE"/>
        </w:rPr>
        <w:t xml:space="preserve"> </w:t>
      </w:r>
      <w:r w:rsidRPr="002822B9">
        <w:rPr>
          <w:spacing w:val="-1"/>
          <w:lang w:val="sv-SE"/>
        </w:rPr>
        <w:t>Međutim,</w:t>
      </w:r>
      <w:r w:rsidRPr="002822B9">
        <w:rPr>
          <w:spacing w:val="31"/>
          <w:lang w:val="sv-SE"/>
        </w:rPr>
        <w:t xml:space="preserve"> </w:t>
      </w:r>
      <w:r w:rsidR="008D02A4">
        <w:rPr>
          <w:spacing w:val="31"/>
          <w:lang w:val="sv-SE"/>
        </w:rPr>
        <w:t xml:space="preserve">s </w:t>
      </w:r>
      <w:r w:rsidRPr="002822B9">
        <w:rPr>
          <w:spacing w:val="-2"/>
          <w:lang w:val="sv-SE"/>
        </w:rPr>
        <w:t>obzirom</w:t>
      </w:r>
      <w:r w:rsidRPr="002822B9">
        <w:rPr>
          <w:spacing w:val="34"/>
          <w:lang w:val="sv-SE"/>
        </w:rPr>
        <w:t xml:space="preserve"> </w:t>
      </w:r>
      <w:r w:rsidRPr="002822B9">
        <w:rPr>
          <w:spacing w:val="-1"/>
          <w:lang w:val="sv-SE"/>
        </w:rPr>
        <w:t>na</w:t>
      </w:r>
      <w:r w:rsidRPr="002822B9">
        <w:rPr>
          <w:spacing w:val="30"/>
          <w:lang w:val="sv-SE"/>
        </w:rPr>
        <w:t xml:space="preserve"> </w:t>
      </w:r>
      <w:r w:rsidRPr="002822B9">
        <w:rPr>
          <w:spacing w:val="-1"/>
          <w:lang w:val="sv-SE"/>
        </w:rPr>
        <w:t>potencijalne</w:t>
      </w:r>
      <w:r w:rsidRPr="002822B9">
        <w:rPr>
          <w:spacing w:val="30"/>
          <w:lang w:val="sv-SE"/>
        </w:rPr>
        <w:t xml:space="preserve"> </w:t>
      </w:r>
      <w:r w:rsidRPr="002822B9">
        <w:rPr>
          <w:spacing w:val="-1"/>
          <w:lang w:val="sv-SE"/>
        </w:rPr>
        <w:t>rizike</w:t>
      </w:r>
      <w:r w:rsidRPr="002822B9">
        <w:rPr>
          <w:spacing w:val="30"/>
          <w:lang w:val="sv-SE"/>
        </w:rPr>
        <w:t xml:space="preserve"> </w:t>
      </w:r>
      <w:r w:rsidRPr="002822B9">
        <w:rPr>
          <w:spacing w:val="-1"/>
          <w:lang w:val="sv-SE"/>
        </w:rPr>
        <w:t>povezane</w:t>
      </w:r>
      <w:r w:rsidRPr="002822B9">
        <w:rPr>
          <w:spacing w:val="30"/>
          <w:lang w:val="sv-SE"/>
        </w:rPr>
        <w:t xml:space="preserve"> </w:t>
      </w:r>
      <w:r w:rsidRPr="002822B9">
        <w:rPr>
          <w:spacing w:val="1"/>
          <w:lang w:val="sv-SE"/>
        </w:rPr>
        <w:t>sa</w:t>
      </w:r>
      <w:r w:rsidRPr="002822B9">
        <w:rPr>
          <w:spacing w:val="36"/>
          <w:lang w:val="sv-SE"/>
        </w:rPr>
        <w:t xml:space="preserve"> </w:t>
      </w:r>
      <w:r w:rsidRPr="002822B9">
        <w:rPr>
          <w:spacing w:val="-1"/>
          <w:lang w:val="sv-SE"/>
        </w:rPr>
        <w:t>teškom</w:t>
      </w:r>
      <w:r w:rsidRPr="002822B9">
        <w:rPr>
          <w:spacing w:val="21"/>
          <w:lang w:val="sv-SE"/>
        </w:rPr>
        <w:t xml:space="preserve"> </w:t>
      </w:r>
      <w:r w:rsidRPr="002822B9">
        <w:rPr>
          <w:spacing w:val="-1"/>
          <w:lang w:val="sv-SE"/>
        </w:rPr>
        <w:t>leukocitozom,</w:t>
      </w:r>
      <w:r w:rsidRPr="002822B9">
        <w:rPr>
          <w:spacing w:val="15"/>
          <w:lang w:val="sv-SE"/>
        </w:rPr>
        <w:t xml:space="preserve"> </w:t>
      </w:r>
      <w:r w:rsidRPr="002822B9">
        <w:rPr>
          <w:lang w:val="sv-SE"/>
        </w:rPr>
        <w:t>tokom</w:t>
      </w:r>
      <w:r w:rsidRPr="002822B9">
        <w:rPr>
          <w:spacing w:val="17"/>
          <w:lang w:val="sv-SE"/>
        </w:rPr>
        <w:t xml:space="preserve"> </w:t>
      </w:r>
      <w:r w:rsidRPr="002822B9">
        <w:rPr>
          <w:spacing w:val="-1"/>
          <w:lang w:val="sv-SE"/>
        </w:rPr>
        <w:t>terapije</w:t>
      </w:r>
      <w:r w:rsidRPr="002822B9">
        <w:rPr>
          <w:spacing w:val="17"/>
          <w:lang w:val="sv-SE"/>
        </w:rPr>
        <w:t xml:space="preserve"> </w:t>
      </w:r>
      <w:r w:rsidRPr="002822B9">
        <w:rPr>
          <w:spacing w:val="-1"/>
          <w:lang w:val="sv-SE"/>
        </w:rPr>
        <w:t>filgrastimom</w:t>
      </w:r>
      <w:r w:rsidRPr="002822B9">
        <w:rPr>
          <w:spacing w:val="16"/>
          <w:lang w:val="sv-SE"/>
        </w:rPr>
        <w:t xml:space="preserve"> </w:t>
      </w:r>
      <w:r w:rsidRPr="002822B9">
        <w:rPr>
          <w:spacing w:val="-1"/>
          <w:lang w:val="sv-SE"/>
        </w:rPr>
        <w:t>potrebno</w:t>
      </w:r>
      <w:r w:rsidRPr="002822B9">
        <w:rPr>
          <w:spacing w:val="21"/>
          <w:lang w:val="sv-SE"/>
        </w:rPr>
        <w:t xml:space="preserve"> </w:t>
      </w:r>
      <w:r w:rsidRPr="002822B9">
        <w:rPr>
          <w:spacing w:val="-2"/>
          <w:lang w:val="sv-SE"/>
        </w:rPr>
        <w:t>je</w:t>
      </w:r>
      <w:r w:rsidRPr="002822B9">
        <w:rPr>
          <w:spacing w:val="14"/>
          <w:lang w:val="sv-SE"/>
        </w:rPr>
        <w:t xml:space="preserve"> </w:t>
      </w:r>
      <w:r w:rsidRPr="002822B9">
        <w:rPr>
          <w:lang w:val="sv-SE"/>
        </w:rPr>
        <w:t>redovno</w:t>
      </w:r>
      <w:r w:rsidRPr="002822B9">
        <w:rPr>
          <w:spacing w:val="20"/>
          <w:lang w:val="sv-SE"/>
        </w:rPr>
        <w:t xml:space="preserve"> </w:t>
      </w:r>
      <w:r w:rsidRPr="002822B9">
        <w:rPr>
          <w:spacing w:val="-1"/>
          <w:lang w:val="sv-SE"/>
        </w:rPr>
        <w:t>određivati</w:t>
      </w:r>
      <w:r w:rsidRPr="002822B9">
        <w:rPr>
          <w:spacing w:val="16"/>
          <w:lang w:val="sv-SE"/>
        </w:rPr>
        <w:t xml:space="preserve"> </w:t>
      </w:r>
      <w:r w:rsidRPr="002822B9">
        <w:rPr>
          <w:spacing w:val="-1"/>
          <w:lang w:val="sv-SE"/>
        </w:rPr>
        <w:t>broj</w:t>
      </w:r>
      <w:r w:rsidRPr="002822B9">
        <w:rPr>
          <w:spacing w:val="21"/>
          <w:lang w:val="sv-SE"/>
        </w:rPr>
        <w:t xml:space="preserve"> </w:t>
      </w:r>
      <w:r w:rsidRPr="002822B9">
        <w:rPr>
          <w:spacing w:val="-1"/>
          <w:lang w:val="sv-SE"/>
        </w:rPr>
        <w:t>leukocita.</w:t>
      </w:r>
      <w:r w:rsidRPr="002822B9">
        <w:rPr>
          <w:spacing w:val="16"/>
          <w:lang w:val="sv-SE"/>
        </w:rPr>
        <w:t xml:space="preserve"> </w:t>
      </w:r>
      <w:r w:rsidRPr="002822B9">
        <w:rPr>
          <w:spacing w:val="-1"/>
          <w:lang w:val="sv-SE"/>
        </w:rPr>
        <w:t>Ako</w:t>
      </w:r>
      <w:r w:rsidRPr="002822B9">
        <w:rPr>
          <w:spacing w:val="16"/>
          <w:lang w:val="sv-SE"/>
        </w:rPr>
        <w:t xml:space="preserve"> </w:t>
      </w:r>
      <w:r w:rsidRPr="002822B9">
        <w:rPr>
          <w:spacing w:val="1"/>
          <w:lang w:val="sv-SE"/>
        </w:rPr>
        <w:t>broj</w:t>
      </w:r>
      <w:r w:rsidRPr="002822B9">
        <w:rPr>
          <w:spacing w:val="34"/>
          <w:lang w:val="sv-SE"/>
        </w:rPr>
        <w:t xml:space="preserve"> </w:t>
      </w:r>
      <w:r w:rsidRPr="002822B9">
        <w:rPr>
          <w:spacing w:val="-1"/>
          <w:lang w:val="sv-SE"/>
        </w:rPr>
        <w:t>leukocita</w:t>
      </w:r>
      <w:r w:rsidRPr="002822B9">
        <w:rPr>
          <w:spacing w:val="-2"/>
          <w:lang w:val="sv-SE"/>
        </w:rPr>
        <w:t xml:space="preserve"> </w:t>
      </w:r>
      <w:r w:rsidRPr="002822B9">
        <w:rPr>
          <w:spacing w:val="-1"/>
          <w:lang w:val="sv-SE"/>
        </w:rPr>
        <w:t>pređe</w:t>
      </w:r>
      <w:r w:rsidRPr="002822B9">
        <w:rPr>
          <w:spacing w:val="-5"/>
          <w:lang w:val="sv-SE"/>
        </w:rPr>
        <w:t xml:space="preserve"> </w:t>
      </w:r>
      <w:r w:rsidRPr="002822B9">
        <w:rPr>
          <w:spacing w:val="-1"/>
          <w:lang w:val="sv-SE"/>
        </w:rPr>
        <w:t>50</w:t>
      </w:r>
      <w:r w:rsidRPr="002822B9">
        <w:rPr>
          <w:spacing w:val="-2"/>
          <w:lang w:val="sv-SE"/>
        </w:rPr>
        <w:t xml:space="preserve"> </w:t>
      </w:r>
      <w:r w:rsidRPr="002822B9">
        <w:rPr>
          <w:lang w:val="sv-SE"/>
        </w:rPr>
        <w:t>x</w:t>
      </w:r>
      <w:r w:rsidRPr="002822B9">
        <w:rPr>
          <w:spacing w:val="-2"/>
          <w:lang w:val="sv-SE"/>
        </w:rPr>
        <w:t xml:space="preserve"> </w:t>
      </w:r>
      <w:r w:rsidRPr="002822B9">
        <w:rPr>
          <w:spacing w:val="-1"/>
          <w:lang w:val="sv-SE"/>
        </w:rPr>
        <w:t>10</w:t>
      </w:r>
      <w:r w:rsidRPr="002822B9">
        <w:rPr>
          <w:spacing w:val="-1"/>
          <w:vertAlign w:val="superscript"/>
          <w:lang w:val="sv-SE"/>
        </w:rPr>
        <w:t>9</w:t>
      </w:r>
      <w:r w:rsidRPr="002822B9">
        <w:rPr>
          <w:spacing w:val="-1"/>
          <w:lang w:val="sv-SE"/>
        </w:rPr>
        <w:t>/l</w:t>
      </w:r>
      <w:r w:rsidRPr="002822B9">
        <w:rPr>
          <w:lang w:val="sv-SE"/>
        </w:rPr>
        <w:t xml:space="preserve"> </w:t>
      </w:r>
      <w:r w:rsidRPr="002822B9">
        <w:rPr>
          <w:spacing w:val="-1"/>
          <w:lang w:val="sv-SE"/>
        </w:rPr>
        <w:t>nakon</w:t>
      </w:r>
      <w:r w:rsidRPr="002822B9">
        <w:rPr>
          <w:lang w:val="sv-SE"/>
        </w:rPr>
        <w:t xml:space="preserve"> </w:t>
      </w:r>
      <w:r w:rsidRPr="002822B9">
        <w:rPr>
          <w:spacing w:val="-1"/>
          <w:lang w:val="sv-SE"/>
        </w:rPr>
        <w:t>očekivanih</w:t>
      </w:r>
      <w:r w:rsidRPr="002822B9">
        <w:rPr>
          <w:spacing w:val="-3"/>
          <w:lang w:val="sv-SE"/>
        </w:rPr>
        <w:t xml:space="preserve"> </w:t>
      </w:r>
      <w:r w:rsidRPr="002822B9">
        <w:rPr>
          <w:spacing w:val="-2"/>
          <w:lang w:val="sv-SE"/>
        </w:rPr>
        <w:t>minimalnih</w:t>
      </w:r>
      <w:r w:rsidRPr="002822B9">
        <w:rPr>
          <w:spacing w:val="-3"/>
          <w:lang w:val="sv-SE"/>
        </w:rPr>
        <w:t xml:space="preserve"> </w:t>
      </w:r>
      <w:r w:rsidRPr="002822B9">
        <w:rPr>
          <w:spacing w:val="-1"/>
          <w:lang w:val="sv-SE"/>
        </w:rPr>
        <w:t>vrijednosti</w:t>
      </w:r>
      <w:r w:rsidRPr="002822B9">
        <w:rPr>
          <w:spacing w:val="-2"/>
          <w:lang w:val="sv-SE"/>
        </w:rPr>
        <w:t xml:space="preserve"> </w:t>
      </w:r>
      <w:r w:rsidRPr="002822B9">
        <w:rPr>
          <w:spacing w:val="-1"/>
          <w:lang w:val="sv-SE"/>
        </w:rPr>
        <w:t>neutrofila,</w:t>
      </w:r>
      <w:r w:rsidRPr="002822B9">
        <w:rPr>
          <w:spacing w:val="-3"/>
          <w:lang w:val="sv-SE"/>
        </w:rPr>
        <w:t xml:space="preserve"> </w:t>
      </w:r>
      <w:r w:rsidRPr="002822B9">
        <w:rPr>
          <w:lang w:val="sv-SE"/>
        </w:rPr>
        <w:t>treba</w:t>
      </w:r>
      <w:r w:rsidRPr="002822B9">
        <w:rPr>
          <w:spacing w:val="-3"/>
          <w:lang w:val="sv-SE"/>
        </w:rPr>
        <w:t xml:space="preserve"> </w:t>
      </w:r>
      <w:r w:rsidRPr="002822B9">
        <w:rPr>
          <w:spacing w:val="-1"/>
          <w:lang w:val="sv-SE"/>
        </w:rPr>
        <w:t>odmah</w:t>
      </w:r>
      <w:r w:rsidRPr="002822B9">
        <w:rPr>
          <w:lang w:val="sv-SE"/>
        </w:rPr>
        <w:t xml:space="preserve"> </w:t>
      </w:r>
      <w:r w:rsidRPr="002822B9">
        <w:rPr>
          <w:spacing w:val="-1"/>
          <w:lang w:val="sv-SE"/>
        </w:rPr>
        <w:t>prekinuti</w:t>
      </w:r>
      <w:r w:rsidRPr="002822B9">
        <w:rPr>
          <w:lang w:val="sv-SE"/>
        </w:rPr>
        <w:t xml:space="preserve"> </w:t>
      </w:r>
      <w:r w:rsidRPr="002822B9">
        <w:rPr>
          <w:spacing w:val="-1"/>
          <w:lang w:val="sv-SE"/>
        </w:rPr>
        <w:t>primjenu</w:t>
      </w:r>
      <w:r w:rsidRPr="002822B9">
        <w:rPr>
          <w:spacing w:val="68"/>
          <w:lang w:val="sv-SE"/>
        </w:rPr>
        <w:t xml:space="preserve"> </w:t>
      </w:r>
      <w:r w:rsidRPr="002822B9">
        <w:rPr>
          <w:spacing w:val="-1"/>
          <w:lang w:val="sv-SE"/>
        </w:rPr>
        <w:t>filgrastima.</w:t>
      </w:r>
      <w:r w:rsidRPr="002822B9">
        <w:rPr>
          <w:spacing w:val="25"/>
          <w:lang w:val="sv-SE"/>
        </w:rPr>
        <w:t xml:space="preserve"> </w:t>
      </w:r>
      <w:r w:rsidRPr="002822B9">
        <w:rPr>
          <w:spacing w:val="-1"/>
          <w:lang w:val="sv-SE"/>
        </w:rPr>
        <w:t>Međutim,</w:t>
      </w:r>
      <w:r w:rsidRPr="002822B9">
        <w:rPr>
          <w:spacing w:val="25"/>
          <w:lang w:val="sv-SE"/>
        </w:rPr>
        <w:t xml:space="preserve"> </w:t>
      </w:r>
      <w:r w:rsidRPr="002822B9">
        <w:rPr>
          <w:lang w:val="sv-SE"/>
        </w:rPr>
        <w:t>ako</w:t>
      </w:r>
      <w:r w:rsidRPr="002822B9">
        <w:rPr>
          <w:spacing w:val="27"/>
          <w:lang w:val="sv-SE"/>
        </w:rPr>
        <w:t xml:space="preserve"> </w:t>
      </w:r>
      <w:r w:rsidRPr="002822B9">
        <w:rPr>
          <w:spacing w:val="-1"/>
          <w:lang w:val="sv-SE"/>
        </w:rPr>
        <w:t>tokom</w:t>
      </w:r>
      <w:r w:rsidRPr="002822B9">
        <w:rPr>
          <w:spacing w:val="26"/>
          <w:lang w:val="sv-SE"/>
        </w:rPr>
        <w:t xml:space="preserve"> </w:t>
      </w:r>
      <w:r w:rsidRPr="002822B9">
        <w:rPr>
          <w:spacing w:val="-1"/>
          <w:lang w:val="sv-SE"/>
        </w:rPr>
        <w:t>perioda</w:t>
      </w:r>
      <w:r w:rsidRPr="002822B9">
        <w:rPr>
          <w:spacing w:val="27"/>
          <w:lang w:val="sv-SE"/>
        </w:rPr>
        <w:t xml:space="preserve"> </w:t>
      </w:r>
      <w:r w:rsidRPr="002822B9">
        <w:rPr>
          <w:spacing w:val="-1"/>
          <w:lang w:val="sv-SE"/>
        </w:rPr>
        <w:t>primjene</w:t>
      </w:r>
      <w:r w:rsidRPr="002822B9">
        <w:rPr>
          <w:spacing w:val="30"/>
          <w:lang w:val="sv-SE"/>
        </w:rPr>
        <w:t xml:space="preserve"> </w:t>
      </w:r>
      <w:r w:rsidRPr="002822B9">
        <w:rPr>
          <w:spacing w:val="-1"/>
          <w:lang w:val="sv-SE"/>
        </w:rPr>
        <w:t>filgrastima</w:t>
      </w:r>
      <w:r w:rsidRPr="002822B9">
        <w:rPr>
          <w:spacing w:val="25"/>
          <w:lang w:val="sv-SE"/>
        </w:rPr>
        <w:t xml:space="preserve"> </w:t>
      </w:r>
      <w:r w:rsidRPr="002822B9">
        <w:rPr>
          <w:lang w:val="sv-SE"/>
        </w:rPr>
        <w:t>radi</w:t>
      </w:r>
      <w:r w:rsidRPr="002822B9">
        <w:rPr>
          <w:spacing w:val="31"/>
          <w:lang w:val="sv-SE"/>
        </w:rPr>
        <w:t xml:space="preserve"> </w:t>
      </w:r>
      <w:r w:rsidRPr="002822B9">
        <w:rPr>
          <w:spacing w:val="-1"/>
          <w:lang w:val="sv-SE"/>
        </w:rPr>
        <w:t>mobilizacije</w:t>
      </w:r>
      <w:r w:rsidRPr="002822B9">
        <w:rPr>
          <w:spacing w:val="25"/>
          <w:lang w:val="sv-SE"/>
        </w:rPr>
        <w:t xml:space="preserve"> </w:t>
      </w:r>
      <w:r w:rsidRPr="002822B9">
        <w:rPr>
          <w:lang w:val="sv-SE"/>
        </w:rPr>
        <w:t>PBPC</w:t>
      </w:r>
      <w:r w:rsidRPr="002822B9">
        <w:rPr>
          <w:spacing w:val="27"/>
          <w:lang w:val="sv-SE"/>
        </w:rPr>
        <w:t xml:space="preserve"> </w:t>
      </w:r>
      <w:r w:rsidRPr="002822B9">
        <w:rPr>
          <w:spacing w:val="-2"/>
          <w:lang w:val="sv-SE"/>
        </w:rPr>
        <w:t>broj</w:t>
      </w:r>
      <w:r w:rsidRPr="002822B9">
        <w:rPr>
          <w:spacing w:val="30"/>
          <w:lang w:val="sv-SE"/>
        </w:rPr>
        <w:t xml:space="preserve"> </w:t>
      </w:r>
      <w:r w:rsidRPr="002822B9">
        <w:rPr>
          <w:spacing w:val="-1"/>
          <w:lang w:val="sv-SE"/>
        </w:rPr>
        <w:t>leukocita</w:t>
      </w:r>
      <w:r w:rsidRPr="002822B9">
        <w:rPr>
          <w:spacing w:val="25"/>
          <w:lang w:val="sv-SE"/>
        </w:rPr>
        <w:t xml:space="preserve"> </w:t>
      </w:r>
      <w:r w:rsidRPr="002822B9">
        <w:rPr>
          <w:lang w:val="sv-SE"/>
        </w:rPr>
        <w:t>bude</w:t>
      </w:r>
      <w:r w:rsidRPr="002822B9">
        <w:rPr>
          <w:spacing w:val="27"/>
          <w:lang w:val="sv-SE"/>
        </w:rPr>
        <w:t xml:space="preserve"> </w:t>
      </w:r>
      <w:r w:rsidRPr="002822B9">
        <w:rPr>
          <w:lang w:val="sv-SE"/>
        </w:rPr>
        <w:t>veći</w:t>
      </w:r>
      <w:r w:rsidRPr="002822B9">
        <w:rPr>
          <w:spacing w:val="-1"/>
          <w:lang w:val="sv-SE"/>
        </w:rPr>
        <w:t xml:space="preserve"> </w:t>
      </w:r>
      <w:r w:rsidRPr="002822B9">
        <w:rPr>
          <w:lang w:val="sv-SE"/>
        </w:rPr>
        <w:t xml:space="preserve">od 70 x </w:t>
      </w:r>
      <w:r w:rsidRPr="002822B9">
        <w:rPr>
          <w:spacing w:val="-1"/>
          <w:lang w:val="sv-SE"/>
        </w:rPr>
        <w:t>10</w:t>
      </w:r>
      <w:r w:rsidRPr="002822B9">
        <w:rPr>
          <w:spacing w:val="-1"/>
          <w:vertAlign w:val="superscript"/>
          <w:lang w:val="sv-SE"/>
        </w:rPr>
        <w:t>9</w:t>
      </w:r>
      <w:r w:rsidRPr="002822B9">
        <w:rPr>
          <w:spacing w:val="-1"/>
          <w:lang w:val="sv-SE"/>
        </w:rPr>
        <w:t xml:space="preserve">/l, </w:t>
      </w:r>
      <w:r w:rsidRPr="002822B9">
        <w:rPr>
          <w:spacing w:val="-2"/>
          <w:lang w:val="sv-SE"/>
        </w:rPr>
        <w:t>terapiju</w:t>
      </w:r>
      <w:r w:rsidRPr="002822B9">
        <w:rPr>
          <w:spacing w:val="-1"/>
          <w:lang w:val="sv-SE"/>
        </w:rPr>
        <w:t xml:space="preserve"> filgrastimom treba prekinuti ili smanjiti dozu.</w:t>
      </w:r>
    </w:p>
    <w:p w:rsidR="00FE5E30" w:rsidRPr="00BF46D3" w:rsidRDefault="00FE5E30" w:rsidP="00993075">
      <w:pPr>
        <w:pStyle w:val="BodyText"/>
        <w:ind w:left="454" w:right="113"/>
        <w:jc w:val="both"/>
        <w:rPr>
          <w:color w:val="FF0000"/>
          <w:lang w:val="sv-SE"/>
        </w:rPr>
      </w:pPr>
    </w:p>
    <w:p w:rsidR="00FE5E30" w:rsidRPr="002822B9" w:rsidRDefault="000534A2" w:rsidP="00993075">
      <w:pPr>
        <w:ind w:left="454" w:right="113"/>
        <w:jc w:val="both"/>
        <w:rPr>
          <w:i/>
        </w:rPr>
      </w:pPr>
      <w:r w:rsidRPr="002822B9">
        <w:rPr>
          <w:i/>
          <w:u w:val="single"/>
        </w:rPr>
        <w:t>Rizici povezani s</w:t>
      </w:r>
      <w:r w:rsidR="00E96A4E" w:rsidRPr="002822B9">
        <w:rPr>
          <w:i/>
          <w:u w:val="single"/>
        </w:rPr>
        <w:t>a</w:t>
      </w:r>
      <w:r w:rsidRPr="002822B9">
        <w:rPr>
          <w:i/>
          <w:u w:val="single"/>
        </w:rPr>
        <w:t xml:space="preserve"> visokim dozama </w:t>
      </w:r>
      <w:r w:rsidR="00F16896" w:rsidRPr="002822B9">
        <w:rPr>
          <w:i/>
          <w:u w:val="single"/>
        </w:rPr>
        <w:t>hem</w:t>
      </w:r>
      <w:r w:rsidR="008D02A4">
        <w:rPr>
          <w:i/>
          <w:u w:val="single"/>
        </w:rPr>
        <w:t>i</w:t>
      </w:r>
      <w:r w:rsidR="00F16896" w:rsidRPr="002822B9">
        <w:rPr>
          <w:i/>
          <w:u w:val="single"/>
        </w:rPr>
        <w:t>oter</w:t>
      </w:r>
      <w:r w:rsidRPr="002822B9">
        <w:rPr>
          <w:i/>
          <w:u w:val="single"/>
        </w:rPr>
        <w:t>apije</w:t>
      </w:r>
    </w:p>
    <w:p w:rsidR="00FE5E30" w:rsidRPr="002822B9" w:rsidRDefault="000534A2" w:rsidP="00993075">
      <w:pPr>
        <w:pStyle w:val="BodyText"/>
        <w:spacing w:before="2"/>
        <w:ind w:left="454" w:right="113"/>
        <w:jc w:val="both"/>
      </w:pPr>
      <w:r w:rsidRPr="002822B9">
        <w:t>Potrebno je s</w:t>
      </w:r>
      <w:r w:rsidR="00E96A4E" w:rsidRPr="002822B9">
        <w:t>a</w:t>
      </w:r>
      <w:r w:rsidRPr="002822B9">
        <w:t xml:space="preserve"> posebnim oprezom pristupiti </w:t>
      </w:r>
      <w:r w:rsidR="00E96A4E" w:rsidRPr="002822B9">
        <w:t>primjeni</w:t>
      </w:r>
      <w:r w:rsidRPr="002822B9">
        <w:t xml:space="preserve"> visokih doza </w:t>
      </w:r>
      <w:r w:rsidR="00F16896" w:rsidRPr="002822B9">
        <w:t>hem</w:t>
      </w:r>
      <w:r w:rsidR="00373B3B">
        <w:t>i</w:t>
      </w:r>
      <w:r w:rsidR="00F16896" w:rsidRPr="002822B9">
        <w:t>oter</w:t>
      </w:r>
      <w:r w:rsidR="00E96A4E" w:rsidRPr="002822B9">
        <w:t>apijskih l</w:t>
      </w:r>
      <w:r w:rsidRPr="002822B9">
        <w:t>jekova u liječenj</w:t>
      </w:r>
      <w:r w:rsidR="00E96A4E" w:rsidRPr="002822B9">
        <w:t>u</w:t>
      </w:r>
      <w:r w:rsidR="00E06721" w:rsidRPr="002822B9">
        <w:t xml:space="preserve"> pacijenata</w:t>
      </w:r>
      <w:r w:rsidRPr="002822B9">
        <w:t xml:space="preserve"> jer se nije pokazalo da to poboljšava rezultate liječenja, a pojačane doze </w:t>
      </w:r>
      <w:r w:rsidR="00F16896" w:rsidRPr="002822B9">
        <w:t>hem</w:t>
      </w:r>
      <w:r w:rsidR="00373B3B">
        <w:t>i</w:t>
      </w:r>
      <w:r w:rsidR="00F16896" w:rsidRPr="002822B9">
        <w:t>oter</w:t>
      </w:r>
      <w:r w:rsidR="00E96A4E" w:rsidRPr="002822B9">
        <w:t>apijskih l</w:t>
      </w:r>
      <w:r w:rsidRPr="002822B9">
        <w:t>jekova mogu dovesti do povećane toksičnosti</w:t>
      </w:r>
      <w:r w:rsidR="00373B3B">
        <w:t>,</w:t>
      </w:r>
      <w:r w:rsidRPr="002822B9">
        <w:t xml:space="preserve"> uključujući srčane, plućne,</w:t>
      </w:r>
      <w:r w:rsidRPr="00243A59">
        <w:rPr>
          <w:color w:val="FF0000"/>
        </w:rPr>
        <w:t xml:space="preserve"> </w:t>
      </w:r>
      <w:r w:rsidRPr="002822B9">
        <w:t xml:space="preserve">neurološke i dermatološke </w:t>
      </w:r>
      <w:r w:rsidR="00E96A4E" w:rsidRPr="002822B9">
        <w:t>efekte</w:t>
      </w:r>
      <w:r w:rsidRPr="002822B9">
        <w:t xml:space="preserve"> (pogledati uput</w:t>
      </w:r>
      <w:r w:rsidR="00E96A4E" w:rsidRPr="002822B9">
        <w:t>stva</w:t>
      </w:r>
      <w:r w:rsidRPr="002822B9">
        <w:t xml:space="preserve"> o lijeku za informacije o propisivanju određenih </w:t>
      </w:r>
      <w:r w:rsidR="00F16896" w:rsidRPr="002822B9">
        <w:t>hem</w:t>
      </w:r>
      <w:r w:rsidR="00373B3B">
        <w:t>i</w:t>
      </w:r>
      <w:r w:rsidR="00F16896" w:rsidRPr="002822B9">
        <w:t>oter</w:t>
      </w:r>
      <w:r w:rsidR="00E96A4E" w:rsidRPr="002822B9">
        <w:t>apijskih l</w:t>
      </w:r>
      <w:r w:rsidRPr="002822B9">
        <w:t>jekova).</w:t>
      </w:r>
    </w:p>
    <w:p w:rsidR="00FE5E30" w:rsidRPr="002822B9" w:rsidRDefault="00FE5E30" w:rsidP="00993075">
      <w:pPr>
        <w:pStyle w:val="BodyText"/>
        <w:spacing w:before="10"/>
        <w:ind w:left="454" w:right="113"/>
        <w:jc w:val="both"/>
        <w:rPr>
          <w:sz w:val="21"/>
        </w:rPr>
      </w:pPr>
    </w:p>
    <w:p w:rsidR="00FE5E30" w:rsidRPr="002822B9" w:rsidRDefault="00E96A4E" w:rsidP="00993075">
      <w:pPr>
        <w:ind w:left="454" w:right="113"/>
        <w:jc w:val="both"/>
        <w:rPr>
          <w:i/>
        </w:rPr>
      </w:pPr>
      <w:r w:rsidRPr="002822B9">
        <w:rPr>
          <w:i/>
          <w:u w:val="single"/>
        </w:rPr>
        <w:t>Efekat</w:t>
      </w:r>
      <w:r w:rsidR="000534A2" w:rsidRPr="002822B9">
        <w:rPr>
          <w:i/>
          <w:u w:val="single"/>
        </w:rPr>
        <w:t xml:space="preserve"> </w:t>
      </w:r>
      <w:r w:rsidR="00F16896" w:rsidRPr="002822B9">
        <w:rPr>
          <w:i/>
          <w:u w:val="single"/>
        </w:rPr>
        <w:t>hem</w:t>
      </w:r>
      <w:r w:rsidR="00200AF4">
        <w:rPr>
          <w:i/>
          <w:u w:val="single"/>
        </w:rPr>
        <w:t>i</w:t>
      </w:r>
      <w:r w:rsidR="00F16896" w:rsidRPr="002822B9">
        <w:rPr>
          <w:i/>
          <w:u w:val="single"/>
        </w:rPr>
        <w:t>oter</w:t>
      </w:r>
      <w:r w:rsidR="000534A2" w:rsidRPr="002822B9">
        <w:rPr>
          <w:i/>
          <w:u w:val="single"/>
        </w:rPr>
        <w:t>apije na eritrocite i trombocite</w:t>
      </w:r>
    </w:p>
    <w:p w:rsidR="00FE5E30" w:rsidRPr="002822B9" w:rsidRDefault="000534A2" w:rsidP="00993075">
      <w:pPr>
        <w:pStyle w:val="BodyText"/>
        <w:spacing w:before="1"/>
        <w:ind w:left="454" w:right="113"/>
        <w:jc w:val="both"/>
      </w:pPr>
      <w:r w:rsidRPr="002822B9">
        <w:t xml:space="preserve">Liječenje samo filgrastimom ne isključuje trombocitopeniju i anemiju zbog mijelosupresivne </w:t>
      </w:r>
      <w:r w:rsidR="00F16896" w:rsidRPr="002822B9">
        <w:t>hem</w:t>
      </w:r>
      <w:r w:rsidR="00373B3B">
        <w:t>i</w:t>
      </w:r>
      <w:r w:rsidR="00F16896" w:rsidRPr="002822B9">
        <w:t>oter</w:t>
      </w:r>
      <w:r w:rsidRPr="002822B9">
        <w:t xml:space="preserve">apije. Zbog mogućnosti primanja viših doza </w:t>
      </w:r>
      <w:r w:rsidR="00F16896" w:rsidRPr="002822B9">
        <w:t>hem</w:t>
      </w:r>
      <w:r w:rsidR="00373B3B">
        <w:t>i</w:t>
      </w:r>
      <w:r w:rsidR="00F16896" w:rsidRPr="002822B9">
        <w:t>oter</w:t>
      </w:r>
      <w:r w:rsidR="00E96A4E" w:rsidRPr="002822B9">
        <w:t>apijskih l</w:t>
      </w:r>
      <w:r w:rsidRPr="002822B9">
        <w:t xml:space="preserve">jekova (npr. pune doze u propisanom protokolu) </w:t>
      </w:r>
      <w:r w:rsidR="00E96A4E" w:rsidRPr="002822B9">
        <w:t>pacijent</w:t>
      </w:r>
      <w:r w:rsidRPr="002822B9">
        <w:t xml:space="preserve"> može imati povećan rizik od trombocitopenije i anemije.</w:t>
      </w:r>
    </w:p>
    <w:p w:rsidR="00FE5E30" w:rsidRPr="002822B9" w:rsidRDefault="00E96A4E" w:rsidP="00993075">
      <w:pPr>
        <w:pStyle w:val="BodyText"/>
        <w:ind w:left="454" w:right="113" w:hanging="1"/>
        <w:jc w:val="both"/>
      </w:pPr>
      <w:r w:rsidRPr="002822B9">
        <w:lastRenderedPageBreak/>
        <w:t>Preporučuje se redovn</w:t>
      </w:r>
      <w:r w:rsidR="000534A2" w:rsidRPr="002822B9">
        <w:t xml:space="preserve">o mjerenje broja trombocita i hematokrita. Potreban je poseban oprez kad se primjenjuje jedan </w:t>
      </w:r>
      <w:r w:rsidR="00F16896" w:rsidRPr="002822B9">
        <w:t>hem</w:t>
      </w:r>
      <w:r w:rsidR="00373B3B">
        <w:t>i</w:t>
      </w:r>
      <w:r w:rsidR="00F16896" w:rsidRPr="002822B9">
        <w:t>oter</w:t>
      </w:r>
      <w:r w:rsidR="000534A2" w:rsidRPr="002822B9">
        <w:t xml:space="preserve">apijski lijek ili kombinacija </w:t>
      </w:r>
      <w:r w:rsidR="00F16896" w:rsidRPr="002822B9">
        <w:t>hem</w:t>
      </w:r>
      <w:r w:rsidR="00373B3B">
        <w:t>i</w:t>
      </w:r>
      <w:r w:rsidR="00F16896" w:rsidRPr="002822B9">
        <w:t>oter</w:t>
      </w:r>
      <w:r w:rsidRPr="002822B9">
        <w:t>apijskih l</w:t>
      </w:r>
      <w:r w:rsidR="000534A2" w:rsidRPr="002822B9">
        <w:t>jekova za koje se zna da</w:t>
      </w:r>
      <w:r w:rsidR="000A675A">
        <w:t xml:space="preserve"> </w:t>
      </w:r>
      <w:r w:rsidR="000534A2" w:rsidRPr="002822B9">
        <w:t>uzrokuju tešku trombocitopeniju.</w:t>
      </w:r>
    </w:p>
    <w:p w:rsidR="00FE5E30" w:rsidRPr="00243A59" w:rsidRDefault="00FE5E30" w:rsidP="00993075">
      <w:pPr>
        <w:pStyle w:val="BodyText"/>
        <w:spacing w:before="4"/>
        <w:ind w:left="454" w:right="113"/>
        <w:jc w:val="both"/>
        <w:rPr>
          <w:color w:val="FF0000"/>
        </w:rPr>
      </w:pPr>
    </w:p>
    <w:p w:rsidR="00E96A4E" w:rsidRPr="00D67E7E" w:rsidRDefault="00E96A4E" w:rsidP="00993075">
      <w:pPr>
        <w:pStyle w:val="BodyText"/>
        <w:kinsoku w:val="0"/>
        <w:overflowPunct w:val="0"/>
        <w:ind w:left="454" w:right="113"/>
        <w:contextualSpacing/>
        <w:jc w:val="both"/>
        <w:rPr>
          <w:lang w:val="sv-SE"/>
        </w:rPr>
      </w:pPr>
      <w:r w:rsidRPr="00D67E7E">
        <w:rPr>
          <w:spacing w:val="-2"/>
          <w:lang w:val="sv-SE"/>
        </w:rPr>
        <w:t>Pokazano</w:t>
      </w:r>
      <w:r w:rsidRPr="00D67E7E">
        <w:rPr>
          <w:spacing w:val="44"/>
          <w:lang w:val="sv-SE"/>
        </w:rPr>
        <w:t xml:space="preserve"> </w:t>
      </w:r>
      <w:r w:rsidRPr="00D67E7E">
        <w:rPr>
          <w:spacing w:val="-2"/>
          <w:lang w:val="sv-SE"/>
        </w:rPr>
        <w:t>je</w:t>
      </w:r>
      <w:r w:rsidRPr="00D67E7E">
        <w:rPr>
          <w:spacing w:val="38"/>
          <w:lang w:val="sv-SE"/>
        </w:rPr>
        <w:t xml:space="preserve"> </w:t>
      </w:r>
      <w:r w:rsidRPr="00D67E7E">
        <w:rPr>
          <w:spacing w:val="-1"/>
          <w:lang w:val="sv-SE"/>
        </w:rPr>
        <w:t>da</w:t>
      </w:r>
      <w:r w:rsidRPr="00D67E7E">
        <w:rPr>
          <w:spacing w:val="39"/>
          <w:lang w:val="sv-SE"/>
        </w:rPr>
        <w:t xml:space="preserve"> </w:t>
      </w:r>
      <w:r w:rsidRPr="00D67E7E">
        <w:rPr>
          <w:spacing w:val="-1"/>
          <w:lang w:val="sv-SE"/>
        </w:rPr>
        <w:t>primjena</w:t>
      </w:r>
      <w:r w:rsidRPr="00D67E7E">
        <w:rPr>
          <w:spacing w:val="40"/>
          <w:lang w:val="sv-SE"/>
        </w:rPr>
        <w:t xml:space="preserve"> </w:t>
      </w:r>
      <w:r w:rsidRPr="00D67E7E">
        <w:rPr>
          <w:spacing w:val="-1"/>
          <w:lang w:val="sv-SE"/>
        </w:rPr>
        <w:t>filgrastim-mobilisanih</w:t>
      </w:r>
      <w:r w:rsidRPr="00D67E7E">
        <w:rPr>
          <w:spacing w:val="39"/>
          <w:lang w:val="sv-SE"/>
        </w:rPr>
        <w:t xml:space="preserve"> </w:t>
      </w:r>
      <w:r w:rsidRPr="00D67E7E">
        <w:rPr>
          <w:lang w:val="sv-SE"/>
        </w:rPr>
        <w:t>PBPC</w:t>
      </w:r>
      <w:r w:rsidRPr="00D67E7E">
        <w:rPr>
          <w:spacing w:val="41"/>
          <w:lang w:val="sv-SE"/>
        </w:rPr>
        <w:t xml:space="preserve"> </w:t>
      </w:r>
      <w:r w:rsidRPr="00D67E7E">
        <w:rPr>
          <w:spacing w:val="-2"/>
          <w:lang w:val="sv-SE"/>
        </w:rPr>
        <w:t>smanjuje</w:t>
      </w:r>
      <w:r w:rsidRPr="00D67E7E">
        <w:rPr>
          <w:spacing w:val="38"/>
          <w:lang w:val="sv-SE"/>
        </w:rPr>
        <w:t xml:space="preserve"> </w:t>
      </w:r>
      <w:r w:rsidRPr="00D67E7E">
        <w:rPr>
          <w:spacing w:val="-1"/>
          <w:lang w:val="sv-SE"/>
        </w:rPr>
        <w:t>težinu</w:t>
      </w:r>
      <w:r w:rsidRPr="00D67E7E">
        <w:rPr>
          <w:spacing w:val="45"/>
          <w:lang w:val="sv-SE"/>
        </w:rPr>
        <w:t xml:space="preserve"> </w:t>
      </w:r>
      <w:r w:rsidRPr="00D67E7E">
        <w:rPr>
          <w:lang w:val="sv-SE"/>
        </w:rPr>
        <w:t>i</w:t>
      </w:r>
      <w:r w:rsidRPr="00D67E7E">
        <w:rPr>
          <w:spacing w:val="37"/>
          <w:lang w:val="sv-SE"/>
        </w:rPr>
        <w:t xml:space="preserve"> </w:t>
      </w:r>
      <w:r w:rsidRPr="00D67E7E">
        <w:rPr>
          <w:spacing w:val="-1"/>
          <w:lang w:val="sv-SE"/>
        </w:rPr>
        <w:t>dužinu</w:t>
      </w:r>
      <w:r w:rsidRPr="00D67E7E">
        <w:rPr>
          <w:spacing w:val="39"/>
          <w:lang w:val="sv-SE"/>
        </w:rPr>
        <w:t xml:space="preserve"> </w:t>
      </w:r>
      <w:r w:rsidRPr="00D67E7E">
        <w:rPr>
          <w:lang w:val="sv-SE"/>
        </w:rPr>
        <w:t>trajanja</w:t>
      </w:r>
      <w:r w:rsidRPr="00D67E7E">
        <w:rPr>
          <w:spacing w:val="40"/>
          <w:lang w:val="sv-SE"/>
        </w:rPr>
        <w:t xml:space="preserve"> </w:t>
      </w:r>
      <w:r w:rsidRPr="00D67E7E">
        <w:rPr>
          <w:spacing w:val="-1"/>
          <w:lang w:val="sv-SE"/>
        </w:rPr>
        <w:t>trombocitopenije</w:t>
      </w:r>
      <w:r w:rsidRPr="00D67E7E">
        <w:rPr>
          <w:spacing w:val="27"/>
          <w:lang w:val="sv-SE"/>
        </w:rPr>
        <w:t xml:space="preserve"> </w:t>
      </w:r>
      <w:r w:rsidRPr="00D67E7E">
        <w:rPr>
          <w:spacing w:val="-1"/>
          <w:lang w:val="sv-SE"/>
        </w:rPr>
        <w:t xml:space="preserve">nakon mijelosupresivne </w:t>
      </w:r>
      <w:r w:rsidRPr="00D67E7E">
        <w:rPr>
          <w:lang w:val="sv-SE"/>
        </w:rPr>
        <w:t>i</w:t>
      </w:r>
      <w:r w:rsidRPr="00D67E7E">
        <w:rPr>
          <w:spacing w:val="-1"/>
          <w:lang w:val="sv-SE"/>
        </w:rPr>
        <w:t xml:space="preserve"> mijeloablativne hemioterapije.</w:t>
      </w:r>
    </w:p>
    <w:p w:rsidR="00FE5E30" w:rsidRPr="00243A59" w:rsidRDefault="00FE5E30" w:rsidP="00A0130D">
      <w:pPr>
        <w:pStyle w:val="BodyText"/>
        <w:spacing w:before="3"/>
        <w:jc w:val="both"/>
        <w:rPr>
          <w:color w:val="FF0000"/>
        </w:rPr>
      </w:pPr>
    </w:p>
    <w:p w:rsidR="00FE5E30" w:rsidRPr="00D67E7E" w:rsidRDefault="000534A2" w:rsidP="00D65BB8">
      <w:pPr>
        <w:spacing w:line="251" w:lineRule="exact"/>
        <w:ind w:left="454" w:right="113"/>
        <w:jc w:val="both"/>
        <w:rPr>
          <w:i/>
        </w:rPr>
      </w:pPr>
      <w:r w:rsidRPr="00D67E7E">
        <w:rPr>
          <w:i/>
          <w:u w:val="single"/>
        </w:rPr>
        <w:t>Druge posebne mjere opreza</w:t>
      </w:r>
    </w:p>
    <w:p w:rsidR="00FE5E30" w:rsidRPr="00D67E7E" w:rsidRDefault="00F92C63" w:rsidP="00D65BB8">
      <w:pPr>
        <w:pStyle w:val="BodyText"/>
        <w:ind w:left="454" w:right="113"/>
        <w:jc w:val="both"/>
      </w:pPr>
      <w:r w:rsidRPr="00D67E7E">
        <w:t>Efekt</w:t>
      </w:r>
      <w:r w:rsidR="000534A2" w:rsidRPr="00D67E7E">
        <w:t xml:space="preserve">i filgrastima </w:t>
      </w:r>
      <w:r w:rsidR="00E06721" w:rsidRPr="00D67E7E">
        <w:t>kod pacijenata</w:t>
      </w:r>
      <w:r w:rsidR="000534A2" w:rsidRPr="00D67E7E">
        <w:t xml:space="preserve"> sa znatno smanjenim brojem </w:t>
      </w:r>
      <w:r w:rsidR="001B1E50" w:rsidRPr="00D67E7E">
        <w:t>mijeloidn</w:t>
      </w:r>
      <w:r w:rsidR="000534A2" w:rsidRPr="00D67E7E">
        <w:t xml:space="preserve">ih </w:t>
      </w:r>
      <w:r w:rsidR="00D14DE6" w:rsidRPr="00D67E7E">
        <w:t>progenitorskih ćelija</w:t>
      </w:r>
      <w:r w:rsidR="000534A2" w:rsidRPr="00D67E7E">
        <w:t xml:space="preserve"> ni</w:t>
      </w:r>
      <w:r w:rsidR="00255552">
        <w:t>je</w:t>
      </w:r>
      <w:r w:rsidR="000534A2" w:rsidRPr="00D67E7E">
        <w:t>su ispitani. Filgrastim primarno djeluje na pre</w:t>
      </w:r>
      <w:r w:rsidRPr="00D67E7E">
        <w:t>kursor</w:t>
      </w:r>
      <w:r w:rsidR="000534A2" w:rsidRPr="00D67E7E">
        <w:t xml:space="preserve">e neutrofila </w:t>
      </w:r>
      <w:r w:rsidRPr="00D67E7E">
        <w:t>i tako utiče</w:t>
      </w:r>
      <w:r w:rsidR="000534A2" w:rsidRPr="00D67E7E">
        <w:t xml:space="preserve"> </w:t>
      </w:r>
      <w:r w:rsidRPr="00D67E7E">
        <w:t xml:space="preserve">na povećanje broja neutrofila. Zbog </w:t>
      </w:r>
      <w:r w:rsidR="000534A2" w:rsidRPr="00D67E7E">
        <w:t xml:space="preserve">toga </w:t>
      </w:r>
      <w:r w:rsidR="00E06721" w:rsidRPr="00D67E7E">
        <w:t>kod pacijenata</w:t>
      </w:r>
      <w:r w:rsidR="000534A2" w:rsidRPr="00D67E7E">
        <w:t xml:space="preserve"> sa smanjenim brojem pre</w:t>
      </w:r>
      <w:r w:rsidRPr="00D67E7E">
        <w:t>kursora</w:t>
      </w:r>
      <w:r w:rsidR="000534A2" w:rsidRPr="00D67E7E">
        <w:t xml:space="preserve"> odgovor neutrofila može biti smanjen (kao </w:t>
      </w:r>
      <w:r w:rsidRPr="00D67E7E">
        <w:t>kod</w:t>
      </w:r>
      <w:r w:rsidR="000534A2" w:rsidRPr="00D67E7E">
        <w:t xml:space="preserve"> onih liječenih visokim dozama radioterapije ili </w:t>
      </w:r>
      <w:r w:rsidR="00F16896" w:rsidRPr="00D67E7E">
        <w:t>hem</w:t>
      </w:r>
      <w:r w:rsidR="00255552">
        <w:t>i</w:t>
      </w:r>
      <w:r w:rsidR="00F16896" w:rsidRPr="00D67E7E">
        <w:t>oter</w:t>
      </w:r>
      <w:r w:rsidR="000534A2" w:rsidRPr="00D67E7E">
        <w:t>apijskih ljekova ili onih s</w:t>
      </w:r>
      <w:r w:rsidRPr="00D67E7E">
        <w:t>a</w:t>
      </w:r>
      <w:r w:rsidR="000534A2" w:rsidRPr="00D67E7E">
        <w:t xml:space="preserve"> malignom infiltracijom koštane srži).</w:t>
      </w:r>
    </w:p>
    <w:p w:rsidR="00FE5E30" w:rsidRPr="00243A59" w:rsidRDefault="00FE5E30" w:rsidP="00D65BB8">
      <w:pPr>
        <w:pStyle w:val="BodyText"/>
        <w:spacing w:before="1"/>
        <w:ind w:left="454" w:right="113"/>
        <w:jc w:val="both"/>
        <w:rPr>
          <w:color w:val="FF0000"/>
        </w:rPr>
      </w:pPr>
    </w:p>
    <w:p w:rsidR="00FE5E30" w:rsidRPr="00E70347" w:rsidRDefault="00E06721" w:rsidP="00D65BB8">
      <w:pPr>
        <w:pStyle w:val="BodyText"/>
        <w:spacing w:before="1"/>
        <w:ind w:left="454" w:right="113"/>
        <w:jc w:val="both"/>
      </w:pPr>
      <w:r w:rsidRPr="00E70347">
        <w:t>Kod pacijenata</w:t>
      </w:r>
      <w:r w:rsidR="000534A2" w:rsidRPr="00E70347">
        <w:t xml:space="preserve"> koji su prije transplantacije primali visoke doze </w:t>
      </w:r>
      <w:r w:rsidR="00F16896" w:rsidRPr="00E70347">
        <w:t>hem</w:t>
      </w:r>
      <w:r w:rsidR="00ED60AE">
        <w:t>i</w:t>
      </w:r>
      <w:r w:rsidR="00F16896" w:rsidRPr="00E70347">
        <w:t>oter</w:t>
      </w:r>
      <w:r w:rsidR="000534A2" w:rsidRPr="00E70347">
        <w:t xml:space="preserve">apijskih </w:t>
      </w:r>
      <w:r w:rsidR="00D86473" w:rsidRPr="00E70347">
        <w:t>ljekov</w:t>
      </w:r>
      <w:r w:rsidR="000534A2" w:rsidRPr="00E70347">
        <w:t xml:space="preserve">a povremeno su zabilježeni </w:t>
      </w:r>
      <w:r w:rsidR="00FD2DF0" w:rsidRPr="00E70347">
        <w:t>vaskular</w:t>
      </w:r>
      <w:r w:rsidR="000534A2" w:rsidRPr="00E70347">
        <w:t>ni poremećaji, uključujući venookluzivnu bolest i poremećaje volumena te</w:t>
      </w:r>
      <w:r w:rsidR="00FD2DF0" w:rsidRPr="00E70347">
        <w:t>čnosti</w:t>
      </w:r>
      <w:r w:rsidR="000534A2" w:rsidRPr="00E70347">
        <w:t xml:space="preserve">. Zabilježeni su slučajevi </w:t>
      </w:r>
      <w:r w:rsidR="00FD2DF0" w:rsidRPr="00E70347">
        <w:t>odbacivanja presađenog organa</w:t>
      </w:r>
      <w:r w:rsidR="000534A2" w:rsidRPr="00E70347">
        <w:t xml:space="preserve"> (GvHD) i smrtni ishodi </w:t>
      </w:r>
      <w:r w:rsidRPr="00E70347">
        <w:t>kod pacijenata</w:t>
      </w:r>
      <w:r w:rsidR="000534A2" w:rsidRPr="00E70347">
        <w:t xml:space="preserve"> koji su primali G-CSF nakon transplantacije alogene koštane srži (vidjeti dio </w:t>
      </w:r>
      <w:hyperlink w:anchor="_bookmark1" w:history="1">
        <w:r w:rsidR="000534A2" w:rsidRPr="00E70347">
          <w:t>4.8 i 5.1</w:t>
        </w:r>
      </w:hyperlink>
      <w:r w:rsidR="000534A2" w:rsidRPr="00E70347">
        <w:t xml:space="preserve">). Pojačana </w:t>
      </w:r>
      <w:r w:rsidR="00FD2DF0" w:rsidRPr="00E70347">
        <w:t>hematopoetsk</w:t>
      </w:r>
      <w:r w:rsidR="000534A2" w:rsidRPr="00E70347">
        <w:t xml:space="preserve">a aktivnost koštane srži kao odgovor na </w:t>
      </w:r>
      <w:r w:rsidR="00FD2DF0" w:rsidRPr="00E70347">
        <w:t>terapiju faktoro</w:t>
      </w:r>
      <w:r w:rsidR="000534A2" w:rsidRPr="00E70347">
        <w:t xml:space="preserve">m rasta povezana </w:t>
      </w:r>
      <w:r w:rsidR="00FD2DF0" w:rsidRPr="00E70347">
        <w:t>je s</w:t>
      </w:r>
      <w:r w:rsidR="00E70347" w:rsidRPr="00E70347">
        <w:t>a</w:t>
      </w:r>
      <w:r w:rsidR="00FD2DF0" w:rsidRPr="00E70347">
        <w:t xml:space="preserve"> prolaznim abnormalnim snimci</w:t>
      </w:r>
      <w:r w:rsidR="000534A2" w:rsidRPr="00E70347">
        <w:t xml:space="preserve">ma kostiju. To treba uzeti u obzir kad se </w:t>
      </w:r>
      <w:r w:rsidR="00FD2DF0" w:rsidRPr="00E70347">
        <w:t>interpretiraju ovi nalazi</w:t>
      </w:r>
      <w:r w:rsidR="000534A2" w:rsidRPr="00E70347">
        <w:t>.</w:t>
      </w:r>
    </w:p>
    <w:p w:rsidR="00FE5E30" w:rsidRPr="00243A59" w:rsidRDefault="00FE5E30" w:rsidP="00D65BB8">
      <w:pPr>
        <w:pStyle w:val="BodyText"/>
        <w:spacing w:before="8"/>
        <w:ind w:left="454" w:right="113"/>
        <w:jc w:val="both"/>
        <w:rPr>
          <w:color w:val="FF0000"/>
          <w:sz w:val="21"/>
        </w:rPr>
      </w:pPr>
    </w:p>
    <w:p w:rsidR="00FE5E30" w:rsidRPr="00E70347" w:rsidRDefault="000534A2" w:rsidP="00D65BB8">
      <w:pPr>
        <w:pStyle w:val="BodyText"/>
        <w:ind w:left="454" w:right="113"/>
        <w:jc w:val="both"/>
      </w:pPr>
      <w:r w:rsidRPr="00E70347">
        <w:rPr>
          <w:u w:val="single"/>
        </w:rPr>
        <w:t xml:space="preserve">Posebne mjere opreza </w:t>
      </w:r>
      <w:r w:rsidR="00E06721" w:rsidRPr="00E70347">
        <w:rPr>
          <w:u w:val="single"/>
        </w:rPr>
        <w:t>kod pacijenata</w:t>
      </w:r>
      <w:r w:rsidRPr="00E70347">
        <w:rPr>
          <w:u w:val="single"/>
        </w:rPr>
        <w:t xml:space="preserve"> koji se p</w:t>
      </w:r>
      <w:r w:rsidR="003F7097" w:rsidRPr="00E70347">
        <w:rPr>
          <w:u w:val="single"/>
        </w:rPr>
        <w:t xml:space="preserve">odvrgavaju </w:t>
      </w:r>
      <w:r w:rsidRPr="00E70347">
        <w:rPr>
          <w:u w:val="single"/>
        </w:rPr>
        <w:t>mobilizacij</w:t>
      </w:r>
      <w:r w:rsidR="003F7097" w:rsidRPr="00E70347">
        <w:rPr>
          <w:u w:val="single"/>
        </w:rPr>
        <w:t>i</w:t>
      </w:r>
      <w:r w:rsidR="003F4D35" w:rsidRPr="00E70347">
        <w:rPr>
          <w:u w:val="single"/>
        </w:rPr>
        <w:t xml:space="preserve"> progenitornih ćelija periferne krvi</w:t>
      </w:r>
    </w:p>
    <w:p w:rsidR="00FE5E30" w:rsidRPr="00E70347" w:rsidRDefault="00FE5E30" w:rsidP="00D65BB8">
      <w:pPr>
        <w:pStyle w:val="BodyText"/>
        <w:spacing w:before="4"/>
        <w:ind w:left="454" w:right="113"/>
        <w:jc w:val="both"/>
        <w:rPr>
          <w:sz w:val="14"/>
        </w:rPr>
      </w:pPr>
    </w:p>
    <w:p w:rsidR="00FE5E30" w:rsidRPr="00E70347" w:rsidRDefault="000534A2" w:rsidP="00D65BB8">
      <w:pPr>
        <w:spacing w:before="91" w:line="251" w:lineRule="exact"/>
        <w:ind w:left="454" w:right="113"/>
        <w:jc w:val="both"/>
        <w:rPr>
          <w:i/>
        </w:rPr>
      </w:pPr>
      <w:r w:rsidRPr="00E70347">
        <w:rPr>
          <w:i/>
          <w:u w:val="single"/>
        </w:rPr>
        <w:t xml:space="preserve">Mobilizacija </w:t>
      </w:r>
      <w:r w:rsidR="00D14DE6" w:rsidRPr="00E70347">
        <w:rPr>
          <w:i/>
          <w:u w:val="single"/>
        </w:rPr>
        <w:t>progenitorskih ćelija</w:t>
      </w:r>
      <w:r w:rsidRPr="00E70347">
        <w:rPr>
          <w:i/>
          <w:u w:val="single"/>
        </w:rPr>
        <w:t xml:space="preserve"> koštane srži</w:t>
      </w:r>
    </w:p>
    <w:p w:rsidR="00FE5E30" w:rsidRPr="004969E4" w:rsidRDefault="003F7097" w:rsidP="00D65BB8">
      <w:pPr>
        <w:pStyle w:val="BodyText"/>
        <w:ind w:left="454" w:right="113"/>
        <w:jc w:val="both"/>
      </w:pPr>
      <w:r w:rsidRPr="004969E4">
        <w:t xml:space="preserve">Nema prospektivnih, randomizovanih </w:t>
      </w:r>
      <w:r w:rsidR="000534A2" w:rsidRPr="004969E4">
        <w:t>pore</w:t>
      </w:r>
      <w:r w:rsidRPr="004969E4">
        <w:t>đenja</w:t>
      </w:r>
      <w:r w:rsidR="000534A2" w:rsidRPr="004969E4">
        <w:t xml:space="preserve"> dvije preporučene metode mobilizacije (samo filgrastimom ili u kombinaciji s mijelosupresivnom </w:t>
      </w:r>
      <w:r w:rsidR="00F16896" w:rsidRPr="004969E4">
        <w:t>hem</w:t>
      </w:r>
      <w:r w:rsidR="00ED60AE">
        <w:t>i</w:t>
      </w:r>
      <w:r w:rsidR="00F16896" w:rsidRPr="004969E4">
        <w:t>oter</w:t>
      </w:r>
      <w:r w:rsidRPr="004969E4">
        <w:t>apijom) kod</w:t>
      </w:r>
      <w:r w:rsidR="000534A2" w:rsidRPr="004969E4">
        <w:t xml:space="preserve"> iste populacije </w:t>
      </w:r>
      <w:r w:rsidRPr="004969E4">
        <w:t>p</w:t>
      </w:r>
      <w:r w:rsidR="00302820" w:rsidRPr="004969E4">
        <w:t>acijen</w:t>
      </w:r>
      <w:r w:rsidRPr="004969E4">
        <w:t>a</w:t>
      </w:r>
      <w:r w:rsidR="00302820" w:rsidRPr="004969E4">
        <w:t>t</w:t>
      </w:r>
      <w:r w:rsidR="000534A2" w:rsidRPr="004969E4">
        <w:t xml:space="preserve">a. </w:t>
      </w:r>
      <w:r w:rsidRPr="004969E4">
        <w:t xml:space="preserve">Stepen </w:t>
      </w:r>
      <w:r w:rsidR="000534A2" w:rsidRPr="004969E4">
        <w:t xml:space="preserve">varijacije između pojedinih </w:t>
      </w:r>
      <w:r w:rsidRPr="004969E4">
        <w:t>p</w:t>
      </w:r>
      <w:r w:rsidR="00302820" w:rsidRPr="004969E4">
        <w:t>acijen</w:t>
      </w:r>
      <w:r w:rsidRPr="004969E4">
        <w:t>a</w:t>
      </w:r>
      <w:r w:rsidR="00302820" w:rsidRPr="004969E4">
        <w:t>t</w:t>
      </w:r>
      <w:r w:rsidR="000534A2" w:rsidRPr="004969E4">
        <w:t xml:space="preserve">a i između laboratorijskih </w:t>
      </w:r>
      <w:r w:rsidR="00ED60AE">
        <w:t>analiza</w:t>
      </w:r>
      <w:r w:rsidR="00ED60AE" w:rsidRPr="004969E4">
        <w:t xml:space="preserve"> </w:t>
      </w:r>
      <w:r w:rsidR="000534A2" w:rsidRPr="004969E4">
        <w:t>CD34</w:t>
      </w:r>
      <w:r w:rsidR="000534A2" w:rsidRPr="004969E4">
        <w:rPr>
          <w:vertAlign w:val="superscript"/>
        </w:rPr>
        <w:t>+</w:t>
      </w:r>
      <w:r w:rsidR="000534A2" w:rsidRPr="004969E4">
        <w:t xml:space="preserve"> </w:t>
      </w:r>
      <w:r w:rsidR="00D14DE6" w:rsidRPr="004969E4">
        <w:t>ćelij</w:t>
      </w:r>
      <w:r w:rsidR="000534A2" w:rsidRPr="004969E4">
        <w:t xml:space="preserve">a znači da je teško napraviti </w:t>
      </w:r>
      <w:r w:rsidRPr="004969E4">
        <w:t>direktno poređenje</w:t>
      </w:r>
      <w:r w:rsidR="000534A2" w:rsidRPr="004969E4">
        <w:t xml:space="preserve"> između različitih ispitivanja. Stoga je teško preporučiti optimalnu metodu. Izbor metode mobilizacije potrebno je razmatrati u odnosu na ukupne ciljeve liječenja </w:t>
      </w:r>
      <w:r w:rsidRPr="004969E4">
        <w:t>kod</w:t>
      </w:r>
      <w:r w:rsidR="000534A2" w:rsidRPr="004969E4">
        <w:t xml:space="preserve"> pojedinog </w:t>
      </w:r>
      <w:r w:rsidRPr="004969E4">
        <w:t>p</w:t>
      </w:r>
      <w:r w:rsidR="00302820" w:rsidRPr="004969E4">
        <w:t>acijent</w:t>
      </w:r>
      <w:r w:rsidR="000534A2" w:rsidRPr="004969E4">
        <w:t>a.</w:t>
      </w:r>
    </w:p>
    <w:p w:rsidR="00FE5E30" w:rsidRPr="00243A59" w:rsidRDefault="00FE5E30" w:rsidP="00D65BB8">
      <w:pPr>
        <w:pStyle w:val="BodyText"/>
        <w:spacing w:before="10"/>
        <w:ind w:left="454" w:right="113"/>
        <w:jc w:val="both"/>
        <w:rPr>
          <w:color w:val="FF0000"/>
          <w:sz w:val="21"/>
        </w:rPr>
      </w:pPr>
    </w:p>
    <w:p w:rsidR="00FE5E30" w:rsidRPr="004969E4" w:rsidRDefault="000534A2" w:rsidP="00D65BB8">
      <w:pPr>
        <w:ind w:left="454" w:right="113"/>
        <w:jc w:val="both"/>
        <w:rPr>
          <w:i/>
        </w:rPr>
      </w:pPr>
      <w:r w:rsidRPr="004969E4">
        <w:rPr>
          <w:i/>
          <w:u w:val="single"/>
        </w:rPr>
        <w:t>Prethodno izlaganje citotoksičnim ljekovima</w:t>
      </w:r>
    </w:p>
    <w:p w:rsidR="00FE5E30" w:rsidRPr="004969E4" w:rsidRDefault="00302820" w:rsidP="00D65BB8">
      <w:pPr>
        <w:pStyle w:val="BodyText"/>
        <w:spacing w:before="2"/>
        <w:ind w:left="454" w:right="113"/>
        <w:jc w:val="both"/>
      </w:pPr>
      <w:r w:rsidRPr="004969E4">
        <w:t>Pacijenti</w:t>
      </w:r>
      <w:r w:rsidR="000534A2" w:rsidRPr="004969E4">
        <w:t xml:space="preserve"> koji su prethodno primali mijelosupresivn</w:t>
      </w:r>
      <w:r w:rsidR="00ED60AE">
        <w:t>u</w:t>
      </w:r>
      <w:r w:rsidR="000534A2" w:rsidRPr="004969E4">
        <w:t xml:space="preserve"> </w:t>
      </w:r>
      <w:r w:rsidR="00ED60AE">
        <w:t>terapiju</w:t>
      </w:r>
      <w:r w:rsidR="00ED60AE" w:rsidRPr="004969E4">
        <w:t xml:space="preserve"> </w:t>
      </w:r>
      <w:r w:rsidR="000534A2" w:rsidRPr="004969E4">
        <w:t xml:space="preserve">visokim dozama možda neće postići dovoljnu mobilizaciju </w:t>
      </w:r>
      <w:r w:rsidR="00D14DE6" w:rsidRPr="004969E4">
        <w:t>progenitorskih ćelija</w:t>
      </w:r>
      <w:r w:rsidR="000534A2" w:rsidRPr="004969E4">
        <w:t xml:space="preserve"> periferne krvi kojom bi se postigao preporučeni minimalni prinos (2,0 x 10</w:t>
      </w:r>
      <w:r w:rsidR="000534A2" w:rsidRPr="004969E4">
        <w:rPr>
          <w:vertAlign w:val="superscript"/>
        </w:rPr>
        <w:t>6</w:t>
      </w:r>
      <w:r w:rsidR="000534A2" w:rsidRPr="004969E4">
        <w:t xml:space="preserve"> CD34</w:t>
      </w:r>
      <w:r w:rsidR="000534A2" w:rsidRPr="004969E4">
        <w:rPr>
          <w:vertAlign w:val="superscript"/>
        </w:rPr>
        <w:t>+</w:t>
      </w:r>
      <w:r w:rsidR="000534A2" w:rsidRPr="004969E4">
        <w:t xml:space="preserve"> </w:t>
      </w:r>
      <w:r w:rsidR="00D14DE6" w:rsidRPr="004969E4">
        <w:t>ćelij</w:t>
      </w:r>
      <w:r w:rsidR="000534A2" w:rsidRPr="004969E4">
        <w:t>a/kg) ili ubrzao oporavak trombocita do istog st</w:t>
      </w:r>
      <w:r w:rsidR="00C4107F" w:rsidRPr="004969E4">
        <w:t>epen</w:t>
      </w:r>
      <w:r w:rsidR="000534A2" w:rsidRPr="004969E4">
        <w:t>a.</w:t>
      </w:r>
    </w:p>
    <w:p w:rsidR="00FE5E30" w:rsidRPr="00243A59" w:rsidRDefault="00FE5E30" w:rsidP="00D65BB8">
      <w:pPr>
        <w:pStyle w:val="BodyText"/>
        <w:ind w:left="454" w:right="113"/>
        <w:jc w:val="both"/>
        <w:rPr>
          <w:color w:val="FF0000"/>
        </w:rPr>
      </w:pPr>
    </w:p>
    <w:p w:rsidR="00FE5E30" w:rsidRPr="00243A59" w:rsidRDefault="00CE04B0" w:rsidP="00D65BB8">
      <w:pPr>
        <w:pStyle w:val="BodyText"/>
        <w:spacing w:before="1"/>
        <w:ind w:left="454" w:right="113"/>
        <w:jc w:val="both"/>
        <w:rPr>
          <w:color w:val="FF0000"/>
        </w:rPr>
      </w:pPr>
      <w:r w:rsidRPr="005D32E5">
        <w:t>Neki citotoksični l</w:t>
      </w:r>
      <w:r w:rsidR="000534A2" w:rsidRPr="005D32E5">
        <w:t xml:space="preserve">jekovi imaju izrazito toksično djelovanje </w:t>
      </w:r>
      <w:r w:rsidR="000534A2" w:rsidRPr="005D32E5">
        <w:rPr>
          <w:spacing w:val="-3"/>
        </w:rPr>
        <w:t xml:space="preserve">na </w:t>
      </w:r>
      <w:r w:rsidRPr="005D32E5">
        <w:rPr>
          <w:spacing w:val="-3"/>
        </w:rPr>
        <w:t xml:space="preserve">progenitorske ćelije </w:t>
      </w:r>
      <w:r w:rsidRPr="005D32E5">
        <w:t>hematopoez</w:t>
      </w:r>
      <w:r w:rsidR="000534A2" w:rsidRPr="005D32E5">
        <w:t xml:space="preserve">e i </w:t>
      </w:r>
      <w:r w:rsidR="000534A2" w:rsidRPr="005D32E5">
        <w:rPr>
          <w:spacing w:val="-4"/>
        </w:rPr>
        <w:t xml:space="preserve">mogu </w:t>
      </w:r>
      <w:r w:rsidRPr="005D32E5">
        <w:t>štetno uti</w:t>
      </w:r>
      <w:r w:rsidR="000534A2" w:rsidRPr="005D32E5">
        <w:t xml:space="preserve">cati </w:t>
      </w:r>
      <w:r w:rsidR="000534A2" w:rsidRPr="005D32E5">
        <w:rPr>
          <w:spacing w:val="-3"/>
        </w:rPr>
        <w:t xml:space="preserve">na </w:t>
      </w:r>
      <w:r w:rsidRPr="005D32E5">
        <w:t>njihovu mobilizaciju. L</w:t>
      </w:r>
      <w:r w:rsidR="000534A2" w:rsidRPr="005D32E5">
        <w:t xml:space="preserve">jekovi </w:t>
      </w:r>
      <w:r w:rsidRPr="005D32E5">
        <w:t>kao što su</w:t>
      </w:r>
      <w:r w:rsidR="000534A2" w:rsidRPr="005D32E5">
        <w:t xml:space="preserve"> melfalan, karmustin </w:t>
      </w:r>
      <w:r w:rsidR="000534A2" w:rsidRPr="005D32E5">
        <w:rPr>
          <w:spacing w:val="-3"/>
        </w:rPr>
        <w:t xml:space="preserve">(BCNU) </w:t>
      </w:r>
      <w:r w:rsidR="000534A2" w:rsidRPr="005D32E5">
        <w:t xml:space="preserve">i karboplatin, kad </w:t>
      </w:r>
      <w:r w:rsidR="000534A2" w:rsidRPr="005D32E5">
        <w:rPr>
          <w:spacing w:val="2"/>
        </w:rPr>
        <w:t xml:space="preserve">se </w:t>
      </w:r>
      <w:r w:rsidR="000534A2" w:rsidRPr="005D32E5">
        <w:t xml:space="preserve">primjenjuju </w:t>
      </w:r>
      <w:r w:rsidR="004272FF" w:rsidRPr="005D32E5">
        <w:t>tokom</w:t>
      </w:r>
      <w:r w:rsidRPr="005D32E5">
        <w:t xml:space="preserve"> duž</w:t>
      </w:r>
      <w:r w:rsidR="000534A2" w:rsidRPr="005D32E5">
        <w:t xml:space="preserve">ih </w:t>
      </w:r>
      <w:r w:rsidR="004272FF" w:rsidRPr="005D32E5">
        <w:t>period</w:t>
      </w:r>
      <w:r w:rsidR="000534A2" w:rsidRPr="005D32E5">
        <w:t xml:space="preserve">a prije pokušaja mobilizacije </w:t>
      </w:r>
      <w:r w:rsidR="00D14DE6" w:rsidRPr="005D32E5">
        <w:t>progenitorskih ćelija</w:t>
      </w:r>
      <w:r w:rsidR="000534A2" w:rsidRPr="005D32E5">
        <w:t xml:space="preserve">, </w:t>
      </w:r>
      <w:r w:rsidR="000534A2" w:rsidRPr="005D32E5">
        <w:rPr>
          <w:spacing w:val="-3"/>
        </w:rPr>
        <w:t xml:space="preserve">mogu </w:t>
      </w:r>
      <w:r w:rsidR="000534A2" w:rsidRPr="005D32E5">
        <w:t xml:space="preserve">smanjiti prinos tih </w:t>
      </w:r>
      <w:r w:rsidR="00D14DE6" w:rsidRPr="005D32E5">
        <w:t>ćelij</w:t>
      </w:r>
      <w:r w:rsidR="000534A2" w:rsidRPr="005D32E5">
        <w:t xml:space="preserve">a. Međutim, pokazalo </w:t>
      </w:r>
      <w:r w:rsidR="000534A2" w:rsidRPr="005D32E5">
        <w:rPr>
          <w:spacing w:val="2"/>
        </w:rPr>
        <w:t xml:space="preserve">se </w:t>
      </w:r>
      <w:r w:rsidR="000534A2" w:rsidRPr="005D32E5">
        <w:rPr>
          <w:spacing w:val="-3"/>
        </w:rPr>
        <w:t xml:space="preserve">da </w:t>
      </w:r>
      <w:r w:rsidR="000534A2" w:rsidRPr="005D32E5">
        <w:t>je primjena melfalana, karboplatin</w:t>
      </w:r>
      <w:r w:rsidR="00ED60AE">
        <w:t>a</w:t>
      </w:r>
      <w:r w:rsidR="000534A2" w:rsidRPr="005D32E5">
        <w:t xml:space="preserve"> ili karmustina (BCNU) zajedno s</w:t>
      </w:r>
      <w:r w:rsidRPr="005D32E5">
        <w:t>a</w:t>
      </w:r>
      <w:r w:rsidR="000534A2" w:rsidRPr="005D32E5">
        <w:t xml:space="preserve"> filgrastimom </w:t>
      </w:r>
      <w:r w:rsidRPr="005D32E5">
        <w:t>efikasn</w:t>
      </w:r>
      <w:r w:rsidR="000534A2" w:rsidRPr="005D32E5">
        <w:t xml:space="preserve">a za mobilizaciju </w:t>
      </w:r>
      <w:r w:rsidR="00D14DE6" w:rsidRPr="005D32E5">
        <w:t>progenitorskih ćelija</w:t>
      </w:r>
      <w:r w:rsidR="000534A2" w:rsidRPr="005D32E5">
        <w:t xml:space="preserve">. Kad se razmatra transplantacija </w:t>
      </w:r>
      <w:r w:rsidR="00D14DE6" w:rsidRPr="005D32E5">
        <w:t>progenitorskih ćelija</w:t>
      </w:r>
      <w:r w:rsidR="000534A2" w:rsidRPr="005D32E5">
        <w:t xml:space="preserve"> periferne krvi, savjetuje </w:t>
      </w:r>
      <w:r w:rsidR="000534A2" w:rsidRPr="005D32E5">
        <w:rPr>
          <w:spacing w:val="2"/>
        </w:rPr>
        <w:t xml:space="preserve">se </w:t>
      </w:r>
      <w:r w:rsidR="000534A2" w:rsidRPr="005D32E5">
        <w:t>planira</w:t>
      </w:r>
      <w:r w:rsidRPr="005D32E5">
        <w:t>nje</w:t>
      </w:r>
      <w:r w:rsidR="000534A2" w:rsidRPr="005D32E5">
        <w:t xml:space="preserve"> postupk</w:t>
      </w:r>
      <w:r w:rsidRPr="005D32E5">
        <w:t>a</w:t>
      </w:r>
      <w:r w:rsidR="000534A2" w:rsidRPr="005D32E5">
        <w:t xml:space="preserve"> mobilizacije matičnih </w:t>
      </w:r>
      <w:r w:rsidR="00D14DE6" w:rsidRPr="005D32E5">
        <w:t>ćelij</w:t>
      </w:r>
      <w:r w:rsidR="000534A2" w:rsidRPr="005D32E5">
        <w:t xml:space="preserve">a rano </w:t>
      </w:r>
      <w:r w:rsidR="004272FF" w:rsidRPr="005D32E5">
        <w:t>tokom</w:t>
      </w:r>
      <w:r w:rsidR="000534A2" w:rsidRPr="005D32E5">
        <w:t xml:space="preserve"> liječenja </w:t>
      </w:r>
      <w:r w:rsidRPr="005D32E5">
        <w:t>p</w:t>
      </w:r>
      <w:r w:rsidR="00302820" w:rsidRPr="005D32E5">
        <w:t>acijent</w:t>
      </w:r>
      <w:r w:rsidRPr="005D32E5">
        <w:t>a. Po</w:t>
      </w:r>
      <w:r w:rsidR="000534A2" w:rsidRPr="005D32E5">
        <w:t>s</w:t>
      </w:r>
      <w:r w:rsidRPr="005D32E5">
        <w:t>eban</w:t>
      </w:r>
      <w:r w:rsidR="000534A2" w:rsidRPr="005D32E5">
        <w:t xml:space="preserve"> oprez </w:t>
      </w:r>
      <w:r w:rsidRPr="005D32E5">
        <w:t xml:space="preserve">je </w:t>
      </w:r>
      <w:r w:rsidR="000534A2" w:rsidRPr="005D32E5">
        <w:t xml:space="preserve">potrebno </w:t>
      </w:r>
      <w:r w:rsidRPr="005D32E5">
        <w:t>posvetiti broju mobilizov</w:t>
      </w:r>
      <w:r w:rsidR="000534A2" w:rsidRPr="005D32E5">
        <w:t xml:space="preserve">anih </w:t>
      </w:r>
      <w:r w:rsidR="00D14DE6" w:rsidRPr="005D32E5">
        <w:t>progenitorskih ćelija</w:t>
      </w:r>
      <w:r w:rsidRPr="005D32E5">
        <w:t xml:space="preserve"> kod</w:t>
      </w:r>
      <w:r w:rsidR="000534A2" w:rsidRPr="005D32E5">
        <w:t xml:space="preserve"> takvih </w:t>
      </w:r>
      <w:r w:rsidRPr="005D32E5">
        <w:t>p</w:t>
      </w:r>
      <w:r w:rsidR="00302820" w:rsidRPr="005D32E5">
        <w:t>acijen</w:t>
      </w:r>
      <w:r w:rsidRPr="005D32E5">
        <w:t>a</w:t>
      </w:r>
      <w:r w:rsidR="00302820" w:rsidRPr="005D32E5">
        <w:t>t</w:t>
      </w:r>
      <w:r w:rsidR="000534A2" w:rsidRPr="005D32E5">
        <w:t xml:space="preserve">a prije primjene visoke doze </w:t>
      </w:r>
      <w:r w:rsidR="00F16896" w:rsidRPr="005D32E5">
        <w:t>hem</w:t>
      </w:r>
      <w:r w:rsidR="001452F2">
        <w:t>i</w:t>
      </w:r>
      <w:r w:rsidR="00F16896" w:rsidRPr="005D32E5">
        <w:t>oter</w:t>
      </w:r>
      <w:r w:rsidR="000534A2" w:rsidRPr="005D32E5">
        <w:t xml:space="preserve">apije. Ako </w:t>
      </w:r>
      <w:r w:rsidRPr="005D32E5">
        <w:t xml:space="preserve">broj dobijenih ćelija </w:t>
      </w:r>
      <w:r w:rsidR="000534A2" w:rsidRPr="005D32E5">
        <w:t xml:space="preserve">nije </w:t>
      </w:r>
      <w:r w:rsidRPr="005D32E5">
        <w:t>d</w:t>
      </w:r>
      <w:r w:rsidR="000534A2" w:rsidRPr="005D32E5">
        <w:t>o</w:t>
      </w:r>
      <w:r w:rsidRPr="005D32E5">
        <w:t>volj</w:t>
      </w:r>
      <w:r w:rsidR="000534A2" w:rsidRPr="005D32E5">
        <w:t>a</w:t>
      </w:r>
      <w:r w:rsidRPr="005D32E5">
        <w:t>n</w:t>
      </w:r>
      <w:r w:rsidR="000534A2" w:rsidRPr="005D32E5">
        <w:t>, mjereno prema gore navedenim kriterij</w:t>
      </w:r>
      <w:r w:rsidRPr="005D32E5">
        <w:t>um</w:t>
      </w:r>
      <w:r w:rsidR="000534A2" w:rsidRPr="005D32E5">
        <w:t xml:space="preserve">ima, potrebno je razmotriti druge oblike liječenja za </w:t>
      </w:r>
      <w:r w:rsidR="000534A2" w:rsidRPr="005D32E5">
        <w:rPr>
          <w:spacing w:val="-3"/>
        </w:rPr>
        <w:t xml:space="preserve">koje </w:t>
      </w:r>
      <w:r w:rsidR="000534A2" w:rsidRPr="005D32E5">
        <w:t xml:space="preserve">nije potrebna potpora </w:t>
      </w:r>
      <w:r w:rsidR="00D14DE6" w:rsidRPr="005D32E5">
        <w:t>progenitorskih ćelija</w:t>
      </w:r>
      <w:r w:rsidR="000534A2" w:rsidRPr="005D32E5">
        <w:t>.</w:t>
      </w:r>
    </w:p>
    <w:p w:rsidR="00336210" w:rsidRPr="00243A59" w:rsidRDefault="00336210" w:rsidP="00D65BB8">
      <w:pPr>
        <w:spacing w:line="251" w:lineRule="exact"/>
        <w:ind w:left="454" w:right="113"/>
        <w:jc w:val="both"/>
        <w:rPr>
          <w:i/>
          <w:color w:val="FF0000"/>
          <w:u w:val="single"/>
        </w:rPr>
      </w:pPr>
    </w:p>
    <w:p w:rsidR="00FE5E30" w:rsidRPr="005D32E5" w:rsidRDefault="000534A2" w:rsidP="00D65BB8">
      <w:pPr>
        <w:spacing w:line="251" w:lineRule="exact"/>
        <w:ind w:left="454" w:right="113"/>
        <w:jc w:val="both"/>
        <w:rPr>
          <w:i/>
        </w:rPr>
      </w:pPr>
      <w:r w:rsidRPr="005D32E5">
        <w:rPr>
          <w:i/>
          <w:u w:val="single"/>
        </w:rPr>
        <w:t xml:space="preserve">Procjena </w:t>
      </w:r>
      <w:r w:rsidR="00AF3390" w:rsidRPr="005D32E5">
        <w:rPr>
          <w:i/>
          <w:u w:val="single"/>
        </w:rPr>
        <w:t xml:space="preserve">broja dobijenih </w:t>
      </w:r>
      <w:r w:rsidR="00D14DE6" w:rsidRPr="005D32E5">
        <w:rPr>
          <w:i/>
          <w:u w:val="single"/>
        </w:rPr>
        <w:t>progenitorskih ćelija</w:t>
      </w:r>
    </w:p>
    <w:p w:rsidR="00FE5E30" w:rsidRPr="005D32E5" w:rsidRDefault="000534A2" w:rsidP="00D65BB8">
      <w:pPr>
        <w:pStyle w:val="BodyText"/>
        <w:ind w:left="454" w:right="113"/>
        <w:jc w:val="both"/>
      </w:pPr>
      <w:r w:rsidRPr="005D32E5">
        <w:t xml:space="preserve">Pri procjeni broja </w:t>
      </w:r>
      <w:r w:rsidR="00D14DE6" w:rsidRPr="005D32E5">
        <w:t>progenitorskih ćelija</w:t>
      </w:r>
      <w:r w:rsidRPr="005D32E5">
        <w:t xml:space="preserve"> prikupljenih </w:t>
      </w:r>
      <w:r w:rsidR="00E06721" w:rsidRPr="005D32E5">
        <w:t>kod pacijenata</w:t>
      </w:r>
      <w:r w:rsidRPr="005D32E5">
        <w:t xml:space="preserve"> liječenih filgrastimom, </w:t>
      </w:r>
      <w:r w:rsidRPr="005D32E5">
        <w:rPr>
          <w:spacing w:val="-7"/>
        </w:rPr>
        <w:t xml:space="preserve">posebnu </w:t>
      </w:r>
      <w:r w:rsidRPr="005D32E5">
        <w:rPr>
          <w:spacing w:val="-6"/>
        </w:rPr>
        <w:t>p</w:t>
      </w:r>
      <w:r w:rsidR="00AF3390" w:rsidRPr="005D32E5">
        <w:rPr>
          <w:spacing w:val="-6"/>
        </w:rPr>
        <w:t>ažnju</w:t>
      </w:r>
      <w:r w:rsidRPr="005D32E5">
        <w:rPr>
          <w:spacing w:val="-6"/>
        </w:rPr>
        <w:t xml:space="preserve"> treba </w:t>
      </w:r>
      <w:r w:rsidRPr="005D32E5">
        <w:rPr>
          <w:spacing w:val="-7"/>
        </w:rPr>
        <w:t xml:space="preserve">posvetiti metodi kvantifikacije. </w:t>
      </w:r>
      <w:r w:rsidRPr="005D32E5">
        <w:rPr>
          <w:spacing w:val="-6"/>
        </w:rPr>
        <w:t xml:space="preserve">Rezultati analize </w:t>
      </w:r>
      <w:r w:rsidRPr="005D32E5">
        <w:rPr>
          <w:spacing w:val="-7"/>
        </w:rPr>
        <w:t xml:space="preserve">broja </w:t>
      </w:r>
      <w:r w:rsidRPr="005D32E5">
        <w:t>CD34</w:t>
      </w:r>
      <w:r w:rsidRPr="005D32E5">
        <w:rPr>
          <w:vertAlign w:val="superscript"/>
        </w:rPr>
        <w:t>+</w:t>
      </w:r>
      <w:r w:rsidRPr="005D32E5">
        <w:t xml:space="preserve"> </w:t>
      </w:r>
      <w:r w:rsidR="00D14DE6" w:rsidRPr="005D32E5">
        <w:t>ćelij</w:t>
      </w:r>
      <w:r w:rsidRPr="005D32E5">
        <w:t xml:space="preserve">a protočnim citometrom razlikuju </w:t>
      </w:r>
      <w:r w:rsidRPr="005D32E5">
        <w:rPr>
          <w:spacing w:val="2"/>
        </w:rPr>
        <w:t xml:space="preserve">se </w:t>
      </w:r>
      <w:r w:rsidR="00AF3390" w:rsidRPr="005D32E5">
        <w:rPr>
          <w:spacing w:val="2"/>
        </w:rPr>
        <w:t>za</w:t>
      </w:r>
      <w:r w:rsidRPr="005D32E5">
        <w:t>visno o</w:t>
      </w:r>
      <w:r w:rsidR="00AF3390" w:rsidRPr="005D32E5">
        <w:t>d</w:t>
      </w:r>
      <w:r w:rsidRPr="005D32E5">
        <w:t xml:space="preserve"> to</w:t>
      </w:r>
      <w:r w:rsidR="00AF3390" w:rsidRPr="005D32E5">
        <w:t>ga</w:t>
      </w:r>
      <w:r w:rsidRPr="005D32E5">
        <w:t xml:space="preserve"> koja se t</w:t>
      </w:r>
      <w:r w:rsidR="00AF3390" w:rsidRPr="005D32E5">
        <w:t>ačno metodologija koristila</w:t>
      </w:r>
      <w:r w:rsidR="001452F2">
        <w:t>,</w:t>
      </w:r>
      <w:r w:rsidR="00AF3390" w:rsidRPr="005D32E5">
        <w:t xml:space="preserve"> pa je potrebno oprezno tumačiti</w:t>
      </w:r>
      <w:r w:rsidRPr="005D32E5">
        <w:t xml:space="preserve"> </w:t>
      </w:r>
      <w:r w:rsidR="00AF3390" w:rsidRPr="005D32E5">
        <w:t>brojeve</w:t>
      </w:r>
      <w:r w:rsidRPr="005D32E5">
        <w:t xml:space="preserve"> </w:t>
      </w:r>
      <w:r w:rsidR="001452F2" w:rsidRPr="001452F2">
        <w:t xml:space="preserve">preporučene </w:t>
      </w:r>
      <w:r w:rsidRPr="005D32E5">
        <w:rPr>
          <w:spacing w:val="-3"/>
        </w:rPr>
        <w:t xml:space="preserve">na </w:t>
      </w:r>
      <w:r w:rsidR="00AF3390" w:rsidRPr="005D32E5">
        <w:t>osnov</w:t>
      </w:r>
      <w:r w:rsidRPr="005D32E5">
        <w:t>u ispitivanja u drugim l</w:t>
      </w:r>
      <w:r w:rsidR="00AF3390" w:rsidRPr="005D32E5">
        <w:t>aboratorijima</w:t>
      </w:r>
      <w:r w:rsidRPr="005D32E5">
        <w:t>.</w:t>
      </w:r>
    </w:p>
    <w:p w:rsidR="00FE5E30" w:rsidRPr="005D32E5" w:rsidRDefault="00FE5E30" w:rsidP="00D65BB8">
      <w:pPr>
        <w:pStyle w:val="BodyText"/>
        <w:ind w:left="454" w:right="113"/>
        <w:jc w:val="both"/>
      </w:pPr>
    </w:p>
    <w:p w:rsidR="00FE5E30" w:rsidRPr="005D32E5" w:rsidRDefault="000534A2" w:rsidP="00D65BB8">
      <w:pPr>
        <w:pStyle w:val="BodyText"/>
        <w:spacing w:before="1"/>
        <w:ind w:left="454" w:right="113" w:hanging="1"/>
        <w:jc w:val="both"/>
      </w:pPr>
      <w:r w:rsidRPr="005D32E5">
        <w:t>Statistička analiza odnosa između broja CD34</w:t>
      </w:r>
      <w:r w:rsidRPr="005D32E5">
        <w:rPr>
          <w:vertAlign w:val="superscript"/>
        </w:rPr>
        <w:t>+</w:t>
      </w:r>
      <w:r w:rsidRPr="005D32E5">
        <w:t xml:space="preserve"> </w:t>
      </w:r>
      <w:r w:rsidR="00D14DE6" w:rsidRPr="005D32E5">
        <w:t>ćelij</w:t>
      </w:r>
      <w:r w:rsidRPr="005D32E5">
        <w:t xml:space="preserve">a vraćenih infuzijom i brzine oporavka trombocita nakon visokih doza </w:t>
      </w:r>
      <w:r w:rsidR="00F16896" w:rsidRPr="005D32E5">
        <w:t>hem</w:t>
      </w:r>
      <w:r w:rsidR="001452F2">
        <w:t>i</w:t>
      </w:r>
      <w:r w:rsidR="00F16896" w:rsidRPr="005D32E5">
        <w:t>oter</w:t>
      </w:r>
      <w:r w:rsidRPr="005D32E5">
        <w:t>apije pokazuje složen, ali kontinuirani odnos.</w:t>
      </w:r>
    </w:p>
    <w:p w:rsidR="00FE5E30" w:rsidRPr="00243A59" w:rsidRDefault="00FE5E30" w:rsidP="00A0130D">
      <w:pPr>
        <w:pStyle w:val="BodyText"/>
        <w:spacing w:before="10"/>
        <w:jc w:val="both"/>
        <w:rPr>
          <w:color w:val="FF0000"/>
          <w:sz w:val="21"/>
        </w:rPr>
      </w:pPr>
    </w:p>
    <w:p w:rsidR="00613B65" w:rsidRPr="005D32E5" w:rsidRDefault="00613B65" w:rsidP="00576468">
      <w:pPr>
        <w:pStyle w:val="BodyText"/>
        <w:kinsoku w:val="0"/>
        <w:overflowPunct w:val="0"/>
        <w:ind w:left="454" w:right="113"/>
        <w:contextualSpacing/>
        <w:jc w:val="both"/>
        <w:rPr>
          <w:spacing w:val="-2"/>
          <w:lang w:val="de-DE"/>
        </w:rPr>
      </w:pPr>
      <w:r w:rsidRPr="005D32E5">
        <w:rPr>
          <w:spacing w:val="-2"/>
          <w:lang w:val="de-DE"/>
        </w:rPr>
        <w:t>Preporuka o minimalnom broju dobijenih ćelija od ≥</w:t>
      </w:r>
      <w:r w:rsidR="001452F2">
        <w:rPr>
          <w:spacing w:val="-2"/>
          <w:lang w:val="de-DE"/>
        </w:rPr>
        <w:t xml:space="preserve"> </w:t>
      </w:r>
      <w:r w:rsidRPr="005D32E5">
        <w:rPr>
          <w:spacing w:val="-2"/>
          <w:lang w:val="de-DE"/>
        </w:rPr>
        <w:t>2,0 x 10</w:t>
      </w:r>
      <w:r w:rsidRPr="005D32E5">
        <w:rPr>
          <w:spacing w:val="-2"/>
          <w:vertAlign w:val="superscript"/>
          <w:lang w:val="de-DE"/>
        </w:rPr>
        <w:t>6</w:t>
      </w:r>
      <w:r w:rsidRPr="005D32E5">
        <w:rPr>
          <w:spacing w:val="-2"/>
          <w:lang w:val="de-DE"/>
        </w:rPr>
        <w:t xml:space="preserve"> CD34+ ćelija/kg bazira se na objavljenim </w:t>
      </w:r>
      <w:r w:rsidRPr="005D32E5">
        <w:rPr>
          <w:spacing w:val="-2"/>
          <w:lang w:val="de-DE"/>
        </w:rPr>
        <w:lastRenderedPageBreak/>
        <w:t xml:space="preserve">iskustvima koja su dovela do odgovarajućeg hematološkog oporavka. </w:t>
      </w:r>
      <w:r w:rsidR="001452F2">
        <w:rPr>
          <w:spacing w:val="-2"/>
          <w:lang w:val="de-DE"/>
        </w:rPr>
        <w:t>Čini se da se r</w:t>
      </w:r>
      <w:r w:rsidRPr="005D32E5">
        <w:rPr>
          <w:spacing w:val="-2"/>
          <w:lang w:val="de-DE"/>
        </w:rPr>
        <w:t>ezultati koji su veći od ovog minimalnog izgleda mogu dovesti u vezu sa bržim oporavkom, a rezultati koji su manji, dovode se u vezu sa sporijim oporavkom.</w:t>
      </w:r>
    </w:p>
    <w:p w:rsidR="00FE5E30" w:rsidRPr="00BF46D3" w:rsidRDefault="00FE5E30" w:rsidP="00576468">
      <w:pPr>
        <w:pStyle w:val="BodyText"/>
        <w:spacing w:before="4"/>
        <w:ind w:left="454" w:right="113"/>
        <w:jc w:val="both"/>
        <w:rPr>
          <w:lang w:val="de-DE"/>
        </w:rPr>
      </w:pPr>
    </w:p>
    <w:p w:rsidR="00FE5E30" w:rsidRPr="00BF46D3" w:rsidRDefault="000534A2" w:rsidP="00576468">
      <w:pPr>
        <w:pStyle w:val="BodyText"/>
        <w:spacing w:line="237" w:lineRule="auto"/>
        <w:ind w:left="454" w:right="113"/>
        <w:jc w:val="both"/>
        <w:rPr>
          <w:lang w:val="de-DE"/>
        </w:rPr>
      </w:pPr>
      <w:r w:rsidRPr="00BF46D3">
        <w:rPr>
          <w:u w:val="single"/>
          <w:lang w:val="de-DE"/>
        </w:rPr>
        <w:t xml:space="preserve">Posebne mjere opreza </w:t>
      </w:r>
      <w:r w:rsidR="002C73EC" w:rsidRPr="00BF46D3">
        <w:rPr>
          <w:u w:val="single"/>
          <w:lang w:val="de-DE"/>
        </w:rPr>
        <w:t>kod zdravih donora</w:t>
      </w:r>
      <w:r w:rsidRPr="00BF46D3">
        <w:rPr>
          <w:u w:val="single"/>
          <w:lang w:val="de-DE"/>
        </w:rPr>
        <w:t xml:space="preserve"> kojih se p</w:t>
      </w:r>
      <w:r w:rsidR="002C73EC" w:rsidRPr="00BF46D3">
        <w:rPr>
          <w:u w:val="single"/>
          <w:lang w:val="de-DE"/>
        </w:rPr>
        <w:t>odvrgavaju mobilizaciji</w:t>
      </w:r>
      <w:r w:rsidRPr="00BF46D3">
        <w:rPr>
          <w:u w:val="single"/>
          <w:lang w:val="de-DE"/>
        </w:rPr>
        <w:t xml:space="preserve"> </w:t>
      </w:r>
      <w:r w:rsidR="00D14DE6" w:rsidRPr="00BF46D3">
        <w:rPr>
          <w:u w:val="single"/>
          <w:lang w:val="de-DE"/>
        </w:rPr>
        <w:t>progenitorskih ćelija</w:t>
      </w:r>
      <w:r w:rsidRPr="00BF46D3">
        <w:rPr>
          <w:u w:val="single"/>
          <w:lang w:val="de-DE"/>
        </w:rPr>
        <w:t xml:space="preserve"> periferne</w:t>
      </w:r>
      <w:r w:rsidRPr="00BF46D3">
        <w:rPr>
          <w:lang w:val="de-DE"/>
        </w:rPr>
        <w:t xml:space="preserve"> </w:t>
      </w:r>
      <w:r w:rsidRPr="00BF46D3">
        <w:rPr>
          <w:u w:val="single"/>
          <w:lang w:val="de-DE"/>
        </w:rPr>
        <w:t>krvi</w:t>
      </w:r>
    </w:p>
    <w:p w:rsidR="00FE5E30" w:rsidRPr="00BF46D3" w:rsidRDefault="00FE5E30" w:rsidP="00576468">
      <w:pPr>
        <w:pStyle w:val="BodyText"/>
        <w:spacing w:before="3"/>
        <w:ind w:left="454" w:right="113"/>
        <w:jc w:val="both"/>
        <w:rPr>
          <w:color w:val="FF0000"/>
          <w:sz w:val="14"/>
          <w:lang w:val="de-DE"/>
        </w:rPr>
      </w:pPr>
    </w:p>
    <w:p w:rsidR="00CA0129" w:rsidRDefault="002C73EC" w:rsidP="00576468">
      <w:pPr>
        <w:pStyle w:val="BodyText"/>
        <w:tabs>
          <w:tab w:val="left" w:pos="90"/>
        </w:tabs>
        <w:kinsoku w:val="0"/>
        <w:overflowPunct w:val="0"/>
        <w:ind w:left="454" w:right="113"/>
        <w:contextualSpacing/>
        <w:jc w:val="both"/>
        <w:rPr>
          <w:lang w:val="de-DE"/>
        </w:rPr>
      </w:pPr>
      <w:r w:rsidRPr="00FC44B0">
        <w:rPr>
          <w:spacing w:val="-1"/>
          <w:lang w:val="de-DE"/>
        </w:rPr>
        <w:t>Mobilizacija</w:t>
      </w:r>
      <w:r w:rsidRPr="00FC44B0">
        <w:rPr>
          <w:spacing w:val="54"/>
          <w:lang w:val="de-DE"/>
        </w:rPr>
        <w:t xml:space="preserve"> </w:t>
      </w:r>
      <w:r w:rsidRPr="00FC44B0">
        <w:rPr>
          <w:lang w:val="de-DE"/>
        </w:rPr>
        <w:t>PBPC</w:t>
      </w:r>
      <w:r w:rsidRPr="00FC44B0">
        <w:rPr>
          <w:spacing w:val="1"/>
          <w:lang w:val="de-DE"/>
        </w:rPr>
        <w:t xml:space="preserve"> </w:t>
      </w:r>
      <w:r w:rsidRPr="00FC44B0">
        <w:rPr>
          <w:spacing w:val="-1"/>
          <w:lang w:val="de-DE"/>
        </w:rPr>
        <w:t>(progenitorskih</w:t>
      </w:r>
      <w:r w:rsidRPr="00FC44B0">
        <w:rPr>
          <w:spacing w:val="54"/>
          <w:lang w:val="de-DE"/>
        </w:rPr>
        <w:t xml:space="preserve"> </w:t>
      </w:r>
      <w:r w:rsidRPr="00FC44B0">
        <w:rPr>
          <w:spacing w:val="-1"/>
          <w:lang w:val="de-DE"/>
        </w:rPr>
        <w:t>ćelija</w:t>
      </w:r>
      <w:r w:rsidRPr="00FC44B0">
        <w:rPr>
          <w:spacing w:val="54"/>
          <w:lang w:val="de-DE"/>
        </w:rPr>
        <w:t xml:space="preserve"> </w:t>
      </w:r>
      <w:r w:rsidRPr="00FC44B0">
        <w:rPr>
          <w:spacing w:val="-2"/>
          <w:lang w:val="de-DE"/>
        </w:rPr>
        <w:t>iz</w:t>
      </w:r>
      <w:r w:rsidRPr="00FC44B0">
        <w:rPr>
          <w:spacing w:val="52"/>
          <w:lang w:val="de-DE"/>
        </w:rPr>
        <w:t xml:space="preserve"> </w:t>
      </w:r>
      <w:r w:rsidRPr="00FC44B0">
        <w:rPr>
          <w:spacing w:val="-1"/>
          <w:lang w:val="de-DE"/>
        </w:rPr>
        <w:t>periferne</w:t>
      </w:r>
      <w:r w:rsidRPr="00FC44B0">
        <w:rPr>
          <w:spacing w:val="4"/>
          <w:lang w:val="de-DE"/>
        </w:rPr>
        <w:t xml:space="preserve"> </w:t>
      </w:r>
      <w:r w:rsidRPr="00FC44B0">
        <w:rPr>
          <w:spacing w:val="-2"/>
          <w:lang w:val="de-DE"/>
        </w:rPr>
        <w:t>krvi)</w:t>
      </w:r>
      <w:r w:rsidRPr="00FC44B0">
        <w:rPr>
          <w:spacing w:val="3"/>
          <w:lang w:val="de-DE"/>
        </w:rPr>
        <w:t xml:space="preserve"> </w:t>
      </w:r>
      <w:r w:rsidRPr="00FC44B0">
        <w:rPr>
          <w:spacing w:val="-2"/>
          <w:lang w:val="de-DE"/>
        </w:rPr>
        <w:t>ne</w:t>
      </w:r>
      <w:r w:rsidRPr="00FC44B0">
        <w:rPr>
          <w:spacing w:val="1"/>
          <w:lang w:val="de-DE"/>
        </w:rPr>
        <w:t xml:space="preserve"> </w:t>
      </w:r>
      <w:r w:rsidRPr="00FC44B0">
        <w:rPr>
          <w:spacing w:val="-2"/>
          <w:lang w:val="de-DE"/>
        </w:rPr>
        <w:t>dovodi</w:t>
      </w:r>
      <w:r w:rsidRPr="00FC44B0">
        <w:rPr>
          <w:spacing w:val="3"/>
          <w:lang w:val="de-DE"/>
        </w:rPr>
        <w:t xml:space="preserve"> </w:t>
      </w:r>
      <w:r w:rsidRPr="00FC44B0">
        <w:rPr>
          <w:spacing w:val="-2"/>
          <w:lang w:val="de-DE"/>
        </w:rPr>
        <w:t>do</w:t>
      </w:r>
      <w:r w:rsidRPr="00FC44B0">
        <w:rPr>
          <w:spacing w:val="53"/>
          <w:lang w:val="de-DE"/>
        </w:rPr>
        <w:t xml:space="preserve"> </w:t>
      </w:r>
      <w:r w:rsidRPr="00FC44B0">
        <w:rPr>
          <w:spacing w:val="-1"/>
          <w:lang w:val="de-DE"/>
        </w:rPr>
        <w:t>direktne</w:t>
      </w:r>
      <w:r w:rsidRPr="00FC44B0">
        <w:rPr>
          <w:spacing w:val="3"/>
          <w:lang w:val="de-DE"/>
        </w:rPr>
        <w:t xml:space="preserve"> </w:t>
      </w:r>
      <w:r w:rsidRPr="00FC44B0">
        <w:rPr>
          <w:spacing w:val="-2"/>
          <w:lang w:val="de-DE"/>
        </w:rPr>
        <w:t>kliničke</w:t>
      </w:r>
      <w:r w:rsidRPr="00FC44B0">
        <w:rPr>
          <w:spacing w:val="3"/>
          <w:lang w:val="de-DE"/>
        </w:rPr>
        <w:t xml:space="preserve"> </w:t>
      </w:r>
      <w:r w:rsidRPr="00FC44B0">
        <w:rPr>
          <w:spacing w:val="-2"/>
          <w:lang w:val="de-DE"/>
        </w:rPr>
        <w:t>koristi</w:t>
      </w:r>
      <w:r w:rsidRPr="00FC44B0">
        <w:rPr>
          <w:spacing w:val="4"/>
          <w:lang w:val="de-DE"/>
        </w:rPr>
        <w:t xml:space="preserve"> </w:t>
      </w:r>
      <w:r w:rsidRPr="00FC44B0">
        <w:rPr>
          <w:lang w:val="de-DE"/>
        </w:rPr>
        <w:t>kod</w:t>
      </w:r>
      <w:r w:rsidRPr="00FC44B0">
        <w:rPr>
          <w:spacing w:val="29"/>
          <w:lang w:val="de-DE"/>
        </w:rPr>
        <w:t xml:space="preserve"> </w:t>
      </w:r>
      <w:r w:rsidRPr="00FC44B0">
        <w:rPr>
          <w:spacing w:val="-1"/>
          <w:lang w:val="de-DE"/>
        </w:rPr>
        <w:t xml:space="preserve">zdravih donora </w:t>
      </w:r>
      <w:r w:rsidRPr="00FC44B0">
        <w:rPr>
          <w:lang w:val="de-DE"/>
        </w:rPr>
        <w:t>i</w:t>
      </w:r>
      <w:r w:rsidRPr="00FC44B0">
        <w:rPr>
          <w:spacing w:val="-1"/>
          <w:lang w:val="de-DE"/>
        </w:rPr>
        <w:t xml:space="preserve"> treba je</w:t>
      </w:r>
      <w:r w:rsidRPr="00FC44B0">
        <w:rPr>
          <w:spacing w:val="1"/>
          <w:lang w:val="de-DE"/>
        </w:rPr>
        <w:t xml:space="preserve"> </w:t>
      </w:r>
      <w:r w:rsidRPr="00FC44B0">
        <w:rPr>
          <w:spacing w:val="-1"/>
          <w:lang w:val="de-DE"/>
        </w:rPr>
        <w:t xml:space="preserve">uzeti </w:t>
      </w:r>
      <w:r w:rsidRPr="00FC44B0">
        <w:rPr>
          <w:lang w:val="de-DE"/>
        </w:rPr>
        <w:t>u</w:t>
      </w:r>
      <w:r w:rsidRPr="00FC44B0">
        <w:rPr>
          <w:spacing w:val="-1"/>
          <w:lang w:val="de-DE"/>
        </w:rPr>
        <w:t xml:space="preserve"> obzir samo </w:t>
      </w:r>
      <w:r w:rsidRPr="00FC44B0">
        <w:rPr>
          <w:lang w:val="de-DE"/>
        </w:rPr>
        <w:t>u</w:t>
      </w:r>
      <w:r w:rsidRPr="00FC44B0">
        <w:rPr>
          <w:spacing w:val="-1"/>
          <w:lang w:val="de-DE"/>
        </w:rPr>
        <w:t xml:space="preserve"> cilju alogene transplantacije matičnih ćelija.</w:t>
      </w:r>
    </w:p>
    <w:p w:rsidR="002C73EC" w:rsidRPr="00FC44B0" w:rsidRDefault="002C73EC" w:rsidP="00576468">
      <w:pPr>
        <w:pStyle w:val="BodyText"/>
        <w:tabs>
          <w:tab w:val="left" w:pos="90"/>
        </w:tabs>
        <w:kinsoku w:val="0"/>
        <w:overflowPunct w:val="0"/>
        <w:ind w:left="454" w:right="113"/>
        <w:contextualSpacing/>
        <w:jc w:val="both"/>
        <w:rPr>
          <w:lang w:val="de-DE"/>
        </w:rPr>
      </w:pPr>
      <w:r w:rsidRPr="00FC44B0">
        <w:rPr>
          <w:spacing w:val="-2"/>
          <w:lang w:val="de-DE"/>
        </w:rPr>
        <w:t>Mobilizaciju</w:t>
      </w:r>
      <w:r w:rsidRPr="00FC44B0">
        <w:rPr>
          <w:spacing w:val="34"/>
          <w:lang w:val="de-DE"/>
        </w:rPr>
        <w:t xml:space="preserve"> </w:t>
      </w:r>
      <w:r w:rsidRPr="00FC44B0">
        <w:rPr>
          <w:lang w:val="de-DE"/>
        </w:rPr>
        <w:t>PBPC</w:t>
      </w:r>
      <w:r w:rsidRPr="00FC44B0">
        <w:rPr>
          <w:spacing w:val="34"/>
          <w:lang w:val="de-DE"/>
        </w:rPr>
        <w:t xml:space="preserve"> </w:t>
      </w:r>
      <w:r w:rsidRPr="00FC44B0">
        <w:rPr>
          <w:spacing w:val="-1"/>
          <w:lang w:val="de-DE"/>
        </w:rPr>
        <w:t>treba</w:t>
      </w:r>
      <w:r w:rsidRPr="00FC44B0">
        <w:rPr>
          <w:spacing w:val="33"/>
          <w:lang w:val="de-DE"/>
        </w:rPr>
        <w:t xml:space="preserve"> </w:t>
      </w:r>
      <w:r w:rsidRPr="00FC44B0">
        <w:rPr>
          <w:spacing w:val="-2"/>
          <w:lang w:val="de-DE"/>
        </w:rPr>
        <w:t>uzeti</w:t>
      </w:r>
      <w:r w:rsidRPr="00FC44B0">
        <w:rPr>
          <w:spacing w:val="32"/>
          <w:lang w:val="de-DE"/>
        </w:rPr>
        <w:t xml:space="preserve"> </w:t>
      </w:r>
      <w:r w:rsidRPr="00FC44B0">
        <w:rPr>
          <w:lang w:val="de-DE"/>
        </w:rPr>
        <w:t>u</w:t>
      </w:r>
      <w:r w:rsidRPr="00FC44B0">
        <w:rPr>
          <w:spacing w:val="34"/>
          <w:lang w:val="de-DE"/>
        </w:rPr>
        <w:t xml:space="preserve"> </w:t>
      </w:r>
      <w:r w:rsidRPr="00FC44B0">
        <w:rPr>
          <w:spacing w:val="-2"/>
          <w:lang w:val="de-DE"/>
        </w:rPr>
        <w:t>obzir</w:t>
      </w:r>
      <w:r w:rsidRPr="00FC44B0">
        <w:rPr>
          <w:spacing w:val="32"/>
          <w:lang w:val="de-DE"/>
        </w:rPr>
        <w:t xml:space="preserve"> </w:t>
      </w:r>
      <w:r w:rsidRPr="00FC44B0">
        <w:rPr>
          <w:spacing w:val="-2"/>
          <w:lang w:val="de-DE"/>
        </w:rPr>
        <w:t>samo</w:t>
      </w:r>
      <w:r w:rsidRPr="00FC44B0">
        <w:rPr>
          <w:spacing w:val="32"/>
          <w:lang w:val="de-DE"/>
        </w:rPr>
        <w:t xml:space="preserve"> </w:t>
      </w:r>
      <w:r w:rsidRPr="00FC44B0">
        <w:rPr>
          <w:lang w:val="de-DE"/>
        </w:rPr>
        <w:t>kod</w:t>
      </w:r>
      <w:r w:rsidRPr="00FC44B0">
        <w:rPr>
          <w:spacing w:val="34"/>
          <w:lang w:val="de-DE"/>
        </w:rPr>
        <w:t xml:space="preserve"> </w:t>
      </w:r>
      <w:r w:rsidRPr="00FC44B0">
        <w:rPr>
          <w:spacing w:val="-1"/>
          <w:lang w:val="de-DE"/>
        </w:rPr>
        <w:t>donora</w:t>
      </w:r>
      <w:r w:rsidRPr="00FC44B0">
        <w:rPr>
          <w:spacing w:val="33"/>
          <w:lang w:val="de-DE"/>
        </w:rPr>
        <w:t xml:space="preserve"> </w:t>
      </w:r>
      <w:r w:rsidRPr="00FC44B0">
        <w:rPr>
          <w:spacing w:val="-2"/>
          <w:lang w:val="de-DE"/>
        </w:rPr>
        <w:t>koji</w:t>
      </w:r>
      <w:r w:rsidRPr="00FC44B0">
        <w:rPr>
          <w:spacing w:val="32"/>
          <w:lang w:val="de-DE"/>
        </w:rPr>
        <w:t xml:space="preserve"> </w:t>
      </w:r>
      <w:r w:rsidRPr="00FC44B0">
        <w:rPr>
          <w:spacing w:val="-1"/>
          <w:lang w:val="de-DE"/>
        </w:rPr>
        <w:t>zadovoljavaju</w:t>
      </w:r>
      <w:r w:rsidRPr="00FC44B0">
        <w:rPr>
          <w:spacing w:val="33"/>
          <w:lang w:val="de-DE"/>
        </w:rPr>
        <w:t xml:space="preserve"> </w:t>
      </w:r>
      <w:r w:rsidRPr="00FC44B0">
        <w:rPr>
          <w:spacing w:val="-1"/>
          <w:lang w:val="de-DE"/>
        </w:rPr>
        <w:t>uobičajene</w:t>
      </w:r>
      <w:r w:rsidRPr="00FC44B0">
        <w:rPr>
          <w:spacing w:val="37"/>
          <w:lang w:val="de-DE"/>
        </w:rPr>
        <w:t xml:space="preserve"> </w:t>
      </w:r>
      <w:r w:rsidRPr="00FC44B0">
        <w:rPr>
          <w:spacing w:val="-2"/>
          <w:lang w:val="de-DE"/>
        </w:rPr>
        <w:t>kliničke</w:t>
      </w:r>
      <w:r w:rsidRPr="00FC44B0">
        <w:rPr>
          <w:spacing w:val="37"/>
          <w:lang w:val="de-DE"/>
        </w:rPr>
        <w:t xml:space="preserve"> </w:t>
      </w:r>
      <w:r w:rsidRPr="00FC44B0">
        <w:rPr>
          <w:lang w:val="de-DE"/>
        </w:rPr>
        <w:t>i</w:t>
      </w:r>
      <w:r w:rsidRPr="00FC44B0">
        <w:rPr>
          <w:spacing w:val="47"/>
          <w:lang w:val="de-DE"/>
        </w:rPr>
        <w:t xml:space="preserve"> </w:t>
      </w:r>
      <w:r w:rsidRPr="00FC44B0">
        <w:rPr>
          <w:spacing w:val="-1"/>
          <w:lang w:val="de-DE"/>
        </w:rPr>
        <w:t>laboratorijske</w:t>
      </w:r>
      <w:r w:rsidRPr="00FC44B0">
        <w:rPr>
          <w:spacing w:val="16"/>
          <w:lang w:val="de-DE"/>
        </w:rPr>
        <w:t xml:space="preserve"> </w:t>
      </w:r>
      <w:r w:rsidRPr="00FC44B0">
        <w:rPr>
          <w:spacing w:val="-1"/>
          <w:lang w:val="de-DE"/>
        </w:rPr>
        <w:t>kriterijume</w:t>
      </w:r>
      <w:r w:rsidRPr="00FC44B0">
        <w:rPr>
          <w:spacing w:val="11"/>
          <w:lang w:val="de-DE"/>
        </w:rPr>
        <w:t xml:space="preserve"> </w:t>
      </w:r>
      <w:r w:rsidR="00A82FBB" w:rsidRPr="00A0130D">
        <w:rPr>
          <w:lang w:val="de-DE"/>
        </w:rPr>
        <w:t xml:space="preserve">prema kojima su pogodni </w:t>
      </w:r>
      <w:r w:rsidRPr="00FC44B0">
        <w:rPr>
          <w:lang w:val="de-DE"/>
        </w:rPr>
        <w:t>za</w:t>
      </w:r>
      <w:r w:rsidRPr="00A0130D">
        <w:rPr>
          <w:lang w:val="de-DE"/>
        </w:rPr>
        <w:t xml:space="preserve"> donaciju matičnih ćelija, vodeći </w:t>
      </w:r>
      <w:r w:rsidRPr="00FC44B0">
        <w:rPr>
          <w:lang w:val="de-DE"/>
        </w:rPr>
        <w:t>računa</w:t>
      </w:r>
      <w:r w:rsidRPr="00A0130D">
        <w:rPr>
          <w:lang w:val="de-DE"/>
        </w:rPr>
        <w:t xml:space="preserve"> </w:t>
      </w:r>
      <w:r w:rsidRPr="00FC44B0">
        <w:rPr>
          <w:lang w:val="de-DE"/>
        </w:rPr>
        <w:t>o</w:t>
      </w:r>
      <w:r w:rsidRPr="00A0130D">
        <w:rPr>
          <w:lang w:val="de-DE"/>
        </w:rPr>
        <w:t xml:space="preserve"> posebnoj</w:t>
      </w:r>
      <w:r w:rsidRPr="00FC44B0">
        <w:rPr>
          <w:lang w:val="de-DE"/>
        </w:rPr>
        <w:t xml:space="preserve"> </w:t>
      </w:r>
      <w:r w:rsidRPr="00A0130D">
        <w:rPr>
          <w:lang w:val="de-DE"/>
        </w:rPr>
        <w:t xml:space="preserve">predostrožnosti </w:t>
      </w:r>
      <w:r w:rsidR="00A82FBB" w:rsidRPr="00A0130D">
        <w:rPr>
          <w:lang w:val="de-DE"/>
        </w:rPr>
        <w:t xml:space="preserve">u pogledu </w:t>
      </w:r>
      <w:r w:rsidRPr="00A0130D">
        <w:rPr>
          <w:lang w:val="de-DE"/>
        </w:rPr>
        <w:t xml:space="preserve">hematoloških vrijednosti </w:t>
      </w:r>
      <w:r w:rsidRPr="00FC44B0">
        <w:rPr>
          <w:lang w:val="de-DE"/>
        </w:rPr>
        <w:t>i</w:t>
      </w:r>
      <w:r w:rsidRPr="00A0130D">
        <w:rPr>
          <w:lang w:val="de-DE"/>
        </w:rPr>
        <w:t xml:space="preserve"> infektivni</w:t>
      </w:r>
      <w:r w:rsidR="00A82FBB" w:rsidRPr="00A0130D">
        <w:rPr>
          <w:lang w:val="de-DE"/>
        </w:rPr>
        <w:t>h</w:t>
      </w:r>
      <w:r w:rsidRPr="00A0130D">
        <w:rPr>
          <w:lang w:val="de-DE"/>
        </w:rPr>
        <w:t xml:space="preserve"> bolesti.</w:t>
      </w:r>
    </w:p>
    <w:p w:rsidR="002C73EC" w:rsidRPr="00CA0129" w:rsidRDefault="002C73EC" w:rsidP="00576468">
      <w:pPr>
        <w:pStyle w:val="BodyText"/>
        <w:kinsoku w:val="0"/>
        <w:overflowPunct w:val="0"/>
        <w:ind w:left="454" w:right="113"/>
        <w:contextualSpacing/>
        <w:jc w:val="both"/>
        <w:rPr>
          <w:lang w:val="de-DE"/>
        </w:rPr>
      </w:pPr>
      <w:r w:rsidRPr="00A0130D">
        <w:rPr>
          <w:lang w:val="de-DE"/>
        </w:rPr>
        <w:t xml:space="preserve">Bezbjednost </w:t>
      </w:r>
      <w:r w:rsidRPr="00CA0129">
        <w:rPr>
          <w:lang w:val="de-DE"/>
        </w:rPr>
        <w:t>i</w:t>
      </w:r>
      <w:r w:rsidRPr="00A0130D">
        <w:rPr>
          <w:lang w:val="de-DE"/>
        </w:rPr>
        <w:t xml:space="preserve"> efikasnost filgrastima nije procijenjena kod zdravih donora mlađih od 16 </w:t>
      </w:r>
      <w:r w:rsidRPr="00CA0129">
        <w:rPr>
          <w:lang w:val="de-DE"/>
        </w:rPr>
        <w:t>i</w:t>
      </w:r>
      <w:r w:rsidRPr="00A0130D">
        <w:rPr>
          <w:lang w:val="de-DE"/>
        </w:rPr>
        <w:t xml:space="preserve"> starijih od 60 godina.</w:t>
      </w:r>
    </w:p>
    <w:p w:rsidR="00FE5E30" w:rsidRPr="00CA0129" w:rsidRDefault="00FE5E30" w:rsidP="00576468">
      <w:pPr>
        <w:pStyle w:val="BodyText"/>
        <w:spacing w:before="11"/>
        <w:ind w:left="454" w:right="113"/>
        <w:jc w:val="both"/>
        <w:rPr>
          <w:sz w:val="21"/>
        </w:rPr>
      </w:pPr>
    </w:p>
    <w:p w:rsidR="00FE5E30" w:rsidRPr="00CA0129" w:rsidRDefault="000534A2" w:rsidP="00576468">
      <w:pPr>
        <w:ind w:left="454" w:right="113"/>
        <w:jc w:val="both"/>
        <w:rPr>
          <w:i/>
        </w:rPr>
      </w:pPr>
      <w:r w:rsidRPr="00CA0129">
        <w:rPr>
          <w:i/>
          <w:u w:val="single"/>
        </w:rPr>
        <w:t>Trombocitopenija</w:t>
      </w:r>
    </w:p>
    <w:p w:rsidR="00FE5E30" w:rsidRPr="00CA0129" w:rsidRDefault="000534A2" w:rsidP="00576468">
      <w:pPr>
        <w:pStyle w:val="BodyText"/>
        <w:spacing w:before="1"/>
        <w:ind w:left="454" w:right="113"/>
        <w:jc w:val="both"/>
      </w:pPr>
      <w:r w:rsidRPr="00CA0129">
        <w:t xml:space="preserve">Trombocitopenija je vrlo često zabilježena </w:t>
      </w:r>
      <w:r w:rsidR="00E06721" w:rsidRPr="00CA0129">
        <w:t>kod pacijenata</w:t>
      </w:r>
      <w:r w:rsidR="001376B7" w:rsidRPr="00CA0129">
        <w:t xml:space="preserve"> koji primaju filgrastim. Zbog </w:t>
      </w:r>
      <w:r w:rsidRPr="00CA0129">
        <w:t>toga je potrebno pažljivo mjeriti broj trombocita.</w:t>
      </w:r>
    </w:p>
    <w:p w:rsidR="00FE5E30" w:rsidRPr="00243A59" w:rsidRDefault="00FE5E30" w:rsidP="00576468">
      <w:pPr>
        <w:pStyle w:val="BodyText"/>
        <w:spacing w:before="11"/>
        <w:ind w:left="454" w:right="113"/>
        <w:jc w:val="both"/>
        <w:rPr>
          <w:color w:val="FF0000"/>
          <w:sz w:val="21"/>
        </w:rPr>
      </w:pPr>
    </w:p>
    <w:p w:rsidR="00FE5E30" w:rsidRPr="0059005B" w:rsidRDefault="000534A2" w:rsidP="00576468">
      <w:pPr>
        <w:pStyle w:val="BodyText"/>
        <w:ind w:left="454" w:right="113"/>
        <w:jc w:val="both"/>
        <w:rPr>
          <w:position w:val="1"/>
        </w:rPr>
      </w:pPr>
      <w:r w:rsidRPr="0059005B">
        <w:t>Prolazna trombocitopenija (trombociti &lt; 100 x 10</w:t>
      </w:r>
      <w:r w:rsidRPr="0059005B">
        <w:rPr>
          <w:vertAlign w:val="superscript"/>
        </w:rPr>
        <w:t>9</w:t>
      </w:r>
      <w:r w:rsidRPr="0059005B">
        <w:t>/l) nakon primjene filgrastima i leuk</w:t>
      </w:r>
      <w:r w:rsidR="00200AF4">
        <w:t>o</w:t>
      </w:r>
      <w:r w:rsidRPr="0059005B">
        <w:t xml:space="preserve">fereze bila je </w:t>
      </w:r>
      <w:r w:rsidR="00252205" w:rsidRPr="0059005B">
        <w:t>u</w:t>
      </w:r>
      <w:r w:rsidRPr="0059005B">
        <w:t>o</w:t>
      </w:r>
      <w:r w:rsidR="00252205" w:rsidRPr="0059005B">
        <w:t>čen</w:t>
      </w:r>
      <w:r w:rsidR="00A82FBB">
        <w:t>a</w:t>
      </w:r>
      <w:r w:rsidRPr="0059005B">
        <w:t xml:space="preserve"> </w:t>
      </w:r>
      <w:r w:rsidR="00252205" w:rsidRPr="0059005B">
        <w:t>kod</w:t>
      </w:r>
      <w:r w:rsidRPr="0059005B">
        <w:t xml:space="preserve"> </w:t>
      </w:r>
      <w:r w:rsidRPr="0059005B">
        <w:rPr>
          <w:position w:val="1"/>
        </w:rPr>
        <w:t>35% ispitanika. Među njima su bila zabilježena dva slučaja s</w:t>
      </w:r>
      <w:r w:rsidR="00252205" w:rsidRPr="0059005B">
        <w:rPr>
          <w:position w:val="1"/>
        </w:rPr>
        <w:t>a</w:t>
      </w:r>
      <w:r w:rsidRPr="0059005B">
        <w:rPr>
          <w:position w:val="1"/>
        </w:rPr>
        <w:t xml:space="preserve"> brojem trombocita &lt; 50 x </w:t>
      </w:r>
      <w:r w:rsidRPr="0059005B">
        <w:t>10</w:t>
      </w:r>
      <w:r w:rsidRPr="0059005B">
        <w:rPr>
          <w:vertAlign w:val="superscript"/>
        </w:rPr>
        <w:t>9</w:t>
      </w:r>
      <w:r w:rsidRPr="0059005B">
        <w:rPr>
          <w:position w:val="1"/>
        </w:rPr>
        <w:t>/l koja su pripisana postupku leuk</w:t>
      </w:r>
      <w:r w:rsidR="00200AF4">
        <w:rPr>
          <w:position w:val="1"/>
        </w:rPr>
        <w:t>o</w:t>
      </w:r>
      <w:r w:rsidRPr="0059005B">
        <w:rPr>
          <w:position w:val="1"/>
        </w:rPr>
        <w:t>fereze. Ako je potrebno više od jedne leuk</w:t>
      </w:r>
      <w:r w:rsidR="00200AF4">
        <w:rPr>
          <w:position w:val="1"/>
        </w:rPr>
        <w:t>o</w:t>
      </w:r>
      <w:r w:rsidRPr="0059005B">
        <w:rPr>
          <w:position w:val="1"/>
        </w:rPr>
        <w:t xml:space="preserve">fereze, </w:t>
      </w:r>
      <w:r w:rsidR="00252205" w:rsidRPr="0059005B">
        <w:rPr>
          <w:position w:val="1"/>
        </w:rPr>
        <w:t>posebnu pažnju je</w:t>
      </w:r>
      <w:r w:rsidRPr="0059005B">
        <w:rPr>
          <w:position w:val="1"/>
        </w:rPr>
        <w:t xml:space="preserve"> </w:t>
      </w:r>
      <w:r w:rsidR="00252205" w:rsidRPr="0059005B">
        <w:rPr>
          <w:position w:val="1"/>
        </w:rPr>
        <w:t>potrebno</w:t>
      </w:r>
      <w:r w:rsidRPr="0059005B">
        <w:rPr>
          <w:position w:val="1"/>
        </w:rPr>
        <w:t xml:space="preserve"> posvetiti d</w:t>
      </w:r>
      <w:r w:rsidR="00252205" w:rsidRPr="0059005B">
        <w:rPr>
          <w:position w:val="1"/>
        </w:rPr>
        <w:t>onorim</w:t>
      </w:r>
      <w:r w:rsidRPr="0059005B">
        <w:rPr>
          <w:position w:val="1"/>
        </w:rPr>
        <w:t>a s</w:t>
      </w:r>
      <w:r w:rsidR="00252205" w:rsidRPr="0059005B">
        <w:rPr>
          <w:position w:val="1"/>
        </w:rPr>
        <w:t>a</w:t>
      </w:r>
      <w:r w:rsidRPr="0059005B">
        <w:rPr>
          <w:position w:val="1"/>
        </w:rPr>
        <w:t xml:space="preserve"> brojem trombocita </w:t>
      </w:r>
      <w:r w:rsidRPr="0059005B">
        <w:t>&lt; 100 x 10</w:t>
      </w:r>
      <w:r w:rsidRPr="0059005B">
        <w:rPr>
          <w:vertAlign w:val="superscript"/>
        </w:rPr>
        <w:t>9</w:t>
      </w:r>
      <w:r w:rsidRPr="0059005B">
        <w:t>/l prije leuk</w:t>
      </w:r>
      <w:r w:rsidR="00200AF4">
        <w:t>o</w:t>
      </w:r>
      <w:r w:rsidRPr="0059005B">
        <w:t xml:space="preserve">fereze; </w:t>
      </w:r>
      <w:r w:rsidR="00252205" w:rsidRPr="0059005B">
        <w:t>generaln</w:t>
      </w:r>
      <w:r w:rsidRPr="0059005B">
        <w:t xml:space="preserve">o aferezu ne bi trebalo </w:t>
      </w:r>
      <w:r w:rsidR="00252205" w:rsidRPr="0059005B">
        <w:t>s</w:t>
      </w:r>
      <w:r w:rsidRPr="0059005B">
        <w:t>provoditi ako je broj trombocita &lt; 75 x 10</w:t>
      </w:r>
      <w:r w:rsidRPr="0059005B">
        <w:rPr>
          <w:vertAlign w:val="superscript"/>
        </w:rPr>
        <w:t>9</w:t>
      </w:r>
      <w:r w:rsidRPr="0059005B">
        <w:t>/l.</w:t>
      </w:r>
    </w:p>
    <w:p w:rsidR="00FE5E30" w:rsidRPr="00243A59" w:rsidRDefault="00FE5E30" w:rsidP="00576468">
      <w:pPr>
        <w:pStyle w:val="BodyText"/>
        <w:spacing w:before="9"/>
        <w:ind w:left="454" w:right="113"/>
        <w:jc w:val="both"/>
        <w:rPr>
          <w:color w:val="FF0000"/>
          <w:sz w:val="21"/>
        </w:rPr>
      </w:pPr>
    </w:p>
    <w:p w:rsidR="00FE5E30" w:rsidRPr="0059005B" w:rsidRDefault="000534A2" w:rsidP="00576468">
      <w:pPr>
        <w:pStyle w:val="BodyText"/>
        <w:ind w:left="454" w:right="113"/>
        <w:jc w:val="both"/>
      </w:pPr>
      <w:r w:rsidRPr="0059005B">
        <w:t>Leuk</w:t>
      </w:r>
      <w:r w:rsidR="00200AF4">
        <w:t>o</w:t>
      </w:r>
      <w:r w:rsidRPr="0059005B">
        <w:t xml:space="preserve">ferezu ne bi trebalo </w:t>
      </w:r>
      <w:r w:rsidR="001F2FF4" w:rsidRPr="0059005B">
        <w:t>s</w:t>
      </w:r>
      <w:r w:rsidRPr="0059005B">
        <w:t xml:space="preserve">provoditi </w:t>
      </w:r>
      <w:r w:rsidR="003D0E3A" w:rsidRPr="0059005B">
        <w:t>kod don</w:t>
      </w:r>
      <w:r w:rsidR="001F2FF4" w:rsidRPr="0059005B">
        <w:t>ora</w:t>
      </w:r>
      <w:r w:rsidRPr="0059005B">
        <w:t xml:space="preserve"> koji uzimaju antikoagula</w:t>
      </w:r>
      <w:r w:rsidR="001F2FF4" w:rsidRPr="0059005B">
        <w:t>ntnu terapiju</w:t>
      </w:r>
      <w:r w:rsidRPr="0059005B">
        <w:t xml:space="preserve"> ili za koje se zna da imaju narušenu hemostazu. Primjenu filgrastima potrebno je prekinuti ili smanjiti dozu lijeka ako se broj leukocita poveća na &gt; 70 x10</w:t>
      </w:r>
      <w:r w:rsidRPr="0059005B">
        <w:rPr>
          <w:vertAlign w:val="superscript"/>
        </w:rPr>
        <w:t>9</w:t>
      </w:r>
      <w:r w:rsidR="001F2FF4" w:rsidRPr="0059005B">
        <w:t xml:space="preserve">/l. </w:t>
      </w:r>
      <w:r w:rsidR="00A82FBB" w:rsidRPr="0059005B">
        <w:t>D</w:t>
      </w:r>
      <w:r w:rsidR="00A82FBB">
        <w:t>onore</w:t>
      </w:r>
      <w:r w:rsidR="00A82FBB" w:rsidRPr="0059005B">
        <w:t xml:space="preserve"> </w:t>
      </w:r>
      <w:r w:rsidRPr="0059005B">
        <w:t xml:space="preserve">koji prime G-CSF za mobilizaciju </w:t>
      </w:r>
      <w:r w:rsidR="00D14DE6" w:rsidRPr="0059005B">
        <w:t>progenitorskih ćelija</w:t>
      </w:r>
      <w:r w:rsidRPr="0059005B">
        <w:t xml:space="preserve"> periferne krvi potrebno je pratiti sve dok se hematološki pokazatelji ne vrate na normalne vrijednosti.</w:t>
      </w:r>
    </w:p>
    <w:p w:rsidR="00FE5E30" w:rsidRPr="0059005B" w:rsidRDefault="00FE5E30" w:rsidP="00576468">
      <w:pPr>
        <w:pStyle w:val="BodyText"/>
        <w:spacing w:before="4"/>
        <w:ind w:left="454" w:right="113"/>
        <w:jc w:val="both"/>
      </w:pPr>
    </w:p>
    <w:p w:rsidR="00FE5E30" w:rsidRPr="0059005B" w:rsidRDefault="000534A2" w:rsidP="00576468">
      <w:pPr>
        <w:pStyle w:val="BodyText"/>
        <w:ind w:left="454" w:right="113" w:hanging="1"/>
        <w:jc w:val="both"/>
      </w:pPr>
      <w:r w:rsidRPr="0059005B">
        <w:t xml:space="preserve">Prolazne citogenetske abnormalnosti </w:t>
      </w:r>
      <w:r w:rsidR="001F2FF4" w:rsidRPr="0059005B">
        <w:t>su uočene kod</w:t>
      </w:r>
      <w:r w:rsidRPr="0059005B">
        <w:t xml:space="preserve"> zdravih </w:t>
      </w:r>
      <w:r w:rsidR="00A82FBB" w:rsidRPr="0059005B">
        <w:t>d</w:t>
      </w:r>
      <w:r w:rsidR="00A82FBB">
        <w:t>onora</w:t>
      </w:r>
      <w:r w:rsidR="00A82FBB" w:rsidRPr="0059005B">
        <w:t xml:space="preserve"> </w:t>
      </w:r>
      <w:r w:rsidRPr="0059005B">
        <w:t>n</w:t>
      </w:r>
      <w:r w:rsidR="00F1415C" w:rsidRPr="0059005B">
        <w:t>akon primjene G-CSF-a. Značaj</w:t>
      </w:r>
      <w:r w:rsidRPr="0059005B">
        <w:t xml:space="preserve"> ovih promjena nije poznat.</w:t>
      </w:r>
      <w:r w:rsidR="0033303F" w:rsidRPr="0059005B">
        <w:t xml:space="preserve"> </w:t>
      </w:r>
      <w:r w:rsidRPr="0059005B">
        <w:t xml:space="preserve">Ipak, rizik od </w:t>
      </w:r>
      <w:r w:rsidR="001F2FF4" w:rsidRPr="0059005B">
        <w:t>nastaj</w:t>
      </w:r>
      <w:r w:rsidRPr="0059005B">
        <w:t xml:space="preserve">anja </w:t>
      </w:r>
      <w:r w:rsidR="001F2FF4" w:rsidRPr="0059005B">
        <w:t>malig</w:t>
      </w:r>
      <w:r w:rsidRPr="0059005B">
        <w:t xml:space="preserve">nog </w:t>
      </w:r>
      <w:r w:rsidR="001B1E50" w:rsidRPr="0059005B">
        <w:t>mijeloidn</w:t>
      </w:r>
      <w:r w:rsidRPr="0059005B">
        <w:t xml:space="preserve">og klona </w:t>
      </w:r>
      <w:r w:rsidR="001F2FF4" w:rsidRPr="0059005B">
        <w:t>se ne može</w:t>
      </w:r>
      <w:r w:rsidRPr="0059005B">
        <w:t xml:space="preserve"> isključiti. Centru za aferezu preporučuje se sistematsko bilježenje i praćenje d</w:t>
      </w:r>
      <w:r w:rsidR="001F2FF4" w:rsidRPr="0059005B">
        <w:t>onor</w:t>
      </w:r>
      <w:r w:rsidRPr="0059005B">
        <w:t xml:space="preserve">a matičnih </w:t>
      </w:r>
      <w:r w:rsidR="00D14DE6" w:rsidRPr="0059005B">
        <w:t>ćelij</w:t>
      </w:r>
      <w:r w:rsidRPr="0059005B">
        <w:t xml:space="preserve">a </w:t>
      </w:r>
      <w:r w:rsidR="004272FF" w:rsidRPr="0059005B">
        <w:t>tokom</w:t>
      </w:r>
      <w:r w:rsidRPr="0059005B">
        <w:t xml:space="preserve"> najmanje 10 godina kako bi se osigura</w:t>
      </w:r>
      <w:r w:rsidR="001F2FF4" w:rsidRPr="0059005B">
        <w:t>l</w:t>
      </w:r>
      <w:r w:rsidRPr="0059005B">
        <w:t xml:space="preserve">o </w:t>
      </w:r>
      <w:r w:rsidR="001F2FF4" w:rsidRPr="0059005B">
        <w:t xml:space="preserve">dugoročno praćenje </w:t>
      </w:r>
      <w:r w:rsidR="001B226E" w:rsidRPr="0059005B">
        <w:t>bezbjednost</w:t>
      </w:r>
      <w:r w:rsidRPr="0059005B">
        <w:t>i.</w:t>
      </w:r>
    </w:p>
    <w:p w:rsidR="00FE5E30" w:rsidRPr="00243A59" w:rsidRDefault="00FE5E30" w:rsidP="00576468">
      <w:pPr>
        <w:pStyle w:val="BodyText"/>
        <w:spacing w:before="8"/>
        <w:ind w:left="454" w:right="113"/>
        <w:jc w:val="both"/>
        <w:rPr>
          <w:color w:val="FF0000"/>
          <w:sz w:val="21"/>
        </w:rPr>
      </w:pPr>
    </w:p>
    <w:p w:rsidR="00FE5E30" w:rsidRPr="00852B34" w:rsidRDefault="000534A2" w:rsidP="00576468">
      <w:pPr>
        <w:pStyle w:val="BodyText"/>
        <w:spacing w:before="1"/>
        <w:ind w:left="454" w:right="113" w:hanging="1"/>
        <w:jc w:val="both"/>
      </w:pPr>
      <w:r w:rsidRPr="00852B34">
        <w:t xml:space="preserve">Česti ali </w:t>
      </w:r>
      <w:r w:rsidR="006570EA" w:rsidRPr="00852B34">
        <w:t>generaln</w:t>
      </w:r>
      <w:r w:rsidRPr="00852B34">
        <w:t>o asimptomatski slučajevi splenomegalije i vrlo</w:t>
      </w:r>
      <w:r w:rsidR="006570EA" w:rsidRPr="00852B34">
        <w:t xml:space="preserve"> rijetki slučajevi rupture slezine zabilježeni su kod</w:t>
      </w:r>
      <w:r w:rsidRPr="00852B34">
        <w:t xml:space="preserve"> zdravih d</w:t>
      </w:r>
      <w:r w:rsidR="006570EA" w:rsidRPr="00852B34">
        <w:t>onora</w:t>
      </w:r>
      <w:r w:rsidRPr="00852B34">
        <w:t xml:space="preserve"> i </w:t>
      </w:r>
      <w:r w:rsidR="006570EA" w:rsidRPr="00852B34">
        <w:t>p</w:t>
      </w:r>
      <w:r w:rsidR="00302820" w:rsidRPr="00852B34">
        <w:t>acijen</w:t>
      </w:r>
      <w:r w:rsidR="006570EA" w:rsidRPr="00852B34">
        <w:t>a</w:t>
      </w:r>
      <w:r w:rsidR="00302820" w:rsidRPr="00852B34">
        <w:t>t</w:t>
      </w:r>
      <w:r w:rsidRPr="00852B34">
        <w:t xml:space="preserve">a nakon primjene G-CSF-a. U nekim slučajevima </w:t>
      </w:r>
      <w:r w:rsidR="006570EA" w:rsidRPr="00852B34">
        <w:t>je ruptura slezi</w:t>
      </w:r>
      <w:r w:rsidR="00CA221F" w:rsidRPr="00852B34">
        <w:t>ne imala smrtni ishod. Zato</w:t>
      </w:r>
      <w:r w:rsidRPr="00852B34">
        <w:t xml:space="preserve"> je potrebno pažljivo mjeriti veličinu slez</w:t>
      </w:r>
      <w:r w:rsidR="006570EA" w:rsidRPr="00852B34">
        <w:t>i</w:t>
      </w:r>
      <w:r w:rsidRPr="00852B34">
        <w:t>ne (npr. kliničkim pregledom, ultr</w:t>
      </w:r>
      <w:r w:rsidR="006570EA" w:rsidRPr="00852B34">
        <w:t>azvukom). Dijagnozu rupture slezi</w:t>
      </w:r>
      <w:r w:rsidRPr="00852B34">
        <w:t>ne</w:t>
      </w:r>
      <w:r w:rsidR="006570EA" w:rsidRPr="00852B34">
        <w:t xml:space="preserve"> je</w:t>
      </w:r>
      <w:r w:rsidRPr="00852B34">
        <w:t xml:space="preserve"> potrebno </w:t>
      </w:r>
      <w:r w:rsidR="006570EA" w:rsidRPr="00852B34">
        <w:t>razmotriti kod</w:t>
      </w:r>
      <w:r w:rsidRPr="00852B34">
        <w:t xml:space="preserve"> </w:t>
      </w:r>
      <w:r w:rsidR="00A82FBB" w:rsidRPr="00852B34">
        <w:t>d</w:t>
      </w:r>
      <w:r w:rsidR="00A82FBB">
        <w:t>onora</w:t>
      </w:r>
      <w:r w:rsidR="00A82FBB" w:rsidRPr="00852B34">
        <w:t xml:space="preserve"> </w:t>
      </w:r>
      <w:r w:rsidRPr="00852B34">
        <w:t xml:space="preserve">i/ili </w:t>
      </w:r>
      <w:r w:rsidR="006570EA" w:rsidRPr="00852B34">
        <w:t>p</w:t>
      </w:r>
      <w:r w:rsidR="00302820" w:rsidRPr="00852B34">
        <w:t>acijen</w:t>
      </w:r>
      <w:r w:rsidR="006570EA" w:rsidRPr="00852B34">
        <w:t>a</w:t>
      </w:r>
      <w:r w:rsidR="00302820" w:rsidRPr="00852B34">
        <w:t>t</w:t>
      </w:r>
      <w:r w:rsidR="000958F1" w:rsidRPr="00852B34">
        <w:t>a koji na</w:t>
      </w:r>
      <w:r w:rsidRPr="00852B34">
        <w:t>v</w:t>
      </w:r>
      <w:r w:rsidR="000958F1" w:rsidRPr="00852B34">
        <w:t>o</w:t>
      </w:r>
      <w:r w:rsidRPr="00852B34">
        <w:t xml:space="preserve">de bol u gornjem lijevom dijelu abdomena ili bol </w:t>
      </w:r>
      <w:r w:rsidR="00220AF8">
        <w:t>na</w:t>
      </w:r>
      <w:r w:rsidRPr="00852B34">
        <w:t xml:space="preserve"> </w:t>
      </w:r>
      <w:r w:rsidR="00A82FBB">
        <w:t xml:space="preserve">vrhu </w:t>
      </w:r>
      <w:r w:rsidRPr="00852B34">
        <w:t>ramen</w:t>
      </w:r>
      <w:r w:rsidR="00A82FBB">
        <w:t>a</w:t>
      </w:r>
      <w:r w:rsidRPr="00852B34">
        <w:t>.</w:t>
      </w:r>
    </w:p>
    <w:p w:rsidR="00FE5E30" w:rsidRPr="00852B34" w:rsidRDefault="00FE5E30" w:rsidP="00576468">
      <w:pPr>
        <w:pStyle w:val="BodyText"/>
        <w:spacing w:before="10"/>
        <w:ind w:left="454" w:right="113"/>
        <w:jc w:val="both"/>
        <w:rPr>
          <w:sz w:val="21"/>
        </w:rPr>
      </w:pPr>
    </w:p>
    <w:p w:rsidR="00FE5E30" w:rsidRPr="00852B34" w:rsidRDefault="000534A2" w:rsidP="00576468">
      <w:pPr>
        <w:pStyle w:val="BodyText"/>
        <w:ind w:left="454" w:right="113"/>
        <w:jc w:val="both"/>
      </w:pPr>
      <w:r w:rsidRPr="00852B34">
        <w:t xml:space="preserve">Kod zdravih </w:t>
      </w:r>
      <w:r w:rsidR="00A82FBB" w:rsidRPr="00852B34">
        <w:t>d</w:t>
      </w:r>
      <w:r w:rsidR="00A82FBB">
        <w:t>onora</w:t>
      </w:r>
      <w:r w:rsidRPr="00852B34">
        <w:t>, dispnej</w:t>
      </w:r>
      <w:r w:rsidR="000958F1" w:rsidRPr="00852B34">
        <w:t xml:space="preserve">a je zabilježena često, a druga neželjena dejstva na </w:t>
      </w:r>
      <w:r w:rsidRPr="00852B34">
        <w:t>pluć</w:t>
      </w:r>
      <w:r w:rsidR="000958F1" w:rsidRPr="00852B34">
        <w:t>ima</w:t>
      </w:r>
      <w:r w:rsidRPr="00852B34">
        <w:t xml:space="preserve"> (hemoptiza, plućno krvarenje, plućni infiltrati i hipoksija)</w:t>
      </w:r>
      <w:r w:rsidR="000958F1" w:rsidRPr="00852B34">
        <w:t xml:space="preserve"> </w:t>
      </w:r>
      <w:r w:rsidRPr="00852B34">
        <w:t>zabilježen</w:t>
      </w:r>
      <w:r w:rsidR="000958F1" w:rsidRPr="00852B34">
        <w:t xml:space="preserve">i </w:t>
      </w:r>
      <w:r w:rsidR="00A82FBB">
        <w:t xml:space="preserve">su </w:t>
      </w:r>
      <w:r w:rsidR="000958F1" w:rsidRPr="00852B34">
        <w:t>povremeno</w:t>
      </w:r>
      <w:r w:rsidRPr="00852B34">
        <w:t xml:space="preserve">. U slučaju sumnje ili potvrđenih </w:t>
      </w:r>
      <w:r w:rsidR="000958F1" w:rsidRPr="00852B34">
        <w:t xml:space="preserve">neželjenih dejstava na </w:t>
      </w:r>
      <w:r w:rsidRPr="00852B34">
        <w:t>plući</w:t>
      </w:r>
      <w:r w:rsidR="000958F1" w:rsidRPr="00852B34">
        <w:t>ma</w:t>
      </w:r>
      <w:r w:rsidRPr="00852B34">
        <w:t xml:space="preserve">, potrebno je razmotriti </w:t>
      </w:r>
      <w:r w:rsidR="000958F1" w:rsidRPr="00852B34">
        <w:t>prekid liječenja filgrastimom i</w:t>
      </w:r>
      <w:r w:rsidRPr="00852B34">
        <w:t xml:space="preserve"> pružiti odgovarajuću medicinsku </w:t>
      </w:r>
      <w:r w:rsidR="000958F1" w:rsidRPr="00852B34">
        <w:t>pomoć</w:t>
      </w:r>
      <w:r w:rsidRPr="00852B34">
        <w:t>.</w:t>
      </w:r>
    </w:p>
    <w:p w:rsidR="00FE5E30" w:rsidRPr="00852B34" w:rsidRDefault="00FE5E30" w:rsidP="00A0130D">
      <w:pPr>
        <w:pStyle w:val="BodyText"/>
        <w:spacing w:before="3"/>
        <w:jc w:val="both"/>
      </w:pPr>
    </w:p>
    <w:p w:rsidR="00FE5E30" w:rsidRPr="00852B34" w:rsidRDefault="000534A2" w:rsidP="00A0130D">
      <w:pPr>
        <w:pStyle w:val="BodyText"/>
        <w:ind w:left="460"/>
        <w:jc w:val="both"/>
      </w:pPr>
      <w:r w:rsidRPr="00852B34">
        <w:rPr>
          <w:u w:val="single"/>
        </w:rPr>
        <w:t xml:space="preserve">Posebne mjere opreza </w:t>
      </w:r>
      <w:r w:rsidR="000958F1" w:rsidRPr="00852B34">
        <w:rPr>
          <w:u w:val="single"/>
        </w:rPr>
        <w:t>kod</w:t>
      </w:r>
      <w:r w:rsidRPr="00852B34">
        <w:rPr>
          <w:u w:val="single"/>
        </w:rPr>
        <w:t xml:space="preserve"> prima</w:t>
      </w:r>
      <w:r w:rsidR="000958F1" w:rsidRPr="00852B34">
        <w:rPr>
          <w:u w:val="single"/>
        </w:rPr>
        <w:t>lac</w:t>
      </w:r>
      <w:r w:rsidRPr="00852B34">
        <w:rPr>
          <w:u w:val="single"/>
        </w:rPr>
        <w:t xml:space="preserve">a alogenih </w:t>
      </w:r>
      <w:r w:rsidR="00D14DE6" w:rsidRPr="00852B34">
        <w:rPr>
          <w:u w:val="single"/>
        </w:rPr>
        <w:t>progenitorskih ćelija</w:t>
      </w:r>
      <w:r w:rsidR="00685248" w:rsidRPr="00852B34">
        <w:rPr>
          <w:u w:val="single"/>
        </w:rPr>
        <w:t xml:space="preserve"> periferne krvi mobilizov</w:t>
      </w:r>
      <w:r w:rsidRPr="00852B34">
        <w:rPr>
          <w:u w:val="single"/>
        </w:rPr>
        <w:t>anih filgrastimom</w:t>
      </w:r>
    </w:p>
    <w:p w:rsidR="00FE5E30" w:rsidRPr="00243A59" w:rsidRDefault="00FE5E30" w:rsidP="00A0130D">
      <w:pPr>
        <w:pStyle w:val="BodyText"/>
        <w:spacing w:before="10"/>
        <w:jc w:val="both"/>
        <w:rPr>
          <w:color w:val="FF0000"/>
          <w:sz w:val="13"/>
        </w:rPr>
      </w:pPr>
    </w:p>
    <w:p w:rsidR="00685248" w:rsidRPr="00576468" w:rsidRDefault="00685248" w:rsidP="00576468">
      <w:pPr>
        <w:pStyle w:val="BodyText"/>
        <w:ind w:left="454" w:right="113"/>
        <w:jc w:val="both"/>
      </w:pPr>
      <w:r w:rsidRPr="00576468">
        <w:t>Sadašnji podaci ukazuju na to da imun</w:t>
      </w:r>
      <w:r w:rsidR="00687111" w:rsidRPr="00576468">
        <w:t>ološ</w:t>
      </w:r>
      <w:r w:rsidRPr="00576468">
        <w:t xml:space="preserve">ke interakcije između presađenih alogenih PBPC i primaoca mogu biti povezane sa povećanim rizikom od akutne i hronične reakcije </w:t>
      </w:r>
      <w:r w:rsidR="00C43C55" w:rsidRPr="00576468">
        <w:t xml:space="preserve">odbacivanja presađenog </w:t>
      </w:r>
      <w:r w:rsidRPr="00576468">
        <w:t>organa, u poređenju sa o</w:t>
      </w:r>
      <w:r w:rsidR="00687111" w:rsidRPr="00576468">
        <w:t>n</w:t>
      </w:r>
      <w:r w:rsidRPr="00576468">
        <w:t>im nakon transplantacije koštane srži.</w:t>
      </w:r>
    </w:p>
    <w:p w:rsidR="00FE5E30" w:rsidRPr="00852B34" w:rsidRDefault="00FE5E30" w:rsidP="00576468">
      <w:pPr>
        <w:pStyle w:val="BodyText"/>
        <w:ind w:left="454" w:right="113"/>
        <w:jc w:val="both"/>
      </w:pPr>
    </w:p>
    <w:p w:rsidR="00FE5E30" w:rsidRPr="00852B34" w:rsidRDefault="000534A2" w:rsidP="00A0130D">
      <w:pPr>
        <w:pStyle w:val="BodyText"/>
        <w:ind w:left="460"/>
        <w:jc w:val="both"/>
      </w:pPr>
      <w:r w:rsidRPr="00852B34">
        <w:rPr>
          <w:u w:val="single"/>
        </w:rPr>
        <w:t xml:space="preserve">Posebne mjere opreza </w:t>
      </w:r>
      <w:r w:rsidR="00E06721" w:rsidRPr="00852B34">
        <w:rPr>
          <w:u w:val="single"/>
        </w:rPr>
        <w:t>kod pacijenata</w:t>
      </w:r>
      <w:r w:rsidRPr="00852B34">
        <w:rPr>
          <w:u w:val="single"/>
        </w:rPr>
        <w:t xml:space="preserve"> s</w:t>
      </w:r>
      <w:r w:rsidR="00685248" w:rsidRPr="00852B34">
        <w:rPr>
          <w:u w:val="single"/>
        </w:rPr>
        <w:t>a</w:t>
      </w:r>
      <w:r w:rsidRPr="00852B34">
        <w:rPr>
          <w:u w:val="single"/>
        </w:rPr>
        <w:t xml:space="preserve"> teškom </w:t>
      </w:r>
      <w:r w:rsidR="001374C3" w:rsidRPr="00852B34">
        <w:rPr>
          <w:u w:val="single"/>
        </w:rPr>
        <w:t>hronič</w:t>
      </w:r>
      <w:r w:rsidRPr="00852B34">
        <w:rPr>
          <w:u w:val="single"/>
        </w:rPr>
        <w:t>nom neutropenijom</w:t>
      </w:r>
    </w:p>
    <w:p w:rsidR="00FE5E30" w:rsidRPr="00852B34" w:rsidRDefault="00FE5E30" w:rsidP="00A0130D">
      <w:pPr>
        <w:pStyle w:val="BodyText"/>
        <w:spacing w:before="4"/>
        <w:jc w:val="both"/>
        <w:rPr>
          <w:sz w:val="14"/>
        </w:rPr>
      </w:pPr>
    </w:p>
    <w:p w:rsidR="00FE5E30" w:rsidRPr="00852B34" w:rsidRDefault="000534A2" w:rsidP="00A0130D">
      <w:pPr>
        <w:spacing w:before="91" w:line="251" w:lineRule="exact"/>
        <w:ind w:left="460"/>
        <w:jc w:val="both"/>
        <w:rPr>
          <w:i/>
        </w:rPr>
      </w:pPr>
      <w:r w:rsidRPr="00852B34">
        <w:rPr>
          <w:i/>
          <w:u w:val="single"/>
        </w:rPr>
        <w:t>Krvna slika</w:t>
      </w:r>
    </w:p>
    <w:p w:rsidR="00FE5E30" w:rsidRPr="00852B34" w:rsidRDefault="000534A2" w:rsidP="00576468">
      <w:pPr>
        <w:pStyle w:val="BodyText"/>
        <w:ind w:left="454" w:right="113"/>
        <w:jc w:val="both"/>
      </w:pPr>
      <w:r w:rsidRPr="00852B34">
        <w:t xml:space="preserve">Trombocitopenija je često zabilježena </w:t>
      </w:r>
      <w:r w:rsidR="00E06721" w:rsidRPr="00852B34">
        <w:t>kod pacijenata</w:t>
      </w:r>
      <w:r w:rsidRPr="00852B34">
        <w:t xml:space="preserve"> koji primaju filgrastim. Broj trombocita potrebno je pažljivo mjeriti, </w:t>
      </w:r>
      <w:r w:rsidR="00B36681" w:rsidRPr="00852B34">
        <w:t>naročit</w:t>
      </w:r>
      <w:r w:rsidRPr="00852B34">
        <w:t xml:space="preserve">o </w:t>
      </w:r>
      <w:r w:rsidR="004272FF" w:rsidRPr="00852B34">
        <w:t>tokom</w:t>
      </w:r>
      <w:r w:rsidR="00B36681" w:rsidRPr="00852B34">
        <w:t xml:space="preserve"> prvih nekoliko nedjelj</w:t>
      </w:r>
      <w:r w:rsidRPr="00852B34">
        <w:t>a liječenja filgrastimom. Potrebno je</w:t>
      </w:r>
      <w:r w:rsidR="00B36681" w:rsidRPr="00852B34">
        <w:t xml:space="preserve"> </w:t>
      </w:r>
      <w:r w:rsidRPr="00852B34">
        <w:t>razmotriti povremeni prekid primjene ili s</w:t>
      </w:r>
      <w:r w:rsidR="00B36681" w:rsidRPr="00852B34">
        <w:t>manje</w:t>
      </w:r>
      <w:r w:rsidRPr="00852B34">
        <w:t xml:space="preserve">nje doze filgrastima </w:t>
      </w:r>
      <w:r w:rsidR="00E06721" w:rsidRPr="00852B34">
        <w:t>kod pacijenata</w:t>
      </w:r>
      <w:r w:rsidRPr="00852B34">
        <w:t xml:space="preserve"> koji razviju trombocitopeniju, </w:t>
      </w:r>
      <w:r w:rsidRPr="00852B34">
        <w:lastRenderedPageBreak/>
        <w:t>tj. kod kojih je broj trombocita trajno &lt; 100 000/mm</w:t>
      </w:r>
      <w:r w:rsidRPr="00852B34">
        <w:rPr>
          <w:vertAlign w:val="superscript"/>
        </w:rPr>
        <w:t>3</w:t>
      </w:r>
      <w:r w:rsidRPr="00852B34">
        <w:t>.</w:t>
      </w:r>
    </w:p>
    <w:p w:rsidR="00FE5E30" w:rsidRPr="00852B34" w:rsidRDefault="00FE5E30" w:rsidP="00576468">
      <w:pPr>
        <w:pStyle w:val="BodyText"/>
        <w:spacing w:before="10"/>
        <w:ind w:left="454" w:right="113"/>
        <w:jc w:val="both"/>
        <w:rPr>
          <w:sz w:val="21"/>
        </w:rPr>
      </w:pPr>
    </w:p>
    <w:p w:rsidR="00FE5E30" w:rsidRPr="00852B34" w:rsidRDefault="000534A2" w:rsidP="00576468">
      <w:pPr>
        <w:pStyle w:val="BodyText"/>
        <w:ind w:left="454" w:right="113"/>
        <w:jc w:val="both"/>
      </w:pPr>
      <w:r w:rsidRPr="00852B34">
        <w:t xml:space="preserve">Nastaju i druge promjene krvnih </w:t>
      </w:r>
      <w:r w:rsidR="00D14DE6" w:rsidRPr="00852B34">
        <w:t>ćelij</w:t>
      </w:r>
      <w:r w:rsidRPr="00852B34">
        <w:t xml:space="preserve">a, uključujući anemiju i prolazna povećanja broja </w:t>
      </w:r>
      <w:r w:rsidR="001B1E50" w:rsidRPr="00852B34">
        <w:t>mijeloidn</w:t>
      </w:r>
      <w:r w:rsidRPr="00852B34">
        <w:t>ih</w:t>
      </w:r>
      <w:r w:rsidR="00576468">
        <w:t xml:space="preserve"> </w:t>
      </w:r>
      <w:r w:rsidR="00D14DE6" w:rsidRPr="00852B34">
        <w:t>progenitorskih ćelija</w:t>
      </w:r>
      <w:r w:rsidRPr="00852B34">
        <w:t xml:space="preserve">, što zahtijeva pažljivo mjerenje broja krvnih </w:t>
      </w:r>
      <w:r w:rsidR="00D14DE6" w:rsidRPr="00852B34">
        <w:t>ćelij</w:t>
      </w:r>
      <w:r w:rsidRPr="00852B34">
        <w:t>a.</w:t>
      </w:r>
    </w:p>
    <w:p w:rsidR="00FE5E30" w:rsidRPr="00243A59" w:rsidRDefault="00FE5E30" w:rsidP="00576468">
      <w:pPr>
        <w:pStyle w:val="BodyText"/>
        <w:spacing w:before="9"/>
        <w:ind w:left="454" w:right="113"/>
        <w:jc w:val="both"/>
        <w:rPr>
          <w:color w:val="FF0000"/>
          <w:sz w:val="21"/>
        </w:rPr>
      </w:pPr>
    </w:p>
    <w:p w:rsidR="00FE5E30" w:rsidRPr="002C3CA3" w:rsidRDefault="000534A2" w:rsidP="00576468">
      <w:pPr>
        <w:ind w:left="454" w:right="113"/>
        <w:jc w:val="both"/>
        <w:rPr>
          <w:i/>
        </w:rPr>
      </w:pPr>
      <w:r w:rsidRPr="002C3CA3">
        <w:rPr>
          <w:i/>
          <w:u w:val="single"/>
        </w:rPr>
        <w:t>Napredovanje u leukemiju ili mijelodisplastični sindrom</w:t>
      </w:r>
    </w:p>
    <w:p w:rsidR="00FE5E30" w:rsidRPr="002C3CA3" w:rsidRDefault="000534A2" w:rsidP="00576468">
      <w:pPr>
        <w:pStyle w:val="BodyText"/>
        <w:spacing w:before="2"/>
        <w:ind w:left="454" w:right="113" w:hanging="1"/>
        <w:jc w:val="both"/>
      </w:pPr>
      <w:r w:rsidRPr="002C3CA3">
        <w:t>Potreban je po</w:t>
      </w:r>
      <w:r w:rsidR="00F96D31" w:rsidRPr="002C3CA3">
        <w:t>seban oprez kod dijagnoze teške</w:t>
      </w:r>
      <w:r w:rsidRPr="002C3CA3">
        <w:t xml:space="preserve"> </w:t>
      </w:r>
      <w:r w:rsidR="001374C3" w:rsidRPr="002C3CA3">
        <w:t>hronič</w:t>
      </w:r>
      <w:r w:rsidRPr="002C3CA3">
        <w:t>n</w:t>
      </w:r>
      <w:r w:rsidR="00F96D31" w:rsidRPr="002C3CA3">
        <w:t>e</w:t>
      </w:r>
      <w:r w:rsidRPr="002C3CA3">
        <w:t xml:space="preserve"> neutropenij</w:t>
      </w:r>
      <w:r w:rsidR="00F96D31" w:rsidRPr="002C3CA3">
        <w:t>e</w:t>
      </w:r>
      <w:r w:rsidRPr="002C3CA3">
        <w:t xml:space="preserve"> kako bi se razlikoval</w:t>
      </w:r>
      <w:r w:rsidR="00687111">
        <w:t>a</w:t>
      </w:r>
      <w:r w:rsidRPr="002C3CA3">
        <w:t xml:space="preserve"> od drugih </w:t>
      </w:r>
      <w:r w:rsidR="00F96D31" w:rsidRPr="002C3CA3">
        <w:t>hematološk</w:t>
      </w:r>
      <w:r w:rsidRPr="002C3CA3">
        <w:t xml:space="preserve">ih poremećaja kao što su aplastična anemija, mijelodisplazija i </w:t>
      </w:r>
      <w:r w:rsidR="001B1E50" w:rsidRPr="002C3CA3">
        <w:t>mijeloidn</w:t>
      </w:r>
      <w:r w:rsidRPr="002C3CA3">
        <w:t xml:space="preserve">a leukemija. Prije liječenja potrebno je </w:t>
      </w:r>
      <w:r w:rsidR="00F96D31" w:rsidRPr="002C3CA3">
        <w:t>urad</w:t>
      </w:r>
      <w:r w:rsidRPr="002C3CA3">
        <w:t>iti kompletnu krvnu sliku s</w:t>
      </w:r>
      <w:r w:rsidR="00F96D31" w:rsidRPr="002C3CA3">
        <w:t>a</w:t>
      </w:r>
      <w:r w:rsidRPr="002C3CA3">
        <w:t xml:space="preserve"> diferencijalnom krvn</w:t>
      </w:r>
      <w:r w:rsidR="00F96D31" w:rsidRPr="002C3CA3">
        <w:t>om slikom i brojem trombocita i</w:t>
      </w:r>
      <w:r w:rsidRPr="002C3CA3">
        <w:t xml:space="preserve"> procjenu morfologije i kariotipa koštane srži.</w:t>
      </w:r>
    </w:p>
    <w:p w:rsidR="00FE5E30" w:rsidRPr="002C3CA3" w:rsidRDefault="00FE5E30" w:rsidP="00576468">
      <w:pPr>
        <w:pStyle w:val="BodyText"/>
        <w:spacing w:before="2"/>
        <w:ind w:left="454" w:right="113"/>
        <w:jc w:val="both"/>
      </w:pPr>
    </w:p>
    <w:p w:rsidR="00FE5E30" w:rsidRPr="002C3CA3" w:rsidRDefault="000534A2" w:rsidP="00576468">
      <w:pPr>
        <w:pStyle w:val="BodyText"/>
        <w:ind w:left="454" w:right="113" w:hanging="1"/>
        <w:jc w:val="both"/>
      </w:pPr>
      <w:r w:rsidRPr="002C3CA3">
        <w:t xml:space="preserve">U kliničkim je ispitivanjima kod </w:t>
      </w:r>
      <w:r w:rsidR="00F96D31" w:rsidRPr="002C3CA3">
        <w:t>p</w:t>
      </w:r>
      <w:r w:rsidR="00302820" w:rsidRPr="002C3CA3">
        <w:t>acijen</w:t>
      </w:r>
      <w:r w:rsidR="00F96D31" w:rsidRPr="002C3CA3">
        <w:t>a</w:t>
      </w:r>
      <w:r w:rsidR="00302820" w:rsidRPr="002C3CA3">
        <w:t>t</w:t>
      </w:r>
      <w:r w:rsidRPr="002C3CA3">
        <w:t>a s</w:t>
      </w:r>
      <w:r w:rsidR="00F96D31" w:rsidRPr="002C3CA3">
        <w:t>a</w:t>
      </w:r>
      <w:r w:rsidRPr="002C3CA3">
        <w:t xml:space="preserve"> teškom </w:t>
      </w:r>
      <w:r w:rsidR="001374C3" w:rsidRPr="002C3CA3">
        <w:t>hronič</w:t>
      </w:r>
      <w:r w:rsidRPr="002C3CA3">
        <w:t xml:space="preserve">nom neutropenijom liječenih filgrastimom postojala niska učestalost (približno 3%) mijelodisplastičnih sindroma (MDS) ili leukemije. To je opaženo samo </w:t>
      </w:r>
      <w:r w:rsidR="00E06721" w:rsidRPr="002C3CA3">
        <w:t>kod pacijenata</w:t>
      </w:r>
      <w:r w:rsidRPr="002C3CA3">
        <w:t xml:space="preserve"> s</w:t>
      </w:r>
      <w:r w:rsidR="00F96D31" w:rsidRPr="002C3CA3">
        <w:t>a</w:t>
      </w:r>
      <w:r w:rsidRPr="002C3CA3">
        <w:t xml:space="preserve"> kongenitalnom neutropenijom. MDS i leukemije prirodne su komplikacije ove bolesti i nije sigurno </w:t>
      </w:r>
      <w:r w:rsidR="00F96D31" w:rsidRPr="002C3CA3">
        <w:t>da li su</w:t>
      </w:r>
      <w:r w:rsidRPr="002C3CA3">
        <w:t xml:space="preserve"> povezane s</w:t>
      </w:r>
      <w:r w:rsidR="00F96D31" w:rsidRPr="002C3CA3">
        <w:t>a</w:t>
      </w:r>
      <w:r w:rsidRPr="002C3CA3">
        <w:t xml:space="preserve"> liječenjem filgrastimom. Kod pod</w:t>
      </w:r>
      <w:r w:rsidR="00F96D31" w:rsidRPr="002C3CA3">
        <w:t>grup</w:t>
      </w:r>
      <w:r w:rsidRPr="002C3CA3">
        <w:t xml:space="preserve">e od približno 12% </w:t>
      </w:r>
      <w:r w:rsidR="00F96D31" w:rsidRPr="002C3CA3">
        <w:t>p</w:t>
      </w:r>
      <w:r w:rsidR="00302820" w:rsidRPr="002C3CA3">
        <w:t>acijen</w:t>
      </w:r>
      <w:r w:rsidR="00F96D31" w:rsidRPr="002C3CA3">
        <w:t>a</w:t>
      </w:r>
      <w:r w:rsidR="00302820" w:rsidRPr="002C3CA3">
        <w:t>t</w:t>
      </w:r>
      <w:r w:rsidRPr="002C3CA3">
        <w:t xml:space="preserve">a koji su imali normalne citogenetske nalaze na početku kasnije su se, na rutinskom ponavljanju </w:t>
      </w:r>
      <w:r w:rsidR="00687111">
        <w:t>analize</w:t>
      </w:r>
      <w:r w:rsidRPr="002C3CA3">
        <w:t>, otkrile abnormalnosti, uključujući mono</w:t>
      </w:r>
      <w:r w:rsidR="00687111">
        <w:t>z</w:t>
      </w:r>
      <w:r w:rsidRPr="002C3CA3">
        <w:t xml:space="preserve">omiju 7. Ako </w:t>
      </w:r>
      <w:r w:rsidR="00F96D31" w:rsidRPr="002C3CA3">
        <w:t>p</w:t>
      </w:r>
      <w:r w:rsidR="00302820" w:rsidRPr="002C3CA3">
        <w:t>acijenti</w:t>
      </w:r>
      <w:r w:rsidRPr="002C3CA3">
        <w:t xml:space="preserve"> s</w:t>
      </w:r>
      <w:r w:rsidR="00F96D31" w:rsidRPr="002C3CA3">
        <w:t>a</w:t>
      </w:r>
      <w:r w:rsidRPr="002C3CA3">
        <w:t xml:space="preserve"> teškom </w:t>
      </w:r>
      <w:r w:rsidR="001374C3" w:rsidRPr="002C3CA3">
        <w:t>hronič</w:t>
      </w:r>
      <w:r w:rsidRPr="002C3CA3">
        <w:t>nom neutropenijom razviju abno</w:t>
      </w:r>
      <w:r w:rsidR="00F96D31" w:rsidRPr="002C3CA3">
        <w:t>rmalni citogenetski nalaz, rizike</w:t>
      </w:r>
      <w:r w:rsidRPr="002C3CA3">
        <w:t xml:space="preserve"> i koristi nasta</w:t>
      </w:r>
      <w:r w:rsidR="00F96D31" w:rsidRPr="002C3CA3">
        <w:t>vka primjene filgrastima treba</w:t>
      </w:r>
      <w:r w:rsidRPr="002C3CA3">
        <w:t xml:space="preserve"> pažljivo procijeniti; ako se razvije MDS ili leukemija, primjenu filgrastima</w:t>
      </w:r>
      <w:r w:rsidR="00F96D31" w:rsidRPr="002C3CA3">
        <w:t xml:space="preserve"> je</w:t>
      </w:r>
      <w:r w:rsidRPr="002C3CA3">
        <w:t xml:space="preserve"> potrebno prekinuti. Trenutno nije jasno </w:t>
      </w:r>
      <w:r w:rsidR="00F96D31" w:rsidRPr="002C3CA3">
        <w:t xml:space="preserve">da li </w:t>
      </w:r>
      <w:r w:rsidRPr="002C3CA3">
        <w:t xml:space="preserve">dugotrajno liječenje </w:t>
      </w:r>
      <w:r w:rsidR="00F96D31" w:rsidRPr="002C3CA3">
        <w:t>predisponira p</w:t>
      </w:r>
      <w:r w:rsidR="00302820" w:rsidRPr="002C3CA3">
        <w:t>acijent</w:t>
      </w:r>
      <w:r w:rsidRPr="002C3CA3">
        <w:t>e s</w:t>
      </w:r>
      <w:r w:rsidR="00F96D31" w:rsidRPr="002C3CA3">
        <w:t>a</w:t>
      </w:r>
      <w:r w:rsidRPr="002C3CA3">
        <w:t xml:space="preserve"> teškom </w:t>
      </w:r>
      <w:r w:rsidR="001374C3" w:rsidRPr="002C3CA3">
        <w:t>hronič</w:t>
      </w:r>
      <w:r w:rsidRPr="002C3CA3">
        <w:t xml:space="preserve">nom neutropenijom za citogenetske abnormalnosti, MDS ili leukemijsku transformaciju. Preporučuje se </w:t>
      </w:r>
      <w:r w:rsidR="00F96D31" w:rsidRPr="002C3CA3">
        <w:t>da se vrše</w:t>
      </w:r>
      <w:r w:rsidRPr="002C3CA3">
        <w:t xml:space="preserve"> morfološka i citogenetska ispitivanja koštane srži </w:t>
      </w:r>
      <w:r w:rsidR="00E06721" w:rsidRPr="002C3CA3">
        <w:t>kod pacijenata</w:t>
      </w:r>
      <w:r w:rsidR="00F96D31" w:rsidRPr="002C3CA3">
        <w:t xml:space="preserve"> u redovn</w:t>
      </w:r>
      <w:r w:rsidRPr="002C3CA3">
        <w:t>im vremenskim razmacima (približno svakih 12 mjeseci).</w:t>
      </w:r>
    </w:p>
    <w:p w:rsidR="00FE5E30" w:rsidRPr="00243A59" w:rsidRDefault="00FE5E30" w:rsidP="00576468">
      <w:pPr>
        <w:pStyle w:val="BodyText"/>
        <w:spacing w:before="11"/>
        <w:ind w:left="454" w:right="113"/>
        <w:jc w:val="both"/>
        <w:rPr>
          <w:color w:val="FF0000"/>
          <w:sz w:val="21"/>
        </w:rPr>
      </w:pPr>
    </w:p>
    <w:p w:rsidR="00FE5E30" w:rsidRPr="00225260" w:rsidRDefault="000534A2" w:rsidP="00576468">
      <w:pPr>
        <w:ind w:left="454" w:right="113"/>
        <w:jc w:val="both"/>
        <w:rPr>
          <w:i/>
        </w:rPr>
      </w:pPr>
      <w:r w:rsidRPr="00225260">
        <w:rPr>
          <w:i/>
          <w:u w:val="single"/>
        </w:rPr>
        <w:t>Druge posebne mjere opreza</w:t>
      </w:r>
    </w:p>
    <w:p w:rsidR="00FE5E30" w:rsidRPr="00225260" w:rsidRDefault="000534A2" w:rsidP="00576468">
      <w:pPr>
        <w:pStyle w:val="BodyText"/>
        <w:spacing w:before="1"/>
        <w:ind w:left="454" w:right="113"/>
        <w:jc w:val="both"/>
      </w:pPr>
      <w:r w:rsidRPr="00225260">
        <w:t>Potrebno je isključiti uzroke prolazne neutropenije, kao što su virusne infekcije.</w:t>
      </w:r>
    </w:p>
    <w:p w:rsidR="00FE5E30" w:rsidRPr="00225260" w:rsidRDefault="00FE5E30" w:rsidP="00576468">
      <w:pPr>
        <w:pStyle w:val="BodyText"/>
        <w:spacing w:before="10"/>
        <w:ind w:left="454" w:right="113"/>
        <w:jc w:val="both"/>
        <w:rPr>
          <w:sz w:val="21"/>
        </w:rPr>
      </w:pPr>
    </w:p>
    <w:p w:rsidR="00FE5E30" w:rsidRPr="00225260" w:rsidRDefault="000534A2" w:rsidP="00576468">
      <w:pPr>
        <w:pStyle w:val="BodyText"/>
        <w:ind w:left="454" w:right="113"/>
        <w:jc w:val="both"/>
      </w:pPr>
      <w:r w:rsidRPr="00225260">
        <w:t>Nakon primjene filgrastima vrlo često su prijavljeni slučajevi splenomegalije</w:t>
      </w:r>
      <w:r w:rsidR="00A6636E">
        <w:t>,</w:t>
      </w:r>
      <w:r w:rsidRPr="00225260">
        <w:t xml:space="preserve"> a slučajevi ruptu</w:t>
      </w:r>
      <w:r w:rsidR="000D42A8" w:rsidRPr="00225260">
        <w:t>re slezi</w:t>
      </w:r>
      <w:r w:rsidRPr="00225260">
        <w:t xml:space="preserve">ne često. Osobe koje primaju filgrastim i navode bol u gornjem lijevom dijelu abdomena i/ili </w:t>
      </w:r>
      <w:r w:rsidR="00220AF8">
        <w:t xml:space="preserve">na </w:t>
      </w:r>
      <w:r w:rsidRPr="00225260">
        <w:t>vrhu ramena potrebn</w:t>
      </w:r>
      <w:r w:rsidR="000D42A8" w:rsidRPr="00225260">
        <w:t>o je testirati na povećanu slezi</w:t>
      </w:r>
      <w:r w:rsidRPr="00225260">
        <w:t>nu ili rupturu slez</w:t>
      </w:r>
      <w:r w:rsidR="005771EF" w:rsidRPr="00225260">
        <w:t>i</w:t>
      </w:r>
      <w:r w:rsidRPr="00225260">
        <w:t>ne.</w:t>
      </w:r>
    </w:p>
    <w:p w:rsidR="00FE5E30" w:rsidRPr="00225260" w:rsidRDefault="00FE5E30" w:rsidP="00576468">
      <w:pPr>
        <w:pStyle w:val="BodyText"/>
        <w:ind w:left="454" w:right="113"/>
        <w:jc w:val="both"/>
      </w:pPr>
    </w:p>
    <w:p w:rsidR="00FE5E30" w:rsidRPr="00225260" w:rsidRDefault="000534A2" w:rsidP="00576468">
      <w:pPr>
        <w:pStyle w:val="BodyText"/>
        <w:ind w:left="454" w:right="113"/>
        <w:jc w:val="both"/>
      </w:pPr>
      <w:r w:rsidRPr="00225260">
        <w:t xml:space="preserve">Splenomegalija je </w:t>
      </w:r>
      <w:r w:rsidR="000D42A8" w:rsidRPr="00225260">
        <w:t>direktan</w:t>
      </w:r>
      <w:r w:rsidRPr="00225260">
        <w:t xml:space="preserve"> učinak liječenja filgrastimom. Zabilježeno je da je trideset jedan posto (31%) </w:t>
      </w:r>
      <w:r w:rsidR="000D42A8" w:rsidRPr="00225260">
        <w:t>p</w:t>
      </w:r>
      <w:r w:rsidR="00302820" w:rsidRPr="00225260">
        <w:t>acijen</w:t>
      </w:r>
      <w:r w:rsidR="000D42A8" w:rsidRPr="00225260">
        <w:t>a</w:t>
      </w:r>
      <w:r w:rsidR="00302820" w:rsidRPr="00225260">
        <w:t>t</w:t>
      </w:r>
      <w:r w:rsidRPr="00225260">
        <w:t xml:space="preserve">a u ispitivanjima imao palpabilnu splenomegaliju. Prema radiografskim mjerenjima, volumen bi se povećao u ranoj fazi liječenja filgrastimom, a kasnije je </w:t>
      </w:r>
      <w:r w:rsidR="004272FF" w:rsidRPr="00225260">
        <w:t>tokom</w:t>
      </w:r>
      <w:r w:rsidRPr="00225260">
        <w:t xml:space="preserve"> liječenja ostao podjednak. Primijećeno je da s</w:t>
      </w:r>
      <w:r w:rsidR="000B684C" w:rsidRPr="00225260">
        <w:t>manje</w:t>
      </w:r>
      <w:r w:rsidRPr="00225260">
        <w:t>nje doze u</w:t>
      </w:r>
      <w:r w:rsidR="000D42A8" w:rsidRPr="00225260">
        <w:t>sporava ili zaustavlja dalj</w:t>
      </w:r>
      <w:r w:rsidRPr="00225260">
        <w:t>e povećanje slez</w:t>
      </w:r>
      <w:r w:rsidR="000D42A8" w:rsidRPr="00225260">
        <w:t>i</w:t>
      </w:r>
      <w:r w:rsidRPr="00225260">
        <w:t xml:space="preserve">ne, dok je </w:t>
      </w:r>
      <w:r w:rsidR="000D42A8" w:rsidRPr="00225260">
        <w:t>kod</w:t>
      </w:r>
      <w:r w:rsidRPr="00225260">
        <w:t xml:space="preserve"> 3% </w:t>
      </w:r>
      <w:r w:rsidR="000D42A8" w:rsidRPr="00225260">
        <w:t>p</w:t>
      </w:r>
      <w:r w:rsidR="00302820" w:rsidRPr="00225260">
        <w:t>acijen</w:t>
      </w:r>
      <w:r w:rsidR="000D42A8" w:rsidRPr="00225260">
        <w:t>a</w:t>
      </w:r>
      <w:r w:rsidR="00302820" w:rsidRPr="00225260">
        <w:t>t</w:t>
      </w:r>
      <w:r w:rsidRPr="00225260">
        <w:t xml:space="preserve">a bilo potrebno </w:t>
      </w:r>
      <w:r w:rsidR="000D42A8" w:rsidRPr="00225260">
        <w:t>izvrš</w:t>
      </w:r>
      <w:r w:rsidRPr="00225260">
        <w:t>iti splenektomiju. Veličinu slez</w:t>
      </w:r>
      <w:r w:rsidR="000D42A8" w:rsidRPr="00225260">
        <w:t>i</w:t>
      </w:r>
      <w:r w:rsidRPr="00225260">
        <w:t xml:space="preserve">ne </w:t>
      </w:r>
      <w:r w:rsidR="000D42A8" w:rsidRPr="00225260">
        <w:t>je potrebno redovn</w:t>
      </w:r>
      <w:r w:rsidRPr="00225260">
        <w:t>o mjeriti. Palpacija abdomena</w:t>
      </w:r>
      <w:r w:rsidR="000D42A8" w:rsidRPr="00225260">
        <w:t xml:space="preserve"> bi trebalo da bude dovoljna z</w:t>
      </w:r>
      <w:r w:rsidRPr="00225260">
        <w:t>a otkri</w:t>
      </w:r>
      <w:r w:rsidR="000D42A8" w:rsidRPr="00225260">
        <w:t>vanj</w:t>
      </w:r>
      <w:r w:rsidRPr="00225260">
        <w:t>e abnormalno</w:t>
      </w:r>
      <w:r w:rsidR="000D42A8" w:rsidRPr="00225260">
        <w:t>g povećanja volumena slezi</w:t>
      </w:r>
      <w:r w:rsidRPr="00225260">
        <w:t>ne.</w:t>
      </w:r>
    </w:p>
    <w:p w:rsidR="00FE5E30" w:rsidRPr="00225260" w:rsidRDefault="00FE5E30" w:rsidP="00576468">
      <w:pPr>
        <w:pStyle w:val="BodyText"/>
        <w:spacing w:before="2"/>
        <w:ind w:left="454" w:right="113"/>
        <w:jc w:val="both"/>
      </w:pPr>
    </w:p>
    <w:p w:rsidR="00FE5E30" w:rsidRPr="00225260" w:rsidRDefault="000D42A8" w:rsidP="00576468">
      <w:pPr>
        <w:pStyle w:val="BodyText"/>
        <w:spacing w:line="237" w:lineRule="auto"/>
        <w:ind w:left="454" w:right="113"/>
        <w:jc w:val="both"/>
      </w:pPr>
      <w:r w:rsidRPr="00225260">
        <w:t>Hematurija je bila česta, a kod</w:t>
      </w:r>
      <w:r w:rsidR="000534A2" w:rsidRPr="00225260">
        <w:t xml:space="preserve"> malog broja </w:t>
      </w:r>
      <w:r w:rsidRPr="00225260">
        <w:t>p</w:t>
      </w:r>
      <w:r w:rsidR="00302820" w:rsidRPr="00225260">
        <w:t>acijen</w:t>
      </w:r>
      <w:r w:rsidRPr="00225260">
        <w:t>a</w:t>
      </w:r>
      <w:r w:rsidR="00302820" w:rsidRPr="00225260">
        <w:t>t</w:t>
      </w:r>
      <w:r w:rsidR="000534A2" w:rsidRPr="00225260">
        <w:t xml:space="preserve">a </w:t>
      </w:r>
      <w:r w:rsidRPr="00225260">
        <w:t xml:space="preserve">je </w:t>
      </w:r>
      <w:r w:rsidR="000534A2" w:rsidRPr="00225260">
        <w:t>nastala p</w:t>
      </w:r>
      <w:r w:rsidRPr="00225260">
        <w:t>roteinurija. Potrebno je redovn</w:t>
      </w:r>
      <w:r w:rsidR="000534A2" w:rsidRPr="00225260">
        <w:t xml:space="preserve">o </w:t>
      </w:r>
      <w:r w:rsidRPr="00225260">
        <w:t>vrš</w:t>
      </w:r>
      <w:r w:rsidR="00576468">
        <w:t>i</w:t>
      </w:r>
      <w:r w:rsidR="000534A2" w:rsidRPr="00225260">
        <w:t>ti analizu mokraće zbog praćenja tog događaja.</w:t>
      </w:r>
    </w:p>
    <w:p w:rsidR="00FE5E30" w:rsidRPr="00225260" w:rsidRDefault="00FE5E30" w:rsidP="00576468">
      <w:pPr>
        <w:pStyle w:val="BodyText"/>
        <w:spacing w:before="3"/>
        <w:ind w:left="454" w:right="113"/>
        <w:jc w:val="both"/>
      </w:pPr>
    </w:p>
    <w:p w:rsidR="00FE5E30" w:rsidRPr="00225260" w:rsidRDefault="001B226E" w:rsidP="00576468">
      <w:pPr>
        <w:pStyle w:val="BodyText"/>
        <w:ind w:left="454" w:right="113" w:hanging="1"/>
        <w:jc w:val="both"/>
      </w:pPr>
      <w:r w:rsidRPr="00225260">
        <w:t>Bezbjednost</w:t>
      </w:r>
      <w:r w:rsidR="000534A2" w:rsidRPr="00225260">
        <w:t xml:space="preserve"> i </w:t>
      </w:r>
      <w:r w:rsidRPr="00225260">
        <w:t>efikasnost</w:t>
      </w:r>
      <w:r w:rsidR="000D42A8" w:rsidRPr="00225260">
        <w:t xml:space="preserve"> kod </w:t>
      </w:r>
      <w:r w:rsidR="000534A2" w:rsidRPr="00225260">
        <w:t xml:space="preserve">novorođenčadi i </w:t>
      </w:r>
      <w:r w:rsidR="000D42A8" w:rsidRPr="00225260">
        <w:t>p</w:t>
      </w:r>
      <w:r w:rsidR="00302820" w:rsidRPr="00225260">
        <w:t>acijen</w:t>
      </w:r>
      <w:r w:rsidR="000D42A8" w:rsidRPr="00225260">
        <w:t>a</w:t>
      </w:r>
      <w:r w:rsidR="00302820" w:rsidRPr="00225260">
        <w:t>t</w:t>
      </w:r>
      <w:r w:rsidR="000534A2" w:rsidRPr="00225260">
        <w:t>a s</w:t>
      </w:r>
      <w:r w:rsidR="000D42A8" w:rsidRPr="00225260">
        <w:t>a</w:t>
      </w:r>
      <w:r w:rsidR="000534A2" w:rsidRPr="00225260">
        <w:t xml:space="preserve"> autoimunom neutropenijom ni</w:t>
      </w:r>
      <w:r w:rsidR="00A6636E">
        <w:t>je</w:t>
      </w:r>
      <w:r w:rsidR="000534A2" w:rsidRPr="00225260">
        <w:t>su ustanovljene.</w:t>
      </w:r>
    </w:p>
    <w:p w:rsidR="00336210" w:rsidRPr="00225260" w:rsidRDefault="00336210" w:rsidP="00576468">
      <w:pPr>
        <w:pStyle w:val="BodyText"/>
        <w:ind w:left="454" w:right="113"/>
        <w:jc w:val="both"/>
        <w:rPr>
          <w:u w:val="single"/>
        </w:rPr>
      </w:pPr>
    </w:p>
    <w:p w:rsidR="00FE5E30" w:rsidRPr="00225260" w:rsidRDefault="000534A2" w:rsidP="00576468">
      <w:pPr>
        <w:pStyle w:val="BodyText"/>
        <w:ind w:left="454" w:right="113"/>
        <w:jc w:val="both"/>
      </w:pPr>
      <w:r w:rsidRPr="00225260">
        <w:rPr>
          <w:u w:val="single"/>
        </w:rPr>
        <w:t xml:space="preserve">Posebne mjere opreza </w:t>
      </w:r>
      <w:r w:rsidR="00E06721" w:rsidRPr="00225260">
        <w:rPr>
          <w:u w:val="single"/>
        </w:rPr>
        <w:t>kod pacijenata</w:t>
      </w:r>
      <w:r w:rsidRPr="00225260">
        <w:rPr>
          <w:u w:val="single"/>
        </w:rPr>
        <w:t xml:space="preserve"> s</w:t>
      </w:r>
      <w:r w:rsidR="000D42A8" w:rsidRPr="00225260">
        <w:rPr>
          <w:u w:val="single"/>
        </w:rPr>
        <w:t>a</w:t>
      </w:r>
      <w:r w:rsidRPr="00225260">
        <w:rPr>
          <w:u w:val="single"/>
        </w:rPr>
        <w:t xml:space="preserve"> HIV-infekcijom</w:t>
      </w:r>
    </w:p>
    <w:p w:rsidR="00FE5E30" w:rsidRPr="007C3A28" w:rsidRDefault="000534A2" w:rsidP="00576468">
      <w:pPr>
        <w:pStyle w:val="BodyText"/>
        <w:spacing w:before="2"/>
        <w:ind w:left="454" w:right="113"/>
        <w:jc w:val="both"/>
      </w:pPr>
      <w:r w:rsidRPr="00225260">
        <w:t xml:space="preserve">Nakon primjene filgrastima često su prijavljeni slučajevi splenomegalije. Osobe koje primaju filgrastim i navode bol u gornjem lijevom dijelu abdomena i/ili </w:t>
      </w:r>
      <w:r w:rsidR="00220AF8">
        <w:t xml:space="preserve">na </w:t>
      </w:r>
      <w:r w:rsidRPr="00225260">
        <w:t>vrhu ramena potrebno je testirati na</w:t>
      </w:r>
      <w:r w:rsidRPr="00243A59">
        <w:rPr>
          <w:color w:val="FF0000"/>
        </w:rPr>
        <w:t xml:space="preserve"> </w:t>
      </w:r>
      <w:r w:rsidR="000D42A8" w:rsidRPr="007C3A28">
        <w:t>povećanu slezi</w:t>
      </w:r>
      <w:r w:rsidRPr="007C3A28">
        <w:t>nu ili rupturu slez</w:t>
      </w:r>
      <w:r w:rsidR="000D42A8" w:rsidRPr="007C3A28">
        <w:t>i</w:t>
      </w:r>
      <w:r w:rsidRPr="007C3A28">
        <w:t>ne.</w:t>
      </w:r>
    </w:p>
    <w:p w:rsidR="00FE5E30" w:rsidRPr="007C3A28" w:rsidRDefault="00FE5E30" w:rsidP="00576468">
      <w:pPr>
        <w:pStyle w:val="BodyText"/>
        <w:spacing w:before="7"/>
        <w:ind w:left="454" w:right="113"/>
        <w:jc w:val="both"/>
        <w:rPr>
          <w:sz w:val="21"/>
        </w:rPr>
      </w:pPr>
    </w:p>
    <w:p w:rsidR="00FE5E30" w:rsidRPr="007C3A28" w:rsidRDefault="000534A2" w:rsidP="00576468">
      <w:pPr>
        <w:ind w:left="454" w:right="113"/>
        <w:jc w:val="both"/>
        <w:rPr>
          <w:i/>
        </w:rPr>
      </w:pPr>
      <w:r w:rsidRPr="007C3A28">
        <w:rPr>
          <w:i/>
          <w:u w:val="single"/>
        </w:rPr>
        <w:t>Krvna slika</w:t>
      </w:r>
    </w:p>
    <w:p w:rsidR="00FE5E30" w:rsidRPr="007C3A28" w:rsidRDefault="000534A2" w:rsidP="00576468">
      <w:pPr>
        <w:pStyle w:val="BodyText"/>
        <w:spacing w:before="2"/>
        <w:ind w:left="454" w:right="113" w:hanging="1"/>
        <w:jc w:val="both"/>
      </w:pPr>
      <w:r w:rsidRPr="007C3A28">
        <w:t xml:space="preserve">ABN je potrebno pažljivo pratiti, </w:t>
      </w:r>
      <w:r w:rsidR="000D42A8" w:rsidRPr="007C3A28">
        <w:t>naročit</w:t>
      </w:r>
      <w:r w:rsidRPr="007C3A28">
        <w:t xml:space="preserve">o </w:t>
      </w:r>
      <w:r w:rsidR="004272FF" w:rsidRPr="007C3A28">
        <w:t>tokom</w:t>
      </w:r>
      <w:r w:rsidRPr="007C3A28">
        <w:t xml:space="preserve"> prvih nekoliko n</w:t>
      </w:r>
      <w:r w:rsidR="000D42A8" w:rsidRPr="007C3A28">
        <w:t>edjelj</w:t>
      </w:r>
      <w:r w:rsidRPr="007C3A28">
        <w:t xml:space="preserve">a liječenja filgrastimom. Neki </w:t>
      </w:r>
      <w:r w:rsidR="000D42A8" w:rsidRPr="007C3A28">
        <w:t>p</w:t>
      </w:r>
      <w:r w:rsidR="00302820" w:rsidRPr="007C3A28">
        <w:t>acijenti</w:t>
      </w:r>
      <w:r w:rsidRPr="007C3A28">
        <w:t xml:space="preserve"> mogu vrlo brzo odgovoriti i znatnim povećanjem broja neutrofila na početnu dozu filgrastima. Preporučuje se svakodnevno mjer</w:t>
      </w:r>
      <w:r w:rsidR="000D42A8" w:rsidRPr="007C3A28">
        <w:t>enje</w:t>
      </w:r>
      <w:r w:rsidRPr="007C3A28">
        <w:t xml:space="preserve"> ABN </w:t>
      </w:r>
      <w:r w:rsidR="004272FF" w:rsidRPr="007C3A28">
        <w:t>tokom</w:t>
      </w:r>
      <w:r w:rsidRPr="007C3A28">
        <w:t xml:space="preserve"> prva 2 do 3 dana primjene filgrastima. N</w:t>
      </w:r>
      <w:r w:rsidR="000D42A8" w:rsidRPr="007C3A28">
        <w:t>akon toga, preporučuje se mjerenje</w:t>
      </w:r>
      <w:r w:rsidRPr="007C3A28">
        <w:t xml:space="preserve"> ABN najmanje dva</w:t>
      </w:r>
      <w:r w:rsidR="000D42A8" w:rsidRPr="007C3A28">
        <w:t xml:space="preserve"> </w:t>
      </w:r>
      <w:r w:rsidRPr="007C3A28">
        <w:t>put</w:t>
      </w:r>
      <w:r w:rsidR="000D42A8" w:rsidRPr="007C3A28">
        <w:t>a nedjelj</w:t>
      </w:r>
      <w:r w:rsidRPr="007C3A28">
        <w:t xml:space="preserve">no </w:t>
      </w:r>
      <w:r w:rsidR="004272FF" w:rsidRPr="007C3A28">
        <w:t>tokom</w:t>
      </w:r>
      <w:r w:rsidR="000D42A8" w:rsidRPr="007C3A28">
        <w:t xml:space="preserve"> prve</w:t>
      </w:r>
      <w:r w:rsidRPr="007C3A28">
        <w:t xml:space="preserve"> dv</w:t>
      </w:r>
      <w:r w:rsidR="000D42A8" w:rsidRPr="007C3A28">
        <w:t>ije</w:t>
      </w:r>
      <w:r w:rsidRPr="007C3A28">
        <w:t xml:space="preserve"> </w:t>
      </w:r>
      <w:r w:rsidR="000D42A8" w:rsidRPr="007C3A28">
        <w:t>nedjelje, a zatim jed</w:t>
      </w:r>
      <w:r w:rsidRPr="007C3A28">
        <w:t>n</w:t>
      </w:r>
      <w:r w:rsidR="000D42A8" w:rsidRPr="007C3A28">
        <w:t>om nedjelj</w:t>
      </w:r>
      <w:r w:rsidRPr="007C3A28">
        <w:t>no ili jedn</w:t>
      </w:r>
      <w:r w:rsidR="000D42A8" w:rsidRPr="007C3A28">
        <w:t>om</w:t>
      </w:r>
      <w:r w:rsidRPr="007C3A28">
        <w:t xml:space="preserve"> svak</w:t>
      </w:r>
      <w:r w:rsidR="000D42A8" w:rsidRPr="007C3A28">
        <w:t>e druge nedjelje</w:t>
      </w:r>
      <w:r w:rsidRPr="007C3A28">
        <w:t xml:space="preserve"> </w:t>
      </w:r>
      <w:r w:rsidR="004272FF" w:rsidRPr="007C3A28">
        <w:t>tokom</w:t>
      </w:r>
      <w:r w:rsidRPr="007C3A28">
        <w:t xml:space="preserve"> terapije održavanja. </w:t>
      </w:r>
      <w:r w:rsidR="004272FF" w:rsidRPr="007C3A28">
        <w:t>Tokom</w:t>
      </w:r>
      <w:r w:rsidRPr="007C3A28">
        <w:t xml:space="preserve"> isprekidane primjene filgrastima u dozi od 30 M</w:t>
      </w:r>
      <w:r w:rsidR="00A6636E">
        <w:t>.</w:t>
      </w:r>
      <w:r w:rsidR="001A27FB" w:rsidRPr="007C3A28">
        <w:t>j.</w:t>
      </w:r>
      <w:r w:rsidRPr="007C3A28">
        <w:t xml:space="preserve"> (300 mikrograma)/dan, mogu postojati velike fluktuacije ABN</w:t>
      </w:r>
      <w:r w:rsidR="000D42A8" w:rsidRPr="007C3A28">
        <w:t xml:space="preserve"> ko</w:t>
      </w:r>
      <w:r w:rsidR="00E06721" w:rsidRPr="007C3A28">
        <w:t>d pacijenata</w:t>
      </w:r>
      <w:r w:rsidRPr="007C3A28">
        <w:t xml:space="preserve"> </w:t>
      </w:r>
      <w:r w:rsidR="004272FF" w:rsidRPr="007C3A28">
        <w:t>tokom</w:t>
      </w:r>
      <w:r w:rsidRPr="007C3A28">
        <w:t xml:space="preserve"> vremena. Da bi se odredio najmanji broj ABN kod </w:t>
      </w:r>
      <w:r w:rsidR="000D42A8" w:rsidRPr="007C3A28">
        <w:t>p</w:t>
      </w:r>
      <w:r w:rsidR="00302820" w:rsidRPr="007C3A28">
        <w:t>acijen</w:t>
      </w:r>
      <w:r w:rsidR="000D42A8" w:rsidRPr="007C3A28">
        <w:t>a</w:t>
      </w:r>
      <w:r w:rsidR="00302820" w:rsidRPr="007C3A28">
        <w:t>t</w:t>
      </w:r>
      <w:r w:rsidRPr="007C3A28">
        <w:t xml:space="preserve">a, </w:t>
      </w:r>
      <w:r w:rsidR="000D42A8" w:rsidRPr="007C3A28">
        <w:t>preporučuje se uzimanje</w:t>
      </w:r>
      <w:r w:rsidRPr="007C3A28">
        <w:t xml:space="preserve"> uzor</w:t>
      </w:r>
      <w:r w:rsidR="004973D1">
        <w:t>a</w:t>
      </w:r>
      <w:r w:rsidRPr="007C3A28">
        <w:t>k</w:t>
      </w:r>
      <w:r w:rsidR="004973D1">
        <w:t>a</w:t>
      </w:r>
      <w:r w:rsidRPr="007C3A28">
        <w:t xml:space="preserve"> krvi za mjerenje ABN neposredno prije primjene planirane doze filgrastima.</w:t>
      </w:r>
    </w:p>
    <w:p w:rsidR="00FE5E30" w:rsidRPr="00243A59" w:rsidRDefault="00FE5E30" w:rsidP="00576468">
      <w:pPr>
        <w:pStyle w:val="BodyText"/>
        <w:spacing w:before="10"/>
        <w:ind w:left="454" w:right="113"/>
        <w:jc w:val="both"/>
        <w:rPr>
          <w:color w:val="FF0000"/>
          <w:sz w:val="21"/>
        </w:rPr>
      </w:pPr>
    </w:p>
    <w:p w:rsidR="00FE5E30" w:rsidRPr="00085BEA" w:rsidRDefault="000534A2" w:rsidP="00576468">
      <w:pPr>
        <w:ind w:left="454" w:right="113"/>
        <w:jc w:val="both"/>
        <w:rPr>
          <w:i/>
        </w:rPr>
      </w:pPr>
      <w:r w:rsidRPr="00085BEA">
        <w:rPr>
          <w:i/>
          <w:u w:val="single"/>
        </w:rPr>
        <w:t>Rizik povezan s</w:t>
      </w:r>
      <w:r w:rsidR="00D86473" w:rsidRPr="00085BEA">
        <w:rPr>
          <w:i/>
          <w:u w:val="single"/>
        </w:rPr>
        <w:t>a</w:t>
      </w:r>
      <w:r w:rsidRPr="00085BEA">
        <w:rPr>
          <w:i/>
          <w:u w:val="single"/>
        </w:rPr>
        <w:t xml:space="preserve"> povišenim dozama mijelosupresivnih </w:t>
      </w:r>
      <w:r w:rsidR="00D86473" w:rsidRPr="00085BEA">
        <w:rPr>
          <w:i/>
          <w:u w:val="single"/>
        </w:rPr>
        <w:t>ljekov</w:t>
      </w:r>
      <w:r w:rsidRPr="00085BEA">
        <w:rPr>
          <w:i/>
          <w:u w:val="single"/>
        </w:rPr>
        <w:t>a</w:t>
      </w:r>
    </w:p>
    <w:p w:rsidR="00FE5E30" w:rsidRPr="00085BEA" w:rsidRDefault="000534A2" w:rsidP="00576468">
      <w:pPr>
        <w:pStyle w:val="BodyText"/>
        <w:spacing w:before="2"/>
        <w:ind w:left="454" w:right="113" w:hanging="1"/>
        <w:jc w:val="both"/>
      </w:pPr>
      <w:r w:rsidRPr="00085BEA">
        <w:t xml:space="preserve">Liječenje samo filgrastimom ne isključuje pojavu trombocitopenije i anemije zbog mijelosupresivnih </w:t>
      </w:r>
      <w:r w:rsidR="00D86473" w:rsidRPr="00085BEA">
        <w:t>ljekov</w:t>
      </w:r>
      <w:r w:rsidRPr="00085BEA">
        <w:t xml:space="preserve">a. Zbog mogućnosti primanja viših doza ili većeg broja ovih </w:t>
      </w:r>
      <w:r w:rsidR="00D86473" w:rsidRPr="00085BEA">
        <w:t>ljekov</w:t>
      </w:r>
      <w:r w:rsidRPr="00085BEA">
        <w:t xml:space="preserve">a </w:t>
      </w:r>
      <w:r w:rsidR="004272FF" w:rsidRPr="00085BEA">
        <w:t>tokom</w:t>
      </w:r>
      <w:r w:rsidRPr="00085BEA">
        <w:t xml:space="preserve"> liječenja</w:t>
      </w:r>
      <w:r w:rsidR="00181A69">
        <w:t xml:space="preserve"> </w:t>
      </w:r>
      <w:r w:rsidRPr="00085BEA">
        <w:t xml:space="preserve">filgrastimom, </w:t>
      </w:r>
      <w:r w:rsidR="00D86473" w:rsidRPr="00085BEA">
        <w:t>p</w:t>
      </w:r>
      <w:r w:rsidR="00302820" w:rsidRPr="00085BEA">
        <w:t>acijent</w:t>
      </w:r>
      <w:r w:rsidRPr="00085BEA">
        <w:t xml:space="preserve"> može imati povećan rizik od razvoja trombocitopenije i anemije. Preporučuje se red</w:t>
      </w:r>
      <w:r w:rsidR="00D86473" w:rsidRPr="00085BEA">
        <w:t>ovn</w:t>
      </w:r>
      <w:r w:rsidRPr="00085BEA">
        <w:t>o praćenje krvne slike (vidjeti gore).</w:t>
      </w:r>
    </w:p>
    <w:p w:rsidR="00FE5E30" w:rsidRPr="00243A59" w:rsidRDefault="00FE5E30" w:rsidP="00576468">
      <w:pPr>
        <w:pStyle w:val="BodyText"/>
        <w:spacing w:before="2"/>
        <w:ind w:left="454" w:right="113"/>
        <w:jc w:val="both"/>
        <w:rPr>
          <w:color w:val="FF0000"/>
        </w:rPr>
      </w:pPr>
    </w:p>
    <w:p w:rsidR="00FE5E30" w:rsidRPr="00953F19" w:rsidRDefault="000534A2" w:rsidP="00576468">
      <w:pPr>
        <w:spacing w:line="251" w:lineRule="exact"/>
        <w:ind w:left="454" w:right="113"/>
        <w:jc w:val="both"/>
        <w:rPr>
          <w:i/>
        </w:rPr>
      </w:pPr>
      <w:r w:rsidRPr="00953F19">
        <w:rPr>
          <w:i/>
          <w:u w:val="single"/>
        </w:rPr>
        <w:t xml:space="preserve">Infekcije i </w:t>
      </w:r>
      <w:r w:rsidR="00D86473" w:rsidRPr="00953F19">
        <w:rPr>
          <w:i/>
          <w:u w:val="single"/>
        </w:rPr>
        <w:t>malign</w:t>
      </w:r>
      <w:r w:rsidRPr="00953F19">
        <w:rPr>
          <w:i/>
          <w:u w:val="single"/>
        </w:rPr>
        <w:t>e bolesti koje uzrokuju mijelosupresiju</w:t>
      </w:r>
    </w:p>
    <w:p w:rsidR="00FE5E30" w:rsidRPr="00953F19" w:rsidRDefault="000534A2" w:rsidP="00576468">
      <w:pPr>
        <w:pStyle w:val="BodyText"/>
        <w:ind w:left="454" w:right="113"/>
        <w:jc w:val="both"/>
      </w:pPr>
      <w:r w:rsidRPr="00953F19">
        <w:t xml:space="preserve">Neutropenija </w:t>
      </w:r>
      <w:r w:rsidRPr="00953F19">
        <w:rPr>
          <w:spacing w:val="-3"/>
        </w:rPr>
        <w:t xml:space="preserve">može </w:t>
      </w:r>
      <w:r w:rsidRPr="00953F19">
        <w:t xml:space="preserve">biti </w:t>
      </w:r>
      <w:r w:rsidRPr="00953F19">
        <w:rPr>
          <w:spacing w:val="-4"/>
        </w:rPr>
        <w:t xml:space="preserve">posljedica </w:t>
      </w:r>
      <w:r w:rsidRPr="00953F19">
        <w:rPr>
          <w:spacing w:val="-3"/>
        </w:rPr>
        <w:t xml:space="preserve">infiltracije </w:t>
      </w:r>
      <w:r w:rsidRPr="00953F19">
        <w:t xml:space="preserve">koštane </w:t>
      </w:r>
      <w:r w:rsidRPr="00953F19">
        <w:rPr>
          <w:spacing w:val="-3"/>
        </w:rPr>
        <w:t xml:space="preserve">srži </w:t>
      </w:r>
      <w:r w:rsidRPr="00953F19">
        <w:rPr>
          <w:spacing w:val="-4"/>
        </w:rPr>
        <w:t xml:space="preserve">uzročnicima </w:t>
      </w:r>
      <w:r w:rsidRPr="00953F19">
        <w:rPr>
          <w:spacing w:val="-3"/>
        </w:rPr>
        <w:t xml:space="preserve">oportunističkih </w:t>
      </w:r>
      <w:r w:rsidRPr="00953F19">
        <w:rPr>
          <w:spacing w:val="-4"/>
        </w:rPr>
        <w:t xml:space="preserve">infekcija </w:t>
      </w:r>
      <w:r w:rsidRPr="00953F19">
        <w:t xml:space="preserve">kao što je </w:t>
      </w:r>
      <w:r w:rsidRPr="00953F19">
        <w:rPr>
          <w:spacing w:val="-3"/>
        </w:rPr>
        <w:t xml:space="preserve">kompleks </w:t>
      </w:r>
      <w:r w:rsidRPr="00953F19">
        <w:rPr>
          <w:i/>
        </w:rPr>
        <w:t xml:space="preserve">Mycobacterium avium </w:t>
      </w:r>
      <w:r w:rsidRPr="00953F19">
        <w:rPr>
          <w:spacing w:val="-3"/>
        </w:rPr>
        <w:t xml:space="preserve">ili </w:t>
      </w:r>
      <w:r w:rsidR="00D86473" w:rsidRPr="00953F19">
        <w:t>malign</w:t>
      </w:r>
      <w:r w:rsidRPr="00953F19">
        <w:t xml:space="preserve">om bolešću kao što je limfom. </w:t>
      </w:r>
      <w:r w:rsidR="00E06721" w:rsidRPr="00953F19">
        <w:t>Kod pacijenata</w:t>
      </w:r>
      <w:r w:rsidRPr="00953F19">
        <w:t xml:space="preserve"> s</w:t>
      </w:r>
      <w:r w:rsidR="00D86473" w:rsidRPr="00953F19">
        <w:t>a</w:t>
      </w:r>
      <w:r w:rsidRPr="00953F19">
        <w:t xml:space="preserve"> poznatim infekcijama ili </w:t>
      </w:r>
      <w:r w:rsidR="00D86473" w:rsidRPr="00953F19">
        <w:t>malign</w:t>
      </w:r>
      <w:r w:rsidRPr="00953F19">
        <w:t>om bolešću koje infiltriraju koštanu srž, razmotrit</w:t>
      </w:r>
      <w:r w:rsidR="004973D1">
        <w:t>i</w:t>
      </w:r>
      <w:r w:rsidRPr="00953F19">
        <w:t xml:space="preserve"> odgovarajuće liječenje tog osnovnog stanja uz primjenu filgrastima za liječenje neutropenije. </w:t>
      </w:r>
      <w:r w:rsidR="00D86473" w:rsidRPr="00953F19">
        <w:t>Efekt</w:t>
      </w:r>
      <w:r w:rsidRPr="00953F19">
        <w:t xml:space="preserve">i filgrastima </w:t>
      </w:r>
      <w:r w:rsidRPr="00953F19">
        <w:rPr>
          <w:spacing w:val="-3"/>
        </w:rPr>
        <w:t xml:space="preserve">na </w:t>
      </w:r>
      <w:r w:rsidRPr="00953F19">
        <w:t xml:space="preserve">neutropeniju uzrokovanu infekcijom ili </w:t>
      </w:r>
      <w:r w:rsidR="00D86473" w:rsidRPr="00953F19">
        <w:t>malign</w:t>
      </w:r>
      <w:r w:rsidRPr="00953F19">
        <w:t xml:space="preserve">om bolešću koje infiltriraju koštanu srž </w:t>
      </w:r>
      <w:r w:rsidRPr="00953F19">
        <w:rPr>
          <w:spacing w:val="-3"/>
        </w:rPr>
        <w:t>ni</w:t>
      </w:r>
      <w:r w:rsidR="004973D1">
        <w:rPr>
          <w:spacing w:val="-3"/>
        </w:rPr>
        <w:t>je</w:t>
      </w:r>
      <w:r w:rsidRPr="00953F19">
        <w:rPr>
          <w:spacing w:val="-3"/>
        </w:rPr>
        <w:t xml:space="preserve">su </w:t>
      </w:r>
      <w:r w:rsidRPr="00953F19">
        <w:t>dobro ustanovljeni.</w:t>
      </w:r>
    </w:p>
    <w:p w:rsidR="00FE5E30" w:rsidRPr="00243A59" w:rsidRDefault="00FE5E30" w:rsidP="00576468">
      <w:pPr>
        <w:pStyle w:val="BodyText"/>
        <w:spacing w:before="2"/>
        <w:ind w:left="454" w:right="113"/>
        <w:jc w:val="both"/>
        <w:rPr>
          <w:color w:val="FF0000"/>
        </w:rPr>
      </w:pPr>
    </w:p>
    <w:p w:rsidR="00FE5E30" w:rsidRPr="00953F19" w:rsidRDefault="000534A2" w:rsidP="00576468">
      <w:pPr>
        <w:pStyle w:val="BodyText"/>
        <w:ind w:left="454" w:right="113"/>
        <w:jc w:val="both"/>
      </w:pPr>
      <w:r w:rsidRPr="00953F19">
        <w:rPr>
          <w:u w:val="single"/>
        </w:rPr>
        <w:t xml:space="preserve">Posebne mjere opreza kod nasljednog obilježja srpastih </w:t>
      </w:r>
      <w:r w:rsidR="00D14DE6" w:rsidRPr="00953F19">
        <w:rPr>
          <w:u w:val="single"/>
        </w:rPr>
        <w:t>ćelij</w:t>
      </w:r>
      <w:r w:rsidRPr="00953F19">
        <w:rPr>
          <w:u w:val="single"/>
        </w:rPr>
        <w:t xml:space="preserve">a i anemije srpastih </w:t>
      </w:r>
      <w:r w:rsidR="00D14DE6" w:rsidRPr="00953F19">
        <w:rPr>
          <w:u w:val="single"/>
        </w:rPr>
        <w:t>ćelij</w:t>
      </w:r>
      <w:r w:rsidRPr="00953F19">
        <w:rPr>
          <w:u w:val="single"/>
        </w:rPr>
        <w:t>a</w:t>
      </w:r>
    </w:p>
    <w:p w:rsidR="00FE5E30" w:rsidRPr="00953F19" w:rsidRDefault="00FE5E30" w:rsidP="00576468">
      <w:pPr>
        <w:pStyle w:val="BodyText"/>
        <w:spacing w:before="10"/>
        <w:ind w:left="454" w:right="113"/>
        <w:jc w:val="both"/>
        <w:rPr>
          <w:sz w:val="13"/>
        </w:rPr>
      </w:pPr>
    </w:p>
    <w:p w:rsidR="00FE5E30" w:rsidRPr="00953F19" w:rsidRDefault="000534A2" w:rsidP="00576468">
      <w:pPr>
        <w:pStyle w:val="BodyText"/>
        <w:spacing w:before="92"/>
        <w:ind w:left="454" w:right="113" w:hanging="1"/>
        <w:jc w:val="both"/>
      </w:pPr>
      <w:r w:rsidRPr="00953F19">
        <w:t xml:space="preserve">Uz primjenu filgrastima </w:t>
      </w:r>
      <w:r w:rsidR="00D86473" w:rsidRPr="00953F19">
        <w:t>kod</w:t>
      </w:r>
      <w:r w:rsidRPr="00953F19">
        <w:t xml:space="preserve"> ispitanika s</w:t>
      </w:r>
      <w:r w:rsidR="00D86473" w:rsidRPr="00953F19">
        <w:t>a</w:t>
      </w:r>
      <w:r w:rsidRPr="00953F19">
        <w:t xml:space="preserve"> nasljednim obilježjem srpastih </w:t>
      </w:r>
      <w:r w:rsidR="00D14DE6" w:rsidRPr="00953F19">
        <w:t>ćelij</w:t>
      </w:r>
      <w:r w:rsidRPr="00953F19">
        <w:t xml:space="preserve">a ili anemijom srpastih </w:t>
      </w:r>
      <w:r w:rsidR="00D14DE6" w:rsidRPr="00953F19">
        <w:t>ćelij</w:t>
      </w:r>
      <w:r w:rsidRPr="00953F19">
        <w:t xml:space="preserve">a zabilježena je kriza srpastih </w:t>
      </w:r>
      <w:r w:rsidR="00D14DE6" w:rsidRPr="00953F19">
        <w:t>ćelij</w:t>
      </w:r>
      <w:r w:rsidRPr="00953F19">
        <w:t>a, u nekim sl</w:t>
      </w:r>
      <w:r w:rsidR="00D86473" w:rsidRPr="00953F19">
        <w:t>učajevima sa smrtnim ishodom. L</w:t>
      </w:r>
      <w:r w:rsidRPr="00953F19">
        <w:t>je</w:t>
      </w:r>
      <w:r w:rsidR="00D86473" w:rsidRPr="00953F19">
        <w:t>kar</w:t>
      </w:r>
      <w:r w:rsidRPr="00953F19">
        <w:t xml:space="preserve">i moraju biti oprezni kad razmatraju primjenu filgrastima </w:t>
      </w:r>
      <w:r w:rsidR="00E06721" w:rsidRPr="00953F19">
        <w:t>kod pacijenata</w:t>
      </w:r>
      <w:r w:rsidRPr="00953F19">
        <w:t xml:space="preserve"> s</w:t>
      </w:r>
      <w:r w:rsidR="00D86473" w:rsidRPr="00953F19">
        <w:t>a</w:t>
      </w:r>
      <w:r w:rsidRPr="00953F19">
        <w:t xml:space="preserve"> nasljednim obilježjem srpastih </w:t>
      </w:r>
      <w:r w:rsidR="00D14DE6" w:rsidRPr="00953F19">
        <w:t>ćelij</w:t>
      </w:r>
      <w:r w:rsidRPr="00953F19">
        <w:t xml:space="preserve">a ili anemijom srpastih </w:t>
      </w:r>
      <w:r w:rsidR="00D14DE6" w:rsidRPr="00953F19">
        <w:t>ćelij</w:t>
      </w:r>
      <w:r w:rsidRPr="00953F19">
        <w:t>a i to samo nakon pažljive procjene mogućih rizika i koristi.</w:t>
      </w:r>
    </w:p>
    <w:p w:rsidR="00FE5E30" w:rsidRPr="00243A59" w:rsidRDefault="00FE5E30" w:rsidP="00576468">
      <w:pPr>
        <w:pStyle w:val="BodyText"/>
        <w:spacing w:before="9"/>
        <w:ind w:left="454" w:right="113"/>
        <w:jc w:val="both"/>
        <w:rPr>
          <w:color w:val="FF0000"/>
          <w:sz w:val="21"/>
        </w:rPr>
      </w:pPr>
    </w:p>
    <w:p w:rsidR="00FE5E30" w:rsidRPr="004D66FE" w:rsidRDefault="000534A2" w:rsidP="00576468">
      <w:pPr>
        <w:pStyle w:val="BodyText"/>
        <w:ind w:left="454" w:right="113"/>
        <w:jc w:val="both"/>
      </w:pPr>
      <w:r w:rsidRPr="004D66FE">
        <w:rPr>
          <w:u w:val="single"/>
        </w:rPr>
        <w:t xml:space="preserve">Svi </w:t>
      </w:r>
      <w:r w:rsidR="00D86473" w:rsidRPr="004D66FE">
        <w:rPr>
          <w:u w:val="single"/>
        </w:rPr>
        <w:t>p</w:t>
      </w:r>
      <w:r w:rsidR="00302820" w:rsidRPr="004D66FE">
        <w:rPr>
          <w:u w:val="single"/>
        </w:rPr>
        <w:t>acijenti</w:t>
      </w:r>
    </w:p>
    <w:p w:rsidR="00FE5E30" w:rsidRPr="004D66FE" w:rsidRDefault="00FE5E30" w:rsidP="00576468">
      <w:pPr>
        <w:pStyle w:val="BodyText"/>
        <w:spacing w:before="3"/>
        <w:ind w:left="454" w:right="113"/>
        <w:jc w:val="both"/>
        <w:rPr>
          <w:sz w:val="14"/>
        </w:rPr>
      </w:pPr>
    </w:p>
    <w:p w:rsidR="00FE5E30" w:rsidRPr="004D66FE" w:rsidRDefault="00D86473" w:rsidP="00576468">
      <w:pPr>
        <w:pStyle w:val="BodyText"/>
        <w:spacing w:before="92"/>
        <w:ind w:left="454" w:right="113" w:hanging="1"/>
        <w:jc w:val="both"/>
      </w:pPr>
      <w:r w:rsidRPr="004D66FE">
        <w:t xml:space="preserve">Lijek </w:t>
      </w:r>
      <w:r w:rsidR="000A38B0">
        <w:t xml:space="preserve">Accofil </w:t>
      </w:r>
      <w:r w:rsidR="000534A2" w:rsidRPr="004D66FE">
        <w:t xml:space="preserve"> sadrži pomoćnu </w:t>
      </w:r>
      <w:r w:rsidRPr="004D66FE">
        <w:t>supstancu</w:t>
      </w:r>
      <w:r w:rsidR="004D66FE" w:rsidRPr="004D66FE">
        <w:t xml:space="preserve"> </w:t>
      </w:r>
      <w:r w:rsidR="000534A2" w:rsidRPr="004D66FE">
        <w:t xml:space="preserve">sorbitol (E420) u koncentraciji od 50 mg/ml. </w:t>
      </w:r>
      <w:r w:rsidR="00302820" w:rsidRPr="004D66FE">
        <w:t>Pacijenti</w:t>
      </w:r>
      <w:r w:rsidR="000534A2" w:rsidRPr="004D66FE">
        <w:t xml:space="preserve"> s</w:t>
      </w:r>
      <w:r w:rsidRPr="004D66FE">
        <w:t>a</w:t>
      </w:r>
      <w:r w:rsidR="000534A2" w:rsidRPr="004D66FE">
        <w:t xml:space="preserve"> rijetkim nasljednim poremećajima </w:t>
      </w:r>
      <w:r w:rsidRPr="004D66FE">
        <w:t>intolerancije</w:t>
      </w:r>
      <w:r w:rsidR="000534A2" w:rsidRPr="004D66FE">
        <w:t xml:space="preserve"> fruktoze ne smiju uzimati ovaj lijek.</w:t>
      </w:r>
    </w:p>
    <w:p w:rsidR="00FE5E30" w:rsidRPr="004D66FE" w:rsidRDefault="00FE5E30" w:rsidP="00576468">
      <w:pPr>
        <w:pStyle w:val="BodyText"/>
        <w:spacing w:before="10"/>
        <w:ind w:left="454" w:right="113"/>
        <w:jc w:val="both"/>
        <w:rPr>
          <w:sz w:val="21"/>
        </w:rPr>
      </w:pPr>
    </w:p>
    <w:p w:rsidR="00FE5E30" w:rsidRPr="004D66FE" w:rsidRDefault="00D86473" w:rsidP="00576468">
      <w:pPr>
        <w:pStyle w:val="BodyText"/>
        <w:ind w:left="454" w:right="113" w:hanging="1"/>
        <w:jc w:val="both"/>
      </w:pPr>
      <w:r w:rsidRPr="004D66FE">
        <w:t>Poklopac igle na napunjenom</w:t>
      </w:r>
      <w:r w:rsidR="005F3488">
        <w:t xml:space="preserve"> injekcionom</w:t>
      </w:r>
      <w:r w:rsidR="000534A2" w:rsidRPr="004D66FE">
        <w:t xml:space="preserve"> </w:t>
      </w:r>
      <w:r w:rsidR="001923F3" w:rsidRPr="004D66FE">
        <w:t>špric</w:t>
      </w:r>
      <w:r w:rsidRPr="004D66FE">
        <w:t>u sadrži suv</w:t>
      </w:r>
      <w:r w:rsidR="000534A2" w:rsidRPr="004D66FE">
        <w:t>u prirodnu gumu (derivat lateksa), koja može uzrokovati alergijske reakcije.</w:t>
      </w:r>
    </w:p>
    <w:p w:rsidR="00FE5E30" w:rsidRPr="00243A59" w:rsidRDefault="00FE5E30" w:rsidP="00576468">
      <w:pPr>
        <w:pStyle w:val="BodyText"/>
        <w:spacing w:before="1"/>
        <w:ind w:left="454" w:right="113"/>
        <w:jc w:val="both"/>
        <w:rPr>
          <w:color w:val="FF0000"/>
          <w:sz w:val="20"/>
        </w:rPr>
      </w:pPr>
    </w:p>
    <w:p w:rsidR="00FE5E30" w:rsidRPr="005B07FF" w:rsidRDefault="00D86473" w:rsidP="00576468">
      <w:pPr>
        <w:pStyle w:val="BodyText"/>
        <w:ind w:left="454" w:right="113"/>
        <w:jc w:val="both"/>
      </w:pPr>
      <w:r w:rsidRPr="005B07FF">
        <w:t>Kod</w:t>
      </w:r>
      <w:r w:rsidR="000534A2" w:rsidRPr="005B07FF">
        <w:t xml:space="preserve"> zdravih osoba i </w:t>
      </w:r>
      <w:r w:rsidRPr="005B07FF">
        <w:t>p</w:t>
      </w:r>
      <w:r w:rsidR="00302820" w:rsidRPr="005B07FF">
        <w:t>acijen</w:t>
      </w:r>
      <w:r w:rsidRPr="005B07FF">
        <w:t>a</w:t>
      </w:r>
      <w:r w:rsidR="00302820" w:rsidRPr="005B07FF">
        <w:t>t</w:t>
      </w:r>
      <w:r w:rsidR="000534A2" w:rsidRPr="005B07FF">
        <w:t>a oboljelih od raka nakon primjene G-CSF-a zabilježen je aortitis, č</w:t>
      </w:r>
      <w:r w:rsidRPr="005B07FF">
        <w:t>iji su simptomi uključivali grozn</w:t>
      </w:r>
      <w:r w:rsidR="000534A2" w:rsidRPr="005B07FF">
        <w:t xml:space="preserve">icu, bol u abdomenu, malaksalost, bol u leđima i povišene upalne markere (npr. C-reaktivni protein i broj leukocita). U većini </w:t>
      </w:r>
      <w:r w:rsidRPr="005B07FF">
        <w:t>slučajeva aortitis je dijagnost</w:t>
      </w:r>
      <w:r w:rsidR="000534A2" w:rsidRPr="005B07FF">
        <w:t>i</w:t>
      </w:r>
      <w:r w:rsidRPr="005B07FF">
        <w:t>kov</w:t>
      </w:r>
      <w:r w:rsidR="000534A2" w:rsidRPr="005B07FF">
        <w:t>an CT snimkom i uglavnom se povukao nakon prestanka primjene G-CSF-a. Vidjeti dio 4.8.</w:t>
      </w:r>
    </w:p>
    <w:p w:rsidR="00FE5E30" w:rsidRPr="00243A59" w:rsidRDefault="00FE5E30" w:rsidP="00576468">
      <w:pPr>
        <w:pStyle w:val="BodyText"/>
        <w:spacing w:before="2"/>
        <w:ind w:left="454" w:right="113"/>
        <w:jc w:val="both"/>
        <w:rPr>
          <w:color w:val="FF0000"/>
        </w:rPr>
      </w:pPr>
    </w:p>
    <w:p w:rsidR="00FE5E30" w:rsidRPr="005B07FF" w:rsidRDefault="008B728D" w:rsidP="00576468">
      <w:pPr>
        <w:pStyle w:val="Heading1"/>
        <w:numPr>
          <w:ilvl w:val="1"/>
          <w:numId w:val="18"/>
        </w:numPr>
        <w:tabs>
          <w:tab w:val="left" w:pos="880"/>
        </w:tabs>
        <w:ind w:left="454" w:right="113"/>
        <w:jc w:val="both"/>
      </w:pPr>
      <w:r w:rsidRPr="005B07FF">
        <w:t>Interakcije sa drugim ljekovima i druge vrste</w:t>
      </w:r>
      <w:r w:rsidR="000534A2" w:rsidRPr="005B07FF">
        <w:rPr>
          <w:spacing w:val="-6"/>
        </w:rPr>
        <w:t xml:space="preserve"> </w:t>
      </w:r>
      <w:r w:rsidR="000534A2" w:rsidRPr="005B07FF">
        <w:t>interakcija</w:t>
      </w:r>
    </w:p>
    <w:p w:rsidR="00FE5E30" w:rsidRPr="005B07FF" w:rsidRDefault="00FE5E30" w:rsidP="00576468">
      <w:pPr>
        <w:pStyle w:val="BodyText"/>
        <w:spacing w:before="9"/>
        <w:ind w:left="454" w:right="113"/>
        <w:jc w:val="both"/>
        <w:rPr>
          <w:b/>
          <w:sz w:val="21"/>
        </w:rPr>
      </w:pPr>
    </w:p>
    <w:p w:rsidR="00FE5E30" w:rsidRPr="005B07FF" w:rsidRDefault="001B226E" w:rsidP="00576468">
      <w:pPr>
        <w:pStyle w:val="BodyText"/>
        <w:spacing w:before="1"/>
        <w:ind w:left="454" w:right="113"/>
        <w:jc w:val="both"/>
      </w:pPr>
      <w:r w:rsidRPr="005B07FF">
        <w:t>Bezbjednost</w:t>
      </w:r>
      <w:r w:rsidR="000534A2" w:rsidRPr="005B07FF">
        <w:t xml:space="preserve"> i </w:t>
      </w:r>
      <w:r w:rsidRPr="005B07FF">
        <w:t>efikasnost</w:t>
      </w:r>
      <w:r w:rsidR="000534A2" w:rsidRPr="005B07FF">
        <w:t xml:space="preserve"> filgrastima primijenjenog istog dana kad i mijelosupresivna citotoksična </w:t>
      </w:r>
      <w:r w:rsidR="00F16896" w:rsidRPr="005B07FF">
        <w:t>hem</w:t>
      </w:r>
      <w:r w:rsidR="004973D1">
        <w:t>i</w:t>
      </w:r>
      <w:r w:rsidR="00F16896" w:rsidRPr="005B07FF">
        <w:t>oter</w:t>
      </w:r>
      <w:r w:rsidR="000534A2" w:rsidRPr="005B07FF">
        <w:t>apija</w:t>
      </w:r>
      <w:r w:rsidR="002C106F" w:rsidRPr="005B07FF">
        <w:t xml:space="preserve"> nije do kraja ustanovljena. </w:t>
      </w:r>
      <w:r w:rsidR="004973D1">
        <w:t>S o</w:t>
      </w:r>
      <w:r w:rsidR="000534A2" w:rsidRPr="005B07FF">
        <w:t xml:space="preserve">bzirom na osjetljivost mijeloidnih </w:t>
      </w:r>
      <w:r w:rsidR="00D14DE6" w:rsidRPr="005B07FF">
        <w:t>ćelij</w:t>
      </w:r>
      <w:r w:rsidR="000534A2" w:rsidRPr="005B07FF">
        <w:t xml:space="preserve">a koje se brzo dijele na mijelosupresivnu citotoksičnu </w:t>
      </w:r>
      <w:r w:rsidR="00F16896" w:rsidRPr="005B07FF">
        <w:t>hem</w:t>
      </w:r>
      <w:r w:rsidR="004973D1">
        <w:t>i</w:t>
      </w:r>
      <w:r w:rsidR="00F16896" w:rsidRPr="005B07FF">
        <w:t>oter</w:t>
      </w:r>
      <w:r w:rsidR="000534A2" w:rsidRPr="005B07FF">
        <w:t xml:space="preserve">apiju, ne preporučuje se primjena filgrastima u </w:t>
      </w:r>
      <w:r w:rsidR="004272FF" w:rsidRPr="005B07FF">
        <w:t>period</w:t>
      </w:r>
      <w:r w:rsidR="000534A2" w:rsidRPr="005B07FF">
        <w:t xml:space="preserve">u od </w:t>
      </w:r>
      <w:r w:rsidR="000534A2" w:rsidRPr="0006103B">
        <w:t xml:space="preserve">24 sata prije do 24 sata poslije </w:t>
      </w:r>
      <w:r w:rsidR="00F16896" w:rsidRPr="0006103B">
        <w:t>hem</w:t>
      </w:r>
      <w:r w:rsidR="00200AF4" w:rsidRPr="00A0130D">
        <w:t>i</w:t>
      </w:r>
      <w:r w:rsidR="00F16896" w:rsidRPr="0006103B">
        <w:t>oter</w:t>
      </w:r>
      <w:r w:rsidR="000534A2" w:rsidRPr="0006103B">
        <w:t>apije. Pre</w:t>
      </w:r>
      <w:r w:rsidR="000534A2" w:rsidRPr="005B07FF">
        <w:t xml:space="preserve">liminarni dokazi kod malog broja </w:t>
      </w:r>
      <w:r w:rsidR="002C106F" w:rsidRPr="005B07FF">
        <w:t>p</w:t>
      </w:r>
      <w:r w:rsidR="00302820" w:rsidRPr="005B07FF">
        <w:t>acijen</w:t>
      </w:r>
      <w:r w:rsidR="002C106F" w:rsidRPr="005B07FF">
        <w:t>a</w:t>
      </w:r>
      <w:r w:rsidR="00302820" w:rsidRPr="005B07FF">
        <w:t>t</w:t>
      </w:r>
      <w:r w:rsidR="000534A2" w:rsidRPr="005B07FF">
        <w:t>a liječenih istovremeno filgrastimom i 5-fluorouracilom pokazuju da to može pogoršati težinu neutropenije.</w:t>
      </w:r>
    </w:p>
    <w:p w:rsidR="00FE5E30" w:rsidRPr="00243A59" w:rsidRDefault="00FE5E30" w:rsidP="00576468">
      <w:pPr>
        <w:pStyle w:val="BodyText"/>
        <w:spacing w:before="11"/>
        <w:ind w:left="454" w:right="113"/>
        <w:jc w:val="both"/>
        <w:rPr>
          <w:color w:val="FF0000"/>
          <w:sz w:val="21"/>
        </w:rPr>
      </w:pPr>
    </w:p>
    <w:p w:rsidR="00FE5E30" w:rsidRPr="00820FFC" w:rsidRDefault="000534A2" w:rsidP="00576468">
      <w:pPr>
        <w:pStyle w:val="BodyText"/>
        <w:spacing w:line="251" w:lineRule="exact"/>
        <w:ind w:left="454" w:right="113"/>
        <w:jc w:val="both"/>
      </w:pPr>
      <w:r w:rsidRPr="00820FFC">
        <w:t>Moguće interakcije s</w:t>
      </w:r>
      <w:r w:rsidR="002C106F" w:rsidRPr="00820FFC">
        <w:t>a</w:t>
      </w:r>
      <w:r w:rsidRPr="00820FFC">
        <w:t xml:space="preserve"> drugim </w:t>
      </w:r>
      <w:r w:rsidR="002C106F" w:rsidRPr="00820FFC">
        <w:t>faktor</w:t>
      </w:r>
      <w:r w:rsidRPr="00820FFC">
        <w:t xml:space="preserve">ima rasta </w:t>
      </w:r>
      <w:r w:rsidR="002C106F" w:rsidRPr="00820FFC">
        <w:t>hematopoetsk</w:t>
      </w:r>
      <w:r w:rsidRPr="00820FFC">
        <w:t xml:space="preserve">ih </w:t>
      </w:r>
      <w:r w:rsidR="00D14DE6" w:rsidRPr="00820FFC">
        <w:t>ćelij</w:t>
      </w:r>
      <w:r w:rsidRPr="00820FFC">
        <w:t>a i citokinima još ni</w:t>
      </w:r>
      <w:r w:rsidR="00CB27B8">
        <w:t>je</w:t>
      </w:r>
      <w:r w:rsidRPr="00820FFC">
        <w:t>su ispitane u</w:t>
      </w:r>
    </w:p>
    <w:p w:rsidR="00FE5E30" w:rsidRPr="00820FFC" w:rsidRDefault="000534A2" w:rsidP="00576468">
      <w:pPr>
        <w:pStyle w:val="BodyText"/>
        <w:spacing w:line="251" w:lineRule="exact"/>
        <w:ind w:left="454" w:right="113"/>
        <w:jc w:val="both"/>
      </w:pPr>
      <w:r w:rsidRPr="00820FFC">
        <w:t>kliničkim ispitivanjima.</w:t>
      </w:r>
    </w:p>
    <w:p w:rsidR="00FE5E30" w:rsidRPr="00243A59" w:rsidRDefault="00FE5E30" w:rsidP="00576468">
      <w:pPr>
        <w:pStyle w:val="BodyText"/>
        <w:spacing w:before="5"/>
        <w:ind w:left="454" w:right="113"/>
        <w:jc w:val="both"/>
        <w:rPr>
          <w:color w:val="FF0000"/>
        </w:rPr>
      </w:pPr>
    </w:p>
    <w:p w:rsidR="00FE5E30" w:rsidRPr="00820FFC" w:rsidRDefault="000534A2" w:rsidP="00576468">
      <w:pPr>
        <w:pStyle w:val="BodyText"/>
        <w:spacing w:line="237" w:lineRule="auto"/>
        <w:ind w:left="454" w:right="113" w:hanging="1"/>
        <w:jc w:val="both"/>
      </w:pPr>
      <w:r w:rsidRPr="00820FFC">
        <w:t>Budući da litij</w:t>
      </w:r>
      <w:r w:rsidR="002C106F" w:rsidRPr="00820FFC">
        <w:t>um</w:t>
      </w:r>
      <w:r w:rsidRPr="00820FFC">
        <w:t xml:space="preserve"> po</w:t>
      </w:r>
      <w:r w:rsidR="00DF205E" w:rsidRPr="00820FFC">
        <w:t>ds</w:t>
      </w:r>
      <w:r w:rsidRPr="00820FFC">
        <w:t>tič</w:t>
      </w:r>
      <w:r w:rsidR="002C106F" w:rsidRPr="00820FFC">
        <w:t>e oslobađanje neutrofila, vjerov</w:t>
      </w:r>
      <w:r w:rsidRPr="00820FFC">
        <w:t xml:space="preserve">atno će pojačati </w:t>
      </w:r>
      <w:r w:rsidR="002C106F" w:rsidRPr="00820FFC">
        <w:t xml:space="preserve">efekat </w:t>
      </w:r>
      <w:r w:rsidRPr="00820FFC">
        <w:t xml:space="preserve">filgrastima. Iako ova interakcija nije </w:t>
      </w:r>
      <w:r w:rsidR="00DF205E" w:rsidRPr="00820FFC">
        <w:t>formalno</w:t>
      </w:r>
      <w:r w:rsidRPr="00820FFC">
        <w:t xml:space="preserve"> ispitana, nema dokaza da je takva interakcija štetna.</w:t>
      </w:r>
    </w:p>
    <w:p w:rsidR="00FE5E30" w:rsidRPr="00820FFC" w:rsidRDefault="00FE5E30" w:rsidP="00576468">
      <w:pPr>
        <w:pStyle w:val="BodyText"/>
        <w:spacing w:before="7"/>
        <w:ind w:left="454" w:right="113"/>
        <w:jc w:val="both"/>
      </w:pPr>
    </w:p>
    <w:p w:rsidR="00FE5E30" w:rsidRPr="00820FFC" w:rsidRDefault="000534A2" w:rsidP="00576468">
      <w:pPr>
        <w:pStyle w:val="Heading1"/>
        <w:numPr>
          <w:ilvl w:val="1"/>
          <w:numId w:val="18"/>
        </w:numPr>
        <w:tabs>
          <w:tab w:val="left" w:pos="883"/>
        </w:tabs>
        <w:ind w:left="454" w:right="113" w:hanging="417"/>
        <w:jc w:val="both"/>
      </w:pPr>
      <w:r w:rsidRPr="00820FFC">
        <w:t>Plodnost, trudnoća i</w:t>
      </w:r>
      <w:r w:rsidRPr="00820FFC">
        <w:rPr>
          <w:spacing w:val="-1"/>
        </w:rPr>
        <w:t xml:space="preserve"> </w:t>
      </w:r>
      <w:r w:rsidRPr="00820FFC">
        <w:t>dojenje</w:t>
      </w:r>
    </w:p>
    <w:p w:rsidR="00FE5E30" w:rsidRPr="00820FFC" w:rsidRDefault="00FE5E30" w:rsidP="00576468">
      <w:pPr>
        <w:pStyle w:val="BodyText"/>
        <w:spacing w:before="6"/>
        <w:ind w:left="454" w:right="113"/>
        <w:jc w:val="both"/>
        <w:rPr>
          <w:b/>
          <w:sz w:val="21"/>
        </w:rPr>
      </w:pPr>
    </w:p>
    <w:p w:rsidR="00FE5E30" w:rsidRPr="00820FFC" w:rsidRDefault="000534A2" w:rsidP="00576468">
      <w:pPr>
        <w:pStyle w:val="BodyText"/>
        <w:ind w:left="454" w:right="113"/>
        <w:jc w:val="both"/>
      </w:pPr>
      <w:r w:rsidRPr="00820FFC">
        <w:rPr>
          <w:u w:val="single"/>
        </w:rPr>
        <w:t>Trudnoća</w:t>
      </w:r>
    </w:p>
    <w:p w:rsidR="00FE5E30" w:rsidRPr="00820FFC" w:rsidRDefault="00FE5E30" w:rsidP="00576468">
      <w:pPr>
        <w:pStyle w:val="BodyText"/>
        <w:spacing w:before="3"/>
        <w:ind w:left="454" w:right="113"/>
        <w:jc w:val="both"/>
        <w:rPr>
          <w:sz w:val="14"/>
        </w:rPr>
      </w:pPr>
    </w:p>
    <w:p w:rsidR="00FE5E30" w:rsidRPr="00820FFC" w:rsidRDefault="00CB27B8" w:rsidP="00576468">
      <w:pPr>
        <w:pStyle w:val="BodyText"/>
        <w:spacing w:before="92"/>
        <w:ind w:left="454" w:right="113"/>
        <w:jc w:val="both"/>
      </w:pPr>
      <w:r>
        <w:t xml:space="preserve">Nema podataka o upotrebi filgrastima kod trudnica ili su ograničeni. </w:t>
      </w:r>
      <w:r w:rsidR="000534A2" w:rsidRPr="00820FFC">
        <w:t>Ispitivanja na životinjama pokazala su reproduktivnu toksičnost. Za</w:t>
      </w:r>
      <w:r w:rsidR="00FD062A" w:rsidRPr="00820FFC">
        <w:t>bilježena je povećana incidenc</w:t>
      </w:r>
      <w:r w:rsidR="000534A2" w:rsidRPr="00820FFC">
        <w:t>a</w:t>
      </w:r>
      <w:r>
        <w:t xml:space="preserve"> </w:t>
      </w:r>
      <w:r w:rsidR="00FD062A" w:rsidRPr="00820FFC">
        <w:t>gubitka embrion</w:t>
      </w:r>
      <w:r w:rsidR="000534A2" w:rsidRPr="00820FFC">
        <w:t xml:space="preserve">a </w:t>
      </w:r>
      <w:r w:rsidR="00FD062A" w:rsidRPr="00D9225F">
        <w:t>kod</w:t>
      </w:r>
      <w:r w:rsidR="000534A2" w:rsidRPr="00D9225F">
        <w:t xml:space="preserve"> kunića</w:t>
      </w:r>
      <w:r w:rsidR="000534A2" w:rsidRPr="00820FFC">
        <w:t xml:space="preserve"> pri visokoj višestrukoj kliničkoj izloženosti i u prisutnosti toksičnosti kod majke (vidjeti dio 5.3). U literaturi su opisani slučajevi gdje je dokazan tra</w:t>
      </w:r>
      <w:r w:rsidR="002F35EB" w:rsidRPr="00820FFC">
        <w:t>nsplacentni prolaz filgrastima kod</w:t>
      </w:r>
      <w:r w:rsidR="000534A2" w:rsidRPr="00820FFC">
        <w:t xml:space="preserve"> trudnica. Ne preporučuje se primjena filgrastima </w:t>
      </w:r>
      <w:r w:rsidR="004272FF" w:rsidRPr="00820FFC">
        <w:t>tokom</w:t>
      </w:r>
      <w:r w:rsidR="000534A2" w:rsidRPr="00820FFC">
        <w:t xml:space="preserve"> trudnoće.</w:t>
      </w:r>
    </w:p>
    <w:p w:rsidR="00FE5E30" w:rsidRPr="00243A59" w:rsidRDefault="00FE5E30" w:rsidP="005E391A">
      <w:pPr>
        <w:pStyle w:val="BodyText"/>
        <w:spacing w:before="1"/>
        <w:ind w:left="454" w:right="113"/>
        <w:jc w:val="both"/>
        <w:rPr>
          <w:color w:val="FF0000"/>
          <w:sz w:val="14"/>
        </w:rPr>
      </w:pPr>
    </w:p>
    <w:p w:rsidR="007171E9" w:rsidRDefault="007171E9" w:rsidP="005E391A">
      <w:pPr>
        <w:pStyle w:val="BodyText"/>
        <w:spacing w:before="91"/>
        <w:ind w:left="454" w:right="113"/>
        <w:jc w:val="both"/>
        <w:rPr>
          <w:u w:val="single"/>
        </w:rPr>
      </w:pPr>
    </w:p>
    <w:p w:rsidR="00FE5E30" w:rsidRPr="008D15F7" w:rsidRDefault="000534A2" w:rsidP="005E391A">
      <w:pPr>
        <w:pStyle w:val="BodyText"/>
        <w:spacing w:before="91"/>
        <w:ind w:left="454" w:right="113"/>
        <w:jc w:val="both"/>
      </w:pPr>
      <w:r w:rsidRPr="008D15F7">
        <w:rPr>
          <w:u w:val="single"/>
        </w:rPr>
        <w:lastRenderedPageBreak/>
        <w:t>Dojenje</w:t>
      </w:r>
    </w:p>
    <w:p w:rsidR="00FE5E30" w:rsidRPr="008D15F7" w:rsidRDefault="00FE5E30" w:rsidP="005E391A">
      <w:pPr>
        <w:pStyle w:val="BodyText"/>
        <w:spacing w:before="10"/>
        <w:ind w:left="454" w:right="113"/>
        <w:jc w:val="both"/>
        <w:rPr>
          <w:sz w:val="13"/>
        </w:rPr>
      </w:pPr>
    </w:p>
    <w:p w:rsidR="00FE5E30" w:rsidRPr="008D15F7" w:rsidRDefault="000534A2" w:rsidP="005E391A">
      <w:pPr>
        <w:pStyle w:val="BodyText"/>
        <w:spacing w:before="92"/>
        <w:ind w:left="454" w:right="113"/>
        <w:jc w:val="both"/>
      </w:pPr>
      <w:r w:rsidRPr="008D15F7">
        <w:t xml:space="preserve">Nije poznato </w:t>
      </w:r>
      <w:r w:rsidR="00A57566" w:rsidRPr="008D15F7">
        <w:t>da li se izlučuj</w:t>
      </w:r>
      <w:r w:rsidR="00CB27B8">
        <w:t>u</w:t>
      </w:r>
      <w:r w:rsidR="00A57566" w:rsidRPr="008D15F7">
        <w:t xml:space="preserve"> filgrastim </w:t>
      </w:r>
      <w:r w:rsidRPr="008D15F7">
        <w:t>ili njegovi metaboliti u majčino mlijeko kod ljudi. Ne može se isključiti rizik po dojenče. Odluka o prekidu dojenja ili prekidu/suzdržavanju od liječenja filgrastimom mora se donijeti uzimajući u obzir korist od dojenja za dijete i korist od liječenja za ženu.</w:t>
      </w:r>
    </w:p>
    <w:p w:rsidR="00FE5E30" w:rsidRPr="00243A59" w:rsidRDefault="00FE5E30" w:rsidP="005E391A">
      <w:pPr>
        <w:pStyle w:val="BodyText"/>
        <w:spacing w:before="2"/>
        <w:ind w:left="454" w:right="113"/>
        <w:jc w:val="both"/>
        <w:rPr>
          <w:color w:val="FF0000"/>
        </w:rPr>
      </w:pPr>
    </w:p>
    <w:p w:rsidR="00FE5E30" w:rsidRPr="008D15F7" w:rsidRDefault="000534A2" w:rsidP="005E391A">
      <w:pPr>
        <w:pStyle w:val="BodyText"/>
        <w:ind w:left="454" w:right="113"/>
        <w:jc w:val="both"/>
      </w:pPr>
      <w:r w:rsidRPr="008D15F7">
        <w:rPr>
          <w:u w:val="single"/>
        </w:rPr>
        <w:t>Plodnost</w:t>
      </w:r>
    </w:p>
    <w:p w:rsidR="00FE5E30" w:rsidRPr="008D15F7" w:rsidRDefault="00FE5E30" w:rsidP="005E391A">
      <w:pPr>
        <w:pStyle w:val="BodyText"/>
        <w:spacing w:before="10"/>
        <w:ind w:left="454" w:right="113"/>
        <w:jc w:val="both"/>
        <w:rPr>
          <w:sz w:val="13"/>
        </w:rPr>
      </w:pPr>
    </w:p>
    <w:p w:rsidR="00FE5E30" w:rsidRPr="008D15F7" w:rsidRDefault="00B154AD" w:rsidP="005E391A">
      <w:pPr>
        <w:pStyle w:val="BodyText"/>
        <w:spacing w:before="92"/>
        <w:ind w:left="454" w:right="113"/>
        <w:jc w:val="both"/>
      </w:pPr>
      <w:r w:rsidRPr="008D15F7">
        <w:t>Filgrastim nije uti</w:t>
      </w:r>
      <w:r w:rsidR="000534A2" w:rsidRPr="008D15F7">
        <w:t xml:space="preserve">cao na reproduktivni </w:t>
      </w:r>
      <w:r w:rsidRPr="008D15F7">
        <w:t>efekat</w:t>
      </w:r>
      <w:r w:rsidR="000534A2" w:rsidRPr="008D15F7">
        <w:t xml:space="preserve"> niti </w:t>
      </w:r>
      <w:r w:rsidRPr="008D15F7">
        <w:t xml:space="preserve">plodnost </w:t>
      </w:r>
      <w:r w:rsidR="00CB27B8">
        <w:t>kod</w:t>
      </w:r>
      <w:r w:rsidRPr="008D15F7">
        <w:t xml:space="preserve"> mužjaka ili ženki pacov</w:t>
      </w:r>
      <w:r w:rsidR="000534A2" w:rsidRPr="008D15F7">
        <w:t>a (vidjeti dio 5.3).</w:t>
      </w:r>
    </w:p>
    <w:p w:rsidR="00FE5E30" w:rsidRPr="00243A59" w:rsidRDefault="00FE5E30" w:rsidP="005E391A">
      <w:pPr>
        <w:pStyle w:val="BodyText"/>
        <w:spacing w:before="8"/>
        <w:ind w:left="454" w:right="113"/>
        <w:jc w:val="both"/>
        <w:rPr>
          <w:color w:val="FF0000"/>
        </w:rPr>
      </w:pPr>
    </w:p>
    <w:p w:rsidR="00FE5E30" w:rsidRPr="008D15F7" w:rsidRDefault="008B728D" w:rsidP="005E391A">
      <w:pPr>
        <w:pStyle w:val="Heading1"/>
        <w:numPr>
          <w:ilvl w:val="1"/>
          <w:numId w:val="18"/>
        </w:numPr>
        <w:tabs>
          <w:tab w:val="left" w:pos="878"/>
        </w:tabs>
        <w:spacing w:before="1"/>
        <w:ind w:left="454" w:right="113" w:hanging="417"/>
        <w:jc w:val="both"/>
      </w:pPr>
      <w:r w:rsidRPr="008D15F7">
        <w:t>Uti</w:t>
      </w:r>
      <w:r w:rsidR="000534A2" w:rsidRPr="008D15F7">
        <w:t>caj na sposo</w:t>
      </w:r>
      <w:r w:rsidRPr="008D15F7">
        <w:t>bnost upravljanja vozilima i rukov</w:t>
      </w:r>
      <w:r w:rsidR="000534A2" w:rsidRPr="008D15F7">
        <w:t>a</w:t>
      </w:r>
      <w:r w:rsidRPr="008D15F7">
        <w:t>nje mašinama</w:t>
      </w:r>
    </w:p>
    <w:p w:rsidR="00FE5E30" w:rsidRPr="008D15F7" w:rsidRDefault="00FE5E30" w:rsidP="005E391A">
      <w:pPr>
        <w:pStyle w:val="BodyText"/>
        <w:spacing w:before="4"/>
        <w:ind w:left="454" w:right="113"/>
        <w:jc w:val="both"/>
        <w:rPr>
          <w:b/>
          <w:sz w:val="21"/>
        </w:rPr>
      </w:pPr>
    </w:p>
    <w:p w:rsidR="00FE5E30" w:rsidRPr="008D15F7" w:rsidRDefault="00A27955" w:rsidP="005E391A">
      <w:pPr>
        <w:pStyle w:val="BodyText"/>
        <w:spacing w:line="477" w:lineRule="auto"/>
        <w:ind w:left="454" w:right="113" w:hanging="1"/>
        <w:jc w:val="both"/>
      </w:pPr>
      <w:r w:rsidRPr="008D15F7">
        <w:t xml:space="preserve">Lijek </w:t>
      </w:r>
      <w:r w:rsidR="000A38B0">
        <w:t xml:space="preserve">Accofil </w:t>
      </w:r>
      <w:r w:rsidRPr="008D15F7">
        <w:t xml:space="preserve"> može u manjoj mjeri uti</w:t>
      </w:r>
      <w:r w:rsidR="000534A2" w:rsidRPr="008D15F7">
        <w:t xml:space="preserve">cati na sposobnost upravljanja vozilima i rada na </w:t>
      </w:r>
      <w:r w:rsidRPr="008D15F7">
        <w:t>mašina</w:t>
      </w:r>
      <w:r w:rsidR="000534A2" w:rsidRPr="008D15F7">
        <w:t xml:space="preserve">ma. Nakon primjene </w:t>
      </w:r>
      <w:r w:rsidRPr="008D15F7">
        <w:t xml:space="preserve">lijeka </w:t>
      </w:r>
      <w:r w:rsidR="000A38B0">
        <w:t xml:space="preserve">Accofil </w:t>
      </w:r>
      <w:r w:rsidR="000534A2" w:rsidRPr="008D15F7">
        <w:t xml:space="preserve"> može se javiti </w:t>
      </w:r>
      <w:r w:rsidRPr="008D15F7">
        <w:t>nesvjest</w:t>
      </w:r>
      <w:r w:rsidR="000534A2" w:rsidRPr="008D15F7">
        <w:t>ica (vidjeti dio 4.8).</w:t>
      </w:r>
    </w:p>
    <w:p w:rsidR="00FE5E30" w:rsidRPr="003C5AFA" w:rsidRDefault="008B728D" w:rsidP="005B7B3D">
      <w:pPr>
        <w:pStyle w:val="Heading1"/>
        <w:numPr>
          <w:ilvl w:val="1"/>
          <w:numId w:val="18"/>
        </w:numPr>
        <w:tabs>
          <w:tab w:val="left" w:pos="878"/>
        </w:tabs>
        <w:spacing w:before="11"/>
        <w:ind w:left="454" w:right="113" w:hanging="417"/>
        <w:jc w:val="both"/>
      </w:pPr>
      <w:r w:rsidRPr="003C5AFA">
        <w:t>Než</w:t>
      </w:r>
      <w:r w:rsidR="000534A2" w:rsidRPr="003C5AFA">
        <w:t>e</w:t>
      </w:r>
      <w:r w:rsidRPr="003C5AFA">
        <w:t>ljena dejstva</w:t>
      </w:r>
    </w:p>
    <w:p w:rsidR="00FE5E30" w:rsidRPr="003C5AFA" w:rsidRDefault="00FE5E30" w:rsidP="005B7B3D">
      <w:pPr>
        <w:pStyle w:val="BodyText"/>
        <w:spacing w:before="5"/>
        <w:ind w:left="454" w:right="113"/>
        <w:jc w:val="both"/>
        <w:rPr>
          <w:b/>
          <w:sz w:val="21"/>
        </w:rPr>
      </w:pPr>
    </w:p>
    <w:p w:rsidR="00FE5E30" w:rsidRPr="003C5AFA" w:rsidRDefault="000534A2" w:rsidP="005B7B3D">
      <w:pPr>
        <w:pStyle w:val="BodyText"/>
        <w:ind w:left="454" w:right="113"/>
        <w:jc w:val="both"/>
      </w:pPr>
      <w:r w:rsidRPr="003C5AFA">
        <w:rPr>
          <w:u w:val="single"/>
        </w:rPr>
        <w:t xml:space="preserve">Sažetak </w:t>
      </w:r>
      <w:r w:rsidR="00700699" w:rsidRPr="003C5AFA">
        <w:rPr>
          <w:u w:val="single"/>
        </w:rPr>
        <w:t>bezbjed</w:t>
      </w:r>
      <w:r w:rsidRPr="003C5AFA">
        <w:rPr>
          <w:u w:val="single"/>
        </w:rPr>
        <w:t>nosnog profila</w:t>
      </w:r>
    </w:p>
    <w:p w:rsidR="00FE5E30" w:rsidRPr="003C5AFA" w:rsidRDefault="00FE5E30" w:rsidP="005B7B3D">
      <w:pPr>
        <w:pStyle w:val="BodyText"/>
        <w:spacing w:before="3"/>
        <w:ind w:left="454" w:right="113"/>
        <w:jc w:val="both"/>
        <w:rPr>
          <w:sz w:val="14"/>
        </w:rPr>
      </w:pPr>
    </w:p>
    <w:p w:rsidR="00FE5E30" w:rsidRPr="003C5AFA" w:rsidRDefault="000534A2" w:rsidP="005B7B3D">
      <w:pPr>
        <w:pStyle w:val="BodyText"/>
        <w:spacing w:before="92"/>
        <w:ind w:left="454" w:right="113"/>
        <w:jc w:val="both"/>
      </w:pPr>
      <w:r w:rsidRPr="003C5AFA">
        <w:t>Najozbiljnij</w:t>
      </w:r>
      <w:r w:rsidR="00700699" w:rsidRPr="003C5AFA">
        <w:t>a neželjena dejstva</w:t>
      </w:r>
      <w:r w:rsidRPr="003C5AFA">
        <w:t xml:space="preserve"> koj</w:t>
      </w:r>
      <w:r w:rsidR="00700699" w:rsidRPr="003C5AFA">
        <w:t>a</w:t>
      </w:r>
      <w:r w:rsidRPr="003C5AFA">
        <w:t xml:space="preserve"> se </w:t>
      </w:r>
      <w:r w:rsidRPr="003C5AFA">
        <w:rPr>
          <w:spacing w:val="-3"/>
        </w:rPr>
        <w:t xml:space="preserve">mogu </w:t>
      </w:r>
      <w:r w:rsidRPr="003C5AFA">
        <w:t>javiti prilikom liječenja filgrastimom su: anafilaktička reakcija, ozbiljn</w:t>
      </w:r>
      <w:r w:rsidR="00F63297">
        <w:t>i</w:t>
      </w:r>
      <w:r w:rsidR="00700699" w:rsidRPr="003C5AFA">
        <w:t xml:space="preserve"> neželjen</w:t>
      </w:r>
      <w:r w:rsidR="00F63297">
        <w:t>i</w:t>
      </w:r>
      <w:r w:rsidR="00700699" w:rsidRPr="003C5AFA">
        <w:t xml:space="preserve"> d</w:t>
      </w:r>
      <w:r w:rsidR="00F63297">
        <w:t>ogađaji</w:t>
      </w:r>
      <w:r w:rsidR="00700699" w:rsidRPr="003C5AFA">
        <w:t xml:space="preserve"> na pl</w:t>
      </w:r>
      <w:r w:rsidRPr="003C5AFA">
        <w:t>uć</w:t>
      </w:r>
      <w:r w:rsidR="00700699" w:rsidRPr="003C5AFA">
        <w:t>ima</w:t>
      </w:r>
      <w:r w:rsidRPr="003C5AFA">
        <w:t xml:space="preserve"> (uključujući intersticij</w:t>
      </w:r>
      <w:r w:rsidR="00B0554A" w:rsidRPr="003C5AFA">
        <w:t>aln</w:t>
      </w:r>
      <w:r w:rsidRPr="003C5AFA">
        <w:t xml:space="preserve">u pneumoniju i ARDS), sindrom </w:t>
      </w:r>
      <w:r w:rsidR="00B0554A" w:rsidRPr="003C5AFA">
        <w:t xml:space="preserve">povećane propustljivosti </w:t>
      </w:r>
      <w:r w:rsidRPr="003C5AFA">
        <w:t>kapilar</w:t>
      </w:r>
      <w:r w:rsidR="00B0554A" w:rsidRPr="003C5AFA">
        <w:t>a</w:t>
      </w:r>
      <w:r w:rsidRPr="003C5AFA">
        <w:t xml:space="preserve">, </w:t>
      </w:r>
      <w:r w:rsidRPr="003C5AFA">
        <w:rPr>
          <w:spacing w:val="-3"/>
        </w:rPr>
        <w:t xml:space="preserve">teška </w:t>
      </w:r>
      <w:r w:rsidRPr="003C5AFA">
        <w:t xml:space="preserve">splenomegalija/ruptura </w:t>
      </w:r>
      <w:r w:rsidRPr="003C5AFA">
        <w:rPr>
          <w:spacing w:val="-3"/>
        </w:rPr>
        <w:t>slez</w:t>
      </w:r>
      <w:r w:rsidR="008C67B5" w:rsidRPr="003C5AFA">
        <w:rPr>
          <w:spacing w:val="-3"/>
        </w:rPr>
        <w:t>i</w:t>
      </w:r>
      <w:r w:rsidRPr="003C5AFA">
        <w:rPr>
          <w:spacing w:val="-3"/>
        </w:rPr>
        <w:t xml:space="preserve">ne, </w:t>
      </w:r>
      <w:r w:rsidRPr="003C5AFA">
        <w:t>trans</w:t>
      </w:r>
      <w:r w:rsidR="00760A4E" w:rsidRPr="003C5AFA">
        <w:t xml:space="preserve">formacija u mijelodisplastični </w:t>
      </w:r>
      <w:r w:rsidRPr="003C5AFA">
        <w:t xml:space="preserve">sindrom ili leukemiju kod </w:t>
      </w:r>
      <w:r w:rsidR="008C67B5" w:rsidRPr="003C5AFA">
        <w:t>p</w:t>
      </w:r>
      <w:r w:rsidR="00302820" w:rsidRPr="003C5AFA">
        <w:t>acijen</w:t>
      </w:r>
      <w:r w:rsidR="008C67B5" w:rsidRPr="003C5AFA">
        <w:t>a</w:t>
      </w:r>
      <w:r w:rsidR="00302820" w:rsidRPr="003C5AFA">
        <w:t>t</w:t>
      </w:r>
      <w:r w:rsidRPr="003C5AFA">
        <w:t>a s</w:t>
      </w:r>
      <w:r w:rsidR="008C67B5" w:rsidRPr="003C5AFA">
        <w:t>a</w:t>
      </w:r>
      <w:r w:rsidRPr="003C5AFA">
        <w:t xml:space="preserve"> teškom </w:t>
      </w:r>
      <w:r w:rsidR="001374C3" w:rsidRPr="003C5AFA">
        <w:t>hronič</w:t>
      </w:r>
      <w:r w:rsidRPr="003C5AFA">
        <w:t xml:space="preserve">nom neutropenijom (engl. </w:t>
      </w:r>
      <w:r w:rsidRPr="003C5AFA">
        <w:rPr>
          <w:i/>
        </w:rPr>
        <w:t>severe chronic neutropenia</w:t>
      </w:r>
      <w:r w:rsidRPr="003C5AFA">
        <w:t xml:space="preserve">, SCN), </w:t>
      </w:r>
      <w:r w:rsidR="00760A4E" w:rsidRPr="003C5AFA">
        <w:rPr>
          <w:spacing w:val="-1"/>
          <w:lang w:val="de-DE"/>
        </w:rPr>
        <w:t>reakcija</w:t>
      </w:r>
      <w:r w:rsidR="00760A4E" w:rsidRPr="003C5AFA">
        <w:rPr>
          <w:spacing w:val="53"/>
          <w:lang w:val="de-DE"/>
        </w:rPr>
        <w:t xml:space="preserve"> </w:t>
      </w:r>
      <w:r w:rsidR="00760A4E" w:rsidRPr="003C5AFA">
        <w:rPr>
          <w:spacing w:val="-1"/>
          <w:lang w:val="de-DE"/>
        </w:rPr>
        <w:t>presađenog</w:t>
      </w:r>
      <w:r w:rsidR="00760A4E" w:rsidRPr="003C5AFA">
        <w:rPr>
          <w:spacing w:val="54"/>
          <w:lang w:val="de-DE"/>
        </w:rPr>
        <w:t xml:space="preserve"> </w:t>
      </w:r>
      <w:r w:rsidR="00760A4E" w:rsidRPr="003C5AFA">
        <w:rPr>
          <w:spacing w:val="-1"/>
          <w:lang w:val="de-DE"/>
        </w:rPr>
        <w:t>organa</w:t>
      </w:r>
      <w:r w:rsidR="00760A4E" w:rsidRPr="003C5AFA">
        <w:rPr>
          <w:spacing w:val="54"/>
          <w:lang w:val="de-DE"/>
        </w:rPr>
        <w:t xml:space="preserve"> </w:t>
      </w:r>
      <w:r w:rsidR="00760A4E" w:rsidRPr="003C5AFA">
        <w:rPr>
          <w:spacing w:val="-2"/>
          <w:lang w:val="de-DE"/>
        </w:rPr>
        <w:t>protiv</w:t>
      </w:r>
      <w:r w:rsidR="00760A4E" w:rsidRPr="003C5AFA">
        <w:rPr>
          <w:spacing w:val="53"/>
          <w:lang w:val="de-DE"/>
        </w:rPr>
        <w:t xml:space="preserve"> </w:t>
      </w:r>
      <w:r w:rsidR="00760A4E" w:rsidRPr="003C5AFA">
        <w:rPr>
          <w:spacing w:val="-1"/>
          <w:lang w:val="de-DE"/>
        </w:rPr>
        <w:t>primaoca</w:t>
      </w:r>
      <w:r w:rsidR="00760A4E" w:rsidRPr="003C5AFA">
        <w:t xml:space="preserve"> </w:t>
      </w:r>
      <w:r w:rsidRPr="003C5AFA">
        <w:t xml:space="preserve">(GvHD) kod </w:t>
      </w:r>
      <w:r w:rsidR="00760A4E" w:rsidRPr="003C5AFA">
        <w:t>p</w:t>
      </w:r>
      <w:r w:rsidR="00302820" w:rsidRPr="003C5AFA">
        <w:t>acijen</w:t>
      </w:r>
      <w:r w:rsidR="00760A4E" w:rsidRPr="003C5AFA">
        <w:t>a</w:t>
      </w:r>
      <w:r w:rsidR="00302820" w:rsidRPr="003C5AFA">
        <w:t>t</w:t>
      </w:r>
      <w:r w:rsidRPr="003C5AFA">
        <w:t xml:space="preserve">a koji primaju alogenu transplantaciju koštane srži ili transplantaciju progenitorskih </w:t>
      </w:r>
      <w:r w:rsidR="00D14DE6" w:rsidRPr="003C5AFA">
        <w:t>ćelij</w:t>
      </w:r>
      <w:r w:rsidRPr="003C5AFA">
        <w:t xml:space="preserve">a iz periferne krvi te kriza srpastih </w:t>
      </w:r>
      <w:r w:rsidR="00D14DE6" w:rsidRPr="003C5AFA">
        <w:t>ćelij</w:t>
      </w:r>
      <w:r w:rsidRPr="003C5AFA">
        <w:t xml:space="preserve">a kod </w:t>
      </w:r>
      <w:r w:rsidR="00760A4E" w:rsidRPr="003C5AFA">
        <w:t>p</w:t>
      </w:r>
      <w:r w:rsidR="00302820" w:rsidRPr="003C5AFA">
        <w:t>acijen</w:t>
      </w:r>
      <w:r w:rsidR="00760A4E" w:rsidRPr="003C5AFA">
        <w:t>a</w:t>
      </w:r>
      <w:r w:rsidR="00302820" w:rsidRPr="003C5AFA">
        <w:t>t</w:t>
      </w:r>
      <w:r w:rsidRPr="003C5AFA">
        <w:t>a sa bolešću srpastih</w:t>
      </w:r>
      <w:r w:rsidRPr="003C5AFA">
        <w:rPr>
          <w:spacing w:val="9"/>
        </w:rPr>
        <w:t xml:space="preserve"> </w:t>
      </w:r>
      <w:r w:rsidR="00D14DE6" w:rsidRPr="003C5AFA">
        <w:t>ćelij</w:t>
      </w:r>
      <w:r w:rsidRPr="003C5AFA">
        <w:t>a.</w:t>
      </w:r>
    </w:p>
    <w:p w:rsidR="00FE5E30" w:rsidRPr="00243A59" w:rsidRDefault="00FE5E30" w:rsidP="005B7B3D">
      <w:pPr>
        <w:pStyle w:val="BodyText"/>
        <w:spacing w:before="8"/>
        <w:ind w:left="454" w:right="113"/>
        <w:jc w:val="both"/>
        <w:rPr>
          <w:color w:val="FF0000"/>
          <w:sz w:val="21"/>
        </w:rPr>
      </w:pPr>
    </w:p>
    <w:p w:rsidR="00FE5E30" w:rsidRPr="003C5AFA" w:rsidRDefault="000534A2" w:rsidP="005B7B3D">
      <w:pPr>
        <w:pStyle w:val="BodyText"/>
        <w:ind w:left="454" w:right="113"/>
        <w:jc w:val="both"/>
      </w:pPr>
      <w:r w:rsidRPr="003C5AFA">
        <w:t xml:space="preserve">Najčešće </w:t>
      </w:r>
      <w:r w:rsidR="00CE04BD" w:rsidRPr="003C5AFA">
        <w:t>zabilježena neželjena dej</w:t>
      </w:r>
      <w:r w:rsidR="000401F8">
        <w:t>s</w:t>
      </w:r>
      <w:r w:rsidR="00CE04BD" w:rsidRPr="003C5AFA">
        <w:t xml:space="preserve">tva </w:t>
      </w:r>
      <w:r w:rsidRPr="003C5AFA">
        <w:t xml:space="preserve">su pireksija, mišićno-koštana bol (uključujući bol u kostima, bol u leđima, artralgiju, mialgiju, bol u ekstremitetima, mišićno-koštanu bol, mišićno-koštanu bol u </w:t>
      </w:r>
      <w:r w:rsidR="00CE04BD" w:rsidRPr="003C5AFA">
        <w:t>medijastinum</w:t>
      </w:r>
      <w:r w:rsidRPr="003C5AFA">
        <w:t xml:space="preserve">u, bol u vratu), anemija, povraćanje i mučnina. U kliničkim ispitivanjima </w:t>
      </w:r>
      <w:r w:rsidR="00CE04BD" w:rsidRPr="003C5AFA">
        <w:t>p</w:t>
      </w:r>
      <w:r w:rsidR="00302820" w:rsidRPr="003C5AFA">
        <w:t>acijen</w:t>
      </w:r>
      <w:r w:rsidR="00CE04BD" w:rsidRPr="003C5AFA">
        <w:t>a</w:t>
      </w:r>
      <w:r w:rsidR="00302820" w:rsidRPr="003C5AFA">
        <w:t>t</w:t>
      </w:r>
      <w:r w:rsidRPr="003C5AFA">
        <w:t>a s</w:t>
      </w:r>
      <w:r w:rsidR="00CE04BD" w:rsidRPr="003C5AFA">
        <w:t>a</w:t>
      </w:r>
      <w:r w:rsidRPr="003C5AFA">
        <w:t xml:space="preserve"> </w:t>
      </w:r>
      <w:r w:rsidR="00FD0BBC">
        <w:t>karcinomom</w:t>
      </w:r>
      <w:r w:rsidRPr="003C5AFA">
        <w:t xml:space="preserve"> mišićno-koštana bol bila je blaga ili umjerena </w:t>
      </w:r>
      <w:r w:rsidR="00CE04BD" w:rsidRPr="003C5AFA">
        <w:t>kod</w:t>
      </w:r>
      <w:r w:rsidRPr="003C5AFA">
        <w:t xml:space="preserve"> 10 % </w:t>
      </w:r>
      <w:r w:rsidR="00CE04BD" w:rsidRPr="003C5AFA">
        <w:t>p</w:t>
      </w:r>
      <w:r w:rsidR="00302820" w:rsidRPr="003C5AFA">
        <w:t>acijen</w:t>
      </w:r>
      <w:r w:rsidR="00CE04BD" w:rsidRPr="003C5AFA">
        <w:t>a</w:t>
      </w:r>
      <w:r w:rsidR="00302820" w:rsidRPr="003C5AFA">
        <w:t>t</w:t>
      </w:r>
      <w:r w:rsidRPr="003C5AFA">
        <w:t xml:space="preserve">a </w:t>
      </w:r>
      <w:r w:rsidR="00CE04BD" w:rsidRPr="003C5AFA">
        <w:t>i teška kod</w:t>
      </w:r>
      <w:r w:rsidRPr="003C5AFA">
        <w:t xml:space="preserve"> 3 % </w:t>
      </w:r>
      <w:r w:rsidR="00CE04BD" w:rsidRPr="003C5AFA">
        <w:t>p</w:t>
      </w:r>
      <w:r w:rsidR="00302820" w:rsidRPr="003C5AFA">
        <w:t>acijen</w:t>
      </w:r>
      <w:r w:rsidR="00CE04BD" w:rsidRPr="003C5AFA">
        <w:t>a</w:t>
      </w:r>
      <w:r w:rsidR="00302820" w:rsidRPr="003C5AFA">
        <w:t>t</w:t>
      </w:r>
      <w:r w:rsidRPr="003C5AFA">
        <w:t>a.</w:t>
      </w:r>
    </w:p>
    <w:p w:rsidR="00FE5E30" w:rsidRPr="003C5AFA" w:rsidRDefault="00FE5E30" w:rsidP="005B7B3D">
      <w:pPr>
        <w:pStyle w:val="BodyText"/>
        <w:spacing w:before="2"/>
        <w:ind w:left="454" w:right="113"/>
        <w:jc w:val="both"/>
      </w:pPr>
    </w:p>
    <w:p w:rsidR="00FE5E30" w:rsidRPr="003C5AFA" w:rsidRDefault="00A406BA" w:rsidP="005B7B3D">
      <w:pPr>
        <w:pStyle w:val="BodyText"/>
        <w:spacing w:before="1"/>
        <w:ind w:left="454" w:right="113"/>
        <w:jc w:val="both"/>
      </w:pPr>
      <w:r w:rsidRPr="003C5AFA">
        <w:rPr>
          <w:u w:val="single"/>
        </w:rPr>
        <w:t>Tabelar</w:t>
      </w:r>
      <w:r w:rsidR="000534A2" w:rsidRPr="003C5AFA">
        <w:rPr>
          <w:u w:val="single"/>
        </w:rPr>
        <w:t xml:space="preserve">ni </w:t>
      </w:r>
      <w:r w:rsidRPr="003C5AFA">
        <w:rPr>
          <w:u w:val="single"/>
        </w:rPr>
        <w:t>prikaz neželjenih dejstava</w:t>
      </w:r>
    </w:p>
    <w:p w:rsidR="00FE5E30" w:rsidRPr="00243A59" w:rsidRDefault="00FE5E30" w:rsidP="005B7B3D">
      <w:pPr>
        <w:pStyle w:val="BodyText"/>
        <w:spacing w:before="10"/>
        <w:ind w:left="454" w:right="113"/>
        <w:jc w:val="both"/>
        <w:rPr>
          <w:color w:val="FF0000"/>
          <w:sz w:val="13"/>
        </w:rPr>
      </w:pPr>
    </w:p>
    <w:p w:rsidR="00FE5E30" w:rsidRDefault="000534A2" w:rsidP="005B7B3D">
      <w:pPr>
        <w:pStyle w:val="BodyText"/>
        <w:spacing w:before="91"/>
        <w:ind w:left="454" w:right="113"/>
        <w:jc w:val="both"/>
      </w:pPr>
      <w:r w:rsidRPr="0064222F">
        <w:t>Podaci u tablicama niže opisuju ne</w:t>
      </w:r>
      <w:r w:rsidR="00FB4802" w:rsidRPr="0064222F">
        <w:t>željena dejstva</w:t>
      </w:r>
      <w:r w:rsidRPr="0064222F">
        <w:t xml:space="preserve"> zabilježen</w:t>
      </w:r>
      <w:r w:rsidR="00FB4802" w:rsidRPr="0064222F">
        <w:t>a</w:t>
      </w:r>
      <w:r w:rsidRPr="0064222F">
        <w:t xml:space="preserve"> u kliničkim ispitivanjima i putem </w:t>
      </w:r>
      <w:r w:rsidR="0064222F">
        <w:t xml:space="preserve"> </w:t>
      </w:r>
      <w:r w:rsidRPr="0064222F">
        <w:t xml:space="preserve">spontanih prijava. Unutar svake </w:t>
      </w:r>
      <w:r w:rsidR="00FB4802" w:rsidRPr="0064222F">
        <w:t>gr</w:t>
      </w:r>
      <w:r w:rsidRPr="0064222F">
        <w:t>upe učestalosti, ne</w:t>
      </w:r>
      <w:r w:rsidR="00FB4802" w:rsidRPr="0064222F">
        <w:t>željena dejstva</w:t>
      </w:r>
      <w:r w:rsidRPr="0064222F">
        <w:t xml:space="preserve"> su prikazan</w:t>
      </w:r>
      <w:r w:rsidR="00FB4802" w:rsidRPr="0064222F">
        <w:t>a</w:t>
      </w:r>
      <w:r w:rsidRPr="0064222F">
        <w:t xml:space="preserve"> od najozbiljnijih prema manje ozbiljnima.</w:t>
      </w:r>
    </w:p>
    <w:p w:rsidR="0064222F" w:rsidRPr="0064222F" w:rsidRDefault="0064222F" w:rsidP="005B7B3D">
      <w:pPr>
        <w:pStyle w:val="BodyText"/>
        <w:spacing w:before="91"/>
        <w:ind w:left="454" w:right="113"/>
        <w:jc w:val="both"/>
      </w:pPr>
      <w:r>
        <w:t>Procjena neželjenih dejstava se zasniva na sljedećim podacima o učestalosti:</w:t>
      </w:r>
    </w:p>
    <w:p w:rsidR="00FE5E30" w:rsidRPr="0064222F" w:rsidRDefault="000534A2" w:rsidP="005B7B3D">
      <w:pPr>
        <w:pStyle w:val="BodyText"/>
        <w:spacing w:before="7" w:line="500" w:lineRule="atLeast"/>
        <w:ind w:left="454" w:right="113"/>
        <w:jc w:val="both"/>
      </w:pPr>
      <w:r w:rsidRPr="0064222F">
        <w:t>V</w:t>
      </w:r>
      <w:r w:rsidR="00FD0BBC">
        <w:t>eoma</w:t>
      </w:r>
      <w:r w:rsidRPr="0064222F">
        <w:t xml:space="preserve"> često: ≥ 1/10</w:t>
      </w:r>
    </w:p>
    <w:p w:rsidR="00FE5E30" w:rsidRPr="0064222F" w:rsidRDefault="000534A2" w:rsidP="005B7B3D">
      <w:pPr>
        <w:pStyle w:val="BodyText"/>
        <w:spacing w:before="5"/>
        <w:ind w:left="454" w:right="113"/>
        <w:jc w:val="both"/>
      </w:pPr>
      <w:r w:rsidRPr="0064222F">
        <w:t>Često: ≥ 1/100 i &lt;</w:t>
      </w:r>
      <w:r w:rsidRPr="0064222F">
        <w:rPr>
          <w:spacing w:val="-1"/>
        </w:rPr>
        <w:t xml:space="preserve"> </w:t>
      </w:r>
      <w:r w:rsidRPr="0064222F">
        <w:t>1/10</w:t>
      </w:r>
    </w:p>
    <w:p w:rsidR="005B7B3D" w:rsidRDefault="00FB4802" w:rsidP="005B7B3D">
      <w:pPr>
        <w:pStyle w:val="BodyText"/>
        <w:spacing w:before="1"/>
        <w:ind w:left="454" w:right="113"/>
        <w:jc w:val="both"/>
      </w:pPr>
      <w:r w:rsidRPr="0064222F">
        <w:t>Povremen</w:t>
      </w:r>
      <w:r w:rsidR="000534A2" w:rsidRPr="0064222F">
        <w:t xml:space="preserve">o: ≥ 1/1000 i &lt; 1/100 </w:t>
      </w:r>
    </w:p>
    <w:p w:rsidR="005B7B3D" w:rsidRDefault="000534A2" w:rsidP="005B7B3D">
      <w:pPr>
        <w:pStyle w:val="BodyText"/>
        <w:spacing w:before="1"/>
        <w:ind w:left="454" w:right="113"/>
        <w:jc w:val="both"/>
      </w:pPr>
      <w:r w:rsidRPr="0064222F">
        <w:t xml:space="preserve">Rijetko: ≥ 1/10000 i &lt; 1/1000 </w:t>
      </w:r>
    </w:p>
    <w:p w:rsidR="00FE5E30" w:rsidRPr="0064222F" w:rsidRDefault="000534A2" w:rsidP="005B7B3D">
      <w:pPr>
        <w:pStyle w:val="BodyText"/>
        <w:spacing w:before="1"/>
        <w:ind w:left="454" w:right="113"/>
        <w:jc w:val="both"/>
      </w:pPr>
      <w:r w:rsidRPr="0064222F">
        <w:t>V</w:t>
      </w:r>
      <w:r w:rsidR="00FD0BBC">
        <w:t>eoma</w:t>
      </w:r>
      <w:r w:rsidRPr="0064222F">
        <w:t xml:space="preserve"> rijetko: &lt;</w:t>
      </w:r>
      <w:r w:rsidRPr="0064222F">
        <w:rPr>
          <w:spacing w:val="-3"/>
        </w:rPr>
        <w:t xml:space="preserve"> </w:t>
      </w:r>
      <w:r w:rsidRPr="0064222F">
        <w:t>1/10000</w:t>
      </w:r>
    </w:p>
    <w:p w:rsidR="00FE5E30" w:rsidRPr="00243A59" w:rsidRDefault="00FE5E30" w:rsidP="005B7B3D">
      <w:pPr>
        <w:pStyle w:val="BodyText"/>
        <w:spacing w:before="1"/>
        <w:ind w:left="454" w:right="113"/>
        <w:jc w:val="both"/>
        <w:rPr>
          <w:color w:val="FF0000"/>
        </w:rPr>
      </w:pPr>
    </w:p>
    <w:p w:rsidR="00FE5E30" w:rsidRDefault="000534A2" w:rsidP="005B7B3D">
      <w:pPr>
        <w:pStyle w:val="BodyText"/>
        <w:ind w:left="454" w:right="113"/>
        <w:jc w:val="both"/>
      </w:pPr>
      <w:r w:rsidRPr="00241EB7">
        <w:t>Nije poznato: ne može se procijeniti iz dostupnih podataka.</w:t>
      </w:r>
    </w:p>
    <w:p w:rsidR="00181A69" w:rsidRPr="00241EB7" w:rsidRDefault="00181A69" w:rsidP="00A0130D">
      <w:pPr>
        <w:pStyle w:val="BodyText"/>
        <w:ind w:left="459"/>
        <w:jc w:val="both"/>
      </w:pPr>
    </w:p>
    <w:p w:rsidR="00FE5E30" w:rsidRDefault="00FE5E30" w:rsidP="00A0130D">
      <w:pPr>
        <w:pStyle w:val="BodyText"/>
        <w:spacing w:before="7"/>
        <w:jc w:val="both"/>
        <w:rPr>
          <w:color w:val="FF0000"/>
        </w:rPr>
      </w:pPr>
    </w:p>
    <w:p w:rsidR="007171E9" w:rsidRDefault="007171E9" w:rsidP="00A0130D">
      <w:pPr>
        <w:pStyle w:val="BodyText"/>
        <w:spacing w:before="7"/>
        <w:jc w:val="both"/>
        <w:rPr>
          <w:color w:val="FF0000"/>
        </w:rPr>
      </w:pPr>
    </w:p>
    <w:p w:rsidR="007171E9" w:rsidRDefault="007171E9" w:rsidP="00A0130D">
      <w:pPr>
        <w:pStyle w:val="BodyText"/>
        <w:spacing w:before="7"/>
        <w:jc w:val="both"/>
        <w:rPr>
          <w:color w:val="FF0000"/>
        </w:rPr>
      </w:pPr>
    </w:p>
    <w:p w:rsidR="007171E9" w:rsidRDefault="007171E9" w:rsidP="00A0130D">
      <w:pPr>
        <w:pStyle w:val="BodyText"/>
        <w:spacing w:before="7"/>
        <w:jc w:val="both"/>
        <w:rPr>
          <w:color w:val="FF0000"/>
        </w:rPr>
      </w:pPr>
    </w:p>
    <w:p w:rsidR="007171E9" w:rsidRDefault="007171E9" w:rsidP="00A0130D">
      <w:pPr>
        <w:pStyle w:val="BodyText"/>
        <w:spacing w:before="7"/>
        <w:jc w:val="both"/>
        <w:rPr>
          <w:color w:val="FF0000"/>
        </w:rPr>
      </w:pPr>
    </w:p>
    <w:p w:rsidR="007171E9" w:rsidRDefault="007171E9" w:rsidP="00A0130D">
      <w:pPr>
        <w:pStyle w:val="BodyText"/>
        <w:spacing w:before="7"/>
        <w:jc w:val="both"/>
        <w:rPr>
          <w:color w:val="FF0000"/>
        </w:rPr>
      </w:pPr>
    </w:p>
    <w:p w:rsidR="007171E9" w:rsidRDefault="007171E9" w:rsidP="00A0130D">
      <w:pPr>
        <w:pStyle w:val="BodyText"/>
        <w:spacing w:before="7"/>
        <w:jc w:val="both"/>
        <w:rPr>
          <w:color w:val="FF0000"/>
        </w:rPr>
      </w:pPr>
    </w:p>
    <w:p w:rsidR="007171E9" w:rsidRPr="00243A59" w:rsidRDefault="007171E9" w:rsidP="00A0130D">
      <w:pPr>
        <w:pStyle w:val="BodyText"/>
        <w:spacing w:before="7"/>
        <w:jc w:val="both"/>
        <w:rPr>
          <w:color w:val="FF000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375"/>
        <w:gridCol w:w="1602"/>
        <w:gridCol w:w="1384"/>
        <w:gridCol w:w="1319"/>
        <w:gridCol w:w="1029"/>
        <w:gridCol w:w="1095"/>
      </w:tblGrid>
      <w:tr w:rsidR="00BF332D" w:rsidRPr="00243A59" w:rsidTr="00124391">
        <w:trPr>
          <w:trHeight w:val="254"/>
        </w:trPr>
        <w:tc>
          <w:tcPr>
            <w:tcW w:w="1559" w:type="dxa"/>
            <w:vMerge w:val="restart"/>
          </w:tcPr>
          <w:p w:rsidR="00BF332D" w:rsidRPr="004E5108" w:rsidRDefault="00BF332D" w:rsidP="00A0130D">
            <w:pPr>
              <w:pStyle w:val="TableParagraph"/>
              <w:spacing w:line="234" w:lineRule="exact"/>
              <w:ind w:left="110"/>
              <w:jc w:val="both"/>
              <w:rPr>
                <w:b/>
              </w:rPr>
            </w:pPr>
            <w:r w:rsidRPr="004E5108">
              <w:rPr>
                <w:b/>
              </w:rPr>
              <w:lastRenderedPageBreak/>
              <w:t>MedDRA</w:t>
            </w:r>
          </w:p>
          <w:p w:rsidR="00BF332D" w:rsidRPr="004E5108" w:rsidRDefault="00BF332D" w:rsidP="00A0130D">
            <w:pPr>
              <w:pStyle w:val="TableParagraph"/>
              <w:spacing w:line="234" w:lineRule="exact"/>
              <w:ind w:left="110"/>
              <w:jc w:val="both"/>
              <w:rPr>
                <w:b/>
              </w:rPr>
            </w:pPr>
            <w:r w:rsidRPr="004E5108">
              <w:rPr>
                <w:b/>
              </w:rPr>
              <w:t>klasifikacija</w:t>
            </w:r>
          </w:p>
          <w:p w:rsidR="00BF332D" w:rsidRPr="004E5108" w:rsidRDefault="00BF332D" w:rsidP="00A0130D">
            <w:pPr>
              <w:pStyle w:val="TableParagraph"/>
              <w:spacing w:line="232" w:lineRule="exact"/>
              <w:ind w:left="110"/>
              <w:jc w:val="both"/>
              <w:rPr>
                <w:b/>
              </w:rPr>
            </w:pPr>
            <w:r w:rsidRPr="004E5108">
              <w:rPr>
                <w:b/>
              </w:rPr>
              <w:t>organskih</w:t>
            </w:r>
          </w:p>
          <w:p w:rsidR="00BF332D" w:rsidRPr="004E5108" w:rsidRDefault="00BF332D" w:rsidP="00A0130D">
            <w:pPr>
              <w:pStyle w:val="TableParagraph"/>
              <w:spacing w:line="232" w:lineRule="exact"/>
              <w:ind w:left="110"/>
              <w:jc w:val="both"/>
              <w:rPr>
                <w:b/>
              </w:rPr>
            </w:pPr>
            <w:r w:rsidRPr="004E5108">
              <w:rPr>
                <w:b/>
              </w:rPr>
              <w:t>sistema</w:t>
            </w:r>
          </w:p>
        </w:tc>
        <w:tc>
          <w:tcPr>
            <w:tcW w:w="7804" w:type="dxa"/>
            <w:gridSpan w:val="6"/>
          </w:tcPr>
          <w:p w:rsidR="00BF332D" w:rsidRDefault="00BF332D" w:rsidP="00BF332D">
            <w:pPr>
              <w:pStyle w:val="TableParagraph"/>
              <w:spacing w:line="234" w:lineRule="exact"/>
              <w:ind w:right="345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4E5108">
              <w:rPr>
                <w:b/>
              </w:rPr>
              <w:t>Neželjena de</w:t>
            </w:r>
            <w:r>
              <w:rPr>
                <w:b/>
              </w:rPr>
              <w:t>j</w:t>
            </w:r>
            <w:r w:rsidRPr="004E5108">
              <w:rPr>
                <w:b/>
              </w:rPr>
              <w:t>stva</w:t>
            </w:r>
          </w:p>
          <w:p w:rsidR="00BF332D" w:rsidRDefault="00BF332D" w:rsidP="00BF332D">
            <w:pPr>
              <w:pStyle w:val="TableParagraph"/>
              <w:spacing w:line="234" w:lineRule="exact"/>
              <w:ind w:right="3455"/>
              <w:jc w:val="both"/>
              <w:rPr>
                <w:b/>
              </w:rPr>
            </w:pPr>
          </w:p>
          <w:p w:rsidR="00BF332D" w:rsidRDefault="00BF332D" w:rsidP="00BF332D">
            <w:pPr>
              <w:pStyle w:val="TableParagraph"/>
              <w:spacing w:line="234" w:lineRule="exact"/>
              <w:ind w:right="3455"/>
              <w:jc w:val="both"/>
              <w:rPr>
                <w:b/>
              </w:rPr>
            </w:pPr>
          </w:p>
          <w:p w:rsidR="00BF332D" w:rsidRPr="004E5108" w:rsidRDefault="00BF332D" w:rsidP="00BF332D">
            <w:pPr>
              <w:pStyle w:val="TableParagraph"/>
              <w:spacing w:line="234" w:lineRule="exact"/>
              <w:ind w:right="3455"/>
              <w:jc w:val="both"/>
              <w:rPr>
                <w:b/>
              </w:rPr>
            </w:pPr>
          </w:p>
        </w:tc>
      </w:tr>
      <w:tr w:rsidR="00BF332D" w:rsidRPr="00243A59" w:rsidTr="00124391">
        <w:trPr>
          <w:trHeight w:val="254"/>
        </w:trPr>
        <w:tc>
          <w:tcPr>
            <w:tcW w:w="1559" w:type="dxa"/>
            <w:vMerge/>
          </w:tcPr>
          <w:p w:rsidR="00BF332D" w:rsidRPr="004E5108" w:rsidRDefault="00BF332D" w:rsidP="00A0130D">
            <w:pPr>
              <w:pStyle w:val="TableParagraph"/>
              <w:spacing w:line="232" w:lineRule="exact"/>
              <w:ind w:left="110"/>
              <w:jc w:val="both"/>
              <w:rPr>
                <w:b/>
              </w:rPr>
            </w:pPr>
          </w:p>
        </w:tc>
        <w:tc>
          <w:tcPr>
            <w:tcW w:w="1375" w:type="dxa"/>
            <w:tcBorders>
              <w:bottom w:val="nil"/>
            </w:tcBorders>
          </w:tcPr>
          <w:p w:rsidR="00BF332D" w:rsidRPr="004E5108" w:rsidRDefault="00BF332D" w:rsidP="00A0130D">
            <w:pPr>
              <w:pStyle w:val="TableParagraph"/>
              <w:spacing w:line="234" w:lineRule="exact"/>
              <w:ind w:left="110"/>
              <w:jc w:val="both"/>
              <w:rPr>
                <w:b/>
              </w:rPr>
            </w:pPr>
            <w:r w:rsidRPr="004E5108">
              <w:rPr>
                <w:b/>
              </w:rPr>
              <w:t>V</w:t>
            </w:r>
            <w:r>
              <w:rPr>
                <w:b/>
              </w:rPr>
              <w:t>eoma</w:t>
            </w:r>
            <w:r w:rsidRPr="004E5108">
              <w:rPr>
                <w:b/>
              </w:rPr>
              <w:t xml:space="preserve"> često</w:t>
            </w:r>
          </w:p>
        </w:tc>
        <w:tc>
          <w:tcPr>
            <w:tcW w:w="1602" w:type="dxa"/>
            <w:tcBorders>
              <w:bottom w:val="nil"/>
            </w:tcBorders>
          </w:tcPr>
          <w:p w:rsidR="00BF332D" w:rsidRPr="004E5108" w:rsidRDefault="00BF332D" w:rsidP="00A0130D">
            <w:pPr>
              <w:pStyle w:val="TableParagraph"/>
              <w:spacing w:line="234" w:lineRule="exact"/>
              <w:ind w:left="110"/>
              <w:jc w:val="both"/>
              <w:rPr>
                <w:b/>
              </w:rPr>
            </w:pPr>
            <w:r w:rsidRPr="004E5108">
              <w:rPr>
                <w:b/>
              </w:rPr>
              <w:t>Često</w:t>
            </w:r>
          </w:p>
        </w:tc>
        <w:tc>
          <w:tcPr>
            <w:tcW w:w="1384" w:type="dxa"/>
            <w:tcBorders>
              <w:bottom w:val="nil"/>
            </w:tcBorders>
          </w:tcPr>
          <w:p w:rsidR="00BF332D" w:rsidRPr="004E5108" w:rsidRDefault="00BF332D" w:rsidP="00A0130D">
            <w:pPr>
              <w:pStyle w:val="TableParagraph"/>
              <w:spacing w:line="234" w:lineRule="exact"/>
              <w:ind w:left="110"/>
              <w:jc w:val="both"/>
              <w:rPr>
                <w:b/>
              </w:rPr>
            </w:pPr>
            <w:r w:rsidRPr="004E5108">
              <w:rPr>
                <w:b/>
              </w:rPr>
              <w:t>Povremeno</w:t>
            </w:r>
          </w:p>
        </w:tc>
        <w:tc>
          <w:tcPr>
            <w:tcW w:w="1319" w:type="dxa"/>
            <w:tcBorders>
              <w:bottom w:val="nil"/>
            </w:tcBorders>
          </w:tcPr>
          <w:p w:rsidR="00BF332D" w:rsidRPr="004E5108" w:rsidRDefault="00BF332D" w:rsidP="00A0130D">
            <w:pPr>
              <w:pStyle w:val="TableParagraph"/>
              <w:spacing w:line="234" w:lineRule="exact"/>
              <w:ind w:left="109"/>
              <w:jc w:val="both"/>
              <w:rPr>
                <w:b/>
              </w:rPr>
            </w:pPr>
            <w:r w:rsidRPr="004E5108">
              <w:rPr>
                <w:b/>
              </w:rPr>
              <w:t>Rijetko</w:t>
            </w:r>
          </w:p>
        </w:tc>
        <w:tc>
          <w:tcPr>
            <w:tcW w:w="1029" w:type="dxa"/>
            <w:tcBorders>
              <w:bottom w:val="nil"/>
            </w:tcBorders>
          </w:tcPr>
          <w:p w:rsidR="00BF332D" w:rsidRPr="004E5108" w:rsidRDefault="00BF332D" w:rsidP="00A0130D">
            <w:pPr>
              <w:pStyle w:val="TableParagraph"/>
              <w:spacing w:line="234" w:lineRule="exact"/>
              <w:ind w:left="109"/>
              <w:jc w:val="both"/>
              <w:rPr>
                <w:b/>
              </w:rPr>
            </w:pPr>
            <w:r w:rsidRPr="004E5108">
              <w:rPr>
                <w:b/>
              </w:rPr>
              <w:t>V</w:t>
            </w:r>
            <w:r>
              <w:rPr>
                <w:b/>
              </w:rPr>
              <w:t>eoma</w:t>
            </w:r>
          </w:p>
        </w:tc>
        <w:tc>
          <w:tcPr>
            <w:tcW w:w="1095" w:type="dxa"/>
            <w:tcBorders>
              <w:bottom w:val="nil"/>
            </w:tcBorders>
          </w:tcPr>
          <w:p w:rsidR="00BF332D" w:rsidRPr="004E5108" w:rsidRDefault="00BF332D" w:rsidP="00A0130D">
            <w:pPr>
              <w:pStyle w:val="TableParagraph"/>
              <w:spacing w:line="234" w:lineRule="exact"/>
              <w:ind w:left="108"/>
              <w:jc w:val="both"/>
              <w:rPr>
                <w:b/>
              </w:rPr>
            </w:pPr>
            <w:r w:rsidRPr="004E5108">
              <w:rPr>
                <w:b/>
              </w:rPr>
              <w:t>Nepozna</w:t>
            </w:r>
          </w:p>
        </w:tc>
      </w:tr>
      <w:tr w:rsidR="00BF332D" w:rsidRPr="00243A59" w:rsidTr="00124391">
        <w:trPr>
          <w:trHeight w:val="254"/>
        </w:trPr>
        <w:tc>
          <w:tcPr>
            <w:tcW w:w="1559" w:type="dxa"/>
            <w:vMerge/>
          </w:tcPr>
          <w:p w:rsidR="00BF332D" w:rsidRPr="004E5108" w:rsidRDefault="00BF332D" w:rsidP="00A0130D">
            <w:pPr>
              <w:pStyle w:val="TableParagraph"/>
              <w:spacing w:line="232" w:lineRule="exact"/>
              <w:ind w:left="110"/>
              <w:jc w:val="both"/>
              <w:rPr>
                <w:b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BF332D" w:rsidRPr="004E5108" w:rsidRDefault="00BF332D" w:rsidP="00A0130D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BF332D" w:rsidRPr="004E5108" w:rsidRDefault="00BF332D" w:rsidP="00A0130D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384" w:type="dxa"/>
            <w:tcBorders>
              <w:top w:val="nil"/>
              <w:bottom w:val="nil"/>
            </w:tcBorders>
          </w:tcPr>
          <w:p w:rsidR="00BF332D" w:rsidRPr="004E5108" w:rsidRDefault="00BF332D" w:rsidP="00A0130D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F332D" w:rsidRPr="004E5108" w:rsidRDefault="00BF332D" w:rsidP="00A0130D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BF332D" w:rsidRPr="004E5108" w:rsidRDefault="00BF332D" w:rsidP="00A0130D">
            <w:pPr>
              <w:pStyle w:val="TableParagraph"/>
              <w:spacing w:line="234" w:lineRule="exact"/>
              <w:ind w:left="109"/>
              <w:jc w:val="both"/>
              <w:rPr>
                <w:b/>
              </w:rPr>
            </w:pPr>
            <w:r>
              <w:rPr>
                <w:b/>
              </w:rPr>
              <w:t>r</w:t>
            </w:r>
            <w:r w:rsidRPr="004E5108">
              <w:rPr>
                <w:b/>
              </w:rPr>
              <w:t>ijetk</w:t>
            </w:r>
            <w:r>
              <w:rPr>
                <w:b/>
              </w:rPr>
              <w:t>o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BF332D" w:rsidRPr="004E5108" w:rsidRDefault="00BF332D" w:rsidP="00A0130D">
            <w:pPr>
              <w:pStyle w:val="TableParagraph"/>
              <w:spacing w:line="234" w:lineRule="exact"/>
              <w:ind w:left="108"/>
              <w:jc w:val="both"/>
              <w:rPr>
                <w:b/>
              </w:rPr>
            </w:pPr>
            <w:r w:rsidRPr="004E5108">
              <w:rPr>
                <w:b/>
              </w:rPr>
              <w:t>to</w:t>
            </w:r>
          </w:p>
        </w:tc>
      </w:tr>
      <w:tr w:rsidR="00BF332D" w:rsidRPr="00243A59" w:rsidTr="00124391">
        <w:trPr>
          <w:trHeight w:val="251"/>
        </w:trPr>
        <w:tc>
          <w:tcPr>
            <w:tcW w:w="1559" w:type="dxa"/>
            <w:vMerge/>
          </w:tcPr>
          <w:p w:rsidR="00BF332D" w:rsidRPr="004E5108" w:rsidRDefault="00BF332D" w:rsidP="00A0130D">
            <w:pPr>
              <w:pStyle w:val="TableParagraph"/>
              <w:spacing w:line="232" w:lineRule="exact"/>
              <w:ind w:left="110"/>
              <w:jc w:val="both"/>
              <w:rPr>
                <w:b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:rsidR="00BF332D" w:rsidRPr="004E5108" w:rsidRDefault="00BF332D" w:rsidP="00A0130D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BF332D" w:rsidRPr="004E5108" w:rsidRDefault="00BF332D" w:rsidP="00A0130D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384" w:type="dxa"/>
            <w:tcBorders>
              <w:top w:val="nil"/>
              <w:bottom w:val="nil"/>
            </w:tcBorders>
          </w:tcPr>
          <w:p w:rsidR="00BF332D" w:rsidRPr="004E5108" w:rsidRDefault="00BF332D" w:rsidP="00A0130D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F332D" w:rsidRPr="004E5108" w:rsidRDefault="00BF332D" w:rsidP="00A0130D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BF332D" w:rsidRPr="004E5108" w:rsidRDefault="00BF332D" w:rsidP="00A0130D">
            <w:pPr>
              <w:pStyle w:val="TableParagraph"/>
              <w:spacing w:line="232" w:lineRule="exact"/>
              <w:ind w:left="109"/>
              <w:jc w:val="both"/>
              <w:rPr>
                <w:b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BF332D" w:rsidRPr="004E5108" w:rsidRDefault="00BF332D" w:rsidP="00A0130D">
            <w:pPr>
              <w:pStyle w:val="TableParagraph"/>
              <w:jc w:val="both"/>
              <w:rPr>
                <w:sz w:val="18"/>
              </w:rPr>
            </w:pPr>
          </w:p>
        </w:tc>
      </w:tr>
      <w:tr w:rsidR="00BF332D" w:rsidRPr="00243A59" w:rsidTr="00124391">
        <w:trPr>
          <w:trHeight w:val="251"/>
        </w:trPr>
        <w:tc>
          <w:tcPr>
            <w:tcW w:w="1559" w:type="dxa"/>
            <w:vMerge/>
          </w:tcPr>
          <w:p w:rsidR="00BF332D" w:rsidRPr="004E5108" w:rsidRDefault="00BF332D" w:rsidP="00A0130D">
            <w:pPr>
              <w:pStyle w:val="TableParagraph"/>
              <w:spacing w:line="232" w:lineRule="exact"/>
              <w:ind w:left="110"/>
              <w:jc w:val="both"/>
              <w:rPr>
                <w:b/>
              </w:rPr>
            </w:pPr>
          </w:p>
        </w:tc>
        <w:tc>
          <w:tcPr>
            <w:tcW w:w="1375" w:type="dxa"/>
            <w:tcBorders>
              <w:top w:val="nil"/>
            </w:tcBorders>
          </w:tcPr>
          <w:p w:rsidR="00BF332D" w:rsidRPr="004E5108" w:rsidRDefault="00BF332D" w:rsidP="00A0130D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602" w:type="dxa"/>
            <w:tcBorders>
              <w:top w:val="nil"/>
            </w:tcBorders>
          </w:tcPr>
          <w:p w:rsidR="00BF332D" w:rsidRPr="004E5108" w:rsidRDefault="00BF332D" w:rsidP="00A0130D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384" w:type="dxa"/>
            <w:tcBorders>
              <w:top w:val="nil"/>
            </w:tcBorders>
          </w:tcPr>
          <w:p w:rsidR="00BF332D" w:rsidRPr="004E5108" w:rsidRDefault="00BF332D" w:rsidP="00A0130D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:rsidR="00BF332D" w:rsidRPr="004E5108" w:rsidRDefault="00BF332D" w:rsidP="00A0130D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029" w:type="dxa"/>
            <w:tcBorders>
              <w:top w:val="nil"/>
            </w:tcBorders>
          </w:tcPr>
          <w:p w:rsidR="00BF332D" w:rsidRPr="004E5108" w:rsidRDefault="00BF332D" w:rsidP="00A0130D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:rsidR="00BF332D" w:rsidRPr="004E5108" w:rsidRDefault="00BF332D" w:rsidP="00A0130D">
            <w:pPr>
              <w:pStyle w:val="TableParagraph"/>
              <w:jc w:val="both"/>
              <w:rPr>
                <w:sz w:val="18"/>
              </w:rPr>
            </w:pPr>
          </w:p>
        </w:tc>
      </w:tr>
      <w:tr w:rsidR="00FD0BBC" w:rsidRPr="00243A59" w:rsidTr="00124391">
        <w:trPr>
          <w:trHeight w:val="501"/>
        </w:trPr>
        <w:tc>
          <w:tcPr>
            <w:tcW w:w="1559" w:type="dxa"/>
            <w:tcBorders>
              <w:bottom w:val="nil"/>
            </w:tcBorders>
          </w:tcPr>
          <w:p w:rsidR="00FD0BBC" w:rsidRPr="004E5108" w:rsidRDefault="00FD0BBC" w:rsidP="00A0130D">
            <w:pPr>
              <w:pStyle w:val="TableParagraph"/>
              <w:spacing w:line="243" w:lineRule="exact"/>
              <w:ind w:left="110"/>
              <w:jc w:val="both"/>
              <w:rPr>
                <w:b/>
              </w:rPr>
            </w:pPr>
            <w:r w:rsidRPr="004E5108">
              <w:rPr>
                <w:b/>
              </w:rPr>
              <w:t>Infekcije</w:t>
            </w:r>
            <w:r w:rsidRPr="004E5108">
              <w:rPr>
                <w:b/>
                <w:spacing w:val="-7"/>
              </w:rPr>
              <w:t xml:space="preserve"> </w:t>
            </w:r>
            <w:r w:rsidRPr="004E5108">
              <w:rPr>
                <w:b/>
              </w:rPr>
              <w:t>i</w:t>
            </w:r>
          </w:p>
          <w:p w:rsidR="00FD0BBC" w:rsidRPr="004E5108" w:rsidRDefault="00FD0BBC" w:rsidP="00A0130D">
            <w:pPr>
              <w:pStyle w:val="TableParagraph"/>
              <w:spacing w:before="1" w:line="236" w:lineRule="exact"/>
              <w:ind w:left="110"/>
              <w:jc w:val="both"/>
              <w:rPr>
                <w:b/>
              </w:rPr>
            </w:pPr>
            <w:r w:rsidRPr="004E5108">
              <w:rPr>
                <w:b/>
              </w:rPr>
              <w:t>infestacije</w:t>
            </w:r>
          </w:p>
        </w:tc>
        <w:tc>
          <w:tcPr>
            <w:tcW w:w="1375" w:type="dxa"/>
            <w:vMerge w:val="restart"/>
          </w:tcPr>
          <w:p w:rsidR="00FD0BBC" w:rsidRPr="004E5108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602" w:type="dxa"/>
            <w:vMerge w:val="restart"/>
          </w:tcPr>
          <w:p w:rsidR="00FD0BBC" w:rsidRPr="004E5108" w:rsidRDefault="00BA73ED" w:rsidP="007171E9">
            <w:pPr>
              <w:pStyle w:val="TableParagraph"/>
              <w:rPr>
                <w:sz w:val="20"/>
              </w:rPr>
            </w:pPr>
            <w:r>
              <w:t>S</w:t>
            </w:r>
            <w:r w:rsidR="00FD0BBC" w:rsidRPr="004E5108">
              <w:t>epsa</w:t>
            </w:r>
          </w:p>
          <w:p w:rsidR="00FD0BBC" w:rsidRPr="004E5108" w:rsidRDefault="00BA73ED" w:rsidP="007171E9">
            <w:pPr>
              <w:pStyle w:val="TableParagraph"/>
              <w:rPr>
                <w:sz w:val="20"/>
              </w:rPr>
            </w:pPr>
            <w:r>
              <w:t>B</w:t>
            </w:r>
            <w:r w:rsidR="00FD0BBC" w:rsidRPr="004E5108">
              <w:t>ronhitis</w:t>
            </w:r>
          </w:p>
          <w:p w:rsidR="00FD0BBC" w:rsidRPr="004E5108" w:rsidRDefault="00BA73ED" w:rsidP="007171E9">
            <w:pPr>
              <w:pStyle w:val="TableParagraph"/>
              <w:rPr>
                <w:sz w:val="20"/>
              </w:rPr>
            </w:pPr>
            <w:r>
              <w:t>Infekcija gornjeg</w:t>
            </w:r>
            <w:r w:rsidR="00FD0BBC" w:rsidRPr="004E5108">
              <w:t xml:space="preserve"> respirator</w:t>
            </w:r>
            <w:r w:rsidR="00FD0BBC">
              <w:t>nog trakta</w:t>
            </w:r>
          </w:p>
          <w:p w:rsidR="00BA73ED" w:rsidRDefault="00BA73ED" w:rsidP="007171E9">
            <w:pPr>
              <w:pStyle w:val="TableParagraph"/>
              <w:spacing w:before="113"/>
            </w:pPr>
            <w:r>
              <w:t>I</w:t>
            </w:r>
            <w:r w:rsidR="00FD0BBC" w:rsidRPr="004E5108">
              <w:t>nfekcija</w:t>
            </w:r>
          </w:p>
          <w:p w:rsidR="00FD0BBC" w:rsidRPr="00A0130D" w:rsidRDefault="00FD0BBC" w:rsidP="007171E9">
            <w:pPr>
              <w:pStyle w:val="TableParagraph"/>
              <w:spacing w:before="113"/>
            </w:pPr>
            <w:r>
              <w:t>urinarnog trakta</w:t>
            </w:r>
          </w:p>
        </w:tc>
        <w:tc>
          <w:tcPr>
            <w:tcW w:w="1384" w:type="dxa"/>
            <w:tcBorders>
              <w:bottom w:val="nil"/>
            </w:tcBorders>
          </w:tcPr>
          <w:p w:rsidR="00FD0BBC" w:rsidRPr="004E5108" w:rsidRDefault="00FD0BBC" w:rsidP="00A0130D">
            <w:pPr>
              <w:pStyle w:val="TableParagraph"/>
              <w:spacing w:line="239" w:lineRule="exact"/>
              <w:ind w:left="110"/>
              <w:jc w:val="both"/>
            </w:pPr>
          </w:p>
        </w:tc>
        <w:tc>
          <w:tcPr>
            <w:tcW w:w="1319" w:type="dxa"/>
            <w:vMerge w:val="restart"/>
          </w:tcPr>
          <w:p w:rsidR="00FD0BBC" w:rsidRPr="004E5108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029" w:type="dxa"/>
            <w:tcBorders>
              <w:bottom w:val="nil"/>
            </w:tcBorders>
          </w:tcPr>
          <w:p w:rsidR="00FD0BBC" w:rsidRPr="004E5108" w:rsidRDefault="00FD0BBC" w:rsidP="00A0130D">
            <w:pPr>
              <w:pStyle w:val="TableParagraph"/>
              <w:spacing w:line="239" w:lineRule="exact"/>
              <w:ind w:left="3"/>
              <w:jc w:val="both"/>
            </w:pPr>
            <w:r w:rsidRPr="004E5108">
              <w:t>-</w:t>
            </w:r>
          </w:p>
        </w:tc>
        <w:tc>
          <w:tcPr>
            <w:tcW w:w="1095" w:type="dxa"/>
            <w:tcBorders>
              <w:bottom w:val="nil"/>
            </w:tcBorders>
          </w:tcPr>
          <w:p w:rsidR="00FD0BBC" w:rsidRPr="004E5108" w:rsidRDefault="00FD0BBC" w:rsidP="00A0130D">
            <w:pPr>
              <w:pStyle w:val="TableParagraph"/>
              <w:spacing w:line="239" w:lineRule="exact"/>
              <w:ind w:left="12"/>
              <w:jc w:val="both"/>
            </w:pPr>
            <w:r w:rsidRPr="004E5108">
              <w:t>-</w:t>
            </w:r>
          </w:p>
        </w:tc>
      </w:tr>
      <w:tr w:rsidR="00FD0BBC" w:rsidRPr="00243A59" w:rsidTr="00124391">
        <w:trPr>
          <w:trHeight w:val="366"/>
        </w:trPr>
        <w:tc>
          <w:tcPr>
            <w:tcW w:w="1559" w:type="dxa"/>
            <w:tcBorders>
              <w:top w:val="nil"/>
              <w:bottom w:val="nil"/>
            </w:tcBorders>
          </w:tcPr>
          <w:p w:rsidR="00FD0BBC" w:rsidRPr="004E5108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FD0BBC" w:rsidRPr="004E5108" w:rsidRDefault="00FD0BBC" w:rsidP="00A0130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FD0BBC" w:rsidRPr="004E5108" w:rsidRDefault="00FD0BBC" w:rsidP="00A0130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4" w:type="dxa"/>
            <w:tcBorders>
              <w:top w:val="nil"/>
              <w:bottom w:val="nil"/>
            </w:tcBorders>
          </w:tcPr>
          <w:p w:rsidR="00FD0BBC" w:rsidRPr="004E5108" w:rsidRDefault="00FD0BBC" w:rsidP="00A0130D">
            <w:pPr>
              <w:pStyle w:val="TableParagraph"/>
              <w:spacing w:line="236" w:lineRule="exact"/>
              <w:ind w:left="110"/>
              <w:jc w:val="both"/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FD0BBC" w:rsidRPr="004E5108" w:rsidRDefault="00FD0BBC" w:rsidP="00A0130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FD0BBC" w:rsidRPr="004E5108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FD0BBC" w:rsidRPr="004E5108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</w:tr>
      <w:tr w:rsidR="00FD0BBC" w:rsidRPr="00243A59" w:rsidTr="00124391">
        <w:trPr>
          <w:trHeight w:val="1000"/>
        </w:trPr>
        <w:tc>
          <w:tcPr>
            <w:tcW w:w="1559" w:type="dxa"/>
            <w:tcBorders>
              <w:top w:val="nil"/>
              <w:bottom w:val="nil"/>
            </w:tcBorders>
          </w:tcPr>
          <w:p w:rsidR="00FD0BBC" w:rsidRPr="004E5108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FD0BBC" w:rsidRPr="004E5108" w:rsidRDefault="00FD0BBC" w:rsidP="00A0130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FD0BBC" w:rsidRPr="004E5108" w:rsidRDefault="00FD0BBC" w:rsidP="00A0130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4" w:type="dxa"/>
            <w:tcBorders>
              <w:top w:val="nil"/>
              <w:bottom w:val="nil"/>
            </w:tcBorders>
          </w:tcPr>
          <w:p w:rsidR="00FD0BBC" w:rsidRPr="004E5108" w:rsidRDefault="00FD0BBC" w:rsidP="00A0130D">
            <w:pPr>
              <w:pStyle w:val="TableParagraph"/>
              <w:spacing w:before="110"/>
              <w:ind w:left="110" w:right="177"/>
              <w:jc w:val="both"/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FD0BBC" w:rsidRPr="004E5108" w:rsidRDefault="00FD0BBC" w:rsidP="00A0130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FD0BBC" w:rsidRPr="004E5108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FD0BBC" w:rsidRPr="004E5108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</w:tr>
      <w:tr w:rsidR="00FD0BBC" w:rsidRPr="00243A59" w:rsidTr="00124391">
        <w:trPr>
          <w:trHeight w:val="885"/>
        </w:trPr>
        <w:tc>
          <w:tcPr>
            <w:tcW w:w="1559" w:type="dxa"/>
            <w:tcBorders>
              <w:top w:val="nil"/>
            </w:tcBorders>
          </w:tcPr>
          <w:p w:rsidR="00FD0BBC" w:rsidRPr="004E5108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FD0BBC" w:rsidRPr="004E5108" w:rsidRDefault="00FD0BBC" w:rsidP="00A0130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FD0BBC" w:rsidRPr="004E5108" w:rsidRDefault="00FD0BBC" w:rsidP="00A0130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4" w:type="dxa"/>
            <w:tcBorders>
              <w:top w:val="nil"/>
            </w:tcBorders>
          </w:tcPr>
          <w:p w:rsidR="00FD0BBC" w:rsidRPr="004E5108" w:rsidRDefault="00FD0BBC" w:rsidP="00A0130D">
            <w:pPr>
              <w:pStyle w:val="TableParagraph"/>
              <w:spacing w:before="1" w:line="251" w:lineRule="exact"/>
              <w:ind w:left="110"/>
              <w:jc w:val="both"/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FD0BBC" w:rsidRPr="004E5108" w:rsidRDefault="00FD0BBC" w:rsidP="00A0130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29" w:type="dxa"/>
            <w:tcBorders>
              <w:top w:val="nil"/>
            </w:tcBorders>
          </w:tcPr>
          <w:p w:rsidR="00FD0BBC" w:rsidRPr="004E5108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:rsidR="00FD0BBC" w:rsidRPr="004E5108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</w:tr>
      <w:tr w:rsidR="00124391" w:rsidRPr="00243A59" w:rsidTr="00124391">
        <w:trPr>
          <w:trHeight w:val="755"/>
        </w:trPr>
        <w:tc>
          <w:tcPr>
            <w:tcW w:w="1559" w:type="dxa"/>
            <w:vMerge w:val="restart"/>
          </w:tcPr>
          <w:p w:rsidR="00124391" w:rsidRPr="008F6AB3" w:rsidRDefault="00124391" w:rsidP="00A0130D">
            <w:pPr>
              <w:pStyle w:val="TableParagraph"/>
              <w:spacing w:line="243" w:lineRule="exact"/>
              <w:ind w:left="110"/>
              <w:jc w:val="both"/>
              <w:rPr>
                <w:b/>
              </w:rPr>
            </w:pPr>
            <w:r w:rsidRPr="008F6AB3">
              <w:rPr>
                <w:b/>
              </w:rPr>
              <w:t>Poremećaji</w:t>
            </w:r>
          </w:p>
          <w:p w:rsidR="00124391" w:rsidRPr="008F6AB3" w:rsidRDefault="00124391" w:rsidP="00A0130D">
            <w:pPr>
              <w:pStyle w:val="TableParagraph"/>
              <w:spacing w:before="7" w:line="250" w:lineRule="exact"/>
              <w:ind w:left="110"/>
              <w:jc w:val="both"/>
              <w:rPr>
                <w:b/>
              </w:rPr>
            </w:pPr>
            <w:r w:rsidRPr="008F6AB3">
              <w:rPr>
                <w:b/>
              </w:rPr>
              <w:t>krvi i limfnog</w:t>
            </w:r>
          </w:p>
          <w:p w:rsidR="00124391" w:rsidRPr="008F6AB3" w:rsidRDefault="00124391" w:rsidP="00124391">
            <w:pPr>
              <w:pStyle w:val="TableParagraph"/>
              <w:spacing w:line="246" w:lineRule="exact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Pr="008F6AB3">
              <w:rPr>
                <w:b/>
              </w:rPr>
              <w:t>sistema</w:t>
            </w:r>
          </w:p>
        </w:tc>
        <w:tc>
          <w:tcPr>
            <w:tcW w:w="1375" w:type="dxa"/>
            <w:tcBorders>
              <w:bottom w:val="nil"/>
            </w:tcBorders>
          </w:tcPr>
          <w:p w:rsidR="00124391" w:rsidRDefault="00124391" w:rsidP="007171E9">
            <w:pPr>
              <w:pStyle w:val="TableParagraph"/>
              <w:spacing w:line="239" w:lineRule="exact"/>
              <w:ind w:left="110"/>
            </w:pPr>
            <w:r>
              <w:t>T</w:t>
            </w:r>
            <w:r w:rsidRPr="008F6AB3">
              <w:t xml:space="preserve">rombocitopenija </w:t>
            </w:r>
          </w:p>
          <w:p w:rsidR="00124391" w:rsidRPr="008F6AB3" w:rsidRDefault="00124391" w:rsidP="007171E9">
            <w:pPr>
              <w:pStyle w:val="TableParagraph"/>
              <w:spacing w:line="239" w:lineRule="exact"/>
              <w:ind w:left="110"/>
            </w:pPr>
            <w:r>
              <w:t>A</w:t>
            </w:r>
            <w:r w:rsidRPr="008F6AB3">
              <w:t>nemija</w:t>
            </w:r>
            <w:r w:rsidRPr="008F6AB3">
              <w:rPr>
                <w:vertAlign w:val="superscript"/>
              </w:rPr>
              <w:t>e</w:t>
            </w:r>
          </w:p>
        </w:tc>
        <w:tc>
          <w:tcPr>
            <w:tcW w:w="1602" w:type="dxa"/>
            <w:tcBorders>
              <w:bottom w:val="nil"/>
            </w:tcBorders>
          </w:tcPr>
          <w:p w:rsidR="00124391" w:rsidRPr="008F6AB3" w:rsidRDefault="00124391" w:rsidP="007171E9">
            <w:pPr>
              <w:pStyle w:val="TableParagraph"/>
              <w:spacing w:line="239" w:lineRule="exact"/>
              <w:ind w:left="110"/>
            </w:pPr>
            <w:r>
              <w:t>S</w:t>
            </w:r>
            <w:r w:rsidRPr="008F6AB3">
              <w:t>plenomegali</w:t>
            </w:r>
          </w:p>
          <w:p w:rsidR="00124391" w:rsidRDefault="00124391" w:rsidP="007171E9">
            <w:pPr>
              <w:pStyle w:val="TableParagraph"/>
              <w:spacing w:before="7" w:line="250" w:lineRule="exact"/>
              <w:ind w:left="110" w:right="341"/>
            </w:pPr>
            <w:r w:rsidRPr="008F6AB3">
              <w:t>ja</w:t>
            </w:r>
            <w:r w:rsidRPr="008F6AB3">
              <w:rPr>
                <w:vertAlign w:val="superscript"/>
              </w:rPr>
              <w:t>a</w:t>
            </w:r>
            <w:r w:rsidRPr="008F6AB3">
              <w:t xml:space="preserve"> </w:t>
            </w:r>
          </w:p>
          <w:p w:rsidR="00124391" w:rsidRPr="008F6AB3" w:rsidRDefault="00124391" w:rsidP="007171E9">
            <w:pPr>
              <w:pStyle w:val="TableParagraph"/>
              <w:spacing w:before="7" w:line="250" w:lineRule="exact"/>
              <w:ind w:left="110" w:right="341"/>
            </w:pPr>
            <w:r>
              <w:t>S</w:t>
            </w:r>
            <w:r w:rsidRPr="008F6AB3">
              <w:t>manjena</w:t>
            </w:r>
          </w:p>
        </w:tc>
        <w:tc>
          <w:tcPr>
            <w:tcW w:w="1384" w:type="dxa"/>
            <w:tcBorders>
              <w:bottom w:val="nil"/>
            </w:tcBorders>
          </w:tcPr>
          <w:p w:rsidR="00124391" w:rsidRPr="00A0130D" w:rsidRDefault="00124391" w:rsidP="00A0130D">
            <w:pPr>
              <w:pStyle w:val="TableParagraph"/>
              <w:spacing w:line="239" w:lineRule="exact"/>
              <w:ind w:left="110"/>
              <w:jc w:val="both"/>
              <w:rPr>
                <w:vertAlign w:val="superscript"/>
              </w:rPr>
            </w:pPr>
            <w:r>
              <w:t>L</w:t>
            </w:r>
            <w:r w:rsidRPr="008F6AB3">
              <w:t>eukocitoza</w:t>
            </w:r>
            <w:r w:rsidRPr="008F6AB3">
              <w:rPr>
                <w:vertAlign w:val="superscript"/>
              </w:rPr>
              <w:t>a</w:t>
            </w:r>
          </w:p>
        </w:tc>
        <w:tc>
          <w:tcPr>
            <w:tcW w:w="1319" w:type="dxa"/>
            <w:tcBorders>
              <w:bottom w:val="nil"/>
            </w:tcBorders>
          </w:tcPr>
          <w:p w:rsidR="00124391" w:rsidRPr="008F6AB3" w:rsidRDefault="00124391" w:rsidP="007171E9">
            <w:pPr>
              <w:pStyle w:val="TableParagraph"/>
              <w:spacing w:line="239" w:lineRule="exact"/>
              <w:ind w:left="109"/>
            </w:pPr>
            <w:r>
              <w:t>R</w:t>
            </w:r>
            <w:r w:rsidRPr="008F6AB3">
              <w:t>uptura</w:t>
            </w:r>
          </w:p>
          <w:p w:rsidR="00124391" w:rsidRPr="008F6AB3" w:rsidRDefault="00124391" w:rsidP="007171E9">
            <w:pPr>
              <w:pStyle w:val="TableParagraph"/>
              <w:spacing w:before="7" w:line="250" w:lineRule="exact"/>
              <w:ind w:left="109" w:right="160"/>
            </w:pPr>
            <w:r w:rsidRPr="008F6AB3">
              <w:t>slezine</w:t>
            </w:r>
            <w:r w:rsidRPr="008F6AB3">
              <w:rPr>
                <w:vertAlign w:val="superscript"/>
              </w:rPr>
              <w:t>a</w:t>
            </w:r>
            <w:r w:rsidRPr="008F6AB3">
              <w:t xml:space="preserve"> </w:t>
            </w:r>
            <w:r>
              <w:t>A</w:t>
            </w:r>
            <w:r w:rsidRPr="008F6AB3">
              <w:t>nemija</w:t>
            </w:r>
          </w:p>
        </w:tc>
        <w:tc>
          <w:tcPr>
            <w:tcW w:w="1029" w:type="dxa"/>
            <w:tcBorders>
              <w:bottom w:val="nil"/>
            </w:tcBorders>
          </w:tcPr>
          <w:p w:rsidR="00124391" w:rsidRPr="008F6AB3" w:rsidRDefault="00124391" w:rsidP="00A0130D">
            <w:pPr>
              <w:pStyle w:val="TableParagraph"/>
              <w:spacing w:line="239" w:lineRule="exact"/>
              <w:ind w:left="3"/>
              <w:jc w:val="both"/>
            </w:pPr>
            <w:r w:rsidRPr="008F6AB3">
              <w:t>-</w:t>
            </w:r>
          </w:p>
        </w:tc>
        <w:tc>
          <w:tcPr>
            <w:tcW w:w="1095" w:type="dxa"/>
            <w:tcBorders>
              <w:bottom w:val="nil"/>
            </w:tcBorders>
          </w:tcPr>
          <w:p w:rsidR="00124391" w:rsidRPr="008F6AB3" w:rsidRDefault="00124391" w:rsidP="00A0130D">
            <w:pPr>
              <w:pStyle w:val="TableParagraph"/>
              <w:spacing w:line="239" w:lineRule="exact"/>
              <w:ind w:left="12"/>
              <w:jc w:val="both"/>
            </w:pPr>
            <w:r w:rsidRPr="008F6AB3">
              <w:t>-</w:t>
            </w:r>
          </w:p>
        </w:tc>
      </w:tr>
      <w:tr w:rsidR="00124391" w:rsidRPr="00243A59" w:rsidTr="00124391">
        <w:trPr>
          <w:trHeight w:val="511"/>
        </w:trPr>
        <w:tc>
          <w:tcPr>
            <w:tcW w:w="1559" w:type="dxa"/>
            <w:vMerge/>
          </w:tcPr>
          <w:p w:rsidR="00124391" w:rsidRPr="008F6AB3" w:rsidRDefault="00124391" w:rsidP="00124391">
            <w:pPr>
              <w:pStyle w:val="TableParagraph"/>
              <w:spacing w:line="246" w:lineRule="exact"/>
              <w:jc w:val="both"/>
              <w:rPr>
                <w:b/>
              </w:rPr>
            </w:pPr>
          </w:p>
        </w:tc>
        <w:tc>
          <w:tcPr>
            <w:tcW w:w="1375" w:type="dxa"/>
            <w:tcBorders>
              <w:top w:val="nil"/>
            </w:tcBorders>
          </w:tcPr>
          <w:p w:rsidR="00124391" w:rsidRPr="008F6AB3" w:rsidRDefault="00124391" w:rsidP="00A0130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602" w:type="dxa"/>
            <w:tcBorders>
              <w:top w:val="nil"/>
            </w:tcBorders>
          </w:tcPr>
          <w:p w:rsidR="00124391" w:rsidRPr="008F6AB3" w:rsidRDefault="00124391" w:rsidP="007171E9">
            <w:pPr>
              <w:pStyle w:val="TableParagraph"/>
              <w:spacing w:line="241" w:lineRule="exact"/>
              <w:ind w:left="110"/>
            </w:pPr>
            <w:r w:rsidRPr="008F6AB3">
              <w:t>koncentracija</w:t>
            </w:r>
          </w:p>
          <w:p w:rsidR="00124391" w:rsidRPr="008F6AB3" w:rsidRDefault="00124391" w:rsidP="007171E9">
            <w:pPr>
              <w:pStyle w:val="TableParagraph"/>
              <w:spacing w:before="1" w:line="248" w:lineRule="exact"/>
              <w:ind w:left="110"/>
            </w:pPr>
            <w:r w:rsidRPr="008F6AB3">
              <w:t>hemoglobina</w:t>
            </w:r>
            <w:r w:rsidRPr="008F6AB3">
              <w:rPr>
                <w:vertAlign w:val="superscript"/>
              </w:rPr>
              <w:t>e</w:t>
            </w:r>
          </w:p>
        </w:tc>
        <w:tc>
          <w:tcPr>
            <w:tcW w:w="1384" w:type="dxa"/>
            <w:tcBorders>
              <w:top w:val="nil"/>
            </w:tcBorders>
          </w:tcPr>
          <w:p w:rsidR="00124391" w:rsidRPr="008F6AB3" w:rsidRDefault="00124391" w:rsidP="00A0130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:rsidR="00124391" w:rsidRPr="008F6AB3" w:rsidRDefault="00124391" w:rsidP="007171E9">
            <w:pPr>
              <w:pStyle w:val="TableParagraph"/>
              <w:spacing w:line="241" w:lineRule="exact"/>
              <w:ind w:left="109"/>
            </w:pPr>
            <w:r w:rsidRPr="008F6AB3">
              <w:t>srpastih ćelija</w:t>
            </w:r>
          </w:p>
          <w:p w:rsidR="00124391" w:rsidRPr="008F6AB3" w:rsidRDefault="00124391" w:rsidP="007171E9">
            <w:pPr>
              <w:pStyle w:val="TableParagraph"/>
              <w:spacing w:before="1" w:line="248" w:lineRule="exact"/>
              <w:ind w:left="109"/>
            </w:pPr>
            <w:r w:rsidRPr="008F6AB3">
              <w:t>sa krizom</w:t>
            </w:r>
          </w:p>
        </w:tc>
        <w:tc>
          <w:tcPr>
            <w:tcW w:w="1029" w:type="dxa"/>
            <w:tcBorders>
              <w:top w:val="nil"/>
            </w:tcBorders>
          </w:tcPr>
          <w:p w:rsidR="00124391" w:rsidRPr="008F6AB3" w:rsidRDefault="00124391" w:rsidP="00A0130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:rsidR="00124391" w:rsidRPr="008F6AB3" w:rsidRDefault="00124391" w:rsidP="00A0130D">
            <w:pPr>
              <w:pStyle w:val="TableParagraph"/>
              <w:jc w:val="both"/>
              <w:rPr>
                <w:sz w:val="20"/>
              </w:rPr>
            </w:pPr>
          </w:p>
        </w:tc>
      </w:tr>
      <w:tr w:rsidR="00FD0BBC" w:rsidRPr="00243A59" w:rsidTr="00124391">
        <w:trPr>
          <w:trHeight w:val="1379"/>
        </w:trPr>
        <w:tc>
          <w:tcPr>
            <w:tcW w:w="1559" w:type="dxa"/>
            <w:tcBorders>
              <w:bottom w:val="nil"/>
            </w:tcBorders>
          </w:tcPr>
          <w:p w:rsidR="00FD0BBC" w:rsidRPr="008F6AB3" w:rsidRDefault="00FD0BBC" w:rsidP="00A0130D">
            <w:pPr>
              <w:pStyle w:val="TableParagraph"/>
              <w:ind w:left="110" w:right="125"/>
              <w:jc w:val="both"/>
              <w:rPr>
                <w:b/>
              </w:rPr>
            </w:pPr>
            <w:r w:rsidRPr="008F6AB3">
              <w:rPr>
                <w:b/>
              </w:rPr>
              <w:t xml:space="preserve">Poremećaji </w:t>
            </w:r>
            <w:r w:rsidRPr="008F6AB3">
              <w:rPr>
                <w:b/>
                <w:spacing w:val="-2"/>
              </w:rPr>
              <w:t>imuno</w:t>
            </w:r>
            <w:r>
              <w:rPr>
                <w:b/>
              </w:rPr>
              <w:t>g</w:t>
            </w:r>
            <w:r w:rsidRPr="008F6AB3">
              <w:rPr>
                <w:b/>
              </w:rPr>
              <w:t xml:space="preserve"> sistema</w:t>
            </w:r>
          </w:p>
        </w:tc>
        <w:tc>
          <w:tcPr>
            <w:tcW w:w="1375" w:type="dxa"/>
            <w:vMerge w:val="restart"/>
          </w:tcPr>
          <w:p w:rsidR="00FD0BBC" w:rsidRPr="008F6AB3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602" w:type="dxa"/>
            <w:vMerge w:val="restart"/>
          </w:tcPr>
          <w:p w:rsidR="00FD0BBC" w:rsidRPr="008F6AB3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84" w:type="dxa"/>
            <w:tcBorders>
              <w:bottom w:val="nil"/>
            </w:tcBorders>
          </w:tcPr>
          <w:p w:rsidR="00FD0BBC" w:rsidRPr="008F6AB3" w:rsidRDefault="00BA73ED" w:rsidP="007171E9">
            <w:pPr>
              <w:pStyle w:val="TableParagraph"/>
              <w:ind w:left="110"/>
            </w:pPr>
            <w:r>
              <w:t>B</w:t>
            </w:r>
            <w:r w:rsidR="00FD0BBC" w:rsidRPr="008F6AB3">
              <w:t xml:space="preserve">olest </w:t>
            </w:r>
            <w:r w:rsidR="00FD0BBC" w:rsidRPr="008F6AB3">
              <w:rPr>
                <w:spacing w:val="-1"/>
                <w:lang w:val="de-DE"/>
              </w:rPr>
              <w:t>reakcije</w:t>
            </w:r>
            <w:r w:rsidR="00FD0BBC" w:rsidRPr="008F6AB3">
              <w:rPr>
                <w:spacing w:val="53"/>
                <w:lang w:val="de-DE"/>
              </w:rPr>
              <w:t xml:space="preserve"> </w:t>
            </w:r>
            <w:r w:rsidR="00FD0BBC" w:rsidRPr="008F6AB3">
              <w:rPr>
                <w:spacing w:val="-1"/>
                <w:lang w:val="de-DE"/>
              </w:rPr>
              <w:t>presađenog</w:t>
            </w:r>
            <w:r w:rsidR="00FD0BBC" w:rsidRPr="008F6AB3">
              <w:rPr>
                <w:spacing w:val="54"/>
                <w:lang w:val="de-DE"/>
              </w:rPr>
              <w:t xml:space="preserve"> </w:t>
            </w:r>
            <w:r w:rsidR="00FD0BBC" w:rsidRPr="008F6AB3">
              <w:rPr>
                <w:spacing w:val="-1"/>
                <w:lang w:val="de-DE"/>
              </w:rPr>
              <w:t>organa</w:t>
            </w:r>
            <w:r w:rsidR="00FD0BBC" w:rsidRPr="008F6AB3">
              <w:rPr>
                <w:spacing w:val="54"/>
                <w:lang w:val="de-DE"/>
              </w:rPr>
              <w:t xml:space="preserve"> </w:t>
            </w:r>
            <w:r w:rsidR="00FD0BBC" w:rsidRPr="008F6AB3">
              <w:rPr>
                <w:spacing w:val="-2"/>
                <w:lang w:val="de-DE"/>
              </w:rPr>
              <w:t>protiv</w:t>
            </w:r>
            <w:r w:rsidR="00FD0BBC" w:rsidRPr="008F6AB3">
              <w:rPr>
                <w:spacing w:val="53"/>
                <w:lang w:val="de-DE"/>
              </w:rPr>
              <w:t xml:space="preserve"> </w:t>
            </w:r>
            <w:r w:rsidR="00FD0BBC" w:rsidRPr="008F6AB3">
              <w:rPr>
                <w:spacing w:val="-1"/>
                <w:lang w:val="de-DE"/>
              </w:rPr>
              <w:t>primaoca</w:t>
            </w:r>
            <w:r w:rsidR="00FD0BBC" w:rsidRPr="008F6AB3">
              <w:rPr>
                <w:vertAlign w:val="superscript"/>
              </w:rPr>
              <w:t>b</w:t>
            </w:r>
            <w:r w:rsidR="00FD0BBC" w:rsidRPr="008F6AB3">
              <w:t xml:space="preserve"> </w:t>
            </w:r>
            <w:r>
              <w:t>P</w:t>
            </w:r>
            <w:r w:rsidR="00FD0BBC" w:rsidRPr="008F6AB3">
              <w:t>reosjetljivost na lijek</w:t>
            </w:r>
            <w:r w:rsidR="00FD0BBC" w:rsidRPr="008F6AB3">
              <w:rPr>
                <w:vertAlign w:val="superscript"/>
              </w:rPr>
              <w:t xml:space="preserve">a </w:t>
            </w:r>
          </w:p>
        </w:tc>
        <w:tc>
          <w:tcPr>
            <w:tcW w:w="1319" w:type="dxa"/>
            <w:tcBorders>
              <w:bottom w:val="nil"/>
            </w:tcBorders>
          </w:tcPr>
          <w:p w:rsidR="00FD0BBC" w:rsidRPr="008F6AB3" w:rsidRDefault="00BA73ED" w:rsidP="007171E9">
            <w:pPr>
              <w:pStyle w:val="TableParagraph"/>
              <w:spacing w:line="237" w:lineRule="exact"/>
              <w:ind w:left="109"/>
            </w:pPr>
            <w:r>
              <w:t>A</w:t>
            </w:r>
            <w:r w:rsidR="00FD0BBC" w:rsidRPr="008F6AB3">
              <w:t>nafilaktička</w:t>
            </w:r>
          </w:p>
          <w:p w:rsidR="00FD0BBC" w:rsidRPr="008F6AB3" w:rsidRDefault="00FD0BBC" w:rsidP="007171E9">
            <w:pPr>
              <w:pStyle w:val="TableParagraph"/>
              <w:spacing w:line="251" w:lineRule="exact"/>
              <w:ind w:left="109"/>
            </w:pPr>
            <w:r w:rsidRPr="008F6AB3">
              <w:t>reakcija</w:t>
            </w:r>
          </w:p>
        </w:tc>
        <w:tc>
          <w:tcPr>
            <w:tcW w:w="1029" w:type="dxa"/>
            <w:tcBorders>
              <w:bottom w:val="nil"/>
            </w:tcBorders>
          </w:tcPr>
          <w:p w:rsidR="00FD0BBC" w:rsidRPr="008F6AB3" w:rsidRDefault="00FD0BBC" w:rsidP="00A0130D">
            <w:pPr>
              <w:pStyle w:val="TableParagraph"/>
              <w:spacing w:line="239" w:lineRule="exact"/>
              <w:ind w:left="3"/>
              <w:jc w:val="both"/>
            </w:pPr>
            <w:r w:rsidRPr="008F6AB3">
              <w:t>-</w:t>
            </w:r>
          </w:p>
        </w:tc>
        <w:tc>
          <w:tcPr>
            <w:tcW w:w="1095" w:type="dxa"/>
            <w:tcBorders>
              <w:bottom w:val="nil"/>
            </w:tcBorders>
          </w:tcPr>
          <w:p w:rsidR="00FD0BBC" w:rsidRPr="008F6AB3" w:rsidRDefault="00FD0BBC" w:rsidP="00A0130D">
            <w:pPr>
              <w:pStyle w:val="TableParagraph"/>
              <w:spacing w:line="239" w:lineRule="exact"/>
              <w:ind w:left="12"/>
              <w:jc w:val="both"/>
            </w:pPr>
            <w:r w:rsidRPr="008F6AB3">
              <w:t>-</w:t>
            </w:r>
          </w:p>
        </w:tc>
      </w:tr>
      <w:tr w:rsidR="00FD0BBC" w:rsidRPr="00243A59" w:rsidTr="00124391">
        <w:trPr>
          <w:trHeight w:val="381"/>
        </w:trPr>
        <w:tc>
          <w:tcPr>
            <w:tcW w:w="1559" w:type="dxa"/>
            <w:tcBorders>
              <w:top w:val="nil"/>
            </w:tcBorders>
          </w:tcPr>
          <w:p w:rsidR="00FD0BBC" w:rsidRPr="008F6AB3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FD0BBC" w:rsidRPr="008F6AB3" w:rsidRDefault="00FD0BBC" w:rsidP="00A0130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FD0BBC" w:rsidRPr="008F6AB3" w:rsidRDefault="00FD0BBC" w:rsidP="00A0130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4" w:type="dxa"/>
            <w:tcBorders>
              <w:top w:val="nil"/>
            </w:tcBorders>
          </w:tcPr>
          <w:p w:rsidR="00FD0BBC" w:rsidRPr="008F6AB3" w:rsidRDefault="00FD0BBC" w:rsidP="007171E9">
            <w:pPr>
              <w:pStyle w:val="TableParagraph"/>
              <w:spacing w:before="113" w:line="248" w:lineRule="exact"/>
              <w:ind w:left="110"/>
            </w:pPr>
            <w:r w:rsidRPr="008F6AB3">
              <w:t>preosjetljivost</w:t>
            </w:r>
          </w:p>
        </w:tc>
        <w:tc>
          <w:tcPr>
            <w:tcW w:w="1319" w:type="dxa"/>
            <w:tcBorders>
              <w:top w:val="nil"/>
            </w:tcBorders>
          </w:tcPr>
          <w:p w:rsidR="00FD0BBC" w:rsidRPr="008F6AB3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029" w:type="dxa"/>
            <w:tcBorders>
              <w:top w:val="nil"/>
            </w:tcBorders>
          </w:tcPr>
          <w:p w:rsidR="00FD0BBC" w:rsidRPr="008F6AB3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:rsidR="00FD0BBC" w:rsidRPr="008F6AB3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</w:tr>
      <w:tr w:rsidR="00FD0BBC" w:rsidRPr="00243A59" w:rsidTr="00124391">
        <w:trPr>
          <w:trHeight w:val="2274"/>
        </w:trPr>
        <w:tc>
          <w:tcPr>
            <w:tcW w:w="1559" w:type="dxa"/>
          </w:tcPr>
          <w:p w:rsidR="00FD0BBC" w:rsidRPr="008F6AB3" w:rsidRDefault="00FD0BBC" w:rsidP="00124391">
            <w:pPr>
              <w:pStyle w:val="TableParagraph"/>
              <w:ind w:left="110" w:right="101"/>
              <w:jc w:val="both"/>
              <w:rPr>
                <w:b/>
              </w:rPr>
            </w:pPr>
            <w:r w:rsidRPr="008F6AB3">
              <w:rPr>
                <w:b/>
              </w:rPr>
              <w:t xml:space="preserve">Poremećaji </w:t>
            </w:r>
            <w:r w:rsidRPr="008F6AB3">
              <w:rPr>
                <w:b/>
                <w:spacing w:val="-1"/>
              </w:rPr>
              <w:t>metabolizm</w:t>
            </w:r>
            <w:r w:rsidR="00124391">
              <w:rPr>
                <w:b/>
                <w:spacing w:val="-1"/>
              </w:rPr>
              <w:t>a</w:t>
            </w:r>
            <w:r w:rsidRPr="008F6AB3">
              <w:rPr>
                <w:b/>
              </w:rPr>
              <w:t xml:space="preserve"> i ishrane</w:t>
            </w:r>
          </w:p>
        </w:tc>
        <w:tc>
          <w:tcPr>
            <w:tcW w:w="1375" w:type="dxa"/>
          </w:tcPr>
          <w:p w:rsidR="00FD0BBC" w:rsidRPr="008F6AB3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602" w:type="dxa"/>
          </w:tcPr>
          <w:p w:rsidR="00FD0BBC" w:rsidRPr="008F6AB3" w:rsidRDefault="00BA73ED" w:rsidP="007171E9">
            <w:pPr>
              <w:pStyle w:val="TableParagraph"/>
              <w:spacing w:line="237" w:lineRule="auto"/>
              <w:ind w:left="110" w:right="115"/>
            </w:pPr>
            <w:r>
              <w:t>S</w:t>
            </w:r>
            <w:r w:rsidR="00FD0BBC" w:rsidRPr="008F6AB3">
              <w:t>manjen apetit</w:t>
            </w:r>
            <w:r w:rsidR="00FD0BBC" w:rsidRPr="008F6AB3">
              <w:rPr>
                <w:vertAlign w:val="superscript"/>
              </w:rPr>
              <w:t>a</w:t>
            </w:r>
          </w:p>
          <w:p w:rsidR="00FD0BBC" w:rsidRPr="008F6AB3" w:rsidRDefault="00FD0BBC" w:rsidP="007171E9">
            <w:pPr>
              <w:pStyle w:val="TableParagraph"/>
              <w:spacing w:before="1"/>
              <w:rPr>
                <w:sz w:val="21"/>
              </w:rPr>
            </w:pPr>
          </w:p>
          <w:p w:rsidR="00FD0BBC" w:rsidRPr="008F6AB3" w:rsidRDefault="00BA73ED" w:rsidP="007171E9">
            <w:pPr>
              <w:pStyle w:val="TableParagraph"/>
              <w:ind w:left="110" w:right="115"/>
            </w:pPr>
            <w:r>
              <w:t>P</w:t>
            </w:r>
            <w:r w:rsidR="00124391">
              <w:t>ovišena laktat dehidrogenaz</w:t>
            </w:r>
            <w:r w:rsidR="00FD0BBC" w:rsidRPr="008F6AB3">
              <w:t>a u krvi</w:t>
            </w:r>
          </w:p>
        </w:tc>
        <w:tc>
          <w:tcPr>
            <w:tcW w:w="1384" w:type="dxa"/>
          </w:tcPr>
          <w:p w:rsidR="00124391" w:rsidRDefault="00BA73ED" w:rsidP="007171E9">
            <w:pPr>
              <w:pStyle w:val="TableParagraph"/>
              <w:spacing w:line="237" w:lineRule="auto"/>
              <w:ind w:left="110"/>
            </w:pPr>
            <w:r>
              <w:t>H</w:t>
            </w:r>
            <w:r w:rsidR="00FD0BBC" w:rsidRPr="008F6AB3">
              <w:t xml:space="preserve">iperurikemija </w:t>
            </w:r>
          </w:p>
          <w:p w:rsidR="00FD0BBC" w:rsidRPr="008F6AB3" w:rsidRDefault="00BA73ED" w:rsidP="007171E9">
            <w:pPr>
              <w:pStyle w:val="TableParagraph"/>
              <w:spacing w:line="237" w:lineRule="auto"/>
              <w:ind w:left="110"/>
            </w:pPr>
            <w:r>
              <w:t>P</w:t>
            </w:r>
            <w:r w:rsidR="00FD0BBC" w:rsidRPr="008F6AB3">
              <w:t>ovišena</w:t>
            </w:r>
          </w:p>
          <w:p w:rsidR="00FD0BBC" w:rsidRPr="008F6AB3" w:rsidRDefault="00FD0BBC" w:rsidP="007171E9">
            <w:pPr>
              <w:pStyle w:val="TableParagraph"/>
              <w:ind w:left="110"/>
            </w:pPr>
            <w:r w:rsidRPr="008F6AB3">
              <w:t>mokraćna</w:t>
            </w:r>
          </w:p>
          <w:p w:rsidR="00FD0BBC" w:rsidRPr="008F6AB3" w:rsidRDefault="00FD0BBC" w:rsidP="007171E9">
            <w:pPr>
              <w:pStyle w:val="TableParagraph"/>
              <w:ind w:left="110"/>
            </w:pPr>
            <w:r w:rsidRPr="008F6AB3">
              <w:t>kiselina u krvi</w:t>
            </w:r>
          </w:p>
        </w:tc>
        <w:tc>
          <w:tcPr>
            <w:tcW w:w="1319" w:type="dxa"/>
          </w:tcPr>
          <w:p w:rsidR="00FD0BBC" w:rsidRPr="008F6AB3" w:rsidRDefault="00BA73ED" w:rsidP="007171E9">
            <w:pPr>
              <w:pStyle w:val="TableParagraph"/>
              <w:spacing w:line="237" w:lineRule="auto"/>
              <w:ind w:left="109" w:right="160"/>
            </w:pPr>
            <w:r>
              <w:t>S</w:t>
            </w:r>
            <w:r w:rsidR="00FD0BBC" w:rsidRPr="008F6AB3">
              <w:t>manjena glukoza u krvi</w:t>
            </w:r>
          </w:p>
          <w:p w:rsidR="00FD0BBC" w:rsidRPr="008F6AB3" w:rsidRDefault="00BA73ED" w:rsidP="007171E9">
            <w:pPr>
              <w:pStyle w:val="TableParagraph"/>
              <w:ind w:left="109" w:right="86"/>
            </w:pPr>
            <w:r>
              <w:t>P</w:t>
            </w:r>
            <w:r w:rsidR="00FD0BBC" w:rsidRPr="008F6AB3">
              <w:t>seudogiht</w:t>
            </w:r>
            <w:r w:rsidR="00FD0BBC" w:rsidRPr="008F6AB3">
              <w:rPr>
                <w:vertAlign w:val="superscript"/>
              </w:rPr>
              <w:t>a</w:t>
            </w:r>
            <w:r w:rsidR="00FD0BBC" w:rsidRPr="008F6AB3">
              <w:t xml:space="preserve"> (hondrokalcinoza</w:t>
            </w:r>
            <w:r w:rsidR="00124391">
              <w:t xml:space="preserve"> </w:t>
            </w:r>
            <w:r w:rsidR="00FD0BBC" w:rsidRPr="008F6AB3">
              <w:t xml:space="preserve">pirofosfat) </w:t>
            </w:r>
            <w:r>
              <w:t>P</w:t>
            </w:r>
            <w:r w:rsidR="00FD0BBC" w:rsidRPr="008F6AB3">
              <w:t>oremećaji volumena</w:t>
            </w:r>
          </w:p>
          <w:p w:rsidR="00FD0BBC" w:rsidRPr="008F6AB3" w:rsidRDefault="00FD0BBC" w:rsidP="007171E9">
            <w:pPr>
              <w:pStyle w:val="TableParagraph"/>
              <w:spacing w:line="248" w:lineRule="exact"/>
              <w:ind w:left="109"/>
            </w:pPr>
            <w:r w:rsidRPr="008F6AB3">
              <w:t>tečnosti</w:t>
            </w:r>
          </w:p>
        </w:tc>
        <w:tc>
          <w:tcPr>
            <w:tcW w:w="1029" w:type="dxa"/>
          </w:tcPr>
          <w:p w:rsidR="00FD0BBC" w:rsidRPr="008F6AB3" w:rsidRDefault="00FD0BBC" w:rsidP="00A0130D">
            <w:pPr>
              <w:pStyle w:val="TableParagraph"/>
              <w:spacing w:line="239" w:lineRule="exact"/>
              <w:ind w:left="3"/>
              <w:jc w:val="both"/>
            </w:pPr>
            <w:r w:rsidRPr="008F6AB3">
              <w:t>-</w:t>
            </w:r>
          </w:p>
        </w:tc>
        <w:tc>
          <w:tcPr>
            <w:tcW w:w="1095" w:type="dxa"/>
          </w:tcPr>
          <w:p w:rsidR="00FD0BBC" w:rsidRPr="008F6AB3" w:rsidRDefault="00FD0BBC" w:rsidP="00A0130D">
            <w:pPr>
              <w:pStyle w:val="TableParagraph"/>
              <w:spacing w:line="239" w:lineRule="exact"/>
              <w:ind w:left="12"/>
              <w:jc w:val="both"/>
            </w:pPr>
            <w:r w:rsidRPr="008F6AB3">
              <w:t>-</w:t>
            </w:r>
          </w:p>
        </w:tc>
      </w:tr>
      <w:tr w:rsidR="00FD0BBC" w:rsidRPr="00243A59" w:rsidTr="00124391">
        <w:trPr>
          <w:trHeight w:val="757"/>
        </w:trPr>
        <w:tc>
          <w:tcPr>
            <w:tcW w:w="1559" w:type="dxa"/>
          </w:tcPr>
          <w:p w:rsidR="00FD0BBC" w:rsidRPr="008F6AB3" w:rsidRDefault="00FD0BBC" w:rsidP="00A0130D">
            <w:pPr>
              <w:pStyle w:val="TableParagraph"/>
              <w:spacing w:line="242" w:lineRule="auto"/>
              <w:ind w:left="110" w:right="146"/>
              <w:jc w:val="both"/>
              <w:rPr>
                <w:b/>
              </w:rPr>
            </w:pPr>
            <w:r w:rsidRPr="008F6AB3">
              <w:rPr>
                <w:b/>
              </w:rPr>
              <w:t>Psihijatrijs ki</w:t>
            </w:r>
          </w:p>
          <w:p w:rsidR="00FD0BBC" w:rsidRPr="008F6AB3" w:rsidRDefault="00FD0BBC" w:rsidP="00A0130D">
            <w:pPr>
              <w:pStyle w:val="TableParagraph"/>
              <w:spacing w:line="237" w:lineRule="exact"/>
              <w:ind w:left="110"/>
              <w:jc w:val="both"/>
              <w:rPr>
                <w:b/>
              </w:rPr>
            </w:pPr>
            <w:r w:rsidRPr="008F6AB3">
              <w:rPr>
                <w:b/>
              </w:rPr>
              <w:t>poremećaji</w:t>
            </w:r>
          </w:p>
        </w:tc>
        <w:tc>
          <w:tcPr>
            <w:tcW w:w="1375" w:type="dxa"/>
          </w:tcPr>
          <w:p w:rsidR="00FD0BBC" w:rsidRPr="008F6AB3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602" w:type="dxa"/>
          </w:tcPr>
          <w:p w:rsidR="00FD0BBC" w:rsidRPr="008F6AB3" w:rsidRDefault="00BA73ED" w:rsidP="00A0130D">
            <w:pPr>
              <w:pStyle w:val="TableParagraph"/>
              <w:spacing w:line="239" w:lineRule="exact"/>
              <w:ind w:left="110"/>
              <w:jc w:val="both"/>
            </w:pPr>
            <w:r>
              <w:t>N</w:t>
            </w:r>
            <w:r w:rsidR="00FD0BBC" w:rsidRPr="008F6AB3">
              <w:t>esanica</w:t>
            </w:r>
          </w:p>
        </w:tc>
        <w:tc>
          <w:tcPr>
            <w:tcW w:w="1384" w:type="dxa"/>
          </w:tcPr>
          <w:p w:rsidR="00FD0BBC" w:rsidRPr="008F6AB3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19" w:type="dxa"/>
          </w:tcPr>
          <w:p w:rsidR="00FD0BBC" w:rsidRPr="008F6AB3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029" w:type="dxa"/>
          </w:tcPr>
          <w:p w:rsidR="00FD0BBC" w:rsidRPr="008F6AB3" w:rsidRDefault="00FD0BBC" w:rsidP="00A0130D">
            <w:pPr>
              <w:pStyle w:val="TableParagraph"/>
              <w:spacing w:line="239" w:lineRule="exact"/>
              <w:ind w:left="3"/>
              <w:jc w:val="both"/>
            </w:pPr>
            <w:r w:rsidRPr="008F6AB3">
              <w:t>-</w:t>
            </w:r>
          </w:p>
        </w:tc>
        <w:tc>
          <w:tcPr>
            <w:tcW w:w="1095" w:type="dxa"/>
          </w:tcPr>
          <w:p w:rsidR="00FD0BBC" w:rsidRPr="008F6AB3" w:rsidRDefault="00FD0BBC" w:rsidP="00A0130D">
            <w:pPr>
              <w:pStyle w:val="TableParagraph"/>
              <w:spacing w:line="239" w:lineRule="exact"/>
              <w:ind w:left="12"/>
              <w:jc w:val="both"/>
            </w:pPr>
            <w:r w:rsidRPr="008F6AB3">
              <w:t>-</w:t>
            </w:r>
          </w:p>
        </w:tc>
      </w:tr>
      <w:tr w:rsidR="00FD0BBC" w:rsidRPr="00243A59" w:rsidTr="00124391">
        <w:trPr>
          <w:trHeight w:val="1012"/>
        </w:trPr>
        <w:tc>
          <w:tcPr>
            <w:tcW w:w="1559" w:type="dxa"/>
          </w:tcPr>
          <w:p w:rsidR="00FD0BBC" w:rsidRPr="008F6AB3" w:rsidRDefault="00FD0BBC" w:rsidP="00A0130D">
            <w:pPr>
              <w:pStyle w:val="TableParagraph"/>
              <w:spacing w:line="242" w:lineRule="auto"/>
              <w:ind w:left="110" w:right="122"/>
              <w:jc w:val="both"/>
              <w:rPr>
                <w:b/>
              </w:rPr>
            </w:pPr>
            <w:r w:rsidRPr="008F6AB3">
              <w:rPr>
                <w:b/>
              </w:rPr>
              <w:t>Poremećaji nervnog sistema</w:t>
            </w:r>
          </w:p>
        </w:tc>
        <w:tc>
          <w:tcPr>
            <w:tcW w:w="1375" w:type="dxa"/>
          </w:tcPr>
          <w:p w:rsidR="00FD0BBC" w:rsidRPr="008F6AB3" w:rsidRDefault="00BA73ED" w:rsidP="00A0130D">
            <w:pPr>
              <w:pStyle w:val="TableParagraph"/>
              <w:spacing w:line="239" w:lineRule="exact"/>
              <w:ind w:left="110"/>
              <w:jc w:val="both"/>
            </w:pPr>
            <w:r>
              <w:t>G</w:t>
            </w:r>
            <w:r w:rsidR="00FD0BBC" w:rsidRPr="008F6AB3">
              <w:t>lavobolja</w:t>
            </w:r>
            <w:r w:rsidR="00FD0BBC" w:rsidRPr="008F6AB3">
              <w:rPr>
                <w:vertAlign w:val="superscript"/>
              </w:rPr>
              <w:t>a</w:t>
            </w:r>
          </w:p>
        </w:tc>
        <w:tc>
          <w:tcPr>
            <w:tcW w:w="1602" w:type="dxa"/>
          </w:tcPr>
          <w:p w:rsidR="00FD0BBC" w:rsidRPr="008F6AB3" w:rsidRDefault="00BA73ED" w:rsidP="00A0130D">
            <w:pPr>
              <w:pStyle w:val="TableParagraph"/>
              <w:spacing w:line="239" w:lineRule="exact"/>
              <w:ind w:left="110"/>
              <w:jc w:val="both"/>
            </w:pPr>
            <w:r>
              <w:t>O</w:t>
            </w:r>
            <w:r w:rsidR="00FD0BBC" w:rsidRPr="008F6AB3">
              <w:t>maglica,</w:t>
            </w:r>
          </w:p>
          <w:p w:rsidR="00FD0BBC" w:rsidRPr="008F6AB3" w:rsidRDefault="00BA73ED" w:rsidP="00A0130D">
            <w:pPr>
              <w:pStyle w:val="TableParagraph"/>
              <w:spacing w:before="1"/>
              <w:ind w:left="110" w:right="194"/>
              <w:jc w:val="both"/>
            </w:pPr>
            <w:r>
              <w:t>H</w:t>
            </w:r>
            <w:r w:rsidR="00FD0BBC" w:rsidRPr="008F6AB3">
              <w:t xml:space="preserve">ipoestezija, </w:t>
            </w:r>
            <w:r>
              <w:t>P</w:t>
            </w:r>
            <w:r w:rsidR="00FD0BBC" w:rsidRPr="008F6AB3">
              <w:t>arestezija</w:t>
            </w:r>
          </w:p>
        </w:tc>
        <w:tc>
          <w:tcPr>
            <w:tcW w:w="1384" w:type="dxa"/>
          </w:tcPr>
          <w:p w:rsidR="00FD0BBC" w:rsidRPr="008F6AB3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19" w:type="dxa"/>
          </w:tcPr>
          <w:p w:rsidR="00FD0BBC" w:rsidRPr="008F6AB3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029" w:type="dxa"/>
          </w:tcPr>
          <w:p w:rsidR="00FD0BBC" w:rsidRPr="008F6AB3" w:rsidRDefault="00FD0BBC" w:rsidP="00A0130D">
            <w:pPr>
              <w:pStyle w:val="TableParagraph"/>
              <w:spacing w:line="239" w:lineRule="exact"/>
              <w:ind w:left="3"/>
              <w:jc w:val="both"/>
            </w:pPr>
            <w:r w:rsidRPr="008F6AB3">
              <w:t>-</w:t>
            </w:r>
          </w:p>
        </w:tc>
        <w:tc>
          <w:tcPr>
            <w:tcW w:w="1095" w:type="dxa"/>
          </w:tcPr>
          <w:p w:rsidR="00FD0BBC" w:rsidRPr="008F6AB3" w:rsidRDefault="00FD0BBC" w:rsidP="00A0130D">
            <w:pPr>
              <w:pStyle w:val="TableParagraph"/>
              <w:spacing w:line="239" w:lineRule="exact"/>
              <w:ind w:left="12"/>
              <w:jc w:val="both"/>
            </w:pPr>
            <w:r w:rsidRPr="008F6AB3">
              <w:t>-</w:t>
            </w:r>
          </w:p>
        </w:tc>
      </w:tr>
      <w:tr w:rsidR="00FD0BBC" w:rsidRPr="00243A59" w:rsidTr="00124391">
        <w:trPr>
          <w:trHeight w:val="1266"/>
        </w:trPr>
        <w:tc>
          <w:tcPr>
            <w:tcW w:w="1559" w:type="dxa"/>
          </w:tcPr>
          <w:p w:rsidR="00FD0BBC" w:rsidRPr="008F6AB3" w:rsidRDefault="00FD0BBC" w:rsidP="00A0130D">
            <w:pPr>
              <w:pStyle w:val="TableParagraph"/>
              <w:spacing w:line="243" w:lineRule="exact"/>
              <w:ind w:left="110"/>
              <w:jc w:val="both"/>
              <w:rPr>
                <w:b/>
              </w:rPr>
            </w:pPr>
            <w:r w:rsidRPr="008F6AB3">
              <w:rPr>
                <w:b/>
              </w:rPr>
              <w:t>Vaskularni</w:t>
            </w:r>
          </w:p>
          <w:p w:rsidR="00FD0BBC" w:rsidRPr="008F6AB3" w:rsidRDefault="00FD0BBC" w:rsidP="00A0130D">
            <w:pPr>
              <w:pStyle w:val="TableParagraph"/>
              <w:spacing w:before="1"/>
              <w:ind w:left="110"/>
              <w:jc w:val="both"/>
              <w:rPr>
                <w:b/>
              </w:rPr>
            </w:pPr>
            <w:r w:rsidRPr="008F6AB3">
              <w:rPr>
                <w:b/>
              </w:rPr>
              <w:t>poremećaji</w:t>
            </w:r>
          </w:p>
        </w:tc>
        <w:tc>
          <w:tcPr>
            <w:tcW w:w="1375" w:type="dxa"/>
          </w:tcPr>
          <w:p w:rsidR="00FD0BBC" w:rsidRPr="008F6AB3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602" w:type="dxa"/>
          </w:tcPr>
          <w:p w:rsidR="00FD0BBC" w:rsidRPr="008F6AB3" w:rsidRDefault="00BA73ED" w:rsidP="00A0130D">
            <w:pPr>
              <w:pStyle w:val="TableParagraph"/>
              <w:spacing w:line="239" w:lineRule="exact"/>
              <w:ind w:left="110"/>
              <w:jc w:val="both"/>
            </w:pPr>
            <w:r>
              <w:t>H</w:t>
            </w:r>
            <w:r w:rsidR="00FD0BBC" w:rsidRPr="008F6AB3">
              <w:t>ipotenzija</w:t>
            </w:r>
          </w:p>
          <w:p w:rsidR="00FD0BBC" w:rsidRPr="008F6AB3" w:rsidRDefault="00FD0BBC" w:rsidP="00A0130D">
            <w:pPr>
              <w:pStyle w:val="TableParagraph"/>
              <w:spacing w:before="2"/>
              <w:jc w:val="both"/>
            </w:pPr>
          </w:p>
          <w:p w:rsidR="00FD0BBC" w:rsidRPr="008F6AB3" w:rsidRDefault="00BA73ED" w:rsidP="00A0130D">
            <w:pPr>
              <w:pStyle w:val="TableParagraph"/>
              <w:spacing w:before="1"/>
              <w:ind w:left="110"/>
              <w:jc w:val="both"/>
            </w:pPr>
            <w:r>
              <w:t>H</w:t>
            </w:r>
            <w:r w:rsidR="00FD0BBC" w:rsidRPr="008F6AB3">
              <w:t>ipertenzija</w:t>
            </w:r>
          </w:p>
        </w:tc>
        <w:tc>
          <w:tcPr>
            <w:tcW w:w="1384" w:type="dxa"/>
          </w:tcPr>
          <w:p w:rsidR="00FD0BBC" w:rsidRPr="008F6AB3" w:rsidRDefault="00BA73ED" w:rsidP="00124391">
            <w:pPr>
              <w:pStyle w:val="TableParagraph"/>
              <w:spacing w:line="239" w:lineRule="exact"/>
              <w:ind w:left="110"/>
              <w:jc w:val="both"/>
            </w:pPr>
            <w:r>
              <w:t>V</w:t>
            </w:r>
            <w:r w:rsidR="00FD0BBC" w:rsidRPr="008F6AB3">
              <w:t>enookluzivna</w:t>
            </w:r>
            <w:r w:rsidR="00124391">
              <w:t xml:space="preserve"> </w:t>
            </w:r>
            <w:r w:rsidR="00FD0BBC" w:rsidRPr="008F6AB3">
              <w:t>bolest</w:t>
            </w:r>
            <w:r w:rsidR="00FD0BBC" w:rsidRPr="008F6AB3">
              <w:rPr>
                <w:vertAlign w:val="superscript"/>
              </w:rPr>
              <w:t>d</w:t>
            </w:r>
          </w:p>
        </w:tc>
        <w:tc>
          <w:tcPr>
            <w:tcW w:w="1319" w:type="dxa"/>
          </w:tcPr>
          <w:p w:rsidR="00FD0BBC" w:rsidRPr="008F6AB3" w:rsidRDefault="00BA73ED" w:rsidP="00124391">
            <w:pPr>
              <w:pStyle w:val="TableParagraph"/>
              <w:ind w:left="110" w:right="115"/>
              <w:jc w:val="both"/>
            </w:pPr>
            <w:r>
              <w:t>S</w:t>
            </w:r>
            <w:r w:rsidR="00FD0BBC" w:rsidRPr="008F6AB3">
              <w:t>indrom</w:t>
            </w:r>
          </w:p>
          <w:p w:rsidR="00FD0BBC" w:rsidRPr="008F6AB3" w:rsidRDefault="00124391" w:rsidP="00124391">
            <w:pPr>
              <w:pStyle w:val="TableParagraph"/>
              <w:ind w:left="110" w:right="115"/>
              <w:jc w:val="both"/>
            </w:pPr>
            <w:r>
              <w:t>poveća</w:t>
            </w:r>
            <w:r w:rsidR="00FD0BBC" w:rsidRPr="008F6AB3">
              <w:t>ne propustljivosti kapilara</w:t>
            </w:r>
            <w:r w:rsidR="00FD0BBC" w:rsidRPr="00124391">
              <w:rPr>
                <w:vertAlign w:val="superscript"/>
              </w:rPr>
              <w:t>a</w:t>
            </w:r>
            <w:r w:rsidR="00FD0BBC" w:rsidRPr="008F6AB3">
              <w:t xml:space="preserve">, </w:t>
            </w:r>
            <w:r w:rsidR="00BA73ED">
              <w:t>A</w:t>
            </w:r>
            <w:r w:rsidR="00FD0BBC" w:rsidRPr="008F6AB3">
              <w:t>ortitis</w:t>
            </w:r>
          </w:p>
        </w:tc>
        <w:tc>
          <w:tcPr>
            <w:tcW w:w="1029" w:type="dxa"/>
          </w:tcPr>
          <w:p w:rsidR="00FD0BBC" w:rsidRPr="008F6AB3" w:rsidRDefault="00FD0BBC" w:rsidP="00A0130D">
            <w:pPr>
              <w:pStyle w:val="TableParagraph"/>
              <w:spacing w:line="239" w:lineRule="exact"/>
              <w:ind w:left="3"/>
              <w:jc w:val="both"/>
            </w:pPr>
            <w:r w:rsidRPr="008F6AB3">
              <w:t>-</w:t>
            </w:r>
          </w:p>
        </w:tc>
        <w:tc>
          <w:tcPr>
            <w:tcW w:w="1095" w:type="dxa"/>
          </w:tcPr>
          <w:p w:rsidR="00FD0BBC" w:rsidRPr="008F6AB3" w:rsidRDefault="00FD0BBC" w:rsidP="00A0130D">
            <w:pPr>
              <w:pStyle w:val="TableParagraph"/>
              <w:spacing w:line="239" w:lineRule="exact"/>
              <w:ind w:left="12"/>
              <w:jc w:val="both"/>
            </w:pPr>
            <w:r w:rsidRPr="008F6AB3">
              <w:t>-</w:t>
            </w:r>
          </w:p>
        </w:tc>
      </w:tr>
      <w:tr w:rsidR="00FD0BBC" w:rsidRPr="00243A59" w:rsidTr="00124391">
        <w:trPr>
          <w:trHeight w:val="5067"/>
        </w:trPr>
        <w:tc>
          <w:tcPr>
            <w:tcW w:w="1559" w:type="dxa"/>
          </w:tcPr>
          <w:p w:rsidR="00FD0BBC" w:rsidRPr="008F6AB3" w:rsidRDefault="00FD0BBC" w:rsidP="007171E9">
            <w:pPr>
              <w:pStyle w:val="TableParagraph"/>
              <w:ind w:left="110" w:right="122"/>
              <w:rPr>
                <w:b/>
              </w:rPr>
            </w:pPr>
            <w:r w:rsidRPr="008F6AB3">
              <w:rPr>
                <w:b/>
              </w:rPr>
              <w:lastRenderedPageBreak/>
              <w:t xml:space="preserve"> </w:t>
            </w:r>
            <w:r w:rsidR="005D76C9">
              <w:rPr>
                <w:b/>
              </w:rPr>
              <w:t>R</w:t>
            </w:r>
            <w:r w:rsidRPr="008F6AB3">
              <w:rPr>
                <w:b/>
              </w:rPr>
              <w:t>espiratorn</w:t>
            </w:r>
            <w:r w:rsidR="005D76C9">
              <w:rPr>
                <w:b/>
              </w:rPr>
              <w:t>i</w:t>
            </w:r>
            <w:r w:rsidR="00124391">
              <w:rPr>
                <w:b/>
              </w:rPr>
              <w:t xml:space="preserve">, </w:t>
            </w:r>
            <w:r w:rsidRPr="008F6AB3">
              <w:rPr>
                <w:b/>
              </w:rPr>
              <w:t>torak</w:t>
            </w:r>
            <w:r w:rsidR="005D76C9">
              <w:rPr>
                <w:b/>
              </w:rPr>
              <w:t>alni</w:t>
            </w:r>
            <w:r w:rsidRPr="008F6AB3">
              <w:rPr>
                <w:b/>
              </w:rPr>
              <w:t xml:space="preserve"> i medijastin</w:t>
            </w:r>
            <w:r w:rsidR="005D76C9">
              <w:rPr>
                <w:b/>
              </w:rPr>
              <w:t>alni poremećaji</w:t>
            </w:r>
          </w:p>
        </w:tc>
        <w:tc>
          <w:tcPr>
            <w:tcW w:w="1375" w:type="dxa"/>
          </w:tcPr>
          <w:p w:rsidR="00FD0BBC" w:rsidRPr="008F6AB3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602" w:type="dxa"/>
          </w:tcPr>
          <w:p w:rsidR="00FD0BBC" w:rsidRPr="008F6AB3" w:rsidRDefault="00BA73ED" w:rsidP="00A0130D">
            <w:pPr>
              <w:pStyle w:val="TableParagraph"/>
              <w:spacing w:line="237" w:lineRule="auto"/>
              <w:ind w:left="110"/>
              <w:jc w:val="both"/>
            </w:pPr>
            <w:r>
              <w:t>H</w:t>
            </w:r>
            <w:r w:rsidR="00FD0BBC" w:rsidRPr="008F6AB3">
              <w:t xml:space="preserve">emoptiza </w:t>
            </w:r>
            <w:r>
              <w:t>D</w:t>
            </w:r>
            <w:r w:rsidR="00FD0BBC" w:rsidRPr="008F6AB3">
              <w:t>ispneja</w:t>
            </w:r>
          </w:p>
          <w:p w:rsidR="00BA73ED" w:rsidRDefault="00BA73ED" w:rsidP="00A0130D">
            <w:pPr>
              <w:pStyle w:val="TableParagraph"/>
              <w:ind w:left="110" w:right="115"/>
              <w:jc w:val="both"/>
              <w:rPr>
                <w:vertAlign w:val="superscript"/>
              </w:rPr>
            </w:pPr>
            <w:r>
              <w:t>K</w:t>
            </w:r>
            <w:r w:rsidR="00FD0BBC" w:rsidRPr="008F6AB3">
              <w:t>ašalj</w:t>
            </w:r>
            <w:r w:rsidR="00FD0BBC" w:rsidRPr="008F6AB3">
              <w:rPr>
                <w:vertAlign w:val="superscript"/>
              </w:rPr>
              <w:t>a</w:t>
            </w:r>
            <w:r w:rsidR="00FD0BBC" w:rsidRPr="008F6AB3">
              <w:t xml:space="preserve"> </w:t>
            </w:r>
            <w:r>
              <w:t>O</w:t>
            </w:r>
            <w:r w:rsidR="00FD0BBC" w:rsidRPr="008F6AB3">
              <w:t>rofaringealn</w:t>
            </w:r>
            <w:r w:rsidR="00124391">
              <w:t xml:space="preserve">a </w:t>
            </w:r>
            <w:r w:rsidR="00FD0BBC" w:rsidRPr="008F6AB3">
              <w:t xml:space="preserve"> bol</w:t>
            </w:r>
            <w:r w:rsidR="00E95920">
              <w:rPr>
                <w:vertAlign w:val="superscript"/>
              </w:rPr>
              <w:t>a,e</w:t>
            </w:r>
          </w:p>
          <w:p w:rsidR="00FD0BBC" w:rsidRPr="008F6AB3" w:rsidRDefault="00BA73ED" w:rsidP="00A0130D">
            <w:pPr>
              <w:pStyle w:val="TableParagraph"/>
              <w:ind w:left="110" w:right="115"/>
              <w:jc w:val="both"/>
            </w:pPr>
            <w:r>
              <w:t>E</w:t>
            </w:r>
            <w:r w:rsidR="00FD0BBC" w:rsidRPr="008F6AB3">
              <w:t>pistaksa</w:t>
            </w:r>
          </w:p>
        </w:tc>
        <w:tc>
          <w:tcPr>
            <w:tcW w:w="1384" w:type="dxa"/>
          </w:tcPr>
          <w:p w:rsidR="00FD0BBC" w:rsidRPr="008F6AB3" w:rsidRDefault="00BA73ED" w:rsidP="00A0130D">
            <w:pPr>
              <w:pStyle w:val="TableParagraph"/>
              <w:spacing w:line="237" w:lineRule="auto"/>
              <w:ind w:left="110"/>
              <w:jc w:val="both"/>
            </w:pPr>
            <w:r>
              <w:t>A</w:t>
            </w:r>
            <w:r w:rsidR="00FD0BBC" w:rsidRPr="008F6AB3">
              <w:t>kutni respiratorni</w:t>
            </w:r>
          </w:p>
          <w:p w:rsidR="00FD0BBC" w:rsidRPr="008F6AB3" w:rsidRDefault="00FD0BBC" w:rsidP="00A0130D">
            <w:pPr>
              <w:pStyle w:val="TableParagraph"/>
              <w:ind w:left="110" w:right="177"/>
              <w:jc w:val="both"/>
            </w:pPr>
            <w:r w:rsidRPr="008F6AB3">
              <w:t>distres sindrom</w:t>
            </w:r>
            <w:r w:rsidRPr="008F6AB3">
              <w:rPr>
                <w:vertAlign w:val="superscript"/>
              </w:rPr>
              <w:t>a</w:t>
            </w:r>
          </w:p>
          <w:p w:rsidR="00FD0BBC" w:rsidRPr="008F6AB3" w:rsidRDefault="00FD0BBC" w:rsidP="00A0130D">
            <w:pPr>
              <w:pStyle w:val="TableParagraph"/>
              <w:spacing w:before="11"/>
              <w:jc w:val="both"/>
              <w:rPr>
                <w:sz w:val="20"/>
              </w:rPr>
            </w:pPr>
          </w:p>
          <w:p w:rsidR="00FD0BBC" w:rsidRPr="008F6AB3" w:rsidRDefault="00BA73ED" w:rsidP="00A0130D">
            <w:pPr>
              <w:pStyle w:val="TableParagraph"/>
              <w:ind w:left="110"/>
              <w:jc w:val="both"/>
            </w:pPr>
            <w:r>
              <w:t>R</w:t>
            </w:r>
            <w:r w:rsidR="00FD0BBC" w:rsidRPr="008F6AB3">
              <w:t>espiratorna insuficijencija</w:t>
            </w:r>
            <w:r w:rsidR="00FD0BBC" w:rsidRPr="008F6AB3">
              <w:rPr>
                <w:vertAlign w:val="superscript"/>
              </w:rPr>
              <w:t>a</w:t>
            </w:r>
          </w:p>
          <w:p w:rsidR="00FD0BBC" w:rsidRPr="008F6AB3" w:rsidRDefault="00BA73ED" w:rsidP="00A0130D">
            <w:pPr>
              <w:pStyle w:val="TableParagraph"/>
              <w:spacing w:before="124" w:line="248" w:lineRule="exact"/>
              <w:ind w:left="110"/>
              <w:jc w:val="both"/>
            </w:pPr>
            <w:r>
              <w:t>E</w:t>
            </w:r>
            <w:r w:rsidR="00FD0BBC" w:rsidRPr="008F6AB3">
              <w:t>dem pluća</w:t>
            </w:r>
            <w:r w:rsidR="00FD0BBC" w:rsidRPr="008F6AB3">
              <w:rPr>
                <w:vertAlign w:val="superscript"/>
              </w:rPr>
              <w:t>a</w:t>
            </w:r>
          </w:p>
          <w:p w:rsidR="00FD0BBC" w:rsidRPr="008F6AB3" w:rsidRDefault="00FD0BBC" w:rsidP="00A0130D">
            <w:pPr>
              <w:pStyle w:val="TableParagraph"/>
              <w:spacing w:before="10"/>
              <w:jc w:val="both"/>
              <w:rPr>
                <w:sz w:val="20"/>
              </w:rPr>
            </w:pPr>
          </w:p>
          <w:p w:rsidR="00FD0BBC" w:rsidRPr="008F6AB3" w:rsidRDefault="00BA73ED" w:rsidP="00A0130D">
            <w:pPr>
              <w:pStyle w:val="TableParagraph"/>
              <w:spacing w:line="251" w:lineRule="exact"/>
              <w:ind w:left="110"/>
              <w:jc w:val="both"/>
            </w:pPr>
            <w:r>
              <w:t>I</w:t>
            </w:r>
            <w:r w:rsidR="00FD0BBC" w:rsidRPr="008F6AB3">
              <w:t>ntersticijalna</w:t>
            </w:r>
          </w:p>
          <w:p w:rsidR="00FD0BBC" w:rsidRPr="008F6AB3" w:rsidRDefault="00FD0BBC" w:rsidP="00A0130D">
            <w:pPr>
              <w:pStyle w:val="TableParagraph"/>
              <w:spacing w:line="251" w:lineRule="exact"/>
              <w:ind w:left="110"/>
              <w:jc w:val="both"/>
            </w:pPr>
            <w:r w:rsidRPr="008F6AB3">
              <w:t>bolest</w:t>
            </w:r>
            <w:r w:rsidRPr="008F6AB3">
              <w:rPr>
                <w:spacing w:val="-3"/>
              </w:rPr>
              <w:t xml:space="preserve"> </w:t>
            </w:r>
            <w:r w:rsidRPr="008F6AB3">
              <w:t>pluća</w:t>
            </w:r>
            <w:r w:rsidRPr="008F6AB3">
              <w:rPr>
                <w:vertAlign w:val="superscript"/>
              </w:rPr>
              <w:t>a</w:t>
            </w:r>
          </w:p>
          <w:p w:rsidR="00FD0BBC" w:rsidRPr="008F6AB3" w:rsidRDefault="00FD0BBC" w:rsidP="00A0130D">
            <w:pPr>
              <w:pStyle w:val="TableParagraph"/>
              <w:spacing w:before="2"/>
              <w:jc w:val="both"/>
            </w:pPr>
          </w:p>
          <w:p w:rsidR="00FD0BBC" w:rsidRPr="008F6AB3" w:rsidRDefault="00BA73ED" w:rsidP="00A0130D">
            <w:pPr>
              <w:pStyle w:val="TableParagraph"/>
              <w:spacing w:before="1" w:line="251" w:lineRule="exact"/>
              <w:ind w:left="110"/>
              <w:jc w:val="both"/>
            </w:pPr>
            <w:r>
              <w:t>I</w:t>
            </w:r>
            <w:r w:rsidR="00FD0BBC" w:rsidRPr="008F6AB3">
              <w:t>nfiltracija</w:t>
            </w:r>
          </w:p>
          <w:p w:rsidR="00FD0BBC" w:rsidRPr="008F6AB3" w:rsidRDefault="00FD0BBC" w:rsidP="00A0130D">
            <w:pPr>
              <w:pStyle w:val="TableParagraph"/>
              <w:spacing w:line="251" w:lineRule="exact"/>
              <w:ind w:left="110"/>
              <w:jc w:val="both"/>
            </w:pPr>
            <w:r w:rsidRPr="008F6AB3">
              <w:t>pluća</w:t>
            </w:r>
            <w:r w:rsidRPr="008F6AB3">
              <w:rPr>
                <w:vertAlign w:val="superscript"/>
              </w:rPr>
              <w:t>a</w:t>
            </w:r>
          </w:p>
          <w:p w:rsidR="00FD0BBC" w:rsidRPr="008F6AB3" w:rsidRDefault="00FD0BBC" w:rsidP="00A0130D">
            <w:pPr>
              <w:pStyle w:val="TableParagraph"/>
              <w:spacing w:before="2"/>
              <w:jc w:val="both"/>
            </w:pPr>
          </w:p>
          <w:p w:rsidR="00FD0BBC" w:rsidRPr="008F6AB3" w:rsidRDefault="00BA73ED" w:rsidP="00A0130D">
            <w:pPr>
              <w:pStyle w:val="TableParagraph"/>
              <w:spacing w:before="1"/>
              <w:ind w:left="110"/>
              <w:jc w:val="both"/>
            </w:pPr>
            <w:r>
              <w:t>K</w:t>
            </w:r>
            <w:r w:rsidR="00FD0BBC" w:rsidRPr="008F6AB3">
              <w:t>rvarenje u</w:t>
            </w:r>
          </w:p>
          <w:p w:rsidR="00FD0BBC" w:rsidRPr="008F6AB3" w:rsidRDefault="00FD0BBC" w:rsidP="00A0130D">
            <w:pPr>
              <w:pStyle w:val="TableParagraph"/>
              <w:spacing w:before="1"/>
              <w:ind w:left="110"/>
              <w:jc w:val="both"/>
            </w:pPr>
            <w:r w:rsidRPr="008F6AB3">
              <w:t>plućima</w:t>
            </w:r>
          </w:p>
          <w:p w:rsidR="00FD0BBC" w:rsidRPr="008F6AB3" w:rsidRDefault="00FD0BBC" w:rsidP="00A0130D">
            <w:pPr>
              <w:pStyle w:val="TableParagraph"/>
              <w:spacing w:before="9"/>
              <w:jc w:val="both"/>
              <w:rPr>
                <w:sz w:val="21"/>
              </w:rPr>
            </w:pPr>
          </w:p>
          <w:p w:rsidR="00FD0BBC" w:rsidRPr="008F6AB3" w:rsidRDefault="00BA73ED" w:rsidP="00A0130D">
            <w:pPr>
              <w:pStyle w:val="TableParagraph"/>
              <w:spacing w:before="1" w:line="248" w:lineRule="exact"/>
              <w:ind w:left="110"/>
              <w:jc w:val="both"/>
            </w:pPr>
            <w:r>
              <w:t>H</w:t>
            </w:r>
            <w:r w:rsidR="00FD0BBC" w:rsidRPr="008F6AB3">
              <w:t>ipoksija</w:t>
            </w:r>
          </w:p>
        </w:tc>
        <w:tc>
          <w:tcPr>
            <w:tcW w:w="1319" w:type="dxa"/>
          </w:tcPr>
          <w:p w:rsidR="00FD0BBC" w:rsidRPr="008F6AB3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029" w:type="dxa"/>
          </w:tcPr>
          <w:p w:rsidR="00FD0BBC" w:rsidRPr="008F6AB3" w:rsidRDefault="00FD0BBC" w:rsidP="00A0130D">
            <w:pPr>
              <w:pStyle w:val="TableParagraph"/>
              <w:spacing w:line="239" w:lineRule="exact"/>
              <w:ind w:left="3"/>
              <w:jc w:val="both"/>
            </w:pPr>
            <w:r w:rsidRPr="008F6AB3">
              <w:t>-</w:t>
            </w:r>
          </w:p>
        </w:tc>
        <w:tc>
          <w:tcPr>
            <w:tcW w:w="1095" w:type="dxa"/>
          </w:tcPr>
          <w:p w:rsidR="00FD0BBC" w:rsidRPr="008F6AB3" w:rsidRDefault="00FD0BBC" w:rsidP="00A0130D">
            <w:pPr>
              <w:pStyle w:val="TableParagraph"/>
              <w:spacing w:line="239" w:lineRule="exact"/>
              <w:ind w:left="12"/>
              <w:jc w:val="both"/>
            </w:pPr>
            <w:r w:rsidRPr="008F6AB3">
              <w:t>-</w:t>
            </w:r>
          </w:p>
        </w:tc>
      </w:tr>
      <w:tr w:rsidR="00FD0BBC" w:rsidRPr="00243A59" w:rsidTr="00124391">
        <w:trPr>
          <w:trHeight w:val="1516"/>
        </w:trPr>
        <w:tc>
          <w:tcPr>
            <w:tcW w:w="1559" w:type="dxa"/>
          </w:tcPr>
          <w:p w:rsidR="005D76C9" w:rsidRDefault="005D76C9" w:rsidP="00A0130D">
            <w:pPr>
              <w:pStyle w:val="TableParagraph"/>
              <w:ind w:left="110" w:right="142"/>
              <w:jc w:val="both"/>
              <w:rPr>
                <w:b/>
              </w:rPr>
            </w:pPr>
          </w:p>
          <w:p w:rsidR="005D76C9" w:rsidRDefault="005D76C9" w:rsidP="00A0130D">
            <w:pPr>
              <w:pStyle w:val="TableParagraph"/>
              <w:ind w:left="110" w:right="142"/>
              <w:jc w:val="both"/>
              <w:rPr>
                <w:b/>
              </w:rPr>
            </w:pPr>
            <w:r>
              <w:rPr>
                <w:b/>
              </w:rPr>
              <w:t>Gastrointestinalni</w:t>
            </w:r>
          </w:p>
          <w:p w:rsidR="00FD0BBC" w:rsidRPr="008F6AB3" w:rsidRDefault="005D76C9" w:rsidP="00A0130D">
            <w:pPr>
              <w:pStyle w:val="TableParagraph"/>
              <w:ind w:left="110" w:right="142"/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="00FD0BBC" w:rsidRPr="008F6AB3">
              <w:rPr>
                <w:b/>
              </w:rPr>
              <w:t xml:space="preserve">oremećaji </w:t>
            </w:r>
          </w:p>
        </w:tc>
        <w:tc>
          <w:tcPr>
            <w:tcW w:w="1375" w:type="dxa"/>
          </w:tcPr>
          <w:p w:rsidR="00FD0BBC" w:rsidRPr="008F6AB3" w:rsidRDefault="00BA73ED" w:rsidP="00A0130D">
            <w:pPr>
              <w:pStyle w:val="TableParagraph"/>
              <w:spacing w:line="239" w:lineRule="exact"/>
              <w:ind w:left="110"/>
              <w:jc w:val="both"/>
            </w:pPr>
            <w:r>
              <w:t>D</w:t>
            </w:r>
            <w:r w:rsidR="00E95920">
              <w:t>ijareja</w:t>
            </w:r>
            <w:r w:rsidR="00FD0BBC" w:rsidRPr="008F6AB3">
              <w:rPr>
                <w:vertAlign w:val="superscript"/>
              </w:rPr>
              <w:t>a,e</w:t>
            </w:r>
          </w:p>
          <w:p w:rsidR="00FD0BBC" w:rsidRPr="008F6AB3" w:rsidRDefault="00FD0BBC" w:rsidP="00A0130D">
            <w:pPr>
              <w:pStyle w:val="TableParagraph"/>
              <w:spacing w:before="9"/>
              <w:jc w:val="both"/>
              <w:rPr>
                <w:sz w:val="21"/>
              </w:rPr>
            </w:pPr>
          </w:p>
          <w:p w:rsidR="00FD0BBC" w:rsidRPr="008F6AB3" w:rsidRDefault="00FD0BBC" w:rsidP="00A0130D">
            <w:pPr>
              <w:pStyle w:val="TableParagraph"/>
              <w:ind w:left="110"/>
              <w:jc w:val="both"/>
            </w:pPr>
            <w:r w:rsidRPr="008F6AB3">
              <w:t>Povraćanje</w:t>
            </w:r>
            <w:r w:rsidRPr="008F6AB3">
              <w:rPr>
                <w:vertAlign w:val="superscript"/>
              </w:rPr>
              <w:t>a,e</w:t>
            </w:r>
          </w:p>
          <w:p w:rsidR="00FD0BBC" w:rsidRPr="008F6AB3" w:rsidRDefault="00FD0BBC" w:rsidP="00A0130D">
            <w:pPr>
              <w:pStyle w:val="TableParagraph"/>
              <w:jc w:val="both"/>
              <w:rPr>
                <w:sz w:val="26"/>
              </w:rPr>
            </w:pPr>
          </w:p>
          <w:p w:rsidR="00FD0BBC" w:rsidRPr="008F6AB3" w:rsidRDefault="00BA73ED" w:rsidP="00A0130D">
            <w:pPr>
              <w:pStyle w:val="TableParagraph"/>
              <w:spacing w:before="207" w:line="248" w:lineRule="exact"/>
              <w:ind w:left="110"/>
              <w:jc w:val="both"/>
            </w:pPr>
            <w:r>
              <w:t>M</w:t>
            </w:r>
            <w:r w:rsidR="00FD0BBC" w:rsidRPr="008F6AB3">
              <w:t>učnina</w:t>
            </w:r>
            <w:r w:rsidR="00FD0BBC" w:rsidRPr="008F6AB3">
              <w:rPr>
                <w:vertAlign w:val="superscript"/>
              </w:rPr>
              <w:t>a</w:t>
            </w:r>
          </w:p>
        </w:tc>
        <w:tc>
          <w:tcPr>
            <w:tcW w:w="1602" w:type="dxa"/>
          </w:tcPr>
          <w:p w:rsidR="00FD0BBC" w:rsidRPr="008F6AB3" w:rsidRDefault="00BA73ED" w:rsidP="00A0130D">
            <w:pPr>
              <w:pStyle w:val="TableParagraph"/>
              <w:spacing w:line="239" w:lineRule="exact"/>
              <w:ind w:left="110"/>
              <w:jc w:val="both"/>
            </w:pPr>
            <w:r>
              <w:t>K</w:t>
            </w:r>
            <w:r w:rsidR="00FD0BBC" w:rsidRPr="008F6AB3">
              <w:t>onstipacija</w:t>
            </w:r>
            <w:r w:rsidR="00FD0BBC" w:rsidRPr="008F6AB3">
              <w:rPr>
                <w:vertAlign w:val="superscript"/>
              </w:rPr>
              <w:t>e</w:t>
            </w:r>
          </w:p>
          <w:p w:rsidR="00FD0BBC" w:rsidRPr="008F6AB3" w:rsidRDefault="00FD0BBC" w:rsidP="00A0130D">
            <w:pPr>
              <w:pStyle w:val="TableParagraph"/>
              <w:spacing w:before="9"/>
              <w:jc w:val="both"/>
              <w:rPr>
                <w:sz w:val="21"/>
              </w:rPr>
            </w:pPr>
          </w:p>
          <w:p w:rsidR="00FD0BBC" w:rsidRPr="008F6AB3" w:rsidRDefault="00BA73ED" w:rsidP="00A0130D">
            <w:pPr>
              <w:pStyle w:val="TableParagraph"/>
              <w:ind w:left="110"/>
              <w:jc w:val="both"/>
            </w:pPr>
            <w:r>
              <w:t>O</w:t>
            </w:r>
            <w:r w:rsidR="00FD0BBC" w:rsidRPr="008F6AB3">
              <w:t>ralna bol</w:t>
            </w:r>
          </w:p>
        </w:tc>
        <w:tc>
          <w:tcPr>
            <w:tcW w:w="1384" w:type="dxa"/>
          </w:tcPr>
          <w:p w:rsidR="00FD0BBC" w:rsidRPr="008F6AB3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19" w:type="dxa"/>
          </w:tcPr>
          <w:p w:rsidR="00FD0BBC" w:rsidRPr="008F6AB3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029" w:type="dxa"/>
          </w:tcPr>
          <w:p w:rsidR="00FD0BBC" w:rsidRPr="008F6AB3" w:rsidRDefault="00FD0BBC" w:rsidP="00A0130D">
            <w:pPr>
              <w:pStyle w:val="TableParagraph"/>
              <w:spacing w:line="239" w:lineRule="exact"/>
              <w:ind w:left="349"/>
              <w:jc w:val="both"/>
            </w:pPr>
            <w:r w:rsidRPr="008F6AB3">
              <w:t>-</w:t>
            </w:r>
          </w:p>
        </w:tc>
        <w:tc>
          <w:tcPr>
            <w:tcW w:w="1095" w:type="dxa"/>
          </w:tcPr>
          <w:p w:rsidR="00FD0BBC" w:rsidRPr="008F6AB3" w:rsidRDefault="00FD0BBC" w:rsidP="00A0130D">
            <w:pPr>
              <w:pStyle w:val="TableParagraph"/>
              <w:spacing w:line="239" w:lineRule="exact"/>
              <w:ind w:left="12"/>
              <w:jc w:val="both"/>
            </w:pPr>
            <w:r w:rsidRPr="008F6AB3">
              <w:t>-</w:t>
            </w:r>
          </w:p>
        </w:tc>
      </w:tr>
      <w:tr w:rsidR="00FD0BBC" w:rsidRPr="00243A59" w:rsidTr="00124391">
        <w:trPr>
          <w:trHeight w:val="2025"/>
        </w:trPr>
        <w:tc>
          <w:tcPr>
            <w:tcW w:w="1559" w:type="dxa"/>
          </w:tcPr>
          <w:p w:rsidR="005D76C9" w:rsidRDefault="005D76C9" w:rsidP="00A0130D">
            <w:pPr>
              <w:pStyle w:val="TableParagraph"/>
              <w:spacing w:line="242" w:lineRule="auto"/>
              <w:ind w:left="110" w:right="122"/>
              <w:jc w:val="both"/>
              <w:rPr>
                <w:b/>
              </w:rPr>
            </w:pPr>
          </w:p>
          <w:p w:rsidR="005D76C9" w:rsidRDefault="005D76C9" w:rsidP="00A0130D">
            <w:pPr>
              <w:pStyle w:val="TableParagraph"/>
              <w:spacing w:line="242" w:lineRule="auto"/>
              <w:ind w:left="110" w:right="122"/>
              <w:jc w:val="both"/>
              <w:rPr>
                <w:b/>
              </w:rPr>
            </w:pPr>
            <w:r>
              <w:rPr>
                <w:b/>
              </w:rPr>
              <w:t>Hepatobilijarni</w:t>
            </w:r>
          </w:p>
          <w:p w:rsidR="00FD0BBC" w:rsidRPr="008F6AB3" w:rsidRDefault="005D76C9" w:rsidP="00A0130D">
            <w:pPr>
              <w:pStyle w:val="TableParagraph"/>
              <w:spacing w:line="242" w:lineRule="auto"/>
              <w:ind w:left="110" w:right="122"/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="00FD0BBC" w:rsidRPr="008F6AB3">
              <w:rPr>
                <w:b/>
              </w:rPr>
              <w:t xml:space="preserve">oremećaji </w:t>
            </w:r>
          </w:p>
        </w:tc>
        <w:tc>
          <w:tcPr>
            <w:tcW w:w="1375" w:type="dxa"/>
          </w:tcPr>
          <w:p w:rsidR="00FD0BBC" w:rsidRPr="008F6AB3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602" w:type="dxa"/>
          </w:tcPr>
          <w:p w:rsidR="00FD0BBC" w:rsidRPr="008F6AB3" w:rsidRDefault="00BA73ED" w:rsidP="00A0130D">
            <w:pPr>
              <w:pStyle w:val="TableParagraph"/>
              <w:spacing w:line="239" w:lineRule="exact"/>
              <w:ind w:left="110"/>
              <w:jc w:val="both"/>
            </w:pPr>
            <w:r>
              <w:t>P</w:t>
            </w:r>
            <w:r w:rsidR="00FD0BBC" w:rsidRPr="008F6AB3">
              <w:t>ovišena</w:t>
            </w:r>
          </w:p>
          <w:p w:rsidR="00FD0BBC" w:rsidRPr="008F6AB3" w:rsidRDefault="00FD0BBC" w:rsidP="00A0130D">
            <w:pPr>
              <w:pStyle w:val="TableParagraph"/>
              <w:spacing w:before="1"/>
              <w:ind w:left="110" w:right="341"/>
              <w:jc w:val="both"/>
            </w:pPr>
            <w:r w:rsidRPr="008F6AB3">
              <w:t>alkalna fosfataza u krvi</w:t>
            </w:r>
          </w:p>
          <w:p w:rsidR="00FD0BBC" w:rsidRPr="008F6AB3" w:rsidRDefault="00FD0BBC" w:rsidP="00A0130D">
            <w:pPr>
              <w:pStyle w:val="TableParagraph"/>
              <w:spacing w:before="3"/>
              <w:jc w:val="both"/>
            </w:pPr>
          </w:p>
          <w:p w:rsidR="00FD0BBC" w:rsidRPr="008F6AB3" w:rsidRDefault="00BA73ED" w:rsidP="00A0130D">
            <w:pPr>
              <w:pStyle w:val="TableParagraph"/>
              <w:spacing w:line="237" w:lineRule="auto"/>
              <w:ind w:left="110" w:right="114"/>
              <w:jc w:val="both"/>
            </w:pPr>
            <w:r>
              <w:t>H</w:t>
            </w:r>
            <w:r w:rsidR="00FD0BBC" w:rsidRPr="008F6AB3">
              <w:t>epatomegali ja</w:t>
            </w:r>
          </w:p>
        </w:tc>
        <w:tc>
          <w:tcPr>
            <w:tcW w:w="1384" w:type="dxa"/>
          </w:tcPr>
          <w:p w:rsidR="00FD0BBC" w:rsidRPr="008F6AB3" w:rsidRDefault="00BA73ED" w:rsidP="00A0130D">
            <w:pPr>
              <w:pStyle w:val="TableParagraph"/>
              <w:spacing w:line="239" w:lineRule="exact"/>
              <w:ind w:left="110"/>
              <w:jc w:val="both"/>
            </w:pPr>
            <w:r>
              <w:t>P</w:t>
            </w:r>
            <w:r w:rsidR="00FD0BBC" w:rsidRPr="008F6AB3">
              <w:t>ovišena</w:t>
            </w:r>
          </w:p>
          <w:p w:rsidR="00FD0BBC" w:rsidRPr="008F6AB3" w:rsidRDefault="00124391" w:rsidP="00A0130D">
            <w:pPr>
              <w:pStyle w:val="TableParagraph"/>
              <w:spacing w:before="3" w:line="237" w:lineRule="auto"/>
              <w:ind w:left="110" w:right="196"/>
              <w:jc w:val="both"/>
            </w:pPr>
            <w:r>
              <w:t xml:space="preserve">Gamaglutamil </w:t>
            </w:r>
            <w:r w:rsidR="00FD0BBC" w:rsidRPr="008F6AB3">
              <w:t>transferaza</w:t>
            </w:r>
          </w:p>
          <w:p w:rsidR="00FD0BBC" w:rsidRPr="008F6AB3" w:rsidRDefault="00FD0BBC" w:rsidP="00A0130D">
            <w:pPr>
              <w:pStyle w:val="TableParagraph"/>
              <w:spacing w:before="2"/>
              <w:jc w:val="both"/>
            </w:pPr>
          </w:p>
          <w:p w:rsidR="00FD0BBC" w:rsidRPr="008F6AB3" w:rsidRDefault="00BA73ED" w:rsidP="00124391">
            <w:pPr>
              <w:pStyle w:val="TableParagraph"/>
              <w:spacing w:before="1"/>
              <w:ind w:left="110"/>
              <w:jc w:val="both"/>
            </w:pPr>
            <w:r>
              <w:t>P</w:t>
            </w:r>
            <w:r w:rsidR="00FD0BBC" w:rsidRPr="008F6AB3">
              <w:t>ovišena aspartat aminotransferaza</w:t>
            </w:r>
          </w:p>
        </w:tc>
        <w:tc>
          <w:tcPr>
            <w:tcW w:w="1319" w:type="dxa"/>
          </w:tcPr>
          <w:p w:rsidR="00FD0BBC" w:rsidRPr="008F6AB3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029" w:type="dxa"/>
          </w:tcPr>
          <w:p w:rsidR="00FD0BBC" w:rsidRPr="008F6AB3" w:rsidRDefault="00FD0BBC" w:rsidP="00A0130D">
            <w:pPr>
              <w:pStyle w:val="TableParagraph"/>
              <w:spacing w:line="239" w:lineRule="exact"/>
              <w:ind w:left="349"/>
              <w:jc w:val="both"/>
            </w:pPr>
            <w:r w:rsidRPr="008F6AB3">
              <w:t>-</w:t>
            </w:r>
          </w:p>
        </w:tc>
        <w:tc>
          <w:tcPr>
            <w:tcW w:w="1095" w:type="dxa"/>
          </w:tcPr>
          <w:p w:rsidR="00FD0BBC" w:rsidRPr="008F6AB3" w:rsidRDefault="00FD0BBC" w:rsidP="00A0130D">
            <w:pPr>
              <w:pStyle w:val="TableParagraph"/>
              <w:spacing w:line="239" w:lineRule="exact"/>
              <w:ind w:left="12"/>
              <w:jc w:val="both"/>
            </w:pPr>
            <w:r w:rsidRPr="008F6AB3">
              <w:t>-</w:t>
            </w:r>
          </w:p>
        </w:tc>
      </w:tr>
      <w:tr w:rsidR="00FD0BBC" w:rsidRPr="00243A59" w:rsidTr="00124391">
        <w:trPr>
          <w:trHeight w:val="2274"/>
        </w:trPr>
        <w:tc>
          <w:tcPr>
            <w:tcW w:w="1559" w:type="dxa"/>
          </w:tcPr>
          <w:p w:rsidR="00FD0BBC" w:rsidRPr="008F6AB3" w:rsidRDefault="00FD0BBC" w:rsidP="007171E9">
            <w:pPr>
              <w:pStyle w:val="TableParagraph"/>
              <w:ind w:left="110" w:right="122"/>
              <w:rPr>
                <w:b/>
              </w:rPr>
            </w:pPr>
            <w:r w:rsidRPr="008F6AB3">
              <w:rPr>
                <w:b/>
              </w:rPr>
              <w:t>Poremećaji kože i potkožnog tkiva</w:t>
            </w:r>
          </w:p>
        </w:tc>
        <w:tc>
          <w:tcPr>
            <w:tcW w:w="1375" w:type="dxa"/>
          </w:tcPr>
          <w:p w:rsidR="00FD0BBC" w:rsidRPr="008F6AB3" w:rsidRDefault="00FD0BBC" w:rsidP="00A0130D">
            <w:pPr>
              <w:pStyle w:val="TableParagraph"/>
              <w:spacing w:before="5"/>
              <w:jc w:val="both"/>
              <w:rPr>
                <w:sz w:val="20"/>
              </w:rPr>
            </w:pPr>
          </w:p>
          <w:p w:rsidR="00FD0BBC" w:rsidRPr="008F6AB3" w:rsidRDefault="00BA73ED" w:rsidP="00A0130D">
            <w:pPr>
              <w:pStyle w:val="TableParagraph"/>
              <w:ind w:left="110"/>
              <w:jc w:val="both"/>
            </w:pPr>
            <w:r>
              <w:t>A</w:t>
            </w:r>
            <w:r w:rsidR="00FD0BBC" w:rsidRPr="008F6AB3">
              <w:t>lopecija</w:t>
            </w:r>
            <w:r w:rsidR="00FD0BBC" w:rsidRPr="008F6AB3">
              <w:rPr>
                <w:vertAlign w:val="superscript"/>
              </w:rPr>
              <w:t>a</w:t>
            </w:r>
          </w:p>
        </w:tc>
        <w:tc>
          <w:tcPr>
            <w:tcW w:w="1602" w:type="dxa"/>
          </w:tcPr>
          <w:p w:rsidR="00FD0BBC" w:rsidRPr="008F6AB3" w:rsidRDefault="00BA73ED" w:rsidP="00A0130D">
            <w:pPr>
              <w:pStyle w:val="TableParagraph"/>
              <w:spacing w:line="239" w:lineRule="exact"/>
              <w:ind w:left="110"/>
              <w:jc w:val="both"/>
            </w:pPr>
            <w:r>
              <w:t>O</w:t>
            </w:r>
            <w:r w:rsidR="00FD0BBC" w:rsidRPr="008F6AB3">
              <w:t>sip</w:t>
            </w:r>
            <w:r w:rsidR="00FD0BBC" w:rsidRPr="008F6AB3">
              <w:rPr>
                <w:vertAlign w:val="superscript"/>
              </w:rPr>
              <w:t>a</w:t>
            </w:r>
          </w:p>
          <w:p w:rsidR="00FD0BBC" w:rsidRPr="008F6AB3" w:rsidRDefault="00FD0BBC" w:rsidP="00A0130D">
            <w:pPr>
              <w:pStyle w:val="TableParagraph"/>
              <w:spacing w:before="9"/>
              <w:jc w:val="both"/>
              <w:rPr>
                <w:sz w:val="21"/>
              </w:rPr>
            </w:pPr>
          </w:p>
          <w:p w:rsidR="00FD0BBC" w:rsidRPr="008F6AB3" w:rsidRDefault="00BA73ED" w:rsidP="00A0130D">
            <w:pPr>
              <w:pStyle w:val="TableParagraph"/>
              <w:ind w:left="110"/>
              <w:jc w:val="both"/>
            </w:pPr>
            <w:r>
              <w:t>E</w:t>
            </w:r>
            <w:r w:rsidR="00FD0BBC" w:rsidRPr="008F6AB3">
              <w:t>ritem</w:t>
            </w:r>
          </w:p>
        </w:tc>
        <w:tc>
          <w:tcPr>
            <w:tcW w:w="1384" w:type="dxa"/>
          </w:tcPr>
          <w:p w:rsidR="00FD0BBC" w:rsidRPr="008F6AB3" w:rsidRDefault="00BA73ED" w:rsidP="00124391">
            <w:pPr>
              <w:pStyle w:val="TableParagraph"/>
              <w:spacing w:line="239" w:lineRule="exact"/>
              <w:ind w:left="109"/>
              <w:jc w:val="both"/>
            </w:pPr>
            <w:r>
              <w:t>M</w:t>
            </w:r>
            <w:r w:rsidR="00124391">
              <w:t>akulopapular</w:t>
            </w:r>
            <w:r w:rsidR="00FD0BBC" w:rsidRPr="008F6AB3">
              <w:t>ni osip</w:t>
            </w:r>
          </w:p>
        </w:tc>
        <w:tc>
          <w:tcPr>
            <w:tcW w:w="1319" w:type="dxa"/>
          </w:tcPr>
          <w:p w:rsidR="00FD0BBC" w:rsidRPr="008F6AB3" w:rsidRDefault="00FD0BBC" w:rsidP="00124391">
            <w:pPr>
              <w:pStyle w:val="TableParagraph"/>
              <w:spacing w:line="239" w:lineRule="exact"/>
              <w:ind w:left="109"/>
              <w:jc w:val="both"/>
            </w:pPr>
            <w:r w:rsidRPr="008F6AB3">
              <w:t>Sweetsov sindrom</w:t>
            </w:r>
          </w:p>
          <w:p w:rsidR="00FD0BBC" w:rsidRPr="008F6AB3" w:rsidRDefault="00FD0BBC" w:rsidP="00124391">
            <w:pPr>
              <w:pStyle w:val="TableParagraph"/>
              <w:spacing w:line="239" w:lineRule="exact"/>
              <w:ind w:left="109"/>
              <w:jc w:val="both"/>
            </w:pPr>
            <w:r w:rsidRPr="008F6AB3">
              <w:t>(akutna febrilna neutrofilna dermatoza)</w:t>
            </w:r>
          </w:p>
          <w:p w:rsidR="00FD0BBC" w:rsidRPr="00124391" w:rsidRDefault="00FD0BBC" w:rsidP="00124391">
            <w:pPr>
              <w:pStyle w:val="TableParagraph"/>
              <w:spacing w:line="239" w:lineRule="exact"/>
              <w:ind w:left="109"/>
              <w:jc w:val="both"/>
            </w:pPr>
          </w:p>
          <w:p w:rsidR="00FD0BBC" w:rsidRPr="008F6AB3" w:rsidRDefault="00BA73ED" w:rsidP="00124391">
            <w:pPr>
              <w:pStyle w:val="TableParagraph"/>
              <w:spacing w:line="239" w:lineRule="exact"/>
              <w:ind w:left="109"/>
              <w:jc w:val="both"/>
            </w:pPr>
            <w:r>
              <w:t>K</w:t>
            </w:r>
            <w:r w:rsidR="00124391">
              <w:t>ožni vaskuli</w:t>
            </w:r>
            <w:r w:rsidR="00FD0BBC" w:rsidRPr="008F6AB3">
              <w:t>tis</w:t>
            </w:r>
            <w:r w:rsidR="00FD0BBC" w:rsidRPr="00124391">
              <w:rPr>
                <w:vertAlign w:val="superscript"/>
              </w:rPr>
              <w:t>a</w:t>
            </w:r>
          </w:p>
        </w:tc>
        <w:tc>
          <w:tcPr>
            <w:tcW w:w="1029" w:type="dxa"/>
          </w:tcPr>
          <w:p w:rsidR="00FD0BBC" w:rsidRPr="008F6AB3" w:rsidRDefault="00FD0BBC" w:rsidP="00A0130D">
            <w:pPr>
              <w:pStyle w:val="TableParagraph"/>
              <w:spacing w:line="239" w:lineRule="exact"/>
              <w:ind w:left="349"/>
              <w:jc w:val="both"/>
            </w:pPr>
            <w:r w:rsidRPr="008F6AB3">
              <w:t>-</w:t>
            </w:r>
          </w:p>
        </w:tc>
        <w:tc>
          <w:tcPr>
            <w:tcW w:w="1095" w:type="dxa"/>
          </w:tcPr>
          <w:p w:rsidR="00FD0BBC" w:rsidRPr="008F6AB3" w:rsidRDefault="00FD0BBC" w:rsidP="00A0130D">
            <w:pPr>
              <w:pStyle w:val="TableParagraph"/>
              <w:spacing w:line="239" w:lineRule="exact"/>
              <w:ind w:left="12"/>
              <w:jc w:val="both"/>
            </w:pPr>
            <w:r w:rsidRPr="008F6AB3">
              <w:t>-</w:t>
            </w:r>
          </w:p>
        </w:tc>
      </w:tr>
      <w:tr w:rsidR="00FD0BBC" w:rsidRPr="00243A59" w:rsidTr="00124391">
        <w:trPr>
          <w:trHeight w:val="1516"/>
        </w:trPr>
        <w:tc>
          <w:tcPr>
            <w:tcW w:w="1559" w:type="dxa"/>
          </w:tcPr>
          <w:p w:rsidR="00FD0BBC" w:rsidRPr="008F6AB3" w:rsidRDefault="00FD0BBC" w:rsidP="007171E9">
            <w:pPr>
              <w:pStyle w:val="TableParagraph"/>
              <w:ind w:left="110" w:right="142"/>
              <w:rPr>
                <w:b/>
              </w:rPr>
            </w:pPr>
            <w:r w:rsidRPr="008F6AB3">
              <w:rPr>
                <w:b/>
              </w:rPr>
              <w:t>Poremećaji mišićno- koštanog sistema i vezivnog</w:t>
            </w:r>
          </w:p>
          <w:p w:rsidR="00FD0BBC" w:rsidRPr="008F6AB3" w:rsidRDefault="00FD0BBC" w:rsidP="007171E9">
            <w:pPr>
              <w:pStyle w:val="TableParagraph"/>
              <w:spacing w:line="239" w:lineRule="exact"/>
              <w:ind w:left="110"/>
              <w:rPr>
                <w:b/>
              </w:rPr>
            </w:pPr>
            <w:r w:rsidRPr="008F6AB3">
              <w:rPr>
                <w:b/>
              </w:rPr>
              <w:t>tkiva</w:t>
            </w:r>
          </w:p>
        </w:tc>
        <w:tc>
          <w:tcPr>
            <w:tcW w:w="1375" w:type="dxa"/>
          </w:tcPr>
          <w:p w:rsidR="00FD0BBC" w:rsidRPr="008F6AB3" w:rsidRDefault="00BA73ED" w:rsidP="00A0130D">
            <w:pPr>
              <w:pStyle w:val="TableParagraph"/>
              <w:spacing w:line="239" w:lineRule="exact"/>
              <w:ind w:left="110"/>
              <w:jc w:val="both"/>
            </w:pPr>
            <w:r>
              <w:t>M</w:t>
            </w:r>
            <w:r w:rsidR="00FD0BBC" w:rsidRPr="008F6AB3">
              <w:t>išićno-</w:t>
            </w:r>
          </w:p>
          <w:p w:rsidR="00FD0BBC" w:rsidRPr="008F6AB3" w:rsidRDefault="00FD0BBC" w:rsidP="00A0130D">
            <w:pPr>
              <w:pStyle w:val="TableParagraph"/>
              <w:spacing w:before="1"/>
              <w:ind w:left="110"/>
              <w:jc w:val="both"/>
            </w:pPr>
            <w:r w:rsidRPr="008F6AB3">
              <w:t>koštana bol</w:t>
            </w:r>
            <w:r w:rsidRPr="008F6AB3">
              <w:rPr>
                <w:vertAlign w:val="superscript"/>
              </w:rPr>
              <w:t>c</w:t>
            </w:r>
          </w:p>
        </w:tc>
        <w:tc>
          <w:tcPr>
            <w:tcW w:w="1602" w:type="dxa"/>
          </w:tcPr>
          <w:p w:rsidR="00FD0BBC" w:rsidRPr="008F6AB3" w:rsidRDefault="00BA73ED" w:rsidP="00A0130D">
            <w:pPr>
              <w:pStyle w:val="TableParagraph"/>
              <w:spacing w:line="239" w:lineRule="exact"/>
              <w:ind w:left="110"/>
              <w:jc w:val="both"/>
            </w:pPr>
            <w:r>
              <w:t>M</w:t>
            </w:r>
            <w:r w:rsidR="00FD0BBC" w:rsidRPr="008F6AB3">
              <w:t>išićni</w:t>
            </w:r>
          </w:p>
          <w:p w:rsidR="00FD0BBC" w:rsidRPr="008F6AB3" w:rsidRDefault="00E95920" w:rsidP="00A0130D">
            <w:pPr>
              <w:pStyle w:val="TableParagraph"/>
              <w:spacing w:before="1"/>
              <w:ind w:left="110"/>
              <w:jc w:val="both"/>
            </w:pPr>
            <w:r>
              <w:t>spazam</w:t>
            </w:r>
          </w:p>
        </w:tc>
        <w:tc>
          <w:tcPr>
            <w:tcW w:w="1384" w:type="dxa"/>
          </w:tcPr>
          <w:p w:rsidR="00FD0BBC" w:rsidRPr="008F6AB3" w:rsidRDefault="00BA73ED" w:rsidP="00A0130D">
            <w:pPr>
              <w:pStyle w:val="TableParagraph"/>
              <w:spacing w:line="239" w:lineRule="exact"/>
              <w:ind w:left="110"/>
              <w:jc w:val="both"/>
            </w:pPr>
            <w:r>
              <w:t>O</w:t>
            </w:r>
            <w:r w:rsidR="00FD0BBC" w:rsidRPr="008F6AB3">
              <w:t>steoporoza</w:t>
            </w:r>
          </w:p>
        </w:tc>
        <w:tc>
          <w:tcPr>
            <w:tcW w:w="1319" w:type="dxa"/>
          </w:tcPr>
          <w:p w:rsidR="00FD0BBC" w:rsidRPr="008F6AB3" w:rsidRDefault="00BA73ED" w:rsidP="00A0130D">
            <w:pPr>
              <w:pStyle w:val="TableParagraph"/>
              <w:spacing w:line="239" w:lineRule="exact"/>
              <w:ind w:left="109"/>
              <w:jc w:val="both"/>
            </w:pPr>
            <w:r>
              <w:t>S</w:t>
            </w:r>
            <w:r w:rsidR="00FD0BBC" w:rsidRPr="008F6AB3">
              <w:t>manjenje</w:t>
            </w:r>
          </w:p>
          <w:p w:rsidR="00FD0BBC" w:rsidRPr="008F6AB3" w:rsidRDefault="00FD0BBC" w:rsidP="00A0130D">
            <w:pPr>
              <w:pStyle w:val="TableParagraph"/>
              <w:spacing w:before="1"/>
              <w:ind w:left="109"/>
              <w:jc w:val="both"/>
            </w:pPr>
            <w:r w:rsidRPr="008F6AB3">
              <w:t>gustine kostiju</w:t>
            </w:r>
          </w:p>
          <w:p w:rsidR="00FD0BBC" w:rsidRPr="008F6AB3" w:rsidRDefault="00FD0BBC" w:rsidP="00A0130D">
            <w:pPr>
              <w:pStyle w:val="TableParagraph"/>
              <w:spacing w:before="9"/>
              <w:jc w:val="both"/>
              <w:rPr>
                <w:sz w:val="21"/>
              </w:rPr>
            </w:pPr>
          </w:p>
          <w:p w:rsidR="00FD0BBC" w:rsidRPr="008F6AB3" w:rsidRDefault="00BA73ED" w:rsidP="00A0130D">
            <w:pPr>
              <w:pStyle w:val="TableParagraph"/>
              <w:spacing w:before="1" w:line="250" w:lineRule="atLeast"/>
              <w:ind w:left="109" w:right="224"/>
              <w:jc w:val="both"/>
            </w:pPr>
            <w:r>
              <w:t>E</w:t>
            </w:r>
            <w:r w:rsidR="00FD0BBC" w:rsidRPr="008F6AB3">
              <w:t>gzacerbacija reumatoidnog artritisa</w:t>
            </w:r>
          </w:p>
        </w:tc>
        <w:tc>
          <w:tcPr>
            <w:tcW w:w="1029" w:type="dxa"/>
          </w:tcPr>
          <w:p w:rsidR="00FD0BBC" w:rsidRPr="008F6AB3" w:rsidRDefault="00FD0BBC" w:rsidP="00A0130D">
            <w:pPr>
              <w:pStyle w:val="TableParagraph"/>
              <w:spacing w:line="239" w:lineRule="exact"/>
              <w:ind w:left="349"/>
              <w:jc w:val="both"/>
            </w:pPr>
            <w:r w:rsidRPr="008F6AB3">
              <w:t>-</w:t>
            </w:r>
          </w:p>
        </w:tc>
        <w:tc>
          <w:tcPr>
            <w:tcW w:w="1095" w:type="dxa"/>
          </w:tcPr>
          <w:p w:rsidR="00FD0BBC" w:rsidRPr="008F6AB3" w:rsidRDefault="00FD0BBC" w:rsidP="00A0130D">
            <w:pPr>
              <w:pStyle w:val="TableParagraph"/>
              <w:spacing w:line="239" w:lineRule="exact"/>
              <w:ind w:left="12"/>
              <w:jc w:val="both"/>
            </w:pPr>
            <w:r w:rsidRPr="008F6AB3">
              <w:t>-</w:t>
            </w:r>
          </w:p>
        </w:tc>
      </w:tr>
      <w:tr w:rsidR="00FD0BBC" w:rsidRPr="00243A59" w:rsidTr="00124391">
        <w:trPr>
          <w:trHeight w:val="1012"/>
        </w:trPr>
        <w:tc>
          <w:tcPr>
            <w:tcW w:w="1559" w:type="dxa"/>
          </w:tcPr>
          <w:p w:rsidR="00FD0BBC" w:rsidRPr="008F6AB3" w:rsidRDefault="00FD0BBC" w:rsidP="007171E9">
            <w:pPr>
              <w:pStyle w:val="TableParagraph"/>
              <w:ind w:left="110"/>
              <w:rPr>
                <w:b/>
              </w:rPr>
            </w:pPr>
            <w:r w:rsidRPr="008F6AB3">
              <w:rPr>
                <w:b/>
              </w:rPr>
              <w:t xml:space="preserve">Poremećaji bubrega i </w:t>
            </w:r>
            <w:r w:rsidR="005D76C9">
              <w:rPr>
                <w:b/>
              </w:rPr>
              <w:t>urinarnog</w:t>
            </w:r>
          </w:p>
          <w:p w:rsidR="00FD0BBC" w:rsidRPr="008F6AB3" w:rsidRDefault="00FD0BBC" w:rsidP="007171E9">
            <w:pPr>
              <w:pStyle w:val="TableParagraph"/>
              <w:spacing w:line="238" w:lineRule="exact"/>
              <w:ind w:left="110"/>
              <w:rPr>
                <w:b/>
              </w:rPr>
            </w:pPr>
            <w:r w:rsidRPr="008F6AB3">
              <w:rPr>
                <w:b/>
              </w:rPr>
              <w:t>sistema</w:t>
            </w:r>
          </w:p>
        </w:tc>
        <w:tc>
          <w:tcPr>
            <w:tcW w:w="1375" w:type="dxa"/>
          </w:tcPr>
          <w:p w:rsidR="00FD0BBC" w:rsidRPr="008F6AB3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602" w:type="dxa"/>
          </w:tcPr>
          <w:p w:rsidR="00FD0BBC" w:rsidRPr="008F6AB3" w:rsidRDefault="00BA73ED" w:rsidP="00A0130D">
            <w:pPr>
              <w:pStyle w:val="TableParagraph"/>
              <w:spacing w:line="243" w:lineRule="exact"/>
              <w:ind w:left="110"/>
              <w:jc w:val="both"/>
            </w:pPr>
            <w:r>
              <w:t>D</w:t>
            </w:r>
            <w:r w:rsidR="00FD0BBC" w:rsidRPr="008F6AB3">
              <w:t>izurija</w:t>
            </w:r>
          </w:p>
          <w:p w:rsidR="00FD0BBC" w:rsidRPr="008F6AB3" w:rsidRDefault="00FD0BBC" w:rsidP="00A0130D">
            <w:pPr>
              <w:pStyle w:val="TableParagraph"/>
              <w:spacing w:before="9"/>
              <w:jc w:val="both"/>
              <w:rPr>
                <w:sz w:val="21"/>
              </w:rPr>
            </w:pPr>
          </w:p>
          <w:p w:rsidR="00FD0BBC" w:rsidRPr="008F6AB3" w:rsidRDefault="00BA73ED" w:rsidP="00A0130D">
            <w:pPr>
              <w:pStyle w:val="TableParagraph"/>
              <w:ind w:left="110"/>
              <w:jc w:val="both"/>
            </w:pPr>
            <w:r>
              <w:t>H</w:t>
            </w:r>
            <w:r w:rsidR="00FD0BBC" w:rsidRPr="008F6AB3">
              <w:t>ematurija</w:t>
            </w:r>
          </w:p>
        </w:tc>
        <w:tc>
          <w:tcPr>
            <w:tcW w:w="1384" w:type="dxa"/>
          </w:tcPr>
          <w:p w:rsidR="00FD0BBC" w:rsidRPr="008F6AB3" w:rsidRDefault="00BA73ED" w:rsidP="00A0130D">
            <w:pPr>
              <w:pStyle w:val="TableParagraph"/>
              <w:spacing w:line="243" w:lineRule="exact"/>
              <w:ind w:left="110"/>
              <w:jc w:val="both"/>
            </w:pPr>
            <w:r>
              <w:t>P</w:t>
            </w:r>
            <w:r w:rsidR="00FD0BBC" w:rsidRPr="008F6AB3">
              <w:t>roteinurija</w:t>
            </w:r>
          </w:p>
        </w:tc>
        <w:tc>
          <w:tcPr>
            <w:tcW w:w="1319" w:type="dxa"/>
          </w:tcPr>
          <w:p w:rsidR="00FD0BBC" w:rsidRPr="008F6AB3" w:rsidRDefault="00BA73ED" w:rsidP="00A0130D">
            <w:pPr>
              <w:pStyle w:val="TableParagraph"/>
              <w:ind w:left="109" w:right="111"/>
              <w:jc w:val="both"/>
            </w:pPr>
            <w:r>
              <w:t>A</w:t>
            </w:r>
            <w:r w:rsidR="00FD0BBC" w:rsidRPr="008F6AB3">
              <w:t xml:space="preserve">bnormalnosti u urinu </w:t>
            </w:r>
            <w:r>
              <w:t>G</w:t>
            </w:r>
            <w:r w:rsidR="00FD0BBC" w:rsidRPr="008F6AB3">
              <w:t>lomerulonefritis</w:t>
            </w:r>
          </w:p>
        </w:tc>
        <w:tc>
          <w:tcPr>
            <w:tcW w:w="1029" w:type="dxa"/>
          </w:tcPr>
          <w:p w:rsidR="00FD0BBC" w:rsidRPr="008F6AB3" w:rsidRDefault="00FD0BBC" w:rsidP="00A0130D">
            <w:pPr>
              <w:pStyle w:val="TableParagraph"/>
              <w:spacing w:line="243" w:lineRule="exact"/>
              <w:ind w:left="349"/>
              <w:jc w:val="both"/>
            </w:pPr>
            <w:r w:rsidRPr="008F6AB3">
              <w:t>-</w:t>
            </w:r>
          </w:p>
        </w:tc>
        <w:tc>
          <w:tcPr>
            <w:tcW w:w="1095" w:type="dxa"/>
          </w:tcPr>
          <w:p w:rsidR="00FD0BBC" w:rsidRPr="008F6AB3" w:rsidRDefault="00FD0BBC" w:rsidP="00A0130D">
            <w:pPr>
              <w:pStyle w:val="TableParagraph"/>
              <w:spacing w:line="243" w:lineRule="exact"/>
              <w:ind w:left="12"/>
              <w:jc w:val="both"/>
            </w:pPr>
            <w:r w:rsidRPr="008F6AB3">
              <w:t>-</w:t>
            </w:r>
          </w:p>
        </w:tc>
      </w:tr>
      <w:tr w:rsidR="00FD0BBC" w:rsidRPr="00243A59" w:rsidTr="00124391">
        <w:trPr>
          <w:trHeight w:val="2025"/>
        </w:trPr>
        <w:tc>
          <w:tcPr>
            <w:tcW w:w="1559" w:type="dxa"/>
          </w:tcPr>
          <w:p w:rsidR="00FD0BBC" w:rsidRPr="008F6AB3" w:rsidRDefault="00FD0BBC" w:rsidP="007171E9">
            <w:pPr>
              <w:pStyle w:val="TableParagraph"/>
              <w:ind w:left="110" w:right="134"/>
              <w:rPr>
                <w:b/>
              </w:rPr>
            </w:pPr>
            <w:r w:rsidRPr="008F6AB3">
              <w:rPr>
                <w:b/>
              </w:rPr>
              <w:lastRenderedPageBreak/>
              <w:t>Opšti poremećaji i reakcije na mjestu primjene</w:t>
            </w:r>
          </w:p>
        </w:tc>
        <w:tc>
          <w:tcPr>
            <w:tcW w:w="1375" w:type="dxa"/>
          </w:tcPr>
          <w:p w:rsidR="00FD0BBC" w:rsidRPr="008F6AB3" w:rsidRDefault="00FD0BBC" w:rsidP="00A0130D">
            <w:pPr>
              <w:pStyle w:val="TableParagraph"/>
              <w:spacing w:before="10"/>
              <w:jc w:val="both"/>
              <w:rPr>
                <w:sz w:val="20"/>
              </w:rPr>
            </w:pPr>
          </w:p>
          <w:p w:rsidR="00FD0BBC" w:rsidRPr="008F6AB3" w:rsidRDefault="00BA73ED" w:rsidP="00124391">
            <w:pPr>
              <w:pStyle w:val="TableParagraph"/>
              <w:ind w:left="110" w:right="115"/>
              <w:jc w:val="both"/>
            </w:pPr>
            <w:r>
              <w:t>U</w:t>
            </w:r>
            <w:r w:rsidR="00FD0BBC" w:rsidRPr="008F6AB3">
              <w:t>mor</w:t>
            </w:r>
            <w:r w:rsidR="00FD0BBC" w:rsidRPr="00124391">
              <w:rPr>
                <w:vertAlign w:val="superscript"/>
              </w:rPr>
              <w:t>a</w:t>
            </w:r>
          </w:p>
          <w:p w:rsidR="00FD0BBC" w:rsidRPr="008F6AB3" w:rsidRDefault="00FD0BBC" w:rsidP="00124391">
            <w:pPr>
              <w:pStyle w:val="TableParagraph"/>
              <w:ind w:left="110" w:right="115"/>
              <w:jc w:val="both"/>
            </w:pPr>
          </w:p>
          <w:p w:rsidR="00FD0BBC" w:rsidRPr="008F6AB3" w:rsidRDefault="00BA73ED" w:rsidP="00124391">
            <w:pPr>
              <w:pStyle w:val="TableParagraph"/>
              <w:ind w:left="110" w:right="115"/>
              <w:jc w:val="both"/>
            </w:pPr>
            <w:r>
              <w:t>U</w:t>
            </w:r>
            <w:r w:rsidR="00FD0BBC" w:rsidRPr="008F6AB3">
              <w:t>pala sluzokože</w:t>
            </w:r>
            <w:r w:rsidR="00FD0BBC" w:rsidRPr="00124391">
              <w:rPr>
                <w:vertAlign w:val="superscript"/>
              </w:rPr>
              <w:t xml:space="preserve">a </w:t>
            </w:r>
            <w:r>
              <w:t>P</w:t>
            </w:r>
            <w:r w:rsidR="00FD0BBC" w:rsidRPr="008F6AB3">
              <w:t>ireksija</w:t>
            </w:r>
          </w:p>
        </w:tc>
        <w:tc>
          <w:tcPr>
            <w:tcW w:w="1602" w:type="dxa"/>
          </w:tcPr>
          <w:p w:rsidR="00FD0BBC" w:rsidRPr="008F6AB3" w:rsidRDefault="00BA73ED" w:rsidP="00A0130D">
            <w:pPr>
              <w:pStyle w:val="TableParagraph"/>
              <w:spacing w:line="239" w:lineRule="exact"/>
              <w:ind w:left="110"/>
              <w:jc w:val="both"/>
            </w:pPr>
            <w:r>
              <w:t>B</w:t>
            </w:r>
            <w:r w:rsidR="00FD0BBC" w:rsidRPr="008F6AB3">
              <w:t>ol u toraksu</w:t>
            </w:r>
            <w:r w:rsidR="00FD0BBC" w:rsidRPr="008F6AB3">
              <w:rPr>
                <w:vertAlign w:val="superscript"/>
              </w:rPr>
              <w:t>a</w:t>
            </w:r>
          </w:p>
          <w:p w:rsidR="00FD0BBC" w:rsidRPr="008F6AB3" w:rsidRDefault="00FD0BBC" w:rsidP="00A0130D">
            <w:pPr>
              <w:pStyle w:val="TableParagraph"/>
              <w:spacing w:before="2"/>
              <w:jc w:val="both"/>
            </w:pPr>
          </w:p>
          <w:p w:rsidR="00FD0BBC" w:rsidRPr="008F6AB3" w:rsidRDefault="00BA73ED" w:rsidP="00A0130D">
            <w:pPr>
              <w:pStyle w:val="TableParagraph"/>
              <w:spacing w:before="1" w:line="477" w:lineRule="auto"/>
              <w:ind w:left="110" w:right="564"/>
              <w:jc w:val="both"/>
            </w:pPr>
            <w:r>
              <w:t>A</w:t>
            </w:r>
            <w:r w:rsidR="00FD0BBC" w:rsidRPr="008F6AB3">
              <w:t>stenij</w:t>
            </w:r>
            <w:r>
              <w:t>a</w:t>
            </w:r>
            <w:r w:rsidR="00FD0BBC" w:rsidRPr="008F6AB3">
              <w:t xml:space="preserve"> </w:t>
            </w:r>
            <w:r>
              <w:rPr>
                <w:vertAlign w:val="superscript"/>
              </w:rPr>
              <w:t>a</w:t>
            </w:r>
            <w:r>
              <w:t>B</w:t>
            </w:r>
            <w:r w:rsidR="00FD0BBC" w:rsidRPr="008F6AB3">
              <w:t>ol</w:t>
            </w:r>
            <w:r w:rsidR="00FD0BBC" w:rsidRPr="008F6AB3">
              <w:rPr>
                <w:vertAlign w:val="superscript"/>
              </w:rPr>
              <w:t>a</w:t>
            </w:r>
          </w:p>
          <w:p w:rsidR="00FD0BBC" w:rsidRPr="008F6AB3" w:rsidRDefault="00BA73ED" w:rsidP="00A0130D">
            <w:pPr>
              <w:pStyle w:val="TableParagraph"/>
              <w:spacing w:before="5"/>
              <w:ind w:left="110"/>
              <w:jc w:val="both"/>
              <w:rPr>
                <w:vertAlign w:val="superscript"/>
              </w:rPr>
            </w:pPr>
            <w:r>
              <w:t>M</w:t>
            </w:r>
            <w:r w:rsidR="00FD0BBC" w:rsidRPr="008F6AB3">
              <w:t>alaksalost</w:t>
            </w:r>
            <w:r w:rsidR="00FD0BBC" w:rsidRPr="008F6AB3">
              <w:rPr>
                <w:vertAlign w:val="superscript"/>
              </w:rPr>
              <w:t>e</w:t>
            </w:r>
          </w:p>
          <w:p w:rsidR="00FD0BBC" w:rsidRPr="008F6AB3" w:rsidRDefault="00FD0BBC" w:rsidP="00A0130D">
            <w:pPr>
              <w:pStyle w:val="TableParagraph"/>
              <w:spacing w:before="5"/>
              <w:ind w:left="110"/>
              <w:jc w:val="both"/>
              <w:rPr>
                <w:vertAlign w:val="superscript"/>
              </w:rPr>
            </w:pPr>
          </w:p>
          <w:p w:rsidR="00FD0BBC" w:rsidRPr="008F6AB3" w:rsidRDefault="00BA73ED" w:rsidP="00A0130D">
            <w:pPr>
              <w:pStyle w:val="TableParagraph"/>
              <w:spacing w:line="239" w:lineRule="exact"/>
              <w:ind w:left="110"/>
              <w:jc w:val="both"/>
            </w:pPr>
            <w:r>
              <w:t>P</w:t>
            </w:r>
            <w:r w:rsidR="00FD0BBC" w:rsidRPr="008F6AB3">
              <w:t>eriferni</w:t>
            </w:r>
          </w:p>
          <w:p w:rsidR="00FD0BBC" w:rsidRPr="008F6AB3" w:rsidRDefault="00FD0BBC" w:rsidP="00A0130D">
            <w:pPr>
              <w:pStyle w:val="TableParagraph"/>
              <w:spacing w:before="5"/>
              <w:ind w:left="110"/>
              <w:jc w:val="both"/>
            </w:pPr>
            <w:r w:rsidRPr="008F6AB3">
              <w:t>edem</w:t>
            </w:r>
            <w:r w:rsidRPr="008F6AB3">
              <w:rPr>
                <w:vertAlign w:val="superscript"/>
              </w:rPr>
              <w:t>e</w:t>
            </w:r>
          </w:p>
        </w:tc>
        <w:tc>
          <w:tcPr>
            <w:tcW w:w="1384" w:type="dxa"/>
          </w:tcPr>
          <w:p w:rsidR="00FD0BBC" w:rsidRPr="008F6AB3" w:rsidRDefault="00BA73ED" w:rsidP="00124391">
            <w:pPr>
              <w:pStyle w:val="TableParagraph"/>
              <w:ind w:left="109" w:right="111"/>
              <w:jc w:val="both"/>
            </w:pPr>
            <w:r>
              <w:t>R</w:t>
            </w:r>
            <w:r w:rsidR="00FD0BBC" w:rsidRPr="008F6AB3">
              <w:t>eakcija na</w:t>
            </w:r>
          </w:p>
          <w:p w:rsidR="00FD0BBC" w:rsidRPr="008F6AB3" w:rsidRDefault="00124391" w:rsidP="00124391">
            <w:pPr>
              <w:pStyle w:val="TableParagraph"/>
              <w:ind w:left="109" w:right="111"/>
              <w:jc w:val="both"/>
            </w:pPr>
            <w:r>
              <w:t>mjestu primje</w:t>
            </w:r>
            <w:r w:rsidR="00FD0BBC" w:rsidRPr="008F6AB3">
              <w:t>ne injekcije</w:t>
            </w:r>
          </w:p>
        </w:tc>
        <w:tc>
          <w:tcPr>
            <w:tcW w:w="1319" w:type="dxa"/>
          </w:tcPr>
          <w:p w:rsidR="00FD0BBC" w:rsidRPr="008F6AB3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029" w:type="dxa"/>
          </w:tcPr>
          <w:p w:rsidR="00FD0BBC" w:rsidRPr="008F6AB3" w:rsidRDefault="00FD0BBC" w:rsidP="00A0130D">
            <w:pPr>
              <w:pStyle w:val="TableParagraph"/>
              <w:spacing w:line="239" w:lineRule="exact"/>
              <w:ind w:left="349"/>
              <w:jc w:val="both"/>
            </w:pPr>
            <w:r w:rsidRPr="008F6AB3">
              <w:t>-</w:t>
            </w:r>
          </w:p>
        </w:tc>
        <w:tc>
          <w:tcPr>
            <w:tcW w:w="1095" w:type="dxa"/>
          </w:tcPr>
          <w:p w:rsidR="00FD0BBC" w:rsidRPr="008F6AB3" w:rsidRDefault="00FD0BBC" w:rsidP="00A0130D">
            <w:pPr>
              <w:pStyle w:val="TableParagraph"/>
              <w:spacing w:line="239" w:lineRule="exact"/>
              <w:ind w:left="12"/>
              <w:jc w:val="both"/>
            </w:pPr>
            <w:r w:rsidRPr="008F6AB3">
              <w:t>-</w:t>
            </w:r>
          </w:p>
        </w:tc>
      </w:tr>
      <w:tr w:rsidR="00FD0BBC" w:rsidRPr="00243A59" w:rsidTr="00124391">
        <w:trPr>
          <w:trHeight w:val="2025"/>
        </w:trPr>
        <w:tc>
          <w:tcPr>
            <w:tcW w:w="1559" w:type="dxa"/>
          </w:tcPr>
          <w:p w:rsidR="00FD0BBC" w:rsidRPr="008F6AB3" w:rsidRDefault="00FD0BBC" w:rsidP="007171E9">
            <w:pPr>
              <w:pStyle w:val="TableParagraph"/>
              <w:ind w:left="110" w:right="134"/>
              <w:rPr>
                <w:b/>
              </w:rPr>
            </w:pPr>
            <w:r w:rsidRPr="008F6AB3">
              <w:rPr>
                <w:b/>
              </w:rPr>
              <w:t>Ozljede, trovanja i proceduralne komplikacije</w:t>
            </w:r>
          </w:p>
        </w:tc>
        <w:tc>
          <w:tcPr>
            <w:tcW w:w="1375" w:type="dxa"/>
          </w:tcPr>
          <w:p w:rsidR="00FD0BBC" w:rsidRPr="008F6AB3" w:rsidRDefault="00FD0BBC" w:rsidP="00A0130D">
            <w:pPr>
              <w:pStyle w:val="TableParagraph"/>
              <w:spacing w:before="10"/>
              <w:jc w:val="both"/>
              <w:rPr>
                <w:sz w:val="20"/>
              </w:rPr>
            </w:pPr>
          </w:p>
          <w:p w:rsidR="00FD0BBC" w:rsidRPr="008F6AB3" w:rsidRDefault="00FD0BBC" w:rsidP="00A0130D">
            <w:pPr>
              <w:pStyle w:val="TableParagraph"/>
              <w:spacing w:line="477" w:lineRule="auto"/>
              <w:ind w:left="110"/>
              <w:jc w:val="both"/>
            </w:pPr>
          </w:p>
        </w:tc>
        <w:tc>
          <w:tcPr>
            <w:tcW w:w="1602" w:type="dxa"/>
          </w:tcPr>
          <w:p w:rsidR="00FD0BBC" w:rsidRPr="008F6AB3" w:rsidRDefault="00BA73ED" w:rsidP="00A0130D">
            <w:pPr>
              <w:pStyle w:val="TableParagraph"/>
              <w:spacing w:line="239" w:lineRule="exact"/>
              <w:ind w:left="110"/>
              <w:jc w:val="both"/>
            </w:pPr>
            <w:r>
              <w:t>T</w:t>
            </w:r>
            <w:r w:rsidR="00FD0BBC" w:rsidRPr="008F6AB3">
              <w:t>ranfuzijska</w:t>
            </w:r>
          </w:p>
          <w:p w:rsidR="00FD0BBC" w:rsidRPr="008F6AB3" w:rsidRDefault="00FD0BBC" w:rsidP="00A0130D">
            <w:pPr>
              <w:pStyle w:val="TableParagraph"/>
              <w:spacing w:before="5"/>
              <w:ind w:left="110"/>
              <w:jc w:val="both"/>
            </w:pPr>
            <w:r w:rsidRPr="008F6AB3">
              <w:t>reakcija</w:t>
            </w:r>
            <w:r w:rsidRPr="008F6AB3">
              <w:rPr>
                <w:vertAlign w:val="superscript"/>
              </w:rPr>
              <w:t>e</w:t>
            </w:r>
          </w:p>
        </w:tc>
        <w:tc>
          <w:tcPr>
            <w:tcW w:w="1384" w:type="dxa"/>
          </w:tcPr>
          <w:p w:rsidR="00FD0BBC" w:rsidRPr="008F6AB3" w:rsidRDefault="00FD0BBC" w:rsidP="00A0130D">
            <w:pPr>
              <w:pStyle w:val="TableParagraph"/>
              <w:spacing w:before="1"/>
              <w:ind w:left="110" w:right="624"/>
              <w:jc w:val="both"/>
            </w:pPr>
          </w:p>
        </w:tc>
        <w:tc>
          <w:tcPr>
            <w:tcW w:w="1319" w:type="dxa"/>
          </w:tcPr>
          <w:p w:rsidR="00FD0BBC" w:rsidRPr="008F6AB3" w:rsidRDefault="00FD0BBC" w:rsidP="00A0130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029" w:type="dxa"/>
          </w:tcPr>
          <w:p w:rsidR="00FD0BBC" w:rsidRPr="008F6AB3" w:rsidRDefault="00FD0BBC" w:rsidP="00A0130D">
            <w:pPr>
              <w:pStyle w:val="TableParagraph"/>
              <w:spacing w:line="239" w:lineRule="exact"/>
              <w:ind w:left="349"/>
              <w:jc w:val="both"/>
            </w:pPr>
            <w:r w:rsidRPr="008F6AB3">
              <w:t>-</w:t>
            </w:r>
          </w:p>
        </w:tc>
        <w:tc>
          <w:tcPr>
            <w:tcW w:w="1095" w:type="dxa"/>
          </w:tcPr>
          <w:p w:rsidR="00FD0BBC" w:rsidRPr="008F6AB3" w:rsidRDefault="00FD0BBC" w:rsidP="00A0130D">
            <w:pPr>
              <w:pStyle w:val="TableParagraph"/>
              <w:spacing w:line="239" w:lineRule="exact"/>
              <w:ind w:left="12"/>
              <w:jc w:val="both"/>
            </w:pPr>
            <w:r w:rsidRPr="008F6AB3">
              <w:t>-</w:t>
            </w:r>
          </w:p>
        </w:tc>
      </w:tr>
    </w:tbl>
    <w:p w:rsidR="00CC4FEB" w:rsidRPr="00243A59" w:rsidRDefault="00CC4FEB" w:rsidP="00A0130D">
      <w:pPr>
        <w:jc w:val="both"/>
        <w:rPr>
          <w:color w:val="FF0000"/>
        </w:rPr>
      </w:pPr>
    </w:p>
    <w:p w:rsidR="00FE5E30" w:rsidRPr="00F81F3C" w:rsidRDefault="000534A2" w:rsidP="005B7B3D">
      <w:pPr>
        <w:pStyle w:val="BodyText"/>
        <w:spacing w:line="224" w:lineRule="exact"/>
        <w:ind w:left="454" w:right="113"/>
        <w:jc w:val="both"/>
      </w:pPr>
      <w:r w:rsidRPr="00F81F3C">
        <w:rPr>
          <w:position w:val="10"/>
          <w:sz w:val="14"/>
        </w:rPr>
        <w:t>a</w:t>
      </w:r>
      <w:r w:rsidRPr="00F81F3C">
        <w:t>Vidjeti odjeljak 4.8, Opis odabranih n</w:t>
      </w:r>
      <w:r w:rsidR="002C755E" w:rsidRPr="00F81F3C">
        <w:t>eželjenih dejstav</w:t>
      </w:r>
      <w:r w:rsidRPr="00F81F3C">
        <w:t>a</w:t>
      </w:r>
    </w:p>
    <w:p w:rsidR="00FE5E30" w:rsidRPr="00F81F3C" w:rsidRDefault="000534A2" w:rsidP="005B7B3D">
      <w:pPr>
        <w:pStyle w:val="BodyText"/>
        <w:spacing w:before="13" w:line="254" w:lineRule="exact"/>
        <w:ind w:left="454" w:right="113"/>
        <w:jc w:val="both"/>
      </w:pPr>
      <w:r w:rsidRPr="00F81F3C">
        <w:rPr>
          <w:position w:val="10"/>
          <w:sz w:val="14"/>
        </w:rPr>
        <w:t>b</w:t>
      </w:r>
      <w:r w:rsidRPr="00F81F3C">
        <w:t xml:space="preserve">Zabilježeni su slučajevi GvHD-a i smrtni ishodi </w:t>
      </w:r>
      <w:r w:rsidR="00E06721" w:rsidRPr="00F81F3C">
        <w:t>kod pacijenata</w:t>
      </w:r>
      <w:r w:rsidRPr="00F81F3C">
        <w:t xml:space="preserve"> nakon transplantacije alogene koštane srži (vidjeti odjeljak 4.8, Opis odabranih n</w:t>
      </w:r>
      <w:r w:rsidR="002C755E" w:rsidRPr="00F81F3C">
        <w:t>eželjenih dejstav</w:t>
      </w:r>
      <w:r w:rsidRPr="00F81F3C">
        <w:t>a)</w:t>
      </w:r>
    </w:p>
    <w:p w:rsidR="00FE5E30" w:rsidRPr="00F81F3C" w:rsidRDefault="000534A2" w:rsidP="005B7B3D">
      <w:pPr>
        <w:pStyle w:val="BodyText"/>
        <w:spacing w:before="1" w:line="254" w:lineRule="exact"/>
        <w:ind w:left="454" w:right="113"/>
        <w:jc w:val="both"/>
      </w:pPr>
      <w:r w:rsidRPr="00F81F3C">
        <w:rPr>
          <w:position w:val="10"/>
          <w:sz w:val="14"/>
        </w:rPr>
        <w:t>c</w:t>
      </w:r>
      <w:r w:rsidRPr="00F81F3C">
        <w:t xml:space="preserve">Uključuje koštanu bol, bol u leđima, artralgiju, mialgiju, bol u udovima, mišićno-koštanu bol </w:t>
      </w:r>
      <w:r w:rsidR="00CC4FEB" w:rsidRPr="00F81F3C">
        <w:t>toraksa</w:t>
      </w:r>
      <w:r w:rsidRPr="00F81F3C">
        <w:t>, bol u vratu</w:t>
      </w:r>
    </w:p>
    <w:p w:rsidR="00FE5E30" w:rsidRPr="00F81F3C" w:rsidRDefault="000534A2" w:rsidP="00124391">
      <w:pPr>
        <w:pStyle w:val="BodyText"/>
        <w:spacing w:line="247" w:lineRule="exact"/>
        <w:ind w:left="454" w:right="113"/>
        <w:jc w:val="both"/>
      </w:pPr>
      <w:r w:rsidRPr="00F81F3C">
        <w:rPr>
          <w:position w:val="10"/>
          <w:sz w:val="14"/>
        </w:rPr>
        <w:t>d</w:t>
      </w:r>
      <w:r w:rsidRPr="00F81F3C">
        <w:t xml:space="preserve">Slučajevi opaženi nakon stavljanja filgrastima u promet </w:t>
      </w:r>
      <w:r w:rsidR="00E06721" w:rsidRPr="00F81F3C">
        <w:t>kod pacijenata</w:t>
      </w:r>
      <w:r w:rsidRPr="00F81F3C">
        <w:t xml:space="preserve"> kojima je transplantirana koštana</w:t>
      </w:r>
      <w:r w:rsidR="00124391">
        <w:t xml:space="preserve"> </w:t>
      </w:r>
      <w:r w:rsidRPr="00F81F3C">
        <w:t xml:space="preserve">srž ili je rađena mobilizacija </w:t>
      </w:r>
      <w:r w:rsidR="00D14DE6" w:rsidRPr="00F81F3C">
        <w:t>progenitorskih ćelija</w:t>
      </w:r>
      <w:r w:rsidRPr="00F81F3C">
        <w:t xml:space="preserve"> koštane srži</w:t>
      </w:r>
    </w:p>
    <w:p w:rsidR="00FE5E30" w:rsidRPr="00F81F3C" w:rsidRDefault="000534A2" w:rsidP="005B7B3D">
      <w:pPr>
        <w:pStyle w:val="BodyText"/>
        <w:spacing w:before="19" w:line="250" w:lineRule="exact"/>
        <w:ind w:left="454" w:right="113"/>
        <w:jc w:val="both"/>
      </w:pPr>
      <w:r w:rsidRPr="00F81F3C">
        <w:rPr>
          <w:position w:val="10"/>
          <w:sz w:val="14"/>
        </w:rPr>
        <w:t>e</w:t>
      </w:r>
      <w:r w:rsidR="00CC4FEB" w:rsidRPr="00F81F3C">
        <w:t>N</w:t>
      </w:r>
      <w:r w:rsidRPr="00F81F3C">
        <w:t>e</w:t>
      </w:r>
      <w:r w:rsidR="00CC4FEB" w:rsidRPr="00F81F3C">
        <w:t>željen</w:t>
      </w:r>
      <w:r w:rsidR="00E95920">
        <w:t>i</w:t>
      </w:r>
      <w:r w:rsidR="00CC4FEB" w:rsidRPr="00F81F3C">
        <w:t xml:space="preserve"> </w:t>
      </w:r>
      <w:r w:rsidR="00E95920">
        <w:t>događaji</w:t>
      </w:r>
      <w:r w:rsidRPr="00F81F3C">
        <w:t xml:space="preserve"> s</w:t>
      </w:r>
      <w:r w:rsidR="00CC4FEB" w:rsidRPr="00F81F3C">
        <w:t>a</w:t>
      </w:r>
      <w:r w:rsidRPr="00F81F3C">
        <w:t xml:space="preserve"> povećanom učestalošću kod </w:t>
      </w:r>
      <w:r w:rsidR="00CC4FEB" w:rsidRPr="00F81F3C">
        <w:t>p</w:t>
      </w:r>
      <w:r w:rsidR="00302820" w:rsidRPr="00F81F3C">
        <w:t>acijen</w:t>
      </w:r>
      <w:r w:rsidR="00CC4FEB" w:rsidRPr="00F81F3C">
        <w:t>a</w:t>
      </w:r>
      <w:r w:rsidR="00302820" w:rsidRPr="00F81F3C">
        <w:t>t</w:t>
      </w:r>
      <w:r w:rsidRPr="00F81F3C">
        <w:t xml:space="preserve">a koji su primali filgrastim u </w:t>
      </w:r>
      <w:r w:rsidR="00CC4FEB" w:rsidRPr="00F81F3C">
        <w:t>poređenju</w:t>
      </w:r>
      <w:r w:rsidRPr="00F81F3C">
        <w:t xml:space="preserve"> s</w:t>
      </w:r>
      <w:r w:rsidR="00CC4FEB" w:rsidRPr="00F81F3C">
        <w:t>a placebom i</w:t>
      </w:r>
      <w:r w:rsidRPr="00F81F3C">
        <w:t xml:space="preserve"> koje su povezane s</w:t>
      </w:r>
      <w:r w:rsidR="00CC4FEB" w:rsidRPr="00F81F3C">
        <w:t>a</w:t>
      </w:r>
      <w:r w:rsidRPr="00F81F3C">
        <w:t xml:space="preserve"> posljedicama osnovne maligne bolesti ili citotoksične </w:t>
      </w:r>
      <w:r w:rsidR="00F16896" w:rsidRPr="00F81F3C">
        <w:t>hem</w:t>
      </w:r>
      <w:r w:rsidR="00200AF4">
        <w:t>i</w:t>
      </w:r>
      <w:r w:rsidR="00F16896" w:rsidRPr="00F81F3C">
        <w:t>oter</w:t>
      </w:r>
      <w:r w:rsidRPr="00F81F3C">
        <w:t>apije</w:t>
      </w:r>
    </w:p>
    <w:p w:rsidR="00FE5E30" w:rsidRPr="00F81F3C" w:rsidRDefault="00FE5E30" w:rsidP="005B7B3D">
      <w:pPr>
        <w:pStyle w:val="BodyText"/>
        <w:ind w:left="454" w:right="113"/>
        <w:jc w:val="both"/>
      </w:pPr>
    </w:p>
    <w:p w:rsidR="00FE5E30" w:rsidRPr="002657B2" w:rsidRDefault="000534A2" w:rsidP="005B7B3D">
      <w:pPr>
        <w:pStyle w:val="BodyText"/>
        <w:ind w:left="454" w:right="113"/>
        <w:jc w:val="both"/>
      </w:pPr>
      <w:r w:rsidRPr="002657B2">
        <w:rPr>
          <w:u w:val="single"/>
        </w:rPr>
        <w:t>Opis odabranih n</w:t>
      </w:r>
      <w:r w:rsidR="002C755E" w:rsidRPr="002657B2">
        <w:rPr>
          <w:u w:val="single"/>
        </w:rPr>
        <w:t>eželjenih dejstav</w:t>
      </w:r>
      <w:r w:rsidRPr="002657B2">
        <w:rPr>
          <w:u w:val="single"/>
        </w:rPr>
        <w:t>a</w:t>
      </w:r>
    </w:p>
    <w:p w:rsidR="00FE5E30" w:rsidRPr="002657B2" w:rsidRDefault="00FE5E30" w:rsidP="005B7B3D">
      <w:pPr>
        <w:pStyle w:val="BodyText"/>
        <w:spacing w:before="10"/>
        <w:ind w:left="454" w:right="113"/>
        <w:jc w:val="both"/>
        <w:rPr>
          <w:sz w:val="13"/>
        </w:rPr>
      </w:pPr>
    </w:p>
    <w:p w:rsidR="00FE5E30" w:rsidRPr="002657B2" w:rsidRDefault="000534A2" w:rsidP="005B7B3D">
      <w:pPr>
        <w:spacing w:before="91"/>
        <w:ind w:left="454" w:right="113"/>
        <w:jc w:val="both"/>
        <w:rPr>
          <w:i/>
        </w:rPr>
      </w:pPr>
      <w:r w:rsidRPr="002657B2">
        <w:rPr>
          <w:i/>
          <w:u w:val="single"/>
        </w:rPr>
        <w:t>GvHD</w:t>
      </w:r>
    </w:p>
    <w:p w:rsidR="00FE5E30" w:rsidRPr="002657B2" w:rsidRDefault="000534A2" w:rsidP="005B7B3D">
      <w:pPr>
        <w:pStyle w:val="BodyText"/>
        <w:spacing w:before="2"/>
        <w:ind w:left="454" w:right="113" w:hanging="1"/>
        <w:jc w:val="both"/>
      </w:pPr>
      <w:r w:rsidRPr="002657B2">
        <w:t xml:space="preserve">Zabilježeni su slučajevi GvHD-a i smrtni ishodi </w:t>
      </w:r>
      <w:r w:rsidR="00E06721" w:rsidRPr="002657B2">
        <w:t>kod pacijenata</w:t>
      </w:r>
      <w:r w:rsidRPr="002657B2">
        <w:t xml:space="preserve"> koji su primali G-CSF nakon transplantacije alogene koštane srži (vidjeti dio 4.4 i 5.1).</w:t>
      </w:r>
    </w:p>
    <w:p w:rsidR="00FE5E30" w:rsidRPr="002657B2" w:rsidRDefault="00FE5E30" w:rsidP="005B7B3D">
      <w:pPr>
        <w:pStyle w:val="BodyText"/>
        <w:spacing w:before="11"/>
        <w:ind w:left="454" w:right="113"/>
        <w:jc w:val="both"/>
        <w:rPr>
          <w:sz w:val="21"/>
        </w:rPr>
      </w:pPr>
    </w:p>
    <w:p w:rsidR="00FE5E30" w:rsidRPr="002657B2" w:rsidRDefault="000534A2" w:rsidP="005B7B3D">
      <w:pPr>
        <w:ind w:left="454" w:right="113"/>
        <w:jc w:val="both"/>
        <w:rPr>
          <w:i/>
        </w:rPr>
      </w:pPr>
      <w:r w:rsidRPr="002657B2">
        <w:rPr>
          <w:i/>
          <w:u w:val="single"/>
        </w:rPr>
        <w:t xml:space="preserve">Sindrom </w:t>
      </w:r>
      <w:r w:rsidR="00B0554A" w:rsidRPr="002657B2">
        <w:rPr>
          <w:i/>
          <w:u w:val="single"/>
        </w:rPr>
        <w:t xml:space="preserve">povećane propustljivosti </w:t>
      </w:r>
      <w:r w:rsidRPr="002657B2">
        <w:rPr>
          <w:i/>
          <w:u w:val="single"/>
        </w:rPr>
        <w:t>kapilar</w:t>
      </w:r>
      <w:r w:rsidR="00B0554A" w:rsidRPr="002657B2">
        <w:rPr>
          <w:i/>
          <w:u w:val="single"/>
        </w:rPr>
        <w:t>a</w:t>
      </w:r>
    </w:p>
    <w:p w:rsidR="00FE5E30" w:rsidRPr="002657B2" w:rsidRDefault="000534A2" w:rsidP="005B7B3D">
      <w:pPr>
        <w:pStyle w:val="BodyText"/>
        <w:spacing w:before="1"/>
        <w:ind w:left="454" w:right="113"/>
        <w:jc w:val="both"/>
      </w:pPr>
      <w:r w:rsidRPr="002657B2">
        <w:t>Slučajevi stanja povećane kapilarne propus</w:t>
      </w:r>
      <w:r w:rsidR="002E064A" w:rsidRPr="002657B2">
        <w:t>tljivo</w:t>
      </w:r>
      <w:r w:rsidRPr="002657B2">
        <w:t>sti zabilježeni su nakon stavljanja</w:t>
      </w:r>
      <w:r w:rsidR="003E4B60">
        <w:t xml:space="preserve"> lijeka</w:t>
      </w:r>
      <w:r w:rsidRPr="002657B2">
        <w:t xml:space="preserve"> u promet vezano uz primjenu </w:t>
      </w:r>
      <w:r w:rsidR="00C215D3" w:rsidRPr="002657B2">
        <w:t>faktora stimulacije rasta granulocitnih kolonija</w:t>
      </w:r>
      <w:r w:rsidRPr="002657B2">
        <w:t xml:space="preserve">. Uglavnom su se </w:t>
      </w:r>
      <w:r w:rsidR="00345970" w:rsidRPr="002657B2">
        <w:t>manifestovali</w:t>
      </w:r>
      <w:r w:rsidRPr="002657B2">
        <w:t xml:space="preserve"> </w:t>
      </w:r>
      <w:r w:rsidR="00E06721" w:rsidRPr="002657B2">
        <w:t>kod pacijenata</w:t>
      </w:r>
      <w:r w:rsidRPr="002657B2">
        <w:t xml:space="preserve"> s</w:t>
      </w:r>
      <w:r w:rsidR="00345970" w:rsidRPr="002657B2">
        <w:t>a</w:t>
      </w:r>
      <w:r w:rsidRPr="002657B2">
        <w:t xml:space="preserve"> uznapredovalim malignim bolestima, onih sa sepsom, </w:t>
      </w:r>
      <w:r w:rsidR="00E06721" w:rsidRPr="002657B2">
        <w:t>kod pacijenata</w:t>
      </w:r>
      <w:r w:rsidRPr="002657B2">
        <w:t xml:space="preserve"> koji su primali više od jednog </w:t>
      </w:r>
      <w:r w:rsidR="00F16896" w:rsidRPr="002657B2">
        <w:t>hem</w:t>
      </w:r>
      <w:r w:rsidR="00200AF4">
        <w:t>i</w:t>
      </w:r>
      <w:r w:rsidR="00F16896" w:rsidRPr="002657B2">
        <w:t>oter</w:t>
      </w:r>
      <w:r w:rsidRPr="002657B2">
        <w:t xml:space="preserve">apijskog lijeka i </w:t>
      </w:r>
      <w:r w:rsidR="00E06721" w:rsidRPr="002657B2">
        <w:t>kod pacijenata</w:t>
      </w:r>
      <w:r w:rsidRPr="002657B2">
        <w:t xml:space="preserve"> na kojima se provodila afereza (vidjeti odjeljak 4.4).</w:t>
      </w:r>
    </w:p>
    <w:p w:rsidR="00FE5E30" w:rsidRPr="00243A59" w:rsidRDefault="00FE5E30" w:rsidP="005B7B3D">
      <w:pPr>
        <w:pStyle w:val="BodyText"/>
        <w:spacing w:before="9"/>
        <w:ind w:left="454" w:right="113"/>
        <w:jc w:val="both"/>
        <w:rPr>
          <w:color w:val="FF0000"/>
          <w:sz w:val="21"/>
        </w:rPr>
      </w:pPr>
    </w:p>
    <w:p w:rsidR="00FE5E30" w:rsidRPr="002657B2" w:rsidRDefault="00345970" w:rsidP="005B7B3D">
      <w:pPr>
        <w:pStyle w:val="BodyText"/>
        <w:ind w:left="454" w:right="113" w:hanging="1"/>
        <w:jc w:val="both"/>
      </w:pPr>
      <w:r w:rsidRPr="002657B2">
        <w:t>U randomizov</w:t>
      </w:r>
      <w:r w:rsidR="000534A2" w:rsidRPr="002657B2">
        <w:t xml:space="preserve">anim, </w:t>
      </w:r>
      <w:r w:rsidRPr="002657B2">
        <w:t>placebom kontrolis</w:t>
      </w:r>
      <w:r w:rsidR="000534A2" w:rsidRPr="002657B2">
        <w:t>anim kliničkim ispitivanjima fi</w:t>
      </w:r>
      <w:r w:rsidRPr="002657B2">
        <w:t>lgrastim nije povećao incidenc</w:t>
      </w:r>
      <w:r w:rsidR="000534A2" w:rsidRPr="002657B2">
        <w:t>u n</w:t>
      </w:r>
      <w:r w:rsidRPr="002657B2">
        <w:t>eželjenih dejstav</w:t>
      </w:r>
      <w:r w:rsidR="000534A2" w:rsidRPr="002657B2">
        <w:t>a povezanih s</w:t>
      </w:r>
      <w:r w:rsidRPr="002657B2">
        <w:t>a</w:t>
      </w:r>
      <w:r w:rsidR="000534A2" w:rsidRPr="002657B2">
        <w:t xml:space="preserve"> citotoksičnom </w:t>
      </w:r>
      <w:r w:rsidR="00F16896" w:rsidRPr="002657B2">
        <w:t>hem</w:t>
      </w:r>
      <w:r w:rsidR="00200AF4">
        <w:t>i</w:t>
      </w:r>
      <w:r w:rsidR="00F16896" w:rsidRPr="002657B2">
        <w:t>oter</w:t>
      </w:r>
      <w:r w:rsidR="000534A2" w:rsidRPr="002657B2">
        <w:t>apijom. U tim kliničkim ispitivanjima, ne</w:t>
      </w:r>
      <w:r w:rsidRPr="002657B2">
        <w:t>željena dejstva</w:t>
      </w:r>
      <w:r w:rsidR="000534A2" w:rsidRPr="002657B2">
        <w:t xml:space="preserve"> zabilježen</w:t>
      </w:r>
      <w:r w:rsidRPr="002657B2">
        <w:t>a</w:t>
      </w:r>
      <w:r w:rsidR="000534A2" w:rsidRPr="002657B2">
        <w:t xml:space="preserve"> jednakom učestalošću </w:t>
      </w:r>
      <w:r w:rsidRPr="002657B2">
        <w:t>kod</w:t>
      </w:r>
      <w:r w:rsidR="000534A2" w:rsidRPr="002657B2">
        <w:t xml:space="preserve"> onkoloških </w:t>
      </w:r>
      <w:r w:rsidRPr="002657B2">
        <w:t>p</w:t>
      </w:r>
      <w:r w:rsidR="00302820" w:rsidRPr="002657B2">
        <w:t>acijen</w:t>
      </w:r>
      <w:r w:rsidRPr="002657B2">
        <w:t>a</w:t>
      </w:r>
      <w:r w:rsidR="00302820" w:rsidRPr="002657B2">
        <w:t>t</w:t>
      </w:r>
      <w:r w:rsidR="000534A2" w:rsidRPr="002657B2">
        <w:t>a liječenih filgrastimom/</w:t>
      </w:r>
      <w:r w:rsidR="00F16896" w:rsidRPr="002657B2">
        <w:t>hem</w:t>
      </w:r>
      <w:r w:rsidR="00200AF4">
        <w:t>i</w:t>
      </w:r>
      <w:r w:rsidR="00F16896" w:rsidRPr="002657B2">
        <w:t>oter</w:t>
      </w:r>
      <w:r w:rsidR="000534A2" w:rsidRPr="002657B2">
        <w:t>apijom i placebom/</w:t>
      </w:r>
      <w:r w:rsidR="00F16896" w:rsidRPr="002657B2">
        <w:t>hem</w:t>
      </w:r>
      <w:r w:rsidR="00200AF4">
        <w:t>i</w:t>
      </w:r>
      <w:r w:rsidR="00F16896" w:rsidRPr="002657B2">
        <w:t>oter</w:t>
      </w:r>
      <w:r w:rsidR="000534A2" w:rsidRPr="002657B2">
        <w:t>apijom uključivale su mučninu</w:t>
      </w:r>
      <w:r w:rsidRPr="002657B2">
        <w:t xml:space="preserve"> i povraćanje, alopeciju, </w:t>
      </w:r>
      <w:r w:rsidR="005D76C9">
        <w:t>dijareju</w:t>
      </w:r>
      <w:r w:rsidR="000534A2" w:rsidRPr="002657B2">
        <w:t xml:space="preserve">, umor, anoreksiju, mukozitis, glavobolju, kašalj, kožni osip, bol u </w:t>
      </w:r>
      <w:r w:rsidRPr="002657B2">
        <w:t>toraksu, opšt</w:t>
      </w:r>
      <w:r w:rsidR="000534A2" w:rsidRPr="002657B2">
        <w:t>u slabost, grlobolju, konstipaciju i bol.</w:t>
      </w:r>
    </w:p>
    <w:p w:rsidR="00FE5E30" w:rsidRPr="00243A59" w:rsidRDefault="00FE5E30" w:rsidP="005B7B3D">
      <w:pPr>
        <w:pStyle w:val="BodyText"/>
        <w:ind w:left="454" w:right="113"/>
        <w:jc w:val="both"/>
        <w:rPr>
          <w:color w:val="FF0000"/>
        </w:rPr>
      </w:pPr>
    </w:p>
    <w:p w:rsidR="00FE5E30" w:rsidRPr="00415F77" w:rsidRDefault="000534A2" w:rsidP="005B7B3D">
      <w:pPr>
        <w:pStyle w:val="BodyText"/>
        <w:ind w:left="454" w:right="113" w:hanging="1"/>
        <w:jc w:val="both"/>
      </w:pPr>
      <w:r w:rsidRPr="00415F77">
        <w:t xml:space="preserve">Nakon stavljanja lijeka u promet, zabilježen je kožni vaskulitis </w:t>
      </w:r>
      <w:r w:rsidR="00E06721" w:rsidRPr="00415F77">
        <w:t>kod pacijenata</w:t>
      </w:r>
      <w:r w:rsidRPr="00415F77">
        <w:t xml:space="preserve"> liječenih filgrastimom. Mehanizam nastanka vaskulitisa </w:t>
      </w:r>
      <w:r w:rsidR="00E06721" w:rsidRPr="00415F77">
        <w:t>kod pacijenata</w:t>
      </w:r>
      <w:r w:rsidRPr="00415F77">
        <w:t xml:space="preserve"> koji primaju filgrastim nije poznat. Na </w:t>
      </w:r>
      <w:r w:rsidR="000342C0" w:rsidRPr="00415F77">
        <w:t>osnov</w:t>
      </w:r>
      <w:r w:rsidRPr="00415F77">
        <w:t xml:space="preserve">u podataka iz kliničkih ispitivanja, učestalost se procjenjuje kao </w:t>
      </w:r>
      <w:r w:rsidR="000342C0" w:rsidRPr="00415F77">
        <w:t>povremena</w:t>
      </w:r>
      <w:r w:rsidRPr="00415F77">
        <w:t>.</w:t>
      </w:r>
    </w:p>
    <w:p w:rsidR="00FE5E30" w:rsidRPr="00415F77" w:rsidRDefault="00FE5E30" w:rsidP="005B7B3D">
      <w:pPr>
        <w:pStyle w:val="BodyText"/>
        <w:spacing w:before="1"/>
        <w:ind w:left="454" w:right="113"/>
        <w:jc w:val="both"/>
      </w:pPr>
    </w:p>
    <w:p w:rsidR="00FE5E30" w:rsidRPr="00415F77" w:rsidRDefault="000534A2" w:rsidP="005B7B3D">
      <w:pPr>
        <w:ind w:left="454" w:right="113"/>
        <w:jc w:val="both"/>
        <w:rPr>
          <w:i/>
        </w:rPr>
      </w:pPr>
      <w:r w:rsidRPr="00415F77">
        <w:rPr>
          <w:i/>
          <w:u w:val="single"/>
        </w:rPr>
        <w:t>Sweetsov sindrom</w:t>
      </w:r>
    </w:p>
    <w:p w:rsidR="00FE5E30" w:rsidRPr="00415F77" w:rsidRDefault="000534A2" w:rsidP="005B7B3D">
      <w:pPr>
        <w:pStyle w:val="BodyText"/>
        <w:spacing w:before="4" w:line="237" w:lineRule="auto"/>
        <w:ind w:left="454" w:right="113" w:hanging="1"/>
        <w:jc w:val="both"/>
      </w:pPr>
      <w:r w:rsidRPr="00415F77">
        <w:t xml:space="preserve">Nakon stavljanja lijeka u promet zabilježeni su slučajevi Sweetsovog sindroma (akutne febrilne dermatoze). Na </w:t>
      </w:r>
      <w:r w:rsidR="000342C0" w:rsidRPr="00415F77">
        <w:t>osnov</w:t>
      </w:r>
      <w:r w:rsidRPr="00415F77">
        <w:t xml:space="preserve">u podataka iz kliničkih ispitivanja, učestalost se procjenjuje kao </w:t>
      </w:r>
      <w:r w:rsidR="000342C0" w:rsidRPr="00415F77">
        <w:t>povremena</w:t>
      </w:r>
      <w:r w:rsidRPr="00415F77">
        <w:t>.</w:t>
      </w:r>
    </w:p>
    <w:p w:rsidR="00FE5E30" w:rsidRPr="00415F77" w:rsidRDefault="00FE5E30" w:rsidP="005B7B3D">
      <w:pPr>
        <w:pStyle w:val="BodyText"/>
        <w:spacing w:before="2"/>
        <w:ind w:left="454" w:right="113"/>
        <w:jc w:val="both"/>
      </w:pPr>
    </w:p>
    <w:p w:rsidR="00FE5E30" w:rsidRPr="00415F77" w:rsidRDefault="000342C0" w:rsidP="005B7B3D">
      <w:pPr>
        <w:spacing w:line="251" w:lineRule="exact"/>
        <w:ind w:left="454" w:right="113"/>
        <w:jc w:val="both"/>
        <w:rPr>
          <w:i/>
        </w:rPr>
      </w:pPr>
      <w:r w:rsidRPr="00415F77">
        <w:rPr>
          <w:i/>
          <w:u w:val="single"/>
        </w:rPr>
        <w:t>Neželjen</w:t>
      </w:r>
      <w:r w:rsidR="003A20EB">
        <w:rPr>
          <w:i/>
          <w:u w:val="single"/>
        </w:rPr>
        <w:t>i događaji</w:t>
      </w:r>
      <w:r w:rsidRPr="00415F77">
        <w:rPr>
          <w:i/>
          <w:u w:val="single"/>
        </w:rPr>
        <w:t xml:space="preserve"> na p</w:t>
      </w:r>
      <w:r w:rsidR="000534A2" w:rsidRPr="00415F77">
        <w:rPr>
          <w:i/>
          <w:u w:val="single"/>
        </w:rPr>
        <w:t>luć</w:t>
      </w:r>
      <w:r w:rsidRPr="00415F77">
        <w:rPr>
          <w:i/>
          <w:u w:val="single"/>
        </w:rPr>
        <w:t>ima</w:t>
      </w:r>
    </w:p>
    <w:p w:rsidR="00FE5E30" w:rsidRPr="00415F77" w:rsidRDefault="000534A2" w:rsidP="005B7B3D">
      <w:pPr>
        <w:pStyle w:val="BodyText"/>
        <w:ind w:left="454" w:right="113" w:hanging="1"/>
        <w:jc w:val="both"/>
      </w:pPr>
      <w:r w:rsidRPr="00415F77">
        <w:t xml:space="preserve">U kliničkim ispitivanjima i nakon stavljanja lijeka u promet, u </w:t>
      </w:r>
      <w:r w:rsidR="000342C0" w:rsidRPr="00415F77">
        <w:t xml:space="preserve">nekim su slučajevima zabilježena </w:t>
      </w:r>
      <w:r w:rsidR="000342C0" w:rsidRPr="00415F77">
        <w:lastRenderedPageBreak/>
        <w:t xml:space="preserve">neželjena dejstva na </w:t>
      </w:r>
      <w:r w:rsidRPr="00415F77">
        <w:t>pluć</w:t>
      </w:r>
      <w:r w:rsidR="000342C0" w:rsidRPr="00415F77">
        <w:t>ima,</w:t>
      </w:r>
      <w:r w:rsidRPr="00415F77">
        <w:t xml:space="preserve"> uključujući intersticij</w:t>
      </w:r>
      <w:r w:rsidR="00B0554A" w:rsidRPr="00415F77">
        <w:t>aln</w:t>
      </w:r>
      <w:r w:rsidRPr="00415F77">
        <w:t xml:space="preserve">u bolest pluća, plućni edem i infiltraciju pluća, </w:t>
      </w:r>
      <w:r w:rsidR="000342C0" w:rsidRPr="00415F77">
        <w:t>s ishodom u obliku respiratorne insuficijencije</w:t>
      </w:r>
      <w:r w:rsidRPr="00415F77">
        <w:t xml:space="preserve"> ili akutnog respiratornog distres sindroma (ARDS), koji može imati smrtni ishod (vidjeti dio 4.4).</w:t>
      </w:r>
    </w:p>
    <w:p w:rsidR="00FE5E30" w:rsidRPr="00415F77" w:rsidRDefault="00FE5E30" w:rsidP="005B7B3D">
      <w:pPr>
        <w:pStyle w:val="BodyText"/>
        <w:spacing w:before="1"/>
        <w:ind w:left="454" w:right="113"/>
        <w:jc w:val="both"/>
      </w:pPr>
    </w:p>
    <w:p w:rsidR="00FE5E30" w:rsidRPr="00415F77" w:rsidRDefault="000534A2" w:rsidP="005B7B3D">
      <w:pPr>
        <w:ind w:left="454" w:right="113"/>
        <w:jc w:val="both"/>
        <w:rPr>
          <w:i/>
        </w:rPr>
      </w:pPr>
      <w:r w:rsidRPr="00415F77">
        <w:rPr>
          <w:i/>
          <w:u w:val="single"/>
        </w:rPr>
        <w:t>Splenomegalija i ruptura slez</w:t>
      </w:r>
      <w:r w:rsidR="000342C0" w:rsidRPr="00415F77">
        <w:rPr>
          <w:i/>
          <w:u w:val="single"/>
        </w:rPr>
        <w:t>i</w:t>
      </w:r>
      <w:r w:rsidRPr="00415F77">
        <w:rPr>
          <w:i/>
          <w:u w:val="single"/>
        </w:rPr>
        <w:t>ne</w:t>
      </w:r>
    </w:p>
    <w:p w:rsidR="00FE5E30" w:rsidRPr="00415F77" w:rsidRDefault="003A20EB" w:rsidP="00E21129">
      <w:pPr>
        <w:pStyle w:val="BodyText"/>
        <w:spacing w:before="66"/>
        <w:ind w:left="454" w:right="113"/>
        <w:jc w:val="both"/>
      </w:pPr>
      <w:r>
        <w:t>S</w:t>
      </w:r>
      <w:r w:rsidR="000534A2" w:rsidRPr="00415F77">
        <w:t>lučajev</w:t>
      </w:r>
      <w:r w:rsidR="000342C0" w:rsidRPr="00415F77">
        <w:t>i splenomegalije i rupture slezi</w:t>
      </w:r>
      <w:r w:rsidR="000534A2" w:rsidRPr="00415F77">
        <w:t xml:space="preserve">ne zabilježeni su nakon </w:t>
      </w:r>
      <w:r w:rsidR="000342C0" w:rsidRPr="00415F77">
        <w:t>primjene filgrastima. U nekim</w:t>
      </w:r>
      <w:r w:rsidR="000534A2" w:rsidRPr="00415F77">
        <w:t xml:space="preserve"> </w:t>
      </w:r>
      <w:r w:rsidR="00BA73ED">
        <w:t xml:space="preserve">                           </w:t>
      </w:r>
      <w:r w:rsidR="000534A2" w:rsidRPr="00415F77">
        <w:t>slučajevima</w:t>
      </w:r>
      <w:r w:rsidR="000342C0" w:rsidRPr="00415F77">
        <w:t xml:space="preserve"> je</w:t>
      </w:r>
      <w:r w:rsidR="000534A2" w:rsidRPr="00415F77">
        <w:t xml:space="preserve"> ruptura slez</w:t>
      </w:r>
      <w:r w:rsidR="000342C0" w:rsidRPr="00415F77">
        <w:t>i</w:t>
      </w:r>
      <w:r w:rsidR="000534A2" w:rsidRPr="00415F77">
        <w:t>ne imala smrtni ishod (vidjeti dio 4.4).</w:t>
      </w:r>
    </w:p>
    <w:p w:rsidR="00FE5E30" w:rsidRPr="00415F77" w:rsidRDefault="00FE5E30" w:rsidP="00E21129">
      <w:pPr>
        <w:pStyle w:val="BodyText"/>
        <w:spacing w:before="10"/>
        <w:ind w:left="454" w:right="113"/>
        <w:jc w:val="both"/>
        <w:rPr>
          <w:sz w:val="21"/>
        </w:rPr>
      </w:pPr>
    </w:p>
    <w:p w:rsidR="003A20EB" w:rsidRPr="00A0130D" w:rsidRDefault="003A20EB" w:rsidP="00E21129">
      <w:pPr>
        <w:pStyle w:val="BodyText"/>
        <w:ind w:left="454" w:right="113"/>
        <w:jc w:val="both"/>
        <w:rPr>
          <w:i/>
        </w:rPr>
      </w:pPr>
      <w:r w:rsidRPr="00A0130D">
        <w:rPr>
          <w:i/>
        </w:rPr>
        <w:t>Preosjetljivost</w:t>
      </w:r>
    </w:p>
    <w:p w:rsidR="00FE5E30" w:rsidRPr="00415F77" w:rsidRDefault="000534A2" w:rsidP="00E21129">
      <w:pPr>
        <w:pStyle w:val="BodyText"/>
        <w:ind w:left="454" w:right="113"/>
        <w:jc w:val="both"/>
      </w:pPr>
      <w:r w:rsidRPr="00415F77">
        <w:t>Reakcije preosjet</w:t>
      </w:r>
      <w:r w:rsidR="0046014E" w:rsidRPr="00415F77">
        <w:t>ljivosti uključujući anafilaks</w:t>
      </w:r>
      <w:r w:rsidRPr="00415F77">
        <w:t xml:space="preserve">u, osip, urtikariju, angioedem, dispneju i hipotenziju javljale su se na početku i kasnije </w:t>
      </w:r>
      <w:r w:rsidR="004272FF" w:rsidRPr="00415F77">
        <w:t>tokom</w:t>
      </w:r>
      <w:r w:rsidRPr="00415F77">
        <w:t xml:space="preserve"> liječenja </w:t>
      </w:r>
      <w:r w:rsidR="002F574E">
        <w:t>u kliničkim studijama i nakon stavljanja lijeka u promet.</w:t>
      </w:r>
      <w:r w:rsidRPr="00415F77">
        <w:t xml:space="preserve">. </w:t>
      </w:r>
      <w:r w:rsidR="0046014E" w:rsidRPr="00415F77">
        <w:t xml:space="preserve">Generalno </w:t>
      </w:r>
      <w:r w:rsidRPr="00415F77">
        <w:t>su takvi slučajevi bili češći nakon intravenske primjene. U nekim sl</w:t>
      </w:r>
      <w:r w:rsidR="0046014E" w:rsidRPr="00415F77">
        <w:t>učajevima, simptomi su se ponov</w:t>
      </w:r>
      <w:r w:rsidRPr="00415F77">
        <w:t xml:space="preserve">o pojavili kod ponovnog izlaganja, što ukazuje na uzročno-posljedični odnos. Primjenu filgrastima potrebno je trajno prekinuti </w:t>
      </w:r>
      <w:r w:rsidR="00E06721" w:rsidRPr="00415F77">
        <w:t>kod pacijenata</w:t>
      </w:r>
      <w:r w:rsidRPr="00415F77">
        <w:t xml:space="preserve"> koji razviju ozbiljnu alergijsku reakciju.</w:t>
      </w:r>
    </w:p>
    <w:p w:rsidR="00FE5E30" w:rsidRPr="00243A59" w:rsidRDefault="00FE5E30" w:rsidP="00E21129">
      <w:pPr>
        <w:pStyle w:val="BodyText"/>
        <w:spacing w:before="4"/>
        <w:ind w:left="454" w:right="113"/>
        <w:jc w:val="both"/>
        <w:rPr>
          <w:color w:val="FF0000"/>
        </w:rPr>
      </w:pPr>
    </w:p>
    <w:p w:rsidR="00FE5E30" w:rsidRPr="00415F77" w:rsidRDefault="000534A2" w:rsidP="00E21129">
      <w:pPr>
        <w:pStyle w:val="BodyText"/>
        <w:ind w:left="454" w:right="113"/>
        <w:jc w:val="both"/>
      </w:pPr>
      <w:r w:rsidRPr="00415F77">
        <w:t>Nakon st</w:t>
      </w:r>
      <w:r w:rsidR="0046014E" w:rsidRPr="00415F77">
        <w:t>avljanja lijeka u promet, izolov</w:t>
      </w:r>
      <w:r w:rsidRPr="00415F77">
        <w:t xml:space="preserve">ani slučajevi krize srpastih </w:t>
      </w:r>
      <w:r w:rsidR="00D14DE6" w:rsidRPr="00415F77">
        <w:t>ćelij</w:t>
      </w:r>
      <w:r w:rsidRPr="00415F77">
        <w:t xml:space="preserve">a zabilježeni su </w:t>
      </w:r>
      <w:r w:rsidR="00E06721" w:rsidRPr="00415F77">
        <w:t>kod pacijenata</w:t>
      </w:r>
      <w:r w:rsidRPr="00415F77">
        <w:t xml:space="preserve"> s</w:t>
      </w:r>
      <w:r w:rsidR="0046014E" w:rsidRPr="00415F77">
        <w:t>a</w:t>
      </w:r>
      <w:r w:rsidRPr="00415F77">
        <w:t xml:space="preserve"> anemijom srpastih </w:t>
      </w:r>
      <w:r w:rsidR="00D14DE6" w:rsidRPr="00415F77">
        <w:t>ćelij</w:t>
      </w:r>
      <w:r w:rsidRPr="00415F77">
        <w:t xml:space="preserve">a (vidjeti dio 4.4). Na </w:t>
      </w:r>
      <w:r w:rsidR="0046014E" w:rsidRPr="00415F77">
        <w:t>osnov</w:t>
      </w:r>
      <w:r w:rsidRPr="00415F77">
        <w:t>u podataka iz kliničkih ispitiv</w:t>
      </w:r>
      <w:r w:rsidR="0046014E" w:rsidRPr="00415F77">
        <w:t>a</w:t>
      </w:r>
      <w:r w:rsidRPr="00415F77">
        <w:t xml:space="preserve">nja, učestalost se procjenjuje kao </w:t>
      </w:r>
      <w:r w:rsidR="0046014E" w:rsidRPr="00415F77">
        <w:t>povremen</w:t>
      </w:r>
      <w:r w:rsidRPr="00415F77">
        <w:t>a.</w:t>
      </w:r>
    </w:p>
    <w:p w:rsidR="00FE5E30" w:rsidRPr="00415F77" w:rsidRDefault="00FE5E30" w:rsidP="00E21129">
      <w:pPr>
        <w:pStyle w:val="BodyText"/>
        <w:spacing w:before="8"/>
        <w:ind w:left="454" w:right="113"/>
        <w:jc w:val="both"/>
        <w:rPr>
          <w:sz w:val="21"/>
        </w:rPr>
      </w:pPr>
    </w:p>
    <w:p w:rsidR="00FE5E30" w:rsidRPr="00415F77" w:rsidRDefault="000534A2" w:rsidP="00E21129">
      <w:pPr>
        <w:ind w:left="454" w:right="113"/>
        <w:jc w:val="both"/>
        <w:rPr>
          <w:i/>
        </w:rPr>
      </w:pPr>
      <w:r w:rsidRPr="00415F77">
        <w:rPr>
          <w:i/>
          <w:u w:val="single"/>
        </w:rPr>
        <w:t>Kožni vaskulitis</w:t>
      </w:r>
    </w:p>
    <w:p w:rsidR="00FE5E30" w:rsidRPr="00415F77" w:rsidRDefault="000534A2" w:rsidP="00E21129">
      <w:pPr>
        <w:pStyle w:val="BodyText"/>
        <w:spacing w:before="1"/>
        <w:ind w:left="454" w:right="113"/>
        <w:jc w:val="both"/>
      </w:pPr>
      <w:r w:rsidRPr="00415F77">
        <w:t xml:space="preserve">Kožni vaskulitis zabilježen je kod </w:t>
      </w:r>
      <w:r w:rsidR="00DB4500" w:rsidRPr="00415F77">
        <w:t>p</w:t>
      </w:r>
      <w:r w:rsidR="00302820" w:rsidRPr="00415F77">
        <w:t>acijen</w:t>
      </w:r>
      <w:r w:rsidR="00DB4500" w:rsidRPr="00415F77">
        <w:t>a</w:t>
      </w:r>
      <w:r w:rsidR="00302820" w:rsidRPr="00415F77">
        <w:t>t</w:t>
      </w:r>
      <w:r w:rsidRPr="00415F77">
        <w:t xml:space="preserve">a liječenih filgrastimom. Nije poznat mehanizam vaskulitisa kod </w:t>
      </w:r>
      <w:r w:rsidR="00DB4500" w:rsidRPr="00415F77">
        <w:t>p</w:t>
      </w:r>
      <w:r w:rsidR="00302820" w:rsidRPr="00415F77">
        <w:t>acijen</w:t>
      </w:r>
      <w:r w:rsidR="00DB4500" w:rsidRPr="00415F77">
        <w:t>a</w:t>
      </w:r>
      <w:r w:rsidR="00302820" w:rsidRPr="00415F77">
        <w:t>t</w:t>
      </w:r>
      <w:r w:rsidRPr="00415F77">
        <w:t xml:space="preserve">a koji primaju filgrastim. </w:t>
      </w:r>
      <w:r w:rsidR="004272FF" w:rsidRPr="00415F77">
        <w:t>Tokom</w:t>
      </w:r>
      <w:r w:rsidRPr="00415F77">
        <w:t xml:space="preserve"> dugotrajne primjene kožni vaskul</w:t>
      </w:r>
      <w:r w:rsidR="002F574E">
        <w:t>i</w:t>
      </w:r>
      <w:r w:rsidRPr="00415F77">
        <w:t xml:space="preserve">tis zabilježen je </w:t>
      </w:r>
      <w:r w:rsidR="00DB4500" w:rsidRPr="00415F77">
        <w:t>kod</w:t>
      </w:r>
      <w:r w:rsidRPr="00415F77">
        <w:t xml:space="preserve"> 2 % </w:t>
      </w:r>
      <w:r w:rsidR="00DB4500" w:rsidRPr="00415F77">
        <w:t>p</w:t>
      </w:r>
      <w:r w:rsidR="00302820" w:rsidRPr="00415F77">
        <w:t>acijen</w:t>
      </w:r>
      <w:r w:rsidR="00DB4500" w:rsidRPr="00415F77">
        <w:t>a</w:t>
      </w:r>
      <w:r w:rsidR="00302820" w:rsidRPr="00415F77">
        <w:t>t</w:t>
      </w:r>
      <w:r w:rsidRPr="00415F77">
        <w:t>a sa SCN-om.</w:t>
      </w:r>
    </w:p>
    <w:p w:rsidR="00FE5E30" w:rsidRPr="00415F77" w:rsidRDefault="00FE5E30" w:rsidP="00E21129">
      <w:pPr>
        <w:pStyle w:val="BodyText"/>
        <w:spacing w:before="1"/>
        <w:ind w:left="454" w:right="113"/>
        <w:jc w:val="both"/>
      </w:pPr>
    </w:p>
    <w:p w:rsidR="00FE5E30" w:rsidRPr="00415F77" w:rsidRDefault="000534A2" w:rsidP="00E21129">
      <w:pPr>
        <w:ind w:left="454" w:right="113"/>
        <w:jc w:val="both"/>
        <w:rPr>
          <w:i/>
        </w:rPr>
      </w:pPr>
      <w:r w:rsidRPr="00415F77">
        <w:rPr>
          <w:i/>
          <w:u w:val="single"/>
        </w:rPr>
        <w:t>Pseudogiht (hondrokalcinoza pirofosfat)</w:t>
      </w:r>
    </w:p>
    <w:p w:rsidR="00FE5E30" w:rsidRPr="00243A59" w:rsidRDefault="00FE5E30" w:rsidP="00E21129">
      <w:pPr>
        <w:pStyle w:val="BodyText"/>
        <w:spacing w:before="10"/>
        <w:ind w:left="454" w:right="113"/>
        <w:jc w:val="both"/>
        <w:rPr>
          <w:i/>
          <w:color w:val="FF0000"/>
          <w:sz w:val="13"/>
        </w:rPr>
      </w:pPr>
    </w:p>
    <w:p w:rsidR="00FE5E30" w:rsidRPr="00415F77" w:rsidRDefault="00DB4500" w:rsidP="00E21129">
      <w:pPr>
        <w:pStyle w:val="BodyText"/>
        <w:spacing w:before="92"/>
        <w:ind w:left="454" w:right="113" w:hanging="1"/>
        <w:jc w:val="both"/>
      </w:pPr>
      <w:r w:rsidRPr="00415F77">
        <w:t>Kod</w:t>
      </w:r>
      <w:r w:rsidR="000534A2" w:rsidRPr="00415F77">
        <w:t xml:space="preserve"> onkoloških </w:t>
      </w:r>
      <w:r w:rsidRPr="00415F77">
        <w:t>p</w:t>
      </w:r>
      <w:r w:rsidR="00302820" w:rsidRPr="00415F77">
        <w:t>acijen</w:t>
      </w:r>
      <w:r w:rsidRPr="00415F77">
        <w:t>a</w:t>
      </w:r>
      <w:r w:rsidR="00302820" w:rsidRPr="00415F77">
        <w:t>t</w:t>
      </w:r>
      <w:r w:rsidR="000534A2" w:rsidRPr="00415F77">
        <w:t xml:space="preserve">a liječenih filgrastimom zabilježen je pseudogiht, a učestalost se na </w:t>
      </w:r>
      <w:r w:rsidRPr="00415F77">
        <w:t>osnov</w:t>
      </w:r>
      <w:r w:rsidR="000534A2" w:rsidRPr="00415F77">
        <w:t xml:space="preserve">u podataka iz kliničkih ispitivanja procjenjuje kao </w:t>
      </w:r>
      <w:r w:rsidRPr="00415F77">
        <w:t>povremena</w:t>
      </w:r>
      <w:r w:rsidR="000534A2" w:rsidRPr="00415F77">
        <w:t>.</w:t>
      </w:r>
    </w:p>
    <w:p w:rsidR="00FE5E30" w:rsidRPr="00415F77" w:rsidRDefault="00FE5E30" w:rsidP="00E21129">
      <w:pPr>
        <w:pStyle w:val="BodyText"/>
        <w:spacing w:before="10"/>
        <w:ind w:left="454" w:right="113"/>
        <w:jc w:val="both"/>
        <w:rPr>
          <w:sz w:val="21"/>
        </w:rPr>
      </w:pPr>
    </w:p>
    <w:p w:rsidR="00FE5E30" w:rsidRPr="00415F77" w:rsidRDefault="000534A2" w:rsidP="00E21129">
      <w:pPr>
        <w:spacing w:before="1"/>
        <w:ind w:left="454" w:right="113"/>
        <w:jc w:val="both"/>
        <w:rPr>
          <w:i/>
        </w:rPr>
      </w:pPr>
      <w:r w:rsidRPr="00415F77">
        <w:rPr>
          <w:i/>
          <w:u w:val="single"/>
        </w:rPr>
        <w:t>Leukocitoza</w:t>
      </w:r>
    </w:p>
    <w:p w:rsidR="00FE5E30" w:rsidRPr="00415F77" w:rsidRDefault="000534A2" w:rsidP="00E21129">
      <w:pPr>
        <w:pStyle w:val="BodyText"/>
        <w:spacing w:before="1"/>
        <w:ind w:left="454" w:right="113" w:hanging="1"/>
        <w:jc w:val="both"/>
      </w:pPr>
      <w:r w:rsidRPr="00415F77">
        <w:t>Leukocitoza (L &gt; 50 x10</w:t>
      </w:r>
      <w:r w:rsidRPr="00415F77">
        <w:rPr>
          <w:vertAlign w:val="superscript"/>
        </w:rPr>
        <w:t>9</w:t>
      </w:r>
      <w:r w:rsidR="008803A0" w:rsidRPr="00415F77">
        <w:t>/l) je bila opažena kod</w:t>
      </w:r>
      <w:r w:rsidRPr="00415F77">
        <w:t xml:space="preserve"> 41% d</w:t>
      </w:r>
      <w:r w:rsidR="008803A0" w:rsidRPr="00415F77">
        <w:t>onor</w:t>
      </w:r>
      <w:r w:rsidRPr="00415F77">
        <w:t>a, kao i prolazna trombocitopenija (trombociti &lt; 100 x10</w:t>
      </w:r>
      <w:r w:rsidRPr="00415F77">
        <w:rPr>
          <w:vertAlign w:val="superscript"/>
        </w:rPr>
        <w:t>9</w:t>
      </w:r>
      <w:r w:rsidRPr="00415F77">
        <w:t>/l) nakon liječenja filgrastimom i leuk</w:t>
      </w:r>
      <w:r w:rsidR="00200AF4">
        <w:t>o</w:t>
      </w:r>
      <w:r w:rsidRPr="00415F77">
        <w:t xml:space="preserve">fereza je bila opažena </w:t>
      </w:r>
      <w:r w:rsidR="008803A0" w:rsidRPr="00415F77">
        <w:t>kod</w:t>
      </w:r>
      <w:r w:rsidRPr="00415F77">
        <w:t xml:space="preserve"> 35% d</w:t>
      </w:r>
      <w:r w:rsidR="008803A0" w:rsidRPr="00415F77">
        <w:t>onor</w:t>
      </w:r>
      <w:r w:rsidRPr="00415F77">
        <w:t>a.</w:t>
      </w:r>
    </w:p>
    <w:p w:rsidR="00FE5E30" w:rsidRPr="00415F77" w:rsidRDefault="00FE5E30" w:rsidP="00E21129">
      <w:pPr>
        <w:pStyle w:val="BodyText"/>
        <w:spacing w:before="1"/>
        <w:ind w:left="454" w:right="113"/>
        <w:jc w:val="both"/>
      </w:pPr>
    </w:p>
    <w:p w:rsidR="00FE5E30" w:rsidRPr="00415F77" w:rsidRDefault="000534A2" w:rsidP="00E21129">
      <w:pPr>
        <w:pStyle w:val="BodyText"/>
        <w:ind w:left="454" w:right="113"/>
        <w:jc w:val="both"/>
      </w:pPr>
      <w:r w:rsidRPr="00415F77">
        <w:rPr>
          <w:u w:val="single"/>
        </w:rPr>
        <w:t>Pedijatrijska populacija</w:t>
      </w:r>
    </w:p>
    <w:p w:rsidR="00FE5E30" w:rsidRPr="00415F77" w:rsidRDefault="00FE5E30" w:rsidP="00E21129">
      <w:pPr>
        <w:pStyle w:val="BodyText"/>
        <w:spacing w:before="10"/>
        <w:ind w:left="454" w:right="113"/>
        <w:jc w:val="both"/>
        <w:rPr>
          <w:sz w:val="13"/>
        </w:rPr>
      </w:pPr>
    </w:p>
    <w:p w:rsidR="00181A69" w:rsidRDefault="000534A2" w:rsidP="00E21129">
      <w:pPr>
        <w:pStyle w:val="BodyText"/>
        <w:tabs>
          <w:tab w:val="left" w:pos="5580"/>
        </w:tabs>
        <w:spacing w:before="91"/>
        <w:ind w:left="454" w:right="113"/>
        <w:jc w:val="both"/>
        <w:rPr>
          <w:color w:val="FF0000"/>
        </w:rPr>
      </w:pPr>
      <w:r w:rsidRPr="006715BB">
        <w:t>Podaci iz kli</w:t>
      </w:r>
      <w:r w:rsidR="00FE5583" w:rsidRPr="006715BB">
        <w:t>ničkih ispitivanja filgrastima kod</w:t>
      </w:r>
      <w:r w:rsidRPr="006715BB">
        <w:t xml:space="preserve"> pedijatrijskih </w:t>
      </w:r>
      <w:r w:rsidR="00FE5583" w:rsidRPr="006715BB">
        <w:t>p</w:t>
      </w:r>
      <w:r w:rsidR="00302820" w:rsidRPr="006715BB">
        <w:t>acijen</w:t>
      </w:r>
      <w:r w:rsidR="00FE5583" w:rsidRPr="006715BB">
        <w:t>a</w:t>
      </w:r>
      <w:r w:rsidR="00302820" w:rsidRPr="006715BB">
        <w:t>t</w:t>
      </w:r>
      <w:r w:rsidRPr="006715BB">
        <w:t xml:space="preserve">a pokazuju da su </w:t>
      </w:r>
      <w:r w:rsidR="001B226E" w:rsidRPr="006715BB">
        <w:t>bezbjednost</w:t>
      </w:r>
      <w:r w:rsidRPr="006715BB">
        <w:t xml:space="preserve"> i </w:t>
      </w:r>
      <w:r w:rsidR="001B226E" w:rsidRPr="006715BB">
        <w:t>efikasnost</w:t>
      </w:r>
      <w:r w:rsidR="00FE5583" w:rsidRPr="006715BB">
        <w:t xml:space="preserve"> filgrastima kod</w:t>
      </w:r>
      <w:r w:rsidRPr="006715BB">
        <w:t xml:space="preserve"> djece koja primaju citotoksičnu </w:t>
      </w:r>
      <w:r w:rsidR="00F16896" w:rsidRPr="006715BB">
        <w:t>hem</w:t>
      </w:r>
      <w:r w:rsidR="00200AF4">
        <w:t>i</w:t>
      </w:r>
      <w:r w:rsidR="00F16896" w:rsidRPr="006715BB">
        <w:t>oter</w:t>
      </w:r>
      <w:r w:rsidRPr="006715BB">
        <w:t xml:space="preserve">apiju slične onima </w:t>
      </w:r>
      <w:r w:rsidR="00FE5583" w:rsidRPr="006715BB">
        <w:t>kod</w:t>
      </w:r>
      <w:r w:rsidRPr="006715BB">
        <w:t xml:space="preserve"> odraslih, što ukazuje na to da nema razlike u farmakokinetici filgrastima povezane s</w:t>
      </w:r>
      <w:r w:rsidR="00FE5583" w:rsidRPr="006715BB">
        <w:t>a starošću. Jedino</w:t>
      </w:r>
      <w:r w:rsidRPr="006715BB">
        <w:t xml:space="preserve"> dosljedno prijavljivan</w:t>
      </w:r>
      <w:r w:rsidR="002F574E">
        <w:t>i</w:t>
      </w:r>
      <w:r w:rsidRPr="006715BB">
        <w:t xml:space="preserve"> n</w:t>
      </w:r>
      <w:r w:rsidR="00FE5583" w:rsidRPr="006715BB">
        <w:t xml:space="preserve">eželjeni </w:t>
      </w:r>
      <w:r w:rsidR="002F574E">
        <w:t>događaj</w:t>
      </w:r>
      <w:r w:rsidR="00FE5583" w:rsidRPr="006715BB">
        <w:t xml:space="preserve"> </w:t>
      </w:r>
      <w:r w:rsidRPr="006715BB">
        <w:t>bil</w:t>
      </w:r>
      <w:r w:rsidR="002F574E">
        <w:t>a</w:t>
      </w:r>
      <w:r w:rsidRPr="006715BB">
        <w:t xml:space="preserve"> je mišićno-koštana bol, š</w:t>
      </w:r>
      <w:r w:rsidR="00FE5583" w:rsidRPr="006715BB">
        <w:t>to se ne razlikuje od iskustva kod</w:t>
      </w:r>
      <w:r w:rsidRPr="006715BB">
        <w:t xml:space="preserve"> odrasle populacije.</w:t>
      </w:r>
      <w:r w:rsidR="003E4B60">
        <w:t xml:space="preserve"> </w:t>
      </w:r>
      <w:r w:rsidRPr="006715BB">
        <w:t>Ne pos</w:t>
      </w:r>
      <w:r w:rsidR="00FE5583" w:rsidRPr="006715BB">
        <w:t>toji dovoljno podataka za dalj</w:t>
      </w:r>
      <w:r w:rsidRPr="006715BB">
        <w:t xml:space="preserve">u procjenu primjene filgrastima </w:t>
      </w:r>
      <w:r w:rsidR="00FE5583" w:rsidRPr="006715BB">
        <w:t>kod</w:t>
      </w:r>
      <w:r w:rsidRPr="006715BB">
        <w:t xml:space="preserve"> pedijatrijskih </w:t>
      </w:r>
      <w:r w:rsidR="00FE5583" w:rsidRPr="006715BB">
        <w:t>p</w:t>
      </w:r>
      <w:r w:rsidR="00302820" w:rsidRPr="006715BB">
        <w:t>acijen</w:t>
      </w:r>
      <w:r w:rsidR="00FE5583" w:rsidRPr="006715BB">
        <w:t>a</w:t>
      </w:r>
      <w:r w:rsidR="00302820" w:rsidRPr="006715BB">
        <w:t>t</w:t>
      </w:r>
      <w:r w:rsidRPr="006715BB">
        <w:t>a.</w:t>
      </w:r>
      <w:r w:rsidRPr="00243A59">
        <w:rPr>
          <w:color w:val="FF0000"/>
        </w:rPr>
        <w:t xml:space="preserve"> </w:t>
      </w:r>
    </w:p>
    <w:p w:rsidR="00181A69" w:rsidRDefault="00181A69" w:rsidP="00A0130D">
      <w:pPr>
        <w:pStyle w:val="BodyText"/>
        <w:tabs>
          <w:tab w:val="left" w:pos="5580"/>
        </w:tabs>
        <w:spacing w:before="91"/>
        <w:ind w:left="460" w:right="289"/>
        <w:jc w:val="both"/>
        <w:rPr>
          <w:color w:val="FF0000"/>
        </w:rPr>
      </w:pPr>
    </w:p>
    <w:p w:rsidR="00FE5E30" w:rsidRPr="00EA336B" w:rsidRDefault="00E21129" w:rsidP="00E21129">
      <w:pPr>
        <w:pStyle w:val="BodyText"/>
        <w:spacing w:line="477" w:lineRule="auto"/>
        <w:ind w:right="113"/>
        <w:jc w:val="both"/>
      </w:pPr>
      <w:r>
        <w:rPr>
          <w:color w:val="FF0000"/>
        </w:rPr>
        <w:t xml:space="preserve">        </w:t>
      </w:r>
      <w:r w:rsidR="002F574E">
        <w:rPr>
          <w:color w:val="FF0000"/>
        </w:rPr>
        <w:t xml:space="preserve"> </w:t>
      </w:r>
      <w:r w:rsidR="000534A2" w:rsidRPr="00EA336B">
        <w:rPr>
          <w:u w:val="single"/>
        </w:rPr>
        <w:t>Ostale posebne populacije</w:t>
      </w:r>
    </w:p>
    <w:p w:rsidR="00FE5E30" w:rsidRPr="00EA336B" w:rsidRDefault="000534A2" w:rsidP="003B6612">
      <w:pPr>
        <w:spacing w:before="1"/>
        <w:ind w:left="454" w:right="113"/>
        <w:jc w:val="both"/>
        <w:rPr>
          <w:i/>
        </w:rPr>
      </w:pPr>
      <w:r w:rsidRPr="00EA336B">
        <w:rPr>
          <w:i/>
          <w:u w:val="single"/>
        </w:rPr>
        <w:t xml:space="preserve">Primjena </w:t>
      </w:r>
      <w:r w:rsidR="00FE5583" w:rsidRPr="00EA336B">
        <w:rPr>
          <w:i/>
          <w:u w:val="single"/>
        </w:rPr>
        <w:t>kod</w:t>
      </w:r>
      <w:r w:rsidRPr="00EA336B">
        <w:rPr>
          <w:i/>
          <w:u w:val="single"/>
        </w:rPr>
        <w:t xml:space="preserve"> starijih </w:t>
      </w:r>
      <w:r w:rsidR="00FE5583" w:rsidRPr="00EA336B">
        <w:rPr>
          <w:i/>
          <w:u w:val="single"/>
        </w:rPr>
        <w:t>p</w:t>
      </w:r>
      <w:r w:rsidR="00302820" w:rsidRPr="00EA336B">
        <w:rPr>
          <w:i/>
          <w:u w:val="single"/>
        </w:rPr>
        <w:t>acijen</w:t>
      </w:r>
      <w:r w:rsidR="00FE5583" w:rsidRPr="00EA336B">
        <w:rPr>
          <w:i/>
          <w:u w:val="single"/>
        </w:rPr>
        <w:t>a</w:t>
      </w:r>
      <w:r w:rsidR="00302820" w:rsidRPr="00EA336B">
        <w:rPr>
          <w:i/>
          <w:u w:val="single"/>
        </w:rPr>
        <w:t>t</w:t>
      </w:r>
      <w:r w:rsidRPr="00EA336B">
        <w:rPr>
          <w:i/>
          <w:u w:val="single"/>
        </w:rPr>
        <w:t>a</w:t>
      </w:r>
    </w:p>
    <w:p w:rsidR="00FE5E30" w:rsidRPr="00EA336B" w:rsidRDefault="00FE5E30" w:rsidP="003B6612">
      <w:pPr>
        <w:pStyle w:val="BodyText"/>
        <w:spacing w:before="4"/>
        <w:ind w:left="454" w:right="113"/>
        <w:jc w:val="both"/>
        <w:rPr>
          <w:i/>
          <w:sz w:val="14"/>
        </w:rPr>
      </w:pPr>
    </w:p>
    <w:p w:rsidR="00FE5E30" w:rsidRPr="00EA336B" w:rsidRDefault="000534A2" w:rsidP="003B6612">
      <w:pPr>
        <w:pStyle w:val="BodyText"/>
        <w:spacing w:before="91"/>
        <w:ind w:left="454" w:right="113" w:hanging="1"/>
        <w:jc w:val="both"/>
      </w:pPr>
      <w:r w:rsidRPr="00EA336B">
        <w:t xml:space="preserve">Sveukupne razlike u </w:t>
      </w:r>
      <w:r w:rsidR="001B226E" w:rsidRPr="00EA336B">
        <w:t>bezbjednost</w:t>
      </w:r>
      <w:r w:rsidRPr="00EA336B">
        <w:t xml:space="preserve">i i </w:t>
      </w:r>
      <w:r w:rsidR="001B226E" w:rsidRPr="00EA336B">
        <w:t>efikasnost</w:t>
      </w:r>
      <w:r w:rsidRPr="00EA336B">
        <w:t xml:space="preserve">i nisu uočene između ispitanika starijih od 65 godina u odnosu </w:t>
      </w:r>
      <w:r w:rsidRPr="00EA336B">
        <w:rPr>
          <w:spacing w:val="-3"/>
        </w:rPr>
        <w:t xml:space="preserve">na </w:t>
      </w:r>
      <w:r w:rsidRPr="00EA336B">
        <w:t xml:space="preserve">mlađe odrasle (&gt; 18 godina) ispitanike koji primaju citotoksičnu </w:t>
      </w:r>
      <w:r w:rsidR="00F16896" w:rsidRPr="00EA336B">
        <w:t>hem</w:t>
      </w:r>
      <w:r w:rsidR="00200AF4">
        <w:t>i</w:t>
      </w:r>
      <w:r w:rsidR="00F16896" w:rsidRPr="00EA336B">
        <w:t>oter</w:t>
      </w:r>
      <w:r w:rsidRPr="00EA336B">
        <w:t xml:space="preserve">apije </w:t>
      </w:r>
      <w:r w:rsidRPr="00EA336B">
        <w:rPr>
          <w:spacing w:val="2"/>
        </w:rPr>
        <w:t xml:space="preserve">te </w:t>
      </w:r>
      <w:r w:rsidRPr="00EA336B">
        <w:t>klin</w:t>
      </w:r>
      <w:r w:rsidR="00FE5583" w:rsidRPr="00EA336B">
        <w:t>ičkim iskustvom nije identifikov</w:t>
      </w:r>
      <w:r w:rsidRPr="00EA336B">
        <w:t xml:space="preserve">ana razlika u odgovorima između starijih i mlađih odraslih </w:t>
      </w:r>
      <w:r w:rsidR="00FE5583" w:rsidRPr="00EA336B">
        <w:t>p</w:t>
      </w:r>
      <w:r w:rsidR="00302820" w:rsidRPr="00EA336B">
        <w:t>acijen</w:t>
      </w:r>
      <w:r w:rsidR="00FE5583" w:rsidRPr="00EA336B">
        <w:t>a</w:t>
      </w:r>
      <w:r w:rsidR="00302820" w:rsidRPr="00EA336B">
        <w:t>t</w:t>
      </w:r>
      <w:r w:rsidRPr="00EA336B">
        <w:t xml:space="preserve">a. Ne postoji dovoljno podataka za </w:t>
      </w:r>
      <w:r w:rsidRPr="00EA336B">
        <w:rPr>
          <w:spacing w:val="-3"/>
        </w:rPr>
        <w:t xml:space="preserve">procjenu </w:t>
      </w:r>
      <w:r w:rsidRPr="00EA336B">
        <w:t xml:space="preserve">primjene </w:t>
      </w:r>
      <w:r w:rsidR="00FE5583" w:rsidRPr="00EA336B">
        <w:t xml:space="preserve">lijeka </w:t>
      </w:r>
      <w:r w:rsidR="000A38B0">
        <w:t xml:space="preserve">Accofil </w:t>
      </w:r>
      <w:r w:rsidR="00FE5583" w:rsidRPr="00EA336B">
        <w:t xml:space="preserve"> kod</w:t>
      </w:r>
      <w:r w:rsidRPr="00EA336B">
        <w:t xml:space="preserve"> starijih ispitanika pri drugim odobrenim indikacijama za</w:t>
      </w:r>
      <w:r w:rsidRPr="00EA336B">
        <w:rPr>
          <w:spacing w:val="7"/>
        </w:rPr>
        <w:t xml:space="preserve"> </w:t>
      </w:r>
      <w:r w:rsidR="00FE5583" w:rsidRPr="00EA336B">
        <w:rPr>
          <w:spacing w:val="7"/>
        </w:rPr>
        <w:t xml:space="preserve">lijek </w:t>
      </w:r>
      <w:r w:rsidR="000A38B0">
        <w:t xml:space="preserve">Accofil </w:t>
      </w:r>
      <w:r w:rsidRPr="00EA336B">
        <w:t>.</w:t>
      </w:r>
    </w:p>
    <w:p w:rsidR="00FE5E30" w:rsidRPr="00EA336B" w:rsidRDefault="00FE5E30" w:rsidP="003B6612">
      <w:pPr>
        <w:pStyle w:val="BodyText"/>
        <w:spacing w:before="10"/>
        <w:ind w:left="454" w:right="113"/>
        <w:jc w:val="both"/>
        <w:rPr>
          <w:sz w:val="21"/>
        </w:rPr>
      </w:pPr>
    </w:p>
    <w:p w:rsidR="00FE5E30" w:rsidRPr="00EA336B" w:rsidRDefault="000534A2" w:rsidP="003B6612">
      <w:pPr>
        <w:spacing w:before="1"/>
        <w:ind w:left="454" w:right="113"/>
        <w:jc w:val="both"/>
        <w:rPr>
          <w:i/>
        </w:rPr>
      </w:pPr>
      <w:r w:rsidRPr="00EA336B">
        <w:rPr>
          <w:i/>
          <w:u w:val="single"/>
        </w:rPr>
        <w:t xml:space="preserve">Pedijatrijski </w:t>
      </w:r>
      <w:r w:rsidR="00FE5583" w:rsidRPr="00EA336B">
        <w:rPr>
          <w:i/>
          <w:u w:val="single"/>
        </w:rPr>
        <w:t>p</w:t>
      </w:r>
      <w:r w:rsidR="00302820" w:rsidRPr="00EA336B">
        <w:rPr>
          <w:i/>
          <w:u w:val="single"/>
        </w:rPr>
        <w:t>acijenti</w:t>
      </w:r>
      <w:r w:rsidRPr="00EA336B">
        <w:rPr>
          <w:i/>
          <w:u w:val="single"/>
        </w:rPr>
        <w:t xml:space="preserve"> s</w:t>
      </w:r>
      <w:r w:rsidR="00FE5583" w:rsidRPr="00EA336B">
        <w:rPr>
          <w:i/>
          <w:u w:val="single"/>
        </w:rPr>
        <w:t>a</w:t>
      </w:r>
      <w:r w:rsidRPr="00EA336B">
        <w:rPr>
          <w:i/>
          <w:u w:val="single"/>
        </w:rPr>
        <w:t xml:space="preserve"> teškom </w:t>
      </w:r>
      <w:r w:rsidR="001374C3" w:rsidRPr="00EA336B">
        <w:rPr>
          <w:i/>
          <w:u w:val="single"/>
        </w:rPr>
        <w:t>hronič</w:t>
      </w:r>
      <w:r w:rsidRPr="00EA336B">
        <w:rPr>
          <w:i/>
          <w:u w:val="single"/>
        </w:rPr>
        <w:t>nom neutropenijom</w:t>
      </w:r>
    </w:p>
    <w:p w:rsidR="00FE5E30" w:rsidRPr="00243A59" w:rsidRDefault="00FE5E30" w:rsidP="003B6612">
      <w:pPr>
        <w:pStyle w:val="BodyText"/>
        <w:spacing w:before="9"/>
        <w:ind w:left="454" w:right="113"/>
        <w:jc w:val="both"/>
        <w:rPr>
          <w:i/>
          <w:color w:val="FF0000"/>
          <w:sz w:val="13"/>
        </w:rPr>
      </w:pPr>
    </w:p>
    <w:p w:rsidR="00FE5E30" w:rsidRPr="00EA336B" w:rsidRDefault="00FE5583" w:rsidP="003B6612">
      <w:pPr>
        <w:pStyle w:val="BodyText"/>
        <w:spacing w:before="92"/>
        <w:ind w:left="454" w:right="113"/>
        <w:jc w:val="both"/>
      </w:pPr>
      <w:r w:rsidRPr="00EA336B">
        <w:t>Slučajevi smanjene gustin</w:t>
      </w:r>
      <w:r w:rsidR="000534A2" w:rsidRPr="00EA336B">
        <w:t xml:space="preserve">e kostiju i osteoporoze zabilježeni su </w:t>
      </w:r>
      <w:r w:rsidRPr="00EA336B">
        <w:t>kod</w:t>
      </w:r>
      <w:r w:rsidR="000534A2" w:rsidRPr="00EA336B">
        <w:t xml:space="preserve"> pedijatrijskih </w:t>
      </w:r>
      <w:r w:rsidRPr="00EA336B">
        <w:t>p</w:t>
      </w:r>
      <w:r w:rsidR="00302820" w:rsidRPr="00EA336B">
        <w:t>acijen</w:t>
      </w:r>
      <w:r w:rsidRPr="00EA336B">
        <w:t>a</w:t>
      </w:r>
      <w:r w:rsidR="00302820" w:rsidRPr="00EA336B">
        <w:t>t</w:t>
      </w:r>
      <w:r w:rsidR="000534A2" w:rsidRPr="00EA336B">
        <w:t>a s</w:t>
      </w:r>
      <w:r w:rsidRPr="00EA336B">
        <w:t>a</w:t>
      </w:r>
      <w:r w:rsidR="000534A2" w:rsidRPr="00EA336B">
        <w:t xml:space="preserve"> teškom</w:t>
      </w:r>
    </w:p>
    <w:p w:rsidR="008B728D" w:rsidRPr="00EA336B" w:rsidRDefault="001374C3" w:rsidP="003B6612">
      <w:pPr>
        <w:spacing w:after="200" w:line="276" w:lineRule="auto"/>
        <w:ind w:left="544" w:right="113" w:hanging="90"/>
        <w:jc w:val="both"/>
      </w:pPr>
      <w:r w:rsidRPr="00EA336B">
        <w:t>hronič</w:t>
      </w:r>
      <w:r w:rsidR="000534A2" w:rsidRPr="00EA336B">
        <w:t xml:space="preserve">nom neutropenijom koji se dugotrajno liječe filgrastimom. </w:t>
      </w:r>
    </w:p>
    <w:p w:rsidR="007171E9" w:rsidRDefault="007171E9" w:rsidP="003B6612">
      <w:pPr>
        <w:spacing w:after="200" w:line="276" w:lineRule="auto"/>
        <w:ind w:left="454" w:right="113"/>
        <w:jc w:val="both"/>
        <w:rPr>
          <w:rFonts w:eastAsia="Calibri"/>
          <w:u w:val="single"/>
          <w:lang w:val="sr-Latn-RS"/>
        </w:rPr>
      </w:pPr>
    </w:p>
    <w:p w:rsidR="008B728D" w:rsidRPr="00EA336B" w:rsidRDefault="008B728D" w:rsidP="003B6612">
      <w:pPr>
        <w:spacing w:after="200" w:line="276" w:lineRule="auto"/>
        <w:ind w:left="454" w:right="113"/>
        <w:jc w:val="both"/>
        <w:rPr>
          <w:rFonts w:eastAsia="Calibri"/>
          <w:u w:val="single"/>
          <w:lang w:val="sr-Latn-RS"/>
        </w:rPr>
      </w:pPr>
      <w:r w:rsidRPr="00EA336B">
        <w:rPr>
          <w:rFonts w:eastAsia="Calibri"/>
          <w:u w:val="single"/>
          <w:lang w:val="sr-Latn-RS"/>
        </w:rPr>
        <w:lastRenderedPageBreak/>
        <w:t>Prijavljivanje sumnji na neželjena dejstva</w:t>
      </w:r>
    </w:p>
    <w:p w:rsidR="00BF46D3" w:rsidRPr="00786071" w:rsidRDefault="00BF46D3" w:rsidP="007171E9">
      <w:pPr>
        <w:spacing w:after="200"/>
        <w:ind w:left="454"/>
        <w:jc w:val="both"/>
        <w:rPr>
          <w:rFonts w:eastAsia="Calibri"/>
          <w:lang w:val="sr-Latn-RS"/>
        </w:rPr>
      </w:pPr>
      <w:r w:rsidRPr="00786071">
        <w:rPr>
          <w:rFonts w:eastAsia="Calibri"/>
          <w:lang w:val="sr-Latn-RS"/>
        </w:rPr>
        <w:t xml:space="preserve">Prijavljivanje neželjenih dejstava nakon dobijanja dozvole je od velikog značaja jer obezbjeđuje kontinuirano praćenje odnosa korist/rizik primjene lijeka. Zdravstveni radnici treba da prijave svaku sumnju na neželjeno dejstvo ovog lijeka </w:t>
      </w:r>
      <w:r>
        <w:rPr>
          <w:rFonts w:eastAsia="Calibri"/>
          <w:lang w:val="sr-Latn-RS"/>
        </w:rPr>
        <w:t>Institutu</w:t>
      </w:r>
      <w:r w:rsidRPr="00786071">
        <w:rPr>
          <w:rFonts w:eastAsia="Calibri"/>
          <w:lang w:val="sr-Latn-RS"/>
        </w:rPr>
        <w:t xml:space="preserve"> za ljekove i medicinska sredstva</w:t>
      </w:r>
      <w:r>
        <w:rPr>
          <w:rFonts w:eastAsia="Calibri"/>
          <w:lang w:val="sr-Latn-RS"/>
        </w:rPr>
        <w:t xml:space="preserve"> </w:t>
      </w:r>
      <w:r w:rsidRPr="00786071">
        <w:rPr>
          <w:rFonts w:eastAsia="Calibri"/>
          <w:lang w:val="sr-Latn-RS"/>
        </w:rPr>
        <w:t>(C</w:t>
      </w:r>
      <w:r>
        <w:rPr>
          <w:rFonts w:eastAsia="Calibri"/>
          <w:lang w:val="sr-Latn-RS"/>
        </w:rPr>
        <w:t>InMED</w:t>
      </w:r>
      <w:r w:rsidRPr="00786071">
        <w:rPr>
          <w:rFonts w:eastAsia="Calibri"/>
          <w:lang w:val="sr-Latn-RS"/>
        </w:rPr>
        <w:t>):</w:t>
      </w:r>
    </w:p>
    <w:p w:rsidR="00BF46D3" w:rsidRPr="00786071" w:rsidRDefault="00BF46D3" w:rsidP="007171E9">
      <w:pPr>
        <w:pStyle w:val="NoSpacing"/>
        <w:ind w:firstLine="454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Institut</w:t>
      </w:r>
      <w:r w:rsidRPr="00786071">
        <w:rPr>
          <w:rFonts w:eastAsia="Calibri"/>
          <w:sz w:val="22"/>
          <w:szCs w:val="22"/>
          <w:lang w:val="sr-Latn-RS"/>
        </w:rPr>
        <w:t xml:space="preserve"> za ljekove i medicinska sredstva </w:t>
      </w:r>
    </w:p>
    <w:p w:rsidR="00BF46D3" w:rsidRPr="00786071" w:rsidRDefault="00BF46D3" w:rsidP="007171E9">
      <w:pPr>
        <w:pStyle w:val="NoSpacing"/>
        <w:ind w:firstLine="454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Odjeljenje za farmakovigilancu</w:t>
      </w:r>
    </w:p>
    <w:p w:rsidR="00BF46D3" w:rsidRPr="00786071" w:rsidRDefault="00BF46D3" w:rsidP="007171E9">
      <w:pPr>
        <w:pStyle w:val="NoSpacing"/>
        <w:ind w:firstLine="454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Bulevar Ivana Crnojevića 64a, 81000 Podgorica</w:t>
      </w:r>
    </w:p>
    <w:p w:rsidR="00BF46D3" w:rsidRPr="00786071" w:rsidRDefault="00BF46D3" w:rsidP="00BF46D3">
      <w:pPr>
        <w:pStyle w:val="NoSpacing"/>
        <w:rPr>
          <w:rFonts w:eastAsia="Calibri"/>
          <w:sz w:val="22"/>
          <w:szCs w:val="22"/>
          <w:lang w:val="sr-Latn-RS"/>
        </w:rPr>
      </w:pPr>
    </w:p>
    <w:p w:rsidR="00BF46D3" w:rsidRPr="00786071" w:rsidRDefault="00BF46D3" w:rsidP="007171E9">
      <w:pPr>
        <w:pStyle w:val="NoSpacing"/>
        <w:ind w:firstLine="454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tel: +382 (0) 20 310 280</w:t>
      </w:r>
    </w:p>
    <w:p w:rsidR="00BF46D3" w:rsidRPr="00786071" w:rsidRDefault="00BF46D3" w:rsidP="007171E9">
      <w:pPr>
        <w:pStyle w:val="NoSpacing"/>
        <w:ind w:firstLine="454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fax: +382 (0) 20 310 581</w:t>
      </w:r>
    </w:p>
    <w:p w:rsidR="00BF46D3" w:rsidRPr="00786071" w:rsidRDefault="00187A0B" w:rsidP="007171E9">
      <w:pPr>
        <w:pStyle w:val="NoSpacing"/>
        <w:ind w:firstLine="454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BF46D3" w:rsidRPr="00B664A0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:rsidR="00BF46D3" w:rsidRPr="00786071" w:rsidRDefault="00187A0B" w:rsidP="007171E9">
      <w:pPr>
        <w:pStyle w:val="NoSpacing"/>
        <w:ind w:firstLine="454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 w:rsidR="00BF46D3" w:rsidRPr="00B664A0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:rsidR="00BF46D3" w:rsidRDefault="00BF46D3" w:rsidP="007171E9">
      <w:pPr>
        <w:pStyle w:val="NoSpacing"/>
        <w:ind w:firstLine="454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putem IS zdravstvene zaštite</w:t>
      </w:r>
    </w:p>
    <w:p w:rsidR="000A38B0" w:rsidRPr="00617DAA" w:rsidRDefault="000A38B0" w:rsidP="000A38B0">
      <w:pPr>
        <w:pStyle w:val="NoSpacing"/>
        <w:ind w:firstLine="454"/>
        <w:rPr>
          <w:rFonts w:eastAsia="Calibri"/>
          <w:sz w:val="22"/>
          <w:szCs w:val="22"/>
          <w:lang w:val="sr-Latn-RS"/>
        </w:rPr>
      </w:pPr>
      <w:r w:rsidRPr="00617DAA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:rsidR="000A38B0" w:rsidRPr="008E7762" w:rsidRDefault="000A38B0" w:rsidP="000A38B0">
      <w:pPr>
        <w:pStyle w:val="NoSpacing"/>
        <w:ind w:firstLine="454"/>
        <w:rPr>
          <w:rFonts w:eastAsia="Calibri"/>
          <w:lang w:val="sr-Latn-RS"/>
        </w:rPr>
      </w:pPr>
    </w:p>
    <w:p w:rsidR="000A38B0" w:rsidRPr="008E7762" w:rsidRDefault="000A38B0" w:rsidP="000A38B0">
      <w:pPr>
        <w:pStyle w:val="NoSpacing"/>
        <w:ind w:firstLine="454"/>
        <w:jc w:val="both"/>
        <w:rPr>
          <w:rFonts w:eastAsia="Calibri"/>
          <w:lang w:val="sr-Latn-RS"/>
        </w:rPr>
      </w:pPr>
      <w:r w:rsidRPr="008E7762">
        <w:rPr>
          <w:rFonts w:eastAsia="Calibri"/>
          <w:noProof/>
        </w:rPr>
        <w:drawing>
          <wp:inline distT="0" distB="0" distL="0" distR="0" wp14:anchorId="3058F141" wp14:editId="5F2C262D">
            <wp:extent cx="971550" cy="971550"/>
            <wp:effectExtent l="0" t="0" r="0" b="0"/>
            <wp:docPr id="1" name="Picture 1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8B0" w:rsidRPr="00786071" w:rsidRDefault="000A38B0" w:rsidP="007171E9">
      <w:pPr>
        <w:pStyle w:val="NoSpacing"/>
        <w:ind w:firstLine="454"/>
        <w:jc w:val="both"/>
        <w:rPr>
          <w:rFonts w:eastAsia="Calibri"/>
          <w:sz w:val="22"/>
          <w:szCs w:val="22"/>
          <w:lang w:val="sr-Latn-RS"/>
        </w:rPr>
      </w:pPr>
    </w:p>
    <w:p w:rsidR="00FE5E30" w:rsidRPr="00EA336B" w:rsidRDefault="00FE5E30" w:rsidP="003B6612">
      <w:pPr>
        <w:pStyle w:val="BodyText"/>
        <w:spacing w:before="1" w:line="482" w:lineRule="auto"/>
        <w:ind w:left="454" w:right="113"/>
        <w:jc w:val="both"/>
        <w:rPr>
          <w:sz w:val="14"/>
        </w:rPr>
      </w:pPr>
    </w:p>
    <w:p w:rsidR="00FE5E30" w:rsidRPr="00EA336B" w:rsidRDefault="000534A2" w:rsidP="003B6612">
      <w:pPr>
        <w:pStyle w:val="Heading1"/>
        <w:numPr>
          <w:ilvl w:val="1"/>
          <w:numId w:val="18"/>
        </w:numPr>
        <w:tabs>
          <w:tab w:val="left" w:pos="878"/>
        </w:tabs>
        <w:spacing w:before="92"/>
        <w:ind w:left="454" w:right="113" w:hanging="417"/>
        <w:jc w:val="both"/>
      </w:pPr>
      <w:r w:rsidRPr="00EA336B">
        <w:t>Predoziranje</w:t>
      </w:r>
    </w:p>
    <w:p w:rsidR="00FE5E30" w:rsidRPr="00243A59" w:rsidRDefault="00FE5E30" w:rsidP="003B6612">
      <w:pPr>
        <w:pStyle w:val="BodyText"/>
        <w:spacing w:before="9"/>
        <w:ind w:left="454" w:right="113"/>
        <w:jc w:val="both"/>
        <w:rPr>
          <w:b/>
          <w:color w:val="FF0000"/>
          <w:sz w:val="21"/>
        </w:rPr>
      </w:pPr>
    </w:p>
    <w:p w:rsidR="008E4430" w:rsidRPr="00F65336" w:rsidRDefault="008E4430" w:rsidP="003B6612">
      <w:pPr>
        <w:pStyle w:val="BodyText"/>
        <w:kinsoku w:val="0"/>
        <w:overflowPunct w:val="0"/>
        <w:ind w:left="454" w:right="113"/>
        <w:jc w:val="both"/>
        <w:rPr>
          <w:lang w:val="sv-SE"/>
        </w:rPr>
      </w:pPr>
      <w:r w:rsidRPr="00F65336">
        <w:rPr>
          <w:spacing w:val="-2"/>
          <w:lang w:val="sv-SE"/>
        </w:rPr>
        <w:t>Ni</w:t>
      </w:r>
      <w:r w:rsidR="00CB27B8">
        <w:rPr>
          <w:spacing w:val="-2"/>
          <w:lang w:val="sv-SE"/>
        </w:rPr>
        <w:t>je</w:t>
      </w:r>
      <w:r w:rsidRPr="00F65336">
        <w:rPr>
          <w:spacing w:val="-2"/>
          <w:lang w:val="sv-SE"/>
        </w:rPr>
        <w:t>su</w:t>
      </w:r>
      <w:r w:rsidRPr="00F65336">
        <w:rPr>
          <w:spacing w:val="35"/>
          <w:lang w:val="sv-SE"/>
        </w:rPr>
        <w:t xml:space="preserve"> </w:t>
      </w:r>
      <w:r w:rsidRPr="00F65336">
        <w:rPr>
          <w:spacing w:val="-1"/>
          <w:lang w:val="sv-SE"/>
        </w:rPr>
        <w:t>utvrđeni</w:t>
      </w:r>
      <w:r w:rsidRPr="00F65336">
        <w:rPr>
          <w:spacing w:val="40"/>
          <w:lang w:val="sv-SE"/>
        </w:rPr>
        <w:t xml:space="preserve"> </w:t>
      </w:r>
      <w:r w:rsidRPr="00F65336">
        <w:rPr>
          <w:spacing w:val="-1"/>
          <w:lang w:val="sv-SE"/>
        </w:rPr>
        <w:t>efekti</w:t>
      </w:r>
      <w:r w:rsidRPr="00F65336">
        <w:rPr>
          <w:spacing w:val="35"/>
          <w:lang w:val="sv-SE"/>
        </w:rPr>
        <w:t xml:space="preserve"> </w:t>
      </w:r>
      <w:r w:rsidRPr="00F65336">
        <w:rPr>
          <w:spacing w:val="-1"/>
          <w:lang w:val="sv-SE"/>
        </w:rPr>
        <w:t>predoziranja</w:t>
      </w:r>
      <w:r w:rsidRPr="00F65336">
        <w:rPr>
          <w:spacing w:val="35"/>
          <w:lang w:val="sv-SE"/>
        </w:rPr>
        <w:t xml:space="preserve"> </w:t>
      </w:r>
      <w:r w:rsidR="00CB27B8">
        <w:rPr>
          <w:spacing w:val="-1"/>
          <w:lang w:val="sv-SE"/>
        </w:rPr>
        <w:t xml:space="preserve">lijekom </w:t>
      </w:r>
      <w:r w:rsidR="000A38B0">
        <w:rPr>
          <w:spacing w:val="-1"/>
          <w:lang w:val="sv-SE"/>
        </w:rPr>
        <w:t xml:space="preserve">Accofil </w:t>
      </w:r>
      <w:r w:rsidRPr="00F65336">
        <w:rPr>
          <w:spacing w:val="-1"/>
          <w:lang w:val="sv-SE"/>
        </w:rPr>
        <w:t>.</w:t>
      </w:r>
      <w:r w:rsidRPr="00F65336">
        <w:rPr>
          <w:spacing w:val="35"/>
          <w:lang w:val="sv-SE"/>
        </w:rPr>
        <w:t xml:space="preserve"> </w:t>
      </w:r>
      <w:r w:rsidRPr="00F65336">
        <w:rPr>
          <w:spacing w:val="-1"/>
          <w:lang w:val="sv-SE"/>
        </w:rPr>
        <w:t>Prekid</w:t>
      </w:r>
      <w:r w:rsidRPr="00F65336">
        <w:rPr>
          <w:spacing w:val="36"/>
          <w:lang w:val="sv-SE"/>
        </w:rPr>
        <w:t xml:space="preserve"> </w:t>
      </w:r>
      <w:r w:rsidRPr="00F65336">
        <w:rPr>
          <w:spacing w:val="-1"/>
          <w:lang w:val="sv-SE"/>
        </w:rPr>
        <w:t>terapije</w:t>
      </w:r>
      <w:r w:rsidRPr="00F65336">
        <w:rPr>
          <w:spacing w:val="40"/>
          <w:lang w:val="sv-SE"/>
        </w:rPr>
        <w:t xml:space="preserve"> </w:t>
      </w:r>
      <w:r w:rsidRPr="00F65336">
        <w:rPr>
          <w:spacing w:val="-1"/>
          <w:lang w:val="sv-SE"/>
        </w:rPr>
        <w:t>filgrastimom</w:t>
      </w:r>
      <w:r w:rsidRPr="00F65336">
        <w:rPr>
          <w:spacing w:val="39"/>
          <w:lang w:val="sv-SE"/>
        </w:rPr>
        <w:t xml:space="preserve"> </w:t>
      </w:r>
      <w:r w:rsidRPr="00F65336">
        <w:rPr>
          <w:spacing w:val="-1"/>
          <w:lang w:val="sv-SE"/>
        </w:rPr>
        <w:t>obično</w:t>
      </w:r>
      <w:r w:rsidRPr="00F65336">
        <w:rPr>
          <w:spacing w:val="39"/>
          <w:lang w:val="sv-SE"/>
        </w:rPr>
        <w:t xml:space="preserve"> </w:t>
      </w:r>
      <w:r w:rsidRPr="00F65336">
        <w:rPr>
          <w:spacing w:val="-2"/>
          <w:lang w:val="sv-SE"/>
        </w:rPr>
        <w:t>dovodi</w:t>
      </w:r>
      <w:r w:rsidRPr="00F65336">
        <w:rPr>
          <w:spacing w:val="39"/>
          <w:lang w:val="sv-SE"/>
        </w:rPr>
        <w:t xml:space="preserve"> </w:t>
      </w:r>
      <w:r w:rsidRPr="00F65336">
        <w:rPr>
          <w:spacing w:val="-2"/>
          <w:lang w:val="sv-SE"/>
        </w:rPr>
        <w:t>do</w:t>
      </w:r>
      <w:r w:rsidRPr="00F65336">
        <w:rPr>
          <w:spacing w:val="33"/>
          <w:lang w:val="sv-SE"/>
        </w:rPr>
        <w:t xml:space="preserve"> </w:t>
      </w:r>
      <w:r w:rsidRPr="00F65336">
        <w:rPr>
          <w:spacing w:val="-1"/>
          <w:lang w:val="sv-SE"/>
        </w:rPr>
        <w:t>smanjenja</w:t>
      </w:r>
      <w:r w:rsidRPr="00F65336">
        <w:rPr>
          <w:spacing w:val="37"/>
          <w:lang w:val="sv-SE"/>
        </w:rPr>
        <w:t xml:space="preserve"> </w:t>
      </w:r>
      <w:r w:rsidRPr="00F65336">
        <w:rPr>
          <w:spacing w:val="-1"/>
          <w:lang w:val="sv-SE"/>
        </w:rPr>
        <w:t>cirkulišućih</w:t>
      </w:r>
      <w:r w:rsidRPr="00F65336">
        <w:rPr>
          <w:spacing w:val="21"/>
          <w:lang w:val="sv-SE"/>
        </w:rPr>
        <w:t xml:space="preserve"> </w:t>
      </w:r>
      <w:r w:rsidRPr="00F65336">
        <w:rPr>
          <w:spacing w:val="-1"/>
          <w:lang w:val="sv-SE"/>
        </w:rPr>
        <w:t>neutrofila</w:t>
      </w:r>
      <w:r w:rsidRPr="00F65336">
        <w:rPr>
          <w:spacing w:val="15"/>
          <w:lang w:val="sv-SE"/>
        </w:rPr>
        <w:t xml:space="preserve"> </w:t>
      </w:r>
      <w:r w:rsidRPr="00F65336">
        <w:rPr>
          <w:lang w:val="sv-SE"/>
        </w:rPr>
        <w:t>za</w:t>
      </w:r>
      <w:r w:rsidRPr="00F65336">
        <w:rPr>
          <w:spacing w:val="17"/>
          <w:lang w:val="sv-SE"/>
        </w:rPr>
        <w:t xml:space="preserve"> </w:t>
      </w:r>
      <w:r w:rsidRPr="00F65336">
        <w:rPr>
          <w:spacing w:val="-1"/>
          <w:lang w:val="sv-SE"/>
        </w:rPr>
        <w:t>50%</w:t>
      </w:r>
      <w:r w:rsidRPr="00F65336">
        <w:rPr>
          <w:spacing w:val="16"/>
          <w:lang w:val="sv-SE"/>
        </w:rPr>
        <w:t xml:space="preserve"> </w:t>
      </w:r>
      <w:r w:rsidRPr="00F65336">
        <w:rPr>
          <w:lang w:val="sv-SE"/>
        </w:rPr>
        <w:t>u</w:t>
      </w:r>
      <w:r w:rsidRPr="00F65336">
        <w:rPr>
          <w:spacing w:val="21"/>
          <w:lang w:val="sv-SE"/>
        </w:rPr>
        <w:t xml:space="preserve"> </w:t>
      </w:r>
      <w:r w:rsidRPr="00F65336">
        <w:rPr>
          <w:spacing w:val="-1"/>
          <w:lang w:val="sv-SE"/>
        </w:rPr>
        <w:t>roku</w:t>
      </w:r>
      <w:r w:rsidRPr="00F65336">
        <w:rPr>
          <w:spacing w:val="21"/>
          <w:lang w:val="sv-SE"/>
        </w:rPr>
        <w:t xml:space="preserve"> </w:t>
      </w:r>
      <w:r w:rsidRPr="00F65336">
        <w:rPr>
          <w:spacing w:val="-2"/>
          <w:lang w:val="sv-SE"/>
        </w:rPr>
        <w:t>od</w:t>
      </w:r>
      <w:r w:rsidRPr="00F65336">
        <w:rPr>
          <w:spacing w:val="14"/>
          <w:lang w:val="sv-SE"/>
        </w:rPr>
        <w:t xml:space="preserve"> </w:t>
      </w:r>
      <w:r w:rsidRPr="00F65336">
        <w:rPr>
          <w:lang w:val="sv-SE"/>
        </w:rPr>
        <w:t>1</w:t>
      </w:r>
      <w:r w:rsidRPr="00F65336">
        <w:rPr>
          <w:spacing w:val="21"/>
          <w:lang w:val="sv-SE"/>
        </w:rPr>
        <w:t xml:space="preserve"> </w:t>
      </w:r>
      <w:r w:rsidRPr="00F65336">
        <w:rPr>
          <w:lang w:val="sv-SE"/>
        </w:rPr>
        <w:t>do</w:t>
      </w:r>
      <w:r w:rsidRPr="00F65336">
        <w:rPr>
          <w:spacing w:val="17"/>
          <w:lang w:val="sv-SE"/>
        </w:rPr>
        <w:t xml:space="preserve"> </w:t>
      </w:r>
      <w:r w:rsidRPr="00F65336">
        <w:rPr>
          <w:lang w:val="sv-SE"/>
        </w:rPr>
        <w:t>2</w:t>
      </w:r>
      <w:r w:rsidRPr="00F65336">
        <w:rPr>
          <w:spacing w:val="21"/>
          <w:lang w:val="sv-SE"/>
        </w:rPr>
        <w:t xml:space="preserve"> </w:t>
      </w:r>
      <w:r w:rsidRPr="00F65336">
        <w:rPr>
          <w:spacing w:val="-1"/>
          <w:lang w:val="sv-SE"/>
        </w:rPr>
        <w:t>dana,</w:t>
      </w:r>
      <w:r w:rsidRPr="00F65336">
        <w:rPr>
          <w:spacing w:val="16"/>
          <w:lang w:val="sv-SE"/>
        </w:rPr>
        <w:t xml:space="preserve"> </w:t>
      </w:r>
      <w:r w:rsidRPr="00F65336">
        <w:rPr>
          <w:spacing w:val="-1"/>
          <w:lang w:val="sv-SE"/>
        </w:rPr>
        <w:t>koji</w:t>
      </w:r>
      <w:r w:rsidRPr="00F65336">
        <w:rPr>
          <w:spacing w:val="16"/>
          <w:lang w:val="sv-SE"/>
        </w:rPr>
        <w:t xml:space="preserve"> </w:t>
      </w:r>
      <w:r w:rsidRPr="00F65336">
        <w:rPr>
          <w:spacing w:val="2"/>
          <w:lang w:val="sv-SE"/>
        </w:rPr>
        <w:t>se</w:t>
      </w:r>
      <w:r w:rsidRPr="00F65336">
        <w:rPr>
          <w:spacing w:val="15"/>
          <w:lang w:val="sv-SE"/>
        </w:rPr>
        <w:t xml:space="preserve"> </w:t>
      </w:r>
      <w:r w:rsidRPr="00F65336">
        <w:rPr>
          <w:spacing w:val="-1"/>
          <w:lang w:val="sv-SE"/>
        </w:rPr>
        <w:t>vraćaju</w:t>
      </w:r>
      <w:r w:rsidRPr="00F65336">
        <w:rPr>
          <w:spacing w:val="17"/>
          <w:lang w:val="sv-SE"/>
        </w:rPr>
        <w:t xml:space="preserve"> </w:t>
      </w:r>
      <w:r w:rsidRPr="00F65336">
        <w:rPr>
          <w:spacing w:val="-1"/>
          <w:lang w:val="sv-SE"/>
        </w:rPr>
        <w:t>na</w:t>
      </w:r>
      <w:r w:rsidRPr="00F65336">
        <w:rPr>
          <w:spacing w:val="20"/>
          <w:lang w:val="sv-SE"/>
        </w:rPr>
        <w:t xml:space="preserve"> </w:t>
      </w:r>
      <w:r w:rsidRPr="00F65336">
        <w:rPr>
          <w:spacing w:val="-1"/>
          <w:lang w:val="sv-SE"/>
        </w:rPr>
        <w:t>normalne</w:t>
      </w:r>
      <w:r w:rsidRPr="00F65336">
        <w:rPr>
          <w:spacing w:val="16"/>
          <w:lang w:val="sv-SE"/>
        </w:rPr>
        <w:t xml:space="preserve"> </w:t>
      </w:r>
      <w:r w:rsidRPr="00F65336">
        <w:rPr>
          <w:spacing w:val="-1"/>
          <w:lang w:val="sv-SE"/>
        </w:rPr>
        <w:t>vrijednosti</w:t>
      </w:r>
      <w:r w:rsidRPr="00F65336">
        <w:rPr>
          <w:spacing w:val="15"/>
          <w:lang w:val="sv-SE"/>
        </w:rPr>
        <w:t xml:space="preserve"> </w:t>
      </w:r>
      <w:r w:rsidRPr="00F65336">
        <w:rPr>
          <w:lang w:val="sv-SE"/>
        </w:rPr>
        <w:t>tokom</w:t>
      </w:r>
      <w:r w:rsidRPr="00F65336">
        <w:rPr>
          <w:spacing w:val="17"/>
          <w:lang w:val="sv-SE"/>
        </w:rPr>
        <w:t xml:space="preserve"> </w:t>
      </w:r>
      <w:r w:rsidRPr="00F65336">
        <w:rPr>
          <w:lang w:val="sv-SE"/>
        </w:rPr>
        <w:t>1</w:t>
      </w:r>
      <w:r w:rsidRPr="00F65336">
        <w:rPr>
          <w:spacing w:val="21"/>
          <w:lang w:val="sv-SE"/>
        </w:rPr>
        <w:t xml:space="preserve"> </w:t>
      </w:r>
      <w:r w:rsidRPr="00F65336">
        <w:rPr>
          <w:spacing w:val="-2"/>
          <w:lang w:val="sv-SE"/>
        </w:rPr>
        <w:t>do</w:t>
      </w:r>
      <w:r w:rsidRPr="00F65336">
        <w:rPr>
          <w:spacing w:val="14"/>
          <w:lang w:val="sv-SE"/>
        </w:rPr>
        <w:t xml:space="preserve"> </w:t>
      </w:r>
      <w:r w:rsidRPr="00F65336">
        <w:rPr>
          <w:lang w:val="sv-SE"/>
        </w:rPr>
        <w:t>7</w:t>
      </w:r>
      <w:r w:rsidRPr="00F65336">
        <w:rPr>
          <w:spacing w:val="27"/>
          <w:lang w:val="sv-SE"/>
        </w:rPr>
        <w:t xml:space="preserve"> </w:t>
      </w:r>
      <w:r w:rsidRPr="00F65336">
        <w:rPr>
          <w:spacing w:val="-1"/>
          <w:lang w:val="sv-SE"/>
        </w:rPr>
        <w:t>dana.</w:t>
      </w:r>
    </w:p>
    <w:p w:rsidR="00FE5E30" w:rsidRPr="00BF46D3" w:rsidRDefault="00FE5E30" w:rsidP="003B6612">
      <w:pPr>
        <w:pStyle w:val="BodyText"/>
        <w:ind w:left="454" w:right="113" w:hanging="450"/>
        <w:jc w:val="both"/>
        <w:rPr>
          <w:sz w:val="24"/>
          <w:lang w:val="sv-SE"/>
        </w:rPr>
      </w:pPr>
    </w:p>
    <w:p w:rsidR="00FE5E30" w:rsidRPr="00BF46D3" w:rsidRDefault="00FE5E30" w:rsidP="003B6612">
      <w:pPr>
        <w:pStyle w:val="BodyText"/>
        <w:spacing w:before="2"/>
        <w:ind w:left="454" w:right="113"/>
        <w:jc w:val="both"/>
        <w:rPr>
          <w:color w:val="FF0000"/>
          <w:sz w:val="20"/>
          <w:lang w:val="sv-SE"/>
        </w:rPr>
      </w:pPr>
    </w:p>
    <w:p w:rsidR="00FE5E30" w:rsidRPr="007254E4" w:rsidRDefault="000B6F39" w:rsidP="003B6612">
      <w:pPr>
        <w:pStyle w:val="Heading1"/>
        <w:numPr>
          <w:ilvl w:val="0"/>
          <w:numId w:val="18"/>
        </w:numPr>
        <w:tabs>
          <w:tab w:val="left" w:pos="877"/>
          <w:tab w:val="left" w:pos="878"/>
        </w:tabs>
        <w:ind w:left="454" w:right="113" w:hanging="417"/>
        <w:jc w:val="both"/>
      </w:pPr>
      <w:r w:rsidRPr="007254E4">
        <w:t>FARMAKOLOŠKI PODACI</w:t>
      </w:r>
    </w:p>
    <w:p w:rsidR="00FE5E30" w:rsidRPr="007254E4" w:rsidRDefault="00FE5E30" w:rsidP="003B6612">
      <w:pPr>
        <w:pStyle w:val="BodyText"/>
        <w:spacing w:before="3"/>
        <w:ind w:left="454" w:right="113"/>
        <w:jc w:val="both"/>
        <w:rPr>
          <w:b/>
        </w:rPr>
      </w:pPr>
    </w:p>
    <w:p w:rsidR="00FE5E30" w:rsidRPr="007254E4" w:rsidRDefault="000B6F39" w:rsidP="003B6612">
      <w:pPr>
        <w:pStyle w:val="ListParagraph"/>
        <w:numPr>
          <w:ilvl w:val="1"/>
          <w:numId w:val="18"/>
        </w:numPr>
        <w:tabs>
          <w:tab w:val="left" w:pos="878"/>
        </w:tabs>
        <w:ind w:left="454" w:right="113" w:hanging="417"/>
        <w:jc w:val="both"/>
        <w:rPr>
          <w:b/>
        </w:rPr>
      </w:pPr>
      <w:r w:rsidRPr="007254E4">
        <w:rPr>
          <w:b/>
        </w:rPr>
        <w:t>Farmakodinamski podaci</w:t>
      </w:r>
    </w:p>
    <w:p w:rsidR="00FE5E30" w:rsidRPr="007254E4" w:rsidRDefault="00FE5E30" w:rsidP="003B6612">
      <w:pPr>
        <w:pStyle w:val="BodyText"/>
        <w:spacing w:before="4"/>
        <w:ind w:left="454" w:right="113"/>
        <w:jc w:val="both"/>
        <w:rPr>
          <w:b/>
          <w:sz w:val="21"/>
        </w:rPr>
      </w:pPr>
    </w:p>
    <w:p w:rsidR="000B6F39" w:rsidRPr="007254E4" w:rsidRDefault="000534A2" w:rsidP="003B6612">
      <w:pPr>
        <w:pStyle w:val="BodyText"/>
        <w:spacing w:before="1"/>
        <w:ind w:left="454" w:right="113"/>
        <w:jc w:val="both"/>
      </w:pPr>
      <w:r w:rsidRPr="007254E4">
        <w:t xml:space="preserve">Farmakoterapijska </w:t>
      </w:r>
      <w:r w:rsidR="000B6F39" w:rsidRPr="007254E4">
        <w:t>grupa</w:t>
      </w:r>
      <w:r w:rsidRPr="007254E4">
        <w:t>: imunostimula</w:t>
      </w:r>
      <w:r w:rsidR="008E4430" w:rsidRPr="007254E4">
        <w:t>tor</w:t>
      </w:r>
      <w:r w:rsidRPr="007254E4">
        <w:t xml:space="preserve">i, </w:t>
      </w:r>
      <w:r w:rsidR="008E4430" w:rsidRPr="007254E4">
        <w:t>faktori stimulisanja</w:t>
      </w:r>
      <w:r w:rsidR="000B6F39" w:rsidRPr="007254E4">
        <w:t xml:space="preserve"> kolonija</w:t>
      </w:r>
    </w:p>
    <w:p w:rsidR="00FE5E30" w:rsidRPr="007254E4" w:rsidRDefault="000B6F39" w:rsidP="003B6612">
      <w:pPr>
        <w:pStyle w:val="BodyText"/>
        <w:spacing w:before="1"/>
        <w:ind w:left="454" w:right="113"/>
        <w:jc w:val="both"/>
      </w:pPr>
      <w:r w:rsidRPr="007254E4">
        <w:t>ATC kod</w:t>
      </w:r>
      <w:r w:rsidR="000534A2" w:rsidRPr="007254E4">
        <w:t>: L03AA02</w:t>
      </w:r>
    </w:p>
    <w:p w:rsidR="00FE5E30" w:rsidRPr="007254E4" w:rsidRDefault="008E4430" w:rsidP="003B6612">
      <w:pPr>
        <w:pStyle w:val="BodyText"/>
        <w:spacing w:before="4" w:line="237" w:lineRule="auto"/>
        <w:ind w:left="454" w:right="113" w:hanging="1"/>
        <w:jc w:val="both"/>
      </w:pPr>
      <w:r w:rsidRPr="007254E4">
        <w:t xml:space="preserve">Lijek </w:t>
      </w:r>
      <w:r w:rsidR="000A38B0">
        <w:t xml:space="preserve">Accofil </w:t>
      </w:r>
      <w:r w:rsidR="000534A2" w:rsidRPr="007254E4">
        <w:t xml:space="preserve"> je bio</w:t>
      </w:r>
      <w:r w:rsidRPr="007254E4">
        <w:t>loški sličan</w:t>
      </w:r>
      <w:r w:rsidR="000534A2" w:rsidRPr="007254E4">
        <w:t xml:space="preserve"> lijek. Detaljnije informacije</w:t>
      </w:r>
      <w:r w:rsidRPr="007254E4">
        <w:t xml:space="preserve"> su dostupne na internet</w:t>
      </w:r>
      <w:r w:rsidR="000534A2" w:rsidRPr="007254E4">
        <w:t xml:space="preserve"> stranici E</w:t>
      </w:r>
      <w:r w:rsidRPr="007254E4">
        <w:t>vropske agencije za l</w:t>
      </w:r>
      <w:r w:rsidR="000534A2" w:rsidRPr="007254E4">
        <w:t xml:space="preserve">jekove </w:t>
      </w:r>
      <w:hyperlink r:id="rId12">
        <w:r w:rsidR="000534A2" w:rsidRPr="007254E4">
          <w:rPr>
            <w:u w:val="single" w:color="0000FF"/>
          </w:rPr>
          <w:t>http://www.ema.europa.eu</w:t>
        </w:r>
        <w:r w:rsidR="000534A2" w:rsidRPr="007254E4">
          <w:t>.</w:t>
        </w:r>
      </w:hyperlink>
    </w:p>
    <w:p w:rsidR="00FE5E30" w:rsidRPr="007254E4" w:rsidRDefault="00FE5E30" w:rsidP="003B6612">
      <w:pPr>
        <w:pStyle w:val="BodyText"/>
        <w:spacing w:before="4"/>
        <w:ind w:left="454" w:right="113"/>
        <w:jc w:val="both"/>
        <w:rPr>
          <w:sz w:val="14"/>
        </w:rPr>
      </w:pPr>
    </w:p>
    <w:p w:rsidR="00FE5E30" w:rsidRPr="007254E4" w:rsidRDefault="00744F04" w:rsidP="003B6612">
      <w:pPr>
        <w:pStyle w:val="BodyText"/>
        <w:spacing w:before="92"/>
        <w:ind w:left="454" w:right="113"/>
        <w:jc w:val="both"/>
      </w:pPr>
      <w:r w:rsidRPr="007254E4">
        <w:rPr>
          <w:u w:val="single"/>
        </w:rPr>
        <w:t>Farmakodinams</w:t>
      </w:r>
      <w:r w:rsidR="000534A2" w:rsidRPr="007254E4">
        <w:rPr>
          <w:u w:val="single"/>
        </w:rPr>
        <w:t xml:space="preserve">ki </w:t>
      </w:r>
      <w:r w:rsidR="00E75BDE" w:rsidRPr="007254E4">
        <w:rPr>
          <w:u w:val="single"/>
        </w:rPr>
        <w:t>efekti</w:t>
      </w:r>
    </w:p>
    <w:p w:rsidR="00FE5E30" w:rsidRPr="00243A59" w:rsidRDefault="00FE5E30" w:rsidP="003B6612">
      <w:pPr>
        <w:pStyle w:val="BodyText"/>
        <w:spacing w:before="9"/>
        <w:ind w:left="454" w:right="113"/>
        <w:jc w:val="both"/>
        <w:rPr>
          <w:color w:val="FF0000"/>
          <w:sz w:val="13"/>
        </w:rPr>
      </w:pPr>
    </w:p>
    <w:p w:rsidR="00FE5E30" w:rsidRPr="007254E4" w:rsidRDefault="000534A2" w:rsidP="003B6612">
      <w:pPr>
        <w:pStyle w:val="BodyText"/>
        <w:spacing w:before="92"/>
        <w:ind w:left="454" w:right="113" w:hanging="1"/>
        <w:jc w:val="both"/>
      </w:pPr>
      <w:r w:rsidRPr="007254E4">
        <w:t>Ljudski G-C</w:t>
      </w:r>
      <w:r w:rsidR="00E75BDE" w:rsidRPr="007254E4">
        <w:t>SF je glikoprotein koji reguliše</w:t>
      </w:r>
      <w:r w:rsidRPr="007254E4">
        <w:t xml:space="preserve"> stvaranje i oslobađanje funkcionalnih neutrofila </w:t>
      </w:r>
      <w:r w:rsidRPr="007254E4">
        <w:rPr>
          <w:spacing w:val="-4"/>
        </w:rPr>
        <w:t xml:space="preserve">iz </w:t>
      </w:r>
      <w:r w:rsidRPr="007254E4">
        <w:t xml:space="preserve">koštane srži. </w:t>
      </w:r>
      <w:r w:rsidR="00E75BDE" w:rsidRPr="007254E4">
        <w:t xml:space="preserve">Lijek </w:t>
      </w:r>
      <w:r w:rsidR="000A38B0">
        <w:rPr>
          <w:spacing w:val="-7"/>
        </w:rPr>
        <w:t xml:space="preserve">Accofil </w:t>
      </w:r>
      <w:r w:rsidRPr="007254E4">
        <w:rPr>
          <w:spacing w:val="-7"/>
        </w:rPr>
        <w:t xml:space="preserve"> </w:t>
      </w:r>
      <w:r w:rsidRPr="007254E4">
        <w:t xml:space="preserve">sadrži r-metHuG-CSF (filgrastim) i uzrokuje znatno povećanje broja neutrofila u perifernoj krvi u roku od 24 sata, uz </w:t>
      </w:r>
      <w:r w:rsidRPr="007254E4">
        <w:rPr>
          <w:spacing w:val="-3"/>
        </w:rPr>
        <w:t xml:space="preserve">manja </w:t>
      </w:r>
      <w:r w:rsidRPr="007254E4">
        <w:t xml:space="preserve">povećanja broja monocita. </w:t>
      </w:r>
      <w:r w:rsidR="00E75BDE" w:rsidRPr="007254E4">
        <w:t>Kod</w:t>
      </w:r>
      <w:r w:rsidRPr="007254E4">
        <w:t xml:space="preserve"> nekih </w:t>
      </w:r>
      <w:r w:rsidR="00E75BDE" w:rsidRPr="007254E4">
        <w:t>p</w:t>
      </w:r>
      <w:r w:rsidR="00302820" w:rsidRPr="007254E4">
        <w:t>acijen</w:t>
      </w:r>
      <w:r w:rsidR="00E75BDE" w:rsidRPr="007254E4">
        <w:t>a</w:t>
      </w:r>
      <w:r w:rsidR="00302820" w:rsidRPr="007254E4">
        <w:t>t</w:t>
      </w:r>
      <w:r w:rsidRPr="007254E4">
        <w:t>a s</w:t>
      </w:r>
      <w:r w:rsidR="00E75BDE" w:rsidRPr="007254E4">
        <w:t>a</w:t>
      </w:r>
      <w:r w:rsidRPr="007254E4">
        <w:t xml:space="preserve"> teškom </w:t>
      </w:r>
      <w:r w:rsidR="001374C3" w:rsidRPr="007254E4">
        <w:t>hronič</w:t>
      </w:r>
      <w:r w:rsidRPr="007254E4">
        <w:t xml:space="preserve">nom neutropenijom, filgrastim </w:t>
      </w:r>
      <w:r w:rsidR="00E75BDE" w:rsidRPr="007254E4">
        <w:rPr>
          <w:spacing w:val="-3"/>
        </w:rPr>
        <w:t>može takođe</w:t>
      </w:r>
      <w:r w:rsidRPr="007254E4">
        <w:rPr>
          <w:spacing w:val="-3"/>
        </w:rPr>
        <w:t xml:space="preserve"> izazvati </w:t>
      </w:r>
      <w:r w:rsidRPr="007254E4">
        <w:rPr>
          <w:spacing w:val="-4"/>
        </w:rPr>
        <w:t xml:space="preserve">manje </w:t>
      </w:r>
      <w:r w:rsidRPr="007254E4">
        <w:rPr>
          <w:spacing w:val="-3"/>
        </w:rPr>
        <w:t xml:space="preserve">povećanje broja cirkulirajućih eozinofila </w:t>
      </w:r>
      <w:r w:rsidRPr="007254E4">
        <w:t xml:space="preserve">i </w:t>
      </w:r>
      <w:r w:rsidRPr="007254E4">
        <w:rPr>
          <w:spacing w:val="-3"/>
        </w:rPr>
        <w:t xml:space="preserve">bazofila </w:t>
      </w:r>
      <w:r w:rsidRPr="007254E4">
        <w:t xml:space="preserve">u </w:t>
      </w:r>
      <w:r w:rsidRPr="007254E4">
        <w:rPr>
          <w:spacing w:val="-4"/>
        </w:rPr>
        <w:t xml:space="preserve">odnosu </w:t>
      </w:r>
      <w:r w:rsidRPr="007254E4">
        <w:rPr>
          <w:spacing w:val="-3"/>
        </w:rPr>
        <w:t xml:space="preserve">na početne vrijednosti; </w:t>
      </w:r>
      <w:r w:rsidRPr="007254E4">
        <w:rPr>
          <w:spacing w:val="-5"/>
        </w:rPr>
        <w:t xml:space="preserve">neki </w:t>
      </w:r>
      <w:r w:rsidRPr="007254E4">
        <w:rPr>
          <w:spacing w:val="-3"/>
        </w:rPr>
        <w:t xml:space="preserve">od </w:t>
      </w:r>
      <w:r w:rsidRPr="007254E4">
        <w:t xml:space="preserve">tih </w:t>
      </w:r>
      <w:r w:rsidR="00E75BDE" w:rsidRPr="007254E4">
        <w:rPr>
          <w:spacing w:val="-4"/>
        </w:rPr>
        <w:t>p</w:t>
      </w:r>
      <w:r w:rsidR="00302820" w:rsidRPr="007254E4">
        <w:rPr>
          <w:spacing w:val="-4"/>
        </w:rPr>
        <w:t>acijen</w:t>
      </w:r>
      <w:r w:rsidR="00E75BDE" w:rsidRPr="007254E4">
        <w:rPr>
          <w:spacing w:val="-4"/>
        </w:rPr>
        <w:t>a</w:t>
      </w:r>
      <w:r w:rsidR="00302820" w:rsidRPr="007254E4">
        <w:rPr>
          <w:spacing w:val="-4"/>
        </w:rPr>
        <w:t>t</w:t>
      </w:r>
      <w:r w:rsidRPr="007254E4">
        <w:rPr>
          <w:spacing w:val="-4"/>
        </w:rPr>
        <w:t xml:space="preserve">a </w:t>
      </w:r>
      <w:r w:rsidRPr="007254E4">
        <w:rPr>
          <w:spacing w:val="-5"/>
        </w:rPr>
        <w:t xml:space="preserve">mogu </w:t>
      </w:r>
      <w:r w:rsidRPr="007254E4">
        <w:t xml:space="preserve">imati </w:t>
      </w:r>
      <w:r w:rsidRPr="007254E4">
        <w:rPr>
          <w:spacing w:val="-4"/>
        </w:rPr>
        <w:t xml:space="preserve">eozinofiliju ili </w:t>
      </w:r>
      <w:r w:rsidRPr="007254E4">
        <w:rPr>
          <w:spacing w:val="-3"/>
        </w:rPr>
        <w:t xml:space="preserve">bazofiliju još </w:t>
      </w:r>
      <w:r w:rsidRPr="007254E4">
        <w:t xml:space="preserve">prije </w:t>
      </w:r>
      <w:r w:rsidRPr="007254E4">
        <w:rPr>
          <w:spacing w:val="-3"/>
        </w:rPr>
        <w:t xml:space="preserve">početka liječenja. Povećanje broja neutrofila </w:t>
      </w:r>
      <w:r w:rsidR="00E75BDE" w:rsidRPr="007254E4">
        <w:rPr>
          <w:spacing w:val="-3"/>
        </w:rPr>
        <w:t>za</w:t>
      </w:r>
      <w:r w:rsidRPr="007254E4">
        <w:rPr>
          <w:spacing w:val="-3"/>
        </w:rPr>
        <w:t xml:space="preserve">visi </w:t>
      </w:r>
      <w:r w:rsidRPr="007254E4">
        <w:t>o</w:t>
      </w:r>
      <w:r w:rsidR="00E75BDE" w:rsidRPr="007254E4">
        <w:t>d</w:t>
      </w:r>
      <w:r w:rsidRPr="007254E4">
        <w:t xml:space="preserve"> </w:t>
      </w:r>
      <w:r w:rsidRPr="007254E4">
        <w:rPr>
          <w:spacing w:val="-4"/>
        </w:rPr>
        <w:t>doz</w:t>
      </w:r>
      <w:r w:rsidR="00E75BDE" w:rsidRPr="007254E4">
        <w:rPr>
          <w:spacing w:val="-4"/>
        </w:rPr>
        <w:t>e</w:t>
      </w:r>
      <w:r w:rsidRPr="007254E4">
        <w:rPr>
          <w:spacing w:val="-4"/>
        </w:rPr>
        <w:t xml:space="preserve"> </w:t>
      </w:r>
      <w:r w:rsidRPr="007254E4">
        <w:t xml:space="preserve">pri </w:t>
      </w:r>
      <w:r w:rsidRPr="007254E4">
        <w:rPr>
          <w:spacing w:val="-4"/>
        </w:rPr>
        <w:t xml:space="preserve">primjeni </w:t>
      </w:r>
      <w:r w:rsidRPr="007254E4">
        <w:rPr>
          <w:spacing w:val="-3"/>
        </w:rPr>
        <w:t xml:space="preserve">preporučenih doza. Neutrofili stvoreni </w:t>
      </w:r>
      <w:r w:rsidRPr="007254E4">
        <w:t xml:space="preserve">u </w:t>
      </w:r>
      <w:r w:rsidRPr="007254E4">
        <w:rPr>
          <w:spacing w:val="-3"/>
        </w:rPr>
        <w:t xml:space="preserve">odgovoru </w:t>
      </w:r>
      <w:r w:rsidRPr="007254E4">
        <w:rPr>
          <w:spacing w:val="-5"/>
        </w:rPr>
        <w:t xml:space="preserve">na </w:t>
      </w:r>
      <w:r w:rsidRPr="007254E4">
        <w:t xml:space="preserve">filgrastim pokazuju normalnu ili pojačanu funkciju, kako </w:t>
      </w:r>
      <w:r w:rsidRPr="007254E4">
        <w:rPr>
          <w:spacing w:val="5"/>
        </w:rPr>
        <w:t xml:space="preserve">se </w:t>
      </w:r>
      <w:r w:rsidR="00E75BDE" w:rsidRPr="007254E4">
        <w:t>pokazalo pri ispitivanju h</w:t>
      </w:r>
      <w:r w:rsidRPr="007254E4">
        <w:t xml:space="preserve">emotaktične i fagocitne funkcije. Nakon prestanka liječenja filgrastimom, broj cirkulirajućih neutrofila smanji </w:t>
      </w:r>
      <w:r w:rsidRPr="007254E4">
        <w:rPr>
          <w:spacing w:val="2"/>
        </w:rPr>
        <w:t xml:space="preserve">se </w:t>
      </w:r>
      <w:r w:rsidRPr="007254E4">
        <w:t xml:space="preserve">za 50% u roku od 1 </w:t>
      </w:r>
      <w:r w:rsidRPr="007254E4">
        <w:rPr>
          <w:spacing w:val="-3"/>
        </w:rPr>
        <w:t xml:space="preserve">do </w:t>
      </w:r>
      <w:r w:rsidR="00E75BDE" w:rsidRPr="007254E4">
        <w:t>2 dana a</w:t>
      </w:r>
      <w:r w:rsidRPr="007254E4">
        <w:t xml:space="preserve"> </w:t>
      </w:r>
      <w:r w:rsidRPr="007254E4">
        <w:rPr>
          <w:spacing w:val="-3"/>
        </w:rPr>
        <w:t xml:space="preserve">na </w:t>
      </w:r>
      <w:r w:rsidR="00E75BDE" w:rsidRPr="007254E4">
        <w:t>normaln</w:t>
      </w:r>
      <w:r w:rsidRPr="007254E4">
        <w:t xml:space="preserve">e vrijednosti unutar 1 </w:t>
      </w:r>
      <w:r w:rsidRPr="007254E4">
        <w:rPr>
          <w:spacing w:val="-3"/>
        </w:rPr>
        <w:t xml:space="preserve">do </w:t>
      </w:r>
      <w:r w:rsidRPr="007254E4">
        <w:t>7 dana.</w:t>
      </w:r>
    </w:p>
    <w:p w:rsidR="00336210" w:rsidRPr="007254E4" w:rsidRDefault="00336210" w:rsidP="00110329">
      <w:pPr>
        <w:pStyle w:val="BodyText"/>
        <w:ind w:left="454" w:right="113"/>
        <w:jc w:val="both"/>
      </w:pPr>
    </w:p>
    <w:p w:rsidR="00FE5E30" w:rsidRPr="007254E4" w:rsidRDefault="000534A2" w:rsidP="00110329">
      <w:pPr>
        <w:pStyle w:val="BodyText"/>
        <w:ind w:left="454" w:right="113" w:hanging="1"/>
        <w:jc w:val="both"/>
      </w:pPr>
      <w:r w:rsidRPr="007254E4">
        <w:t xml:space="preserve">Primjena filgrastima </w:t>
      </w:r>
      <w:r w:rsidR="00E06721" w:rsidRPr="007254E4">
        <w:t>kod pacijenata</w:t>
      </w:r>
      <w:r w:rsidRPr="007254E4">
        <w:t xml:space="preserve"> na citotoksičnoj </w:t>
      </w:r>
      <w:r w:rsidR="00F16896" w:rsidRPr="007254E4">
        <w:t>hem</w:t>
      </w:r>
      <w:r w:rsidR="003867E6">
        <w:t>i</w:t>
      </w:r>
      <w:r w:rsidR="00F16896" w:rsidRPr="007254E4">
        <w:t>oter</w:t>
      </w:r>
      <w:r w:rsidRPr="007254E4">
        <w:t>apiji dovodi d</w:t>
      </w:r>
      <w:r w:rsidR="00E75BDE" w:rsidRPr="007254E4">
        <w:t>o značajnog smanjenja incidenc</w:t>
      </w:r>
      <w:r w:rsidRPr="007254E4">
        <w:t xml:space="preserve">e, težine i trajanja neutropenije i febrilne neutropenije. Liječenje filgrastimom značajno smanjuje trajanje febrilne neutropenije, primjenu antibiotika i hospitalizaciju nakon indukcijske </w:t>
      </w:r>
      <w:r w:rsidR="00F16896" w:rsidRPr="007254E4">
        <w:t>hem</w:t>
      </w:r>
      <w:r w:rsidR="003867E6">
        <w:t>i</w:t>
      </w:r>
      <w:r w:rsidR="00F16896" w:rsidRPr="007254E4">
        <w:t>oter</w:t>
      </w:r>
      <w:r w:rsidRPr="007254E4">
        <w:t xml:space="preserve">apije zbog akutne mijelogene leukemije ili mijeloablativnog liječenja nakon kojeg slijedi </w:t>
      </w:r>
      <w:r w:rsidRPr="007254E4">
        <w:lastRenderedPageBreak/>
        <w:t xml:space="preserve">transplantacija koštane srži. Incidenca </w:t>
      </w:r>
      <w:r w:rsidR="00E75BDE" w:rsidRPr="007254E4">
        <w:t>grozn</w:t>
      </w:r>
      <w:r w:rsidRPr="007254E4">
        <w:t>ice i dokument</w:t>
      </w:r>
      <w:r w:rsidR="003867E6">
        <w:t>ov</w:t>
      </w:r>
      <w:r w:rsidRPr="007254E4">
        <w:t>anih infekcija nije bila smanjena</w:t>
      </w:r>
      <w:r w:rsidR="00E75BDE" w:rsidRPr="007254E4">
        <w:t xml:space="preserve"> u tim situacijama. Trajanje grozn</w:t>
      </w:r>
      <w:r w:rsidRPr="007254E4">
        <w:t xml:space="preserve">ice nije bilo smanjeno </w:t>
      </w:r>
      <w:r w:rsidR="00E06721" w:rsidRPr="007254E4">
        <w:t>kod pacijenata</w:t>
      </w:r>
      <w:r w:rsidRPr="007254E4">
        <w:t xml:space="preserve"> na mijeloablativnom liječenju prije transplantacije koštane srži.</w:t>
      </w:r>
    </w:p>
    <w:p w:rsidR="00FE5E30" w:rsidRPr="00243A59" w:rsidRDefault="00FE5E30" w:rsidP="00110329">
      <w:pPr>
        <w:pStyle w:val="BodyText"/>
        <w:spacing w:before="9"/>
        <w:ind w:left="454" w:right="113"/>
        <w:jc w:val="both"/>
        <w:rPr>
          <w:color w:val="FF0000"/>
          <w:sz w:val="21"/>
        </w:rPr>
      </w:pPr>
    </w:p>
    <w:p w:rsidR="00FE5E30" w:rsidRPr="007254E4" w:rsidRDefault="000534A2" w:rsidP="00110329">
      <w:pPr>
        <w:pStyle w:val="BodyText"/>
        <w:ind w:left="454" w:right="113" w:hanging="1"/>
        <w:jc w:val="both"/>
      </w:pPr>
      <w:r w:rsidRPr="007254E4">
        <w:t xml:space="preserve">Primjena filgrastima, samog ili nakon </w:t>
      </w:r>
      <w:r w:rsidR="00F16896" w:rsidRPr="007254E4">
        <w:t>hem</w:t>
      </w:r>
      <w:r w:rsidR="003867E6">
        <w:t>i</w:t>
      </w:r>
      <w:r w:rsidR="00F16896" w:rsidRPr="007254E4">
        <w:t>oter</w:t>
      </w:r>
      <w:r w:rsidR="00E75BDE" w:rsidRPr="007254E4">
        <w:t>apije, mobiliše</w:t>
      </w:r>
      <w:r w:rsidRPr="007254E4">
        <w:t xml:space="preserve"> </w:t>
      </w:r>
      <w:r w:rsidR="003F31F9" w:rsidRPr="00D9225F">
        <w:t>hematopoetske</w:t>
      </w:r>
      <w:r w:rsidRPr="00D9225F">
        <w:t xml:space="preserve"> </w:t>
      </w:r>
      <w:r w:rsidR="003F31F9" w:rsidRPr="00D9225F">
        <w:t xml:space="preserve">progenitorske </w:t>
      </w:r>
      <w:r w:rsidR="00D14DE6" w:rsidRPr="00D9225F">
        <w:t>ćelij</w:t>
      </w:r>
      <w:r w:rsidRPr="00D9225F">
        <w:t xml:space="preserve">e u perifernu krv. Ove autologne </w:t>
      </w:r>
      <w:r w:rsidR="003F31F9" w:rsidRPr="00D9225F">
        <w:t xml:space="preserve">progentoreske </w:t>
      </w:r>
      <w:r w:rsidR="00D14DE6" w:rsidRPr="00D9225F">
        <w:t>ćelij</w:t>
      </w:r>
      <w:r w:rsidRPr="00D9225F">
        <w:t xml:space="preserve">e periferne krvi mogu se </w:t>
      </w:r>
      <w:r w:rsidR="003F31F9" w:rsidRPr="00D9225F">
        <w:t>izdvojiti</w:t>
      </w:r>
      <w:r w:rsidRPr="007254E4">
        <w:t xml:space="preserve"> i dati infuzijom nakon visokih doza citotoksične terapije, bilo umjesto ili </w:t>
      </w:r>
      <w:r w:rsidR="003F31F9" w:rsidRPr="007254E4">
        <w:t>uz transplantaciju</w:t>
      </w:r>
      <w:r w:rsidRPr="007254E4">
        <w:t xml:space="preserve"> koštane srži. Infuzija </w:t>
      </w:r>
      <w:r w:rsidR="00D14DE6" w:rsidRPr="007254E4">
        <w:t>progenitorskih ćelija</w:t>
      </w:r>
      <w:r w:rsidRPr="007254E4">
        <w:t xml:space="preserve"> periferne krvi ubrzava oporavak krvotvorne funkcije smanjujući trajanje rizika od hemoragijskih komplikacija i potrebu za transfuzijom trombocita. Prima</w:t>
      </w:r>
      <w:r w:rsidR="003F31F9" w:rsidRPr="007254E4">
        <w:t xml:space="preserve">oci </w:t>
      </w:r>
      <w:r w:rsidRPr="007254E4">
        <w:t xml:space="preserve">alogenih </w:t>
      </w:r>
      <w:r w:rsidR="00D14DE6" w:rsidRPr="007254E4">
        <w:t>progenitorskih ćelija</w:t>
      </w:r>
      <w:r w:rsidRPr="007254E4">
        <w:t xml:space="preserve"> periferne krvi </w:t>
      </w:r>
      <w:r w:rsidR="003F31F9" w:rsidRPr="007254E4">
        <w:t xml:space="preserve">koje su </w:t>
      </w:r>
      <w:r w:rsidRPr="007254E4">
        <w:t>mobiliz</w:t>
      </w:r>
      <w:r w:rsidR="003F31F9" w:rsidRPr="007254E4">
        <w:t>ovane</w:t>
      </w:r>
      <w:r w:rsidRPr="007254E4">
        <w:t xml:space="preserve"> filgrastimom imali su značajno brži hematološki oporavak, što je dovelo do značajnog smanjenja vremena do oporavka trombocita bez </w:t>
      </w:r>
      <w:r w:rsidR="003F31F9" w:rsidRPr="007254E4">
        <w:t>ove podrške u pore</w:t>
      </w:r>
      <w:r w:rsidR="003867E6">
        <w:t>đ</w:t>
      </w:r>
      <w:r w:rsidR="003F31F9" w:rsidRPr="007254E4">
        <w:t xml:space="preserve">enju </w:t>
      </w:r>
      <w:r w:rsidRPr="007254E4">
        <w:t>s</w:t>
      </w:r>
      <w:r w:rsidR="003F31F9" w:rsidRPr="007254E4">
        <w:t>a</w:t>
      </w:r>
      <w:r w:rsidRPr="007254E4">
        <w:t xml:space="preserve"> </w:t>
      </w:r>
      <w:r w:rsidR="003F31F9" w:rsidRPr="007254E4">
        <w:t xml:space="preserve">alogenom </w:t>
      </w:r>
      <w:r w:rsidRPr="007254E4">
        <w:t>transplantacijom koštane srži.</w:t>
      </w:r>
    </w:p>
    <w:p w:rsidR="00FE5E30" w:rsidRPr="00243A59" w:rsidRDefault="00FE5E30" w:rsidP="00110329">
      <w:pPr>
        <w:pStyle w:val="BodyText"/>
        <w:spacing w:before="2"/>
        <w:ind w:left="454" w:right="113"/>
        <w:jc w:val="both"/>
        <w:rPr>
          <w:color w:val="FF0000"/>
        </w:rPr>
      </w:pPr>
    </w:p>
    <w:p w:rsidR="00F65E23" w:rsidRPr="00703307" w:rsidRDefault="00F65E23" w:rsidP="00110329">
      <w:pPr>
        <w:widowControl/>
        <w:autoSpaceDE/>
        <w:autoSpaceDN/>
        <w:ind w:left="454" w:right="113"/>
        <w:jc w:val="both"/>
        <w:rPr>
          <w:lang w:val="sr-Latn-ME"/>
        </w:rPr>
      </w:pPr>
      <w:r w:rsidRPr="00703307">
        <w:rPr>
          <w:lang w:val="sr-Latn-ME"/>
        </w:rPr>
        <w:t>Jedna retrospektivna evropska studija procjene upotrebe G-CSF nakon transpla</w:t>
      </w:r>
      <w:r w:rsidR="003867E6">
        <w:rPr>
          <w:lang w:val="sr-Latn-ME"/>
        </w:rPr>
        <w:t>n</w:t>
      </w:r>
      <w:r w:rsidRPr="00703307">
        <w:rPr>
          <w:lang w:val="sr-Latn-ME"/>
        </w:rPr>
        <w:t>tacije alogene ko</w:t>
      </w:r>
      <w:r w:rsidR="003867E6">
        <w:rPr>
          <w:lang w:val="sr-Latn-ME"/>
        </w:rPr>
        <w:t>š</w:t>
      </w:r>
      <w:r w:rsidRPr="00703307">
        <w:rPr>
          <w:lang w:val="sr-Latn-ME"/>
        </w:rPr>
        <w:t>t</w:t>
      </w:r>
      <w:r w:rsidR="003867E6">
        <w:rPr>
          <w:lang w:val="sr-Latn-ME"/>
        </w:rPr>
        <w:t>a</w:t>
      </w:r>
      <w:r w:rsidRPr="00703307">
        <w:rPr>
          <w:lang w:val="sr-Latn-ME"/>
        </w:rPr>
        <w:t>ne srži kod pacijenata sa akutnom leukemijom, ukazuje na povećanje rizika od GvHD, liječenj</w:t>
      </w:r>
      <w:r w:rsidR="003867E6">
        <w:rPr>
          <w:lang w:val="sr-Latn-ME"/>
        </w:rPr>
        <w:t>a</w:t>
      </w:r>
      <w:r w:rsidRPr="00703307">
        <w:rPr>
          <w:lang w:val="sr-Latn-ME"/>
        </w:rPr>
        <w:t xml:space="preserve"> povezano</w:t>
      </w:r>
      <w:r w:rsidR="003867E6">
        <w:rPr>
          <w:lang w:val="sr-Latn-ME"/>
        </w:rPr>
        <w:t>g</w:t>
      </w:r>
      <w:r w:rsidRPr="00703307">
        <w:rPr>
          <w:lang w:val="sr-Latn-ME"/>
        </w:rPr>
        <w:t xml:space="preserve"> sa smrtnošću (TRM) i smrtnost</w:t>
      </w:r>
      <w:r w:rsidR="003867E6">
        <w:rPr>
          <w:lang w:val="sr-Latn-ME"/>
        </w:rPr>
        <w:t>i</w:t>
      </w:r>
      <w:r w:rsidRPr="00703307">
        <w:rPr>
          <w:lang w:val="sr-Latn-ME"/>
        </w:rPr>
        <w:t xml:space="preserve"> kada se daje G-CSF. U posebnoj retrospektivnoj internacijalnoj studiji, kod pacijenata sa akutnom i hroničnom mijelogenom leukemijom, nije bilo efekta na rizik od GvHD, TRM i smrtnost</w:t>
      </w:r>
      <w:r w:rsidR="003867E6">
        <w:rPr>
          <w:lang w:val="sr-Latn-ME"/>
        </w:rPr>
        <w:t>i</w:t>
      </w:r>
      <w:r w:rsidRPr="00703307">
        <w:rPr>
          <w:lang w:val="sr-Latn-ME"/>
        </w:rPr>
        <w:t>. Meta</w:t>
      </w:r>
      <w:r w:rsidR="00762FEE">
        <w:rPr>
          <w:lang w:val="sr-Latn-ME"/>
        </w:rPr>
        <w:t>-</w:t>
      </w:r>
      <w:r w:rsidRPr="00703307">
        <w:rPr>
          <w:lang w:val="sr-Latn-ME"/>
        </w:rPr>
        <w:t xml:space="preserve">analiza alogenih </w:t>
      </w:r>
      <w:r w:rsidRPr="00D9225F">
        <w:rPr>
          <w:lang w:val="sr-Latn-ME"/>
        </w:rPr>
        <w:t>studija</w:t>
      </w:r>
      <w:r w:rsidR="00D9225F" w:rsidRPr="00A0130D">
        <w:rPr>
          <w:lang w:val="sr-Latn-ME"/>
        </w:rPr>
        <w:t xml:space="preserve"> transpla</w:t>
      </w:r>
      <w:r w:rsidR="00D9225F" w:rsidRPr="00D9225F">
        <w:rPr>
          <w:lang w:val="sr-Latn-ME"/>
        </w:rPr>
        <w:t>ntacije</w:t>
      </w:r>
      <w:r w:rsidRPr="00D9225F">
        <w:rPr>
          <w:lang w:val="sr-Latn-ME"/>
        </w:rPr>
        <w:t>,</w:t>
      </w:r>
      <w:r w:rsidRPr="00703307">
        <w:rPr>
          <w:lang w:val="sr-Latn-ME"/>
        </w:rPr>
        <w:t xml:space="preserve"> uključujući rezultate devet prospektivnih randomizovanih studija, 8 retrospektivnih studija i </w:t>
      </w:r>
      <w:r w:rsidRPr="00D9225F">
        <w:rPr>
          <w:lang w:val="sr-Latn-ME"/>
        </w:rPr>
        <w:t>jednu kontrolnu studiju,</w:t>
      </w:r>
      <w:r w:rsidRPr="00703307">
        <w:rPr>
          <w:lang w:val="sr-Latn-ME"/>
        </w:rPr>
        <w:t xml:space="preserve"> nije otkrila nikakav efekat na razvoj akutnog GvHD, hroničnog GvHD ili smrtnost povezanu sa </w:t>
      </w:r>
      <w:r w:rsidR="00762FEE">
        <w:rPr>
          <w:lang w:val="sr-Latn-ME"/>
        </w:rPr>
        <w:t xml:space="preserve">ranim </w:t>
      </w:r>
      <w:r w:rsidRPr="00703307">
        <w:rPr>
          <w:lang w:val="sr-Latn-ME"/>
        </w:rPr>
        <w:t>liječenjem.</w:t>
      </w:r>
    </w:p>
    <w:p w:rsidR="00FE5E30" w:rsidRPr="00BF46D3" w:rsidRDefault="00FE5E30" w:rsidP="00A0130D">
      <w:pPr>
        <w:pStyle w:val="BodyText"/>
        <w:spacing w:before="1" w:after="1"/>
        <w:jc w:val="both"/>
        <w:rPr>
          <w:color w:val="FF0000"/>
          <w:sz w:val="20"/>
          <w:lang w:val="sr-Latn-ME"/>
        </w:rPr>
      </w:pPr>
    </w:p>
    <w:tbl>
      <w:tblPr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1622"/>
        <w:gridCol w:w="1060"/>
        <w:gridCol w:w="1497"/>
        <w:gridCol w:w="1564"/>
        <w:gridCol w:w="1439"/>
      </w:tblGrid>
      <w:tr w:rsidR="00243A59" w:rsidRPr="00703307">
        <w:trPr>
          <w:trHeight w:val="460"/>
        </w:trPr>
        <w:tc>
          <w:tcPr>
            <w:tcW w:w="8886" w:type="dxa"/>
            <w:gridSpan w:val="6"/>
          </w:tcPr>
          <w:p w:rsidR="00FE5E30" w:rsidRPr="00703307" w:rsidRDefault="000534A2" w:rsidP="00A0130D">
            <w:pPr>
              <w:pStyle w:val="TableParagraph"/>
              <w:spacing w:before="18" w:line="230" w:lineRule="atLeast"/>
              <w:ind w:left="3043" w:hanging="2568"/>
              <w:jc w:val="both"/>
              <w:rPr>
                <w:b/>
                <w:sz w:val="20"/>
              </w:rPr>
            </w:pPr>
            <w:r w:rsidRPr="00703307">
              <w:rPr>
                <w:b/>
                <w:sz w:val="20"/>
              </w:rPr>
              <w:t xml:space="preserve">Relativni rizik (95% CI) za GvHD i </w:t>
            </w:r>
            <w:r w:rsidR="002156AA" w:rsidRPr="00703307">
              <w:rPr>
                <w:b/>
                <w:sz w:val="20"/>
              </w:rPr>
              <w:t xml:space="preserve">TRM </w:t>
            </w:r>
            <w:r w:rsidRPr="00703307">
              <w:rPr>
                <w:b/>
                <w:sz w:val="20"/>
              </w:rPr>
              <w:t>nakon liječenja G</w:t>
            </w:r>
            <w:r w:rsidRPr="00703307">
              <w:rPr>
                <w:sz w:val="20"/>
              </w:rPr>
              <w:t>-</w:t>
            </w:r>
            <w:r w:rsidRPr="00703307">
              <w:rPr>
                <w:b/>
                <w:sz w:val="20"/>
              </w:rPr>
              <w:t xml:space="preserve">CSF-om </w:t>
            </w:r>
            <w:r w:rsidR="002156AA" w:rsidRPr="00703307">
              <w:rPr>
                <w:b/>
                <w:sz w:val="20"/>
              </w:rPr>
              <w:t xml:space="preserve">i </w:t>
            </w:r>
            <w:r w:rsidRPr="00703307">
              <w:rPr>
                <w:b/>
                <w:sz w:val="20"/>
              </w:rPr>
              <w:t>nakon transplantacije koštane srži</w:t>
            </w:r>
          </w:p>
        </w:tc>
      </w:tr>
      <w:tr w:rsidR="00243A59" w:rsidRPr="00703307">
        <w:trPr>
          <w:trHeight w:val="672"/>
        </w:trPr>
        <w:tc>
          <w:tcPr>
            <w:tcW w:w="1704" w:type="dxa"/>
          </w:tcPr>
          <w:p w:rsidR="00FE5E30" w:rsidRPr="00703307" w:rsidRDefault="000534A2" w:rsidP="00A0130D">
            <w:pPr>
              <w:pStyle w:val="TableParagraph"/>
              <w:spacing w:before="6"/>
              <w:ind w:left="105"/>
              <w:jc w:val="both"/>
              <w:rPr>
                <w:b/>
                <w:sz w:val="20"/>
              </w:rPr>
            </w:pPr>
            <w:r w:rsidRPr="00703307">
              <w:rPr>
                <w:b/>
                <w:sz w:val="20"/>
              </w:rPr>
              <w:t>Publikacija</w:t>
            </w:r>
          </w:p>
        </w:tc>
        <w:tc>
          <w:tcPr>
            <w:tcW w:w="1622" w:type="dxa"/>
          </w:tcPr>
          <w:p w:rsidR="00FE5E30" w:rsidRPr="00703307" w:rsidRDefault="004272FF" w:rsidP="00A0130D">
            <w:pPr>
              <w:pStyle w:val="TableParagraph"/>
              <w:spacing w:before="6"/>
              <w:ind w:left="254" w:right="437"/>
              <w:jc w:val="both"/>
              <w:rPr>
                <w:b/>
                <w:sz w:val="20"/>
              </w:rPr>
            </w:pPr>
            <w:r w:rsidRPr="00703307">
              <w:rPr>
                <w:b/>
                <w:sz w:val="20"/>
              </w:rPr>
              <w:t>Period</w:t>
            </w:r>
            <w:r w:rsidR="000534A2" w:rsidRPr="00703307">
              <w:rPr>
                <w:b/>
                <w:sz w:val="20"/>
              </w:rPr>
              <w:t xml:space="preserve"> ispitivanja</w:t>
            </w:r>
          </w:p>
        </w:tc>
        <w:tc>
          <w:tcPr>
            <w:tcW w:w="1060" w:type="dxa"/>
          </w:tcPr>
          <w:p w:rsidR="00FE5E30" w:rsidRPr="00703307" w:rsidRDefault="000534A2" w:rsidP="00A0130D">
            <w:pPr>
              <w:pStyle w:val="TableParagraph"/>
              <w:spacing w:before="6"/>
              <w:ind w:left="254"/>
              <w:jc w:val="both"/>
              <w:rPr>
                <w:b/>
                <w:sz w:val="20"/>
              </w:rPr>
            </w:pPr>
            <w:r w:rsidRPr="00703307">
              <w:rPr>
                <w:b/>
                <w:sz w:val="20"/>
              </w:rPr>
              <w:t>N</w:t>
            </w:r>
          </w:p>
        </w:tc>
        <w:tc>
          <w:tcPr>
            <w:tcW w:w="1497" w:type="dxa"/>
          </w:tcPr>
          <w:p w:rsidR="00FE5E30" w:rsidRPr="00703307" w:rsidRDefault="000534A2" w:rsidP="00A0130D">
            <w:pPr>
              <w:pStyle w:val="TableParagraph"/>
              <w:spacing w:before="6"/>
              <w:ind w:left="116" w:right="37"/>
              <w:jc w:val="both"/>
              <w:rPr>
                <w:b/>
                <w:sz w:val="20"/>
              </w:rPr>
            </w:pPr>
            <w:r w:rsidRPr="00703307">
              <w:rPr>
                <w:b/>
                <w:sz w:val="20"/>
              </w:rPr>
              <w:t xml:space="preserve">Akutni </w:t>
            </w:r>
            <w:r w:rsidR="003F7097" w:rsidRPr="00703307">
              <w:rPr>
                <w:b/>
                <w:sz w:val="20"/>
              </w:rPr>
              <w:t xml:space="preserve">Stepen </w:t>
            </w:r>
            <w:r w:rsidRPr="00703307">
              <w:rPr>
                <w:b/>
                <w:sz w:val="20"/>
              </w:rPr>
              <w:t xml:space="preserve"> II-IV GvHD</w:t>
            </w:r>
          </w:p>
        </w:tc>
        <w:tc>
          <w:tcPr>
            <w:tcW w:w="1564" w:type="dxa"/>
          </w:tcPr>
          <w:p w:rsidR="00FE5E30" w:rsidRPr="00703307" w:rsidRDefault="001374C3" w:rsidP="00A0130D">
            <w:pPr>
              <w:pStyle w:val="TableParagraph"/>
              <w:spacing w:before="6"/>
              <w:ind w:left="255"/>
              <w:jc w:val="both"/>
              <w:rPr>
                <w:b/>
                <w:sz w:val="20"/>
              </w:rPr>
            </w:pPr>
            <w:r w:rsidRPr="00703307">
              <w:rPr>
                <w:b/>
                <w:sz w:val="20"/>
              </w:rPr>
              <w:t>Hronič</w:t>
            </w:r>
            <w:r w:rsidR="000534A2" w:rsidRPr="00703307">
              <w:rPr>
                <w:b/>
                <w:sz w:val="20"/>
              </w:rPr>
              <w:t>ni</w:t>
            </w:r>
          </w:p>
          <w:p w:rsidR="00FE5E30" w:rsidRPr="00703307" w:rsidRDefault="000534A2" w:rsidP="00A0130D">
            <w:pPr>
              <w:pStyle w:val="TableParagraph"/>
              <w:ind w:left="255"/>
              <w:jc w:val="both"/>
              <w:rPr>
                <w:b/>
                <w:sz w:val="20"/>
              </w:rPr>
            </w:pPr>
            <w:r w:rsidRPr="00703307">
              <w:rPr>
                <w:b/>
                <w:sz w:val="20"/>
              </w:rPr>
              <w:t>GvHD</w:t>
            </w:r>
          </w:p>
        </w:tc>
        <w:tc>
          <w:tcPr>
            <w:tcW w:w="1439" w:type="dxa"/>
          </w:tcPr>
          <w:p w:rsidR="00FE5E30" w:rsidRPr="00703307" w:rsidRDefault="000534A2" w:rsidP="00A0130D">
            <w:pPr>
              <w:pStyle w:val="TableParagraph"/>
              <w:spacing w:before="6" w:line="230" w:lineRule="atLeast"/>
              <w:ind w:left="256" w:right="286"/>
              <w:jc w:val="both"/>
              <w:rPr>
                <w:b/>
                <w:sz w:val="20"/>
              </w:rPr>
            </w:pPr>
            <w:r w:rsidRPr="00703307">
              <w:rPr>
                <w:b/>
                <w:sz w:val="20"/>
              </w:rPr>
              <w:t>Mortalitet povezan s liječenjem</w:t>
            </w:r>
          </w:p>
        </w:tc>
      </w:tr>
      <w:tr w:rsidR="00243A59" w:rsidRPr="00703307">
        <w:trPr>
          <w:trHeight w:val="437"/>
        </w:trPr>
        <w:tc>
          <w:tcPr>
            <w:tcW w:w="1704" w:type="dxa"/>
          </w:tcPr>
          <w:p w:rsidR="00FE5E30" w:rsidRPr="00703307" w:rsidRDefault="000534A2" w:rsidP="00A0130D">
            <w:pPr>
              <w:pStyle w:val="TableParagraph"/>
              <w:spacing w:line="226" w:lineRule="exact"/>
              <w:ind w:left="105"/>
              <w:jc w:val="both"/>
              <w:rPr>
                <w:sz w:val="20"/>
              </w:rPr>
            </w:pPr>
            <w:r w:rsidRPr="00703307">
              <w:rPr>
                <w:sz w:val="20"/>
              </w:rPr>
              <w:t>Meta</w:t>
            </w:r>
            <w:r w:rsidR="00762FEE">
              <w:rPr>
                <w:sz w:val="20"/>
              </w:rPr>
              <w:t>-</w:t>
            </w:r>
            <w:r w:rsidRPr="00703307">
              <w:rPr>
                <w:sz w:val="20"/>
              </w:rPr>
              <w:t>analiza</w:t>
            </w:r>
          </w:p>
          <w:p w:rsidR="00FE5E30" w:rsidRPr="00703307" w:rsidRDefault="000534A2" w:rsidP="00A0130D">
            <w:pPr>
              <w:pStyle w:val="TableParagraph"/>
              <w:spacing w:line="191" w:lineRule="exact"/>
              <w:ind w:left="105"/>
              <w:jc w:val="both"/>
              <w:rPr>
                <w:sz w:val="20"/>
              </w:rPr>
            </w:pPr>
            <w:r w:rsidRPr="00703307">
              <w:rPr>
                <w:sz w:val="20"/>
              </w:rPr>
              <w:t>(2003)</w:t>
            </w:r>
          </w:p>
        </w:tc>
        <w:tc>
          <w:tcPr>
            <w:tcW w:w="1622" w:type="dxa"/>
          </w:tcPr>
          <w:p w:rsidR="00FE5E30" w:rsidRPr="00703307" w:rsidRDefault="000534A2" w:rsidP="00A0130D">
            <w:pPr>
              <w:pStyle w:val="TableParagraph"/>
              <w:spacing w:line="101" w:lineRule="exact"/>
              <w:ind w:right="424"/>
              <w:jc w:val="both"/>
              <w:rPr>
                <w:sz w:val="13"/>
              </w:rPr>
            </w:pPr>
            <w:r w:rsidRPr="00703307">
              <w:rPr>
                <w:w w:val="99"/>
                <w:sz w:val="13"/>
              </w:rPr>
              <w:t>a</w:t>
            </w:r>
          </w:p>
          <w:p w:rsidR="00FE5E30" w:rsidRPr="00703307" w:rsidRDefault="000534A2" w:rsidP="00A0130D">
            <w:pPr>
              <w:pStyle w:val="TableParagraph"/>
              <w:spacing w:line="207" w:lineRule="exact"/>
              <w:ind w:right="482"/>
              <w:jc w:val="both"/>
              <w:rPr>
                <w:sz w:val="20"/>
              </w:rPr>
            </w:pPr>
            <w:r w:rsidRPr="00703307">
              <w:rPr>
                <w:sz w:val="20"/>
              </w:rPr>
              <w:t>1986-2001</w:t>
            </w:r>
          </w:p>
        </w:tc>
        <w:tc>
          <w:tcPr>
            <w:tcW w:w="1060" w:type="dxa"/>
          </w:tcPr>
          <w:p w:rsidR="00FE5E30" w:rsidRPr="00703307" w:rsidRDefault="000534A2" w:rsidP="00A0130D">
            <w:pPr>
              <w:pStyle w:val="TableParagraph"/>
              <w:spacing w:line="226" w:lineRule="exact"/>
              <w:ind w:left="254"/>
              <w:jc w:val="both"/>
              <w:rPr>
                <w:sz w:val="20"/>
              </w:rPr>
            </w:pPr>
            <w:r w:rsidRPr="00703307">
              <w:rPr>
                <w:sz w:val="20"/>
              </w:rPr>
              <w:t>1198</w:t>
            </w:r>
          </w:p>
        </w:tc>
        <w:tc>
          <w:tcPr>
            <w:tcW w:w="1497" w:type="dxa"/>
          </w:tcPr>
          <w:p w:rsidR="00FE5E30" w:rsidRPr="00D9225F" w:rsidRDefault="000534A2" w:rsidP="00A0130D">
            <w:pPr>
              <w:pStyle w:val="TableParagraph"/>
              <w:spacing w:line="226" w:lineRule="exact"/>
              <w:ind w:left="255"/>
              <w:jc w:val="both"/>
              <w:rPr>
                <w:sz w:val="20"/>
              </w:rPr>
            </w:pPr>
            <w:r w:rsidRPr="00D9225F">
              <w:rPr>
                <w:sz w:val="20"/>
              </w:rPr>
              <w:t>1,08</w:t>
            </w:r>
          </w:p>
          <w:p w:rsidR="00FE5E30" w:rsidRPr="00A0130D" w:rsidRDefault="000534A2" w:rsidP="00A0130D">
            <w:pPr>
              <w:pStyle w:val="TableParagraph"/>
              <w:spacing w:line="191" w:lineRule="exact"/>
              <w:ind w:left="255"/>
              <w:jc w:val="both"/>
              <w:rPr>
                <w:sz w:val="20"/>
                <w:highlight w:val="yellow"/>
              </w:rPr>
            </w:pPr>
            <w:r w:rsidRPr="00D9225F">
              <w:rPr>
                <w:sz w:val="20"/>
              </w:rPr>
              <w:t>(0,87, 1,33)</w:t>
            </w:r>
          </w:p>
        </w:tc>
        <w:tc>
          <w:tcPr>
            <w:tcW w:w="1564" w:type="dxa"/>
          </w:tcPr>
          <w:p w:rsidR="00FE5E30" w:rsidRPr="00703307" w:rsidRDefault="000534A2" w:rsidP="00A0130D">
            <w:pPr>
              <w:pStyle w:val="TableParagraph"/>
              <w:spacing w:line="226" w:lineRule="exact"/>
              <w:ind w:left="255"/>
              <w:jc w:val="both"/>
              <w:rPr>
                <w:sz w:val="20"/>
              </w:rPr>
            </w:pPr>
            <w:r w:rsidRPr="00703307">
              <w:rPr>
                <w:sz w:val="20"/>
              </w:rPr>
              <w:t>1,02</w:t>
            </w:r>
          </w:p>
          <w:p w:rsidR="00FE5E30" w:rsidRPr="00703307" w:rsidRDefault="000534A2" w:rsidP="00A0130D">
            <w:pPr>
              <w:pStyle w:val="TableParagraph"/>
              <w:spacing w:line="191" w:lineRule="exact"/>
              <w:ind w:left="255"/>
              <w:jc w:val="both"/>
              <w:rPr>
                <w:sz w:val="20"/>
              </w:rPr>
            </w:pPr>
            <w:r w:rsidRPr="00703307">
              <w:rPr>
                <w:sz w:val="20"/>
              </w:rPr>
              <w:t>(0,82, 1,26)</w:t>
            </w:r>
          </w:p>
        </w:tc>
        <w:tc>
          <w:tcPr>
            <w:tcW w:w="1439" w:type="dxa"/>
          </w:tcPr>
          <w:p w:rsidR="00FE5E30" w:rsidRPr="00703307" w:rsidRDefault="000534A2" w:rsidP="00A0130D">
            <w:pPr>
              <w:pStyle w:val="TableParagraph"/>
              <w:spacing w:line="226" w:lineRule="exact"/>
              <w:ind w:left="256"/>
              <w:jc w:val="both"/>
              <w:rPr>
                <w:sz w:val="20"/>
              </w:rPr>
            </w:pPr>
            <w:r w:rsidRPr="00703307">
              <w:rPr>
                <w:sz w:val="20"/>
              </w:rPr>
              <w:t>0,70</w:t>
            </w:r>
          </w:p>
          <w:p w:rsidR="00FE5E30" w:rsidRPr="00703307" w:rsidRDefault="000534A2" w:rsidP="00A0130D">
            <w:pPr>
              <w:pStyle w:val="TableParagraph"/>
              <w:spacing w:line="191" w:lineRule="exact"/>
              <w:ind w:left="256"/>
              <w:jc w:val="both"/>
              <w:rPr>
                <w:sz w:val="20"/>
              </w:rPr>
            </w:pPr>
            <w:r w:rsidRPr="00703307">
              <w:rPr>
                <w:sz w:val="20"/>
              </w:rPr>
              <w:t>(0,38, 1,31)</w:t>
            </w:r>
          </w:p>
        </w:tc>
      </w:tr>
      <w:tr w:rsidR="00243A59" w:rsidRPr="00703307" w:rsidTr="008F0D62">
        <w:trPr>
          <w:trHeight w:val="454"/>
        </w:trPr>
        <w:tc>
          <w:tcPr>
            <w:tcW w:w="1704" w:type="dxa"/>
            <w:vMerge w:val="restart"/>
          </w:tcPr>
          <w:p w:rsidR="002156AA" w:rsidRPr="00703307" w:rsidRDefault="002156AA" w:rsidP="00A0130D">
            <w:pPr>
              <w:pStyle w:val="TableParagraph"/>
              <w:spacing w:line="226" w:lineRule="exact"/>
              <w:ind w:left="105"/>
              <w:jc w:val="both"/>
            </w:pPr>
            <w:r w:rsidRPr="00703307">
              <w:rPr>
                <w:sz w:val="20"/>
              </w:rPr>
              <w:t>Evropska retrospektivna studija (2004)</w:t>
            </w:r>
          </w:p>
        </w:tc>
        <w:tc>
          <w:tcPr>
            <w:tcW w:w="1622" w:type="dxa"/>
            <w:tcBorders>
              <w:bottom w:val="nil"/>
            </w:tcBorders>
          </w:tcPr>
          <w:p w:rsidR="002156AA" w:rsidRPr="00703307" w:rsidRDefault="002156AA" w:rsidP="00A0130D">
            <w:pPr>
              <w:pStyle w:val="TableParagraph"/>
              <w:spacing w:line="124" w:lineRule="exact"/>
              <w:ind w:right="422"/>
              <w:jc w:val="both"/>
              <w:rPr>
                <w:sz w:val="13"/>
              </w:rPr>
            </w:pPr>
            <w:r w:rsidRPr="00703307">
              <w:rPr>
                <w:w w:val="99"/>
                <w:sz w:val="13"/>
              </w:rPr>
              <w:t>b</w:t>
            </w:r>
          </w:p>
          <w:p w:rsidR="002156AA" w:rsidRPr="00703307" w:rsidRDefault="002156AA" w:rsidP="00A0130D">
            <w:pPr>
              <w:pStyle w:val="TableParagraph"/>
              <w:spacing w:line="207" w:lineRule="exact"/>
              <w:ind w:right="482"/>
              <w:jc w:val="both"/>
              <w:rPr>
                <w:sz w:val="20"/>
              </w:rPr>
            </w:pPr>
            <w:r w:rsidRPr="00703307">
              <w:rPr>
                <w:sz w:val="20"/>
              </w:rPr>
              <w:t>1992-2002</w:t>
            </w:r>
          </w:p>
        </w:tc>
        <w:tc>
          <w:tcPr>
            <w:tcW w:w="1060" w:type="dxa"/>
            <w:tcBorders>
              <w:bottom w:val="nil"/>
            </w:tcBorders>
          </w:tcPr>
          <w:p w:rsidR="002156AA" w:rsidRPr="00703307" w:rsidRDefault="002156AA" w:rsidP="00A0130D">
            <w:pPr>
              <w:pStyle w:val="TableParagraph"/>
              <w:spacing w:before="18"/>
              <w:ind w:left="254"/>
              <w:jc w:val="both"/>
              <w:rPr>
                <w:sz w:val="20"/>
              </w:rPr>
            </w:pPr>
            <w:r w:rsidRPr="00703307">
              <w:rPr>
                <w:sz w:val="20"/>
              </w:rPr>
              <w:t>1789</w:t>
            </w:r>
          </w:p>
        </w:tc>
        <w:tc>
          <w:tcPr>
            <w:tcW w:w="1497" w:type="dxa"/>
            <w:tcBorders>
              <w:bottom w:val="nil"/>
            </w:tcBorders>
          </w:tcPr>
          <w:p w:rsidR="002156AA" w:rsidRPr="00703307" w:rsidRDefault="002156AA" w:rsidP="00A0130D">
            <w:pPr>
              <w:pStyle w:val="TableParagraph"/>
              <w:spacing w:before="18"/>
              <w:ind w:left="255"/>
              <w:jc w:val="both"/>
              <w:rPr>
                <w:sz w:val="20"/>
              </w:rPr>
            </w:pPr>
            <w:r w:rsidRPr="00703307">
              <w:rPr>
                <w:sz w:val="20"/>
              </w:rPr>
              <w:t>1,33</w:t>
            </w:r>
          </w:p>
          <w:p w:rsidR="002156AA" w:rsidRPr="00703307" w:rsidRDefault="002156AA" w:rsidP="00A0130D">
            <w:pPr>
              <w:pStyle w:val="TableParagraph"/>
              <w:spacing w:before="1" w:line="186" w:lineRule="exact"/>
              <w:ind w:left="255"/>
              <w:jc w:val="both"/>
              <w:rPr>
                <w:sz w:val="20"/>
              </w:rPr>
            </w:pPr>
            <w:r w:rsidRPr="00703307">
              <w:rPr>
                <w:sz w:val="20"/>
              </w:rPr>
              <w:t>(1,08, 1,64)</w:t>
            </w:r>
          </w:p>
        </w:tc>
        <w:tc>
          <w:tcPr>
            <w:tcW w:w="1564" w:type="dxa"/>
            <w:tcBorders>
              <w:bottom w:val="nil"/>
            </w:tcBorders>
          </w:tcPr>
          <w:p w:rsidR="002156AA" w:rsidRPr="00703307" w:rsidRDefault="002156AA" w:rsidP="00A0130D">
            <w:pPr>
              <w:pStyle w:val="TableParagraph"/>
              <w:spacing w:before="18"/>
              <w:ind w:left="255"/>
              <w:jc w:val="both"/>
              <w:rPr>
                <w:sz w:val="20"/>
              </w:rPr>
            </w:pPr>
            <w:r w:rsidRPr="00703307">
              <w:rPr>
                <w:sz w:val="20"/>
              </w:rPr>
              <w:t>1,29</w:t>
            </w:r>
          </w:p>
          <w:p w:rsidR="002156AA" w:rsidRPr="00703307" w:rsidRDefault="002156AA" w:rsidP="00A0130D">
            <w:pPr>
              <w:pStyle w:val="TableParagraph"/>
              <w:spacing w:before="1" w:line="186" w:lineRule="exact"/>
              <w:ind w:left="255"/>
              <w:jc w:val="both"/>
              <w:rPr>
                <w:sz w:val="20"/>
              </w:rPr>
            </w:pPr>
            <w:r w:rsidRPr="00703307">
              <w:rPr>
                <w:sz w:val="20"/>
              </w:rPr>
              <w:t>(1,02, 1,61)</w:t>
            </w:r>
          </w:p>
        </w:tc>
        <w:tc>
          <w:tcPr>
            <w:tcW w:w="1439" w:type="dxa"/>
            <w:tcBorders>
              <w:bottom w:val="nil"/>
            </w:tcBorders>
          </w:tcPr>
          <w:p w:rsidR="002156AA" w:rsidRPr="00703307" w:rsidRDefault="002156AA" w:rsidP="00A0130D">
            <w:pPr>
              <w:pStyle w:val="TableParagraph"/>
              <w:spacing w:before="18"/>
              <w:ind w:left="256"/>
              <w:jc w:val="both"/>
              <w:rPr>
                <w:sz w:val="20"/>
              </w:rPr>
            </w:pPr>
            <w:r w:rsidRPr="00703307">
              <w:rPr>
                <w:sz w:val="20"/>
              </w:rPr>
              <w:t>1,73</w:t>
            </w:r>
          </w:p>
          <w:p w:rsidR="002156AA" w:rsidRPr="00703307" w:rsidRDefault="002156AA" w:rsidP="00A0130D">
            <w:pPr>
              <w:pStyle w:val="TableParagraph"/>
              <w:spacing w:before="1" w:line="186" w:lineRule="exact"/>
              <w:ind w:left="256"/>
              <w:jc w:val="both"/>
              <w:rPr>
                <w:sz w:val="20"/>
              </w:rPr>
            </w:pPr>
            <w:r w:rsidRPr="00703307">
              <w:rPr>
                <w:sz w:val="20"/>
              </w:rPr>
              <w:t>(1,30, 2,32)</w:t>
            </w:r>
          </w:p>
        </w:tc>
      </w:tr>
      <w:tr w:rsidR="00243A59" w:rsidRPr="00703307" w:rsidTr="008F0D62">
        <w:trPr>
          <w:trHeight w:val="212"/>
        </w:trPr>
        <w:tc>
          <w:tcPr>
            <w:tcW w:w="1704" w:type="dxa"/>
            <w:vMerge/>
          </w:tcPr>
          <w:p w:rsidR="002156AA" w:rsidRPr="00703307" w:rsidRDefault="002156AA" w:rsidP="00A0130D">
            <w:pPr>
              <w:jc w:val="both"/>
            </w:pPr>
          </w:p>
        </w:tc>
        <w:tc>
          <w:tcPr>
            <w:tcW w:w="1622" w:type="dxa"/>
            <w:tcBorders>
              <w:top w:val="nil"/>
            </w:tcBorders>
          </w:tcPr>
          <w:p w:rsidR="002156AA" w:rsidRPr="00703307" w:rsidRDefault="002156AA" w:rsidP="00A0130D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1060" w:type="dxa"/>
            <w:tcBorders>
              <w:top w:val="nil"/>
            </w:tcBorders>
          </w:tcPr>
          <w:p w:rsidR="002156AA" w:rsidRPr="00703307" w:rsidRDefault="002156AA" w:rsidP="00A0130D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:rsidR="002156AA" w:rsidRPr="00703307" w:rsidRDefault="002156AA" w:rsidP="00A0130D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:rsidR="002156AA" w:rsidRPr="00703307" w:rsidRDefault="002156AA" w:rsidP="00A0130D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1439" w:type="dxa"/>
            <w:tcBorders>
              <w:top w:val="nil"/>
            </w:tcBorders>
          </w:tcPr>
          <w:p w:rsidR="002156AA" w:rsidRPr="00703307" w:rsidRDefault="002156AA" w:rsidP="00A0130D">
            <w:pPr>
              <w:pStyle w:val="TableParagraph"/>
              <w:jc w:val="both"/>
              <w:rPr>
                <w:sz w:val="14"/>
              </w:rPr>
            </w:pPr>
          </w:p>
        </w:tc>
      </w:tr>
      <w:tr w:rsidR="00243A59" w:rsidRPr="00703307" w:rsidTr="008F0D62">
        <w:trPr>
          <w:trHeight w:val="454"/>
        </w:trPr>
        <w:tc>
          <w:tcPr>
            <w:tcW w:w="1704" w:type="dxa"/>
            <w:vMerge w:val="restart"/>
          </w:tcPr>
          <w:p w:rsidR="002156AA" w:rsidRPr="00703307" w:rsidRDefault="002156AA" w:rsidP="00A0130D">
            <w:pPr>
              <w:pStyle w:val="TableParagraph"/>
              <w:spacing w:before="24" w:line="191" w:lineRule="exact"/>
              <w:ind w:left="105"/>
              <w:jc w:val="both"/>
              <w:rPr>
                <w:sz w:val="20"/>
              </w:rPr>
            </w:pPr>
            <w:r w:rsidRPr="00703307">
              <w:rPr>
                <w:sz w:val="20"/>
              </w:rPr>
              <w:t xml:space="preserve">Internacionalna retrospektivna studija (2006) </w:t>
            </w:r>
          </w:p>
        </w:tc>
        <w:tc>
          <w:tcPr>
            <w:tcW w:w="1622" w:type="dxa"/>
            <w:tcBorders>
              <w:bottom w:val="nil"/>
            </w:tcBorders>
          </w:tcPr>
          <w:p w:rsidR="002156AA" w:rsidRPr="00703307" w:rsidRDefault="002156AA" w:rsidP="00A0130D">
            <w:pPr>
              <w:pStyle w:val="TableParagraph"/>
              <w:spacing w:line="124" w:lineRule="exact"/>
              <w:ind w:right="422"/>
              <w:jc w:val="both"/>
              <w:rPr>
                <w:sz w:val="13"/>
              </w:rPr>
            </w:pPr>
            <w:r w:rsidRPr="00703307">
              <w:rPr>
                <w:w w:val="99"/>
                <w:sz w:val="13"/>
              </w:rPr>
              <w:t>b</w:t>
            </w:r>
          </w:p>
          <w:p w:rsidR="002156AA" w:rsidRPr="00703307" w:rsidRDefault="002156AA" w:rsidP="00A0130D">
            <w:pPr>
              <w:pStyle w:val="TableParagraph"/>
              <w:spacing w:line="207" w:lineRule="exact"/>
              <w:ind w:right="482"/>
              <w:jc w:val="both"/>
              <w:rPr>
                <w:sz w:val="20"/>
              </w:rPr>
            </w:pPr>
            <w:r w:rsidRPr="00703307">
              <w:rPr>
                <w:sz w:val="20"/>
              </w:rPr>
              <w:t>1995-2000</w:t>
            </w:r>
          </w:p>
        </w:tc>
        <w:tc>
          <w:tcPr>
            <w:tcW w:w="1060" w:type="dxa"/>
            <w:tcBorders>
              <w:bottom w:val="nil"/>
            </w:tcBorders>
          </w:tcPr>
          <w:p w:rsidR="002156AA" w:rsidRPr="00703307" w:rsidRDefault="002156AA" w:rsidP="00A0130D">
            <w:pPr>
              <w:pStyle w:val="TableParagraph"/>
              <w:spacing w:before="18"/>
              <w:ind w:left="254"/>
              <w:jc w:val="both"/>
              <w:rPr>
                <w:sz w:val="20"/>
              </w:rPr>
            </w:pPr>
            <w:r w:rsidRPr="00703307">
              <w:rPr>
                <w:sz w:val="20"/>
              </w:rPr>
              <w:t>2110</w:t>
            </w:r>
          </w:p>
        </w:tc>
        <w:tc>
          <w:tcPr>
            <w:tcW w:w="1497" w:type="dxa"/>
            <w:tcBorders>
              <w:bottom w:val="nil"/>
            </w:tcBorders>
          </w:tcPr>
          <w:p w:rsidR="002156AA" w:rsidRPr="00703307" w:rsidRDefault="002156AA" w:rsidP="00A0130D">
            <w:pPr>
              <w:pStyle w:val="TableParagraph"/>
              <w:spacing w:before="18"/>
              <w:ind w:left="255"/>
              <w:jc w:val="both"/>
              <w:rPr>
                <w:sz w:val="20"/>
              </w:rPr>
            </w:pPr>
            <w:r w:rsidRPr="00703307">
              <w:rPr>
                <w:sz w:val="20"/>
              </w:rPr>
              <w:t>1,11</w:t>
            </w:r>
          </w:p>
          <w:p w:rsidR="002156AA" w:rsidRPr="00703307" w:rsidRDefault="002156AA" w:rsidP="00A0130D">
            <w:pPr>
              <w:pStyle w:val="TableParagraph"/>
              <w:spacing w:before="1" w:line="186" w:lineRule="exact"/>
              <w:ind w:left="255"/>
              <w:jc w:val="both"/>
              <w:rPr>
                <w:sz w:val="20"/>
              </w:rPr>
            </w:pPr>
            <w:r w:rsidRPr="00703307">
              <w:rPr>
                <w:sz w:val="20"/>
              </w:rPr>
              <w:t>(0,86, 1,42)</w:t>
            </w:r>
          </w:p>
        </w:tc>
        <w:tc>
          <w:tcPr>
            <w:tcW w:w="1564" w:type="dxa"/>
            <w:tcBorders>
              <w:bottom w:val="nil"/>
            </w:tcBorders>
          </w:tcPr>
          <w:p w:rsidR="002156AA" w:rsidRPr="00703307" w:rsidRDefault="002156AA" w:rsidP="00A0130D">
            <w:pPr>
              <w:pStyle w:val="TableParagraph"/>
              <w:spacing w:before="18"/>
              <w:ind w:left="255"/>
              <w:jc w:val="both"/>
              <w:rPr>
                <w:sz w:val="20"/>
              </w:rPr>
            </w:pPr>
            <w:r w:rsidRPr="00703307">
              <w:rPr>
                <w:sz w:val="20"/>
              </w:rPr>
              <w:t>1,10</w:t>
            </w:r>
          </w:p>
          <w:p w:rsidR="002156AA" w:rsidRPr="00703307" w:rsidRDefault="002156AA" w:rsidP="00A0130D">
            <w:pPr>
              <w:pStyle w:val="TableParagraph"/>
              <w:spacing w:before="1" w:line="186" w:lineRule="exact"/>
              <w:ind w:left="255"/>
              <w:jc w:val="both"/>
              <w:rPr>
                <w:sz w:val="20"/>
              </w:rPr>
            </w:pPr>
            <w:r w:rsidRPr="00703307">
              <w:rPr>
                <w:sz w:val="20"/>
              </w:rPr>
              <w:t>(0,86, 1,39)</w:t>
            </w:r>
          </w:p>
        </w:tc>
        <w:tc>
          <w:tcPr>
            <w:tcW w:w="1439" w:type="dxa"/>
            <w:tcBorders>
              <w:bottom w:val="nil"/>
            </w:tcBorders>
          </w:tcPr>
          <w:p w:rsidR="002156AA" w:rsidRPr="00703307" w:rsidRDefault="002156AA" w:rsidP="00A0130D">
            <w:pPr>
              <w:pStyle w:val="TableParagraph"/>
              <w:spacing w:before="18"/>
              <w:ind w:left="256"/>
              <w:jc w:val="both"/>
              <w:rPr>
                <w:sz w:val="20"/>
              </w:rPr>
            </w:pPr>
            <w:r w:rsidRPr="00703307">
              <w:rPr>
                <w:sz w:val="20"/>
              </w:rPr>
              <w:t>1,26</w:t>
            </w:r>
          </w:p>
          <w:p w:rsidR="002156AA" w:rsidRPr="00703307" w:rsidRDefault="002156AA" w:rsidP="00A0130D">
            <w:pPr>
              <w:pStyle w:val="TableParagraph"/>
              <w:spacing w:before="1" w:line="186" w:lineRule="exact"/>
              <w:ind w:left="256"/>
              <w:jc w:val="both"/>
              <w:rPr>
                <w:sz w:val="20"/>
              </w:rPr>
            </w:pPr>
            <w:r w:rsidRPr="00703307">
              <w:rPr>
                <w:sz w:val="20"/>
              </w:rPr>
              <w:t>(0,95, 1,67)</w:t>
            </w:r>
          </w:p>
        </w:tc>
      </w:tr>
      <w:tr w:rsidR="00243A59" w:rsidRPr="00703307" w:rsidTr="008F0D62">
        <w:trPr>
          <w:trHeight w:val="235"/>
        </w:trPr>
        <w:tc>
          <w:tcPr>
            <w:tcW w:w="1704" w:type="dxa"/>
            <w:vMerge/>
          </w:tcPr>
          <w:p w:rsidR="002156AA" w:rsidRPr="00703307" w:rsidRDefault="002156AA" w:rsidP="00A0130D">
            <w:pPr>
              <w:pStyle w:val="TableParagraph"/>
              <w:spacing w:before="24" w:line="191" w:lineRule="exact"/>
              <w:ind w:left="105"/>
              <w:jc w:val="both"/>
              <w:rPr>
                <w:sz w:val="20"/>
              </w:rPr>
            </w:pPr>
          </w:p>
        </w:tc>
        <w:tc>
          <w:tcPr>
            <w:tcW w:w="1622" w:type="dxa"/>
            <w:tcBorders>
              <w:top w:val="nil"/>
            </w:tcBorders>
          </w:tcPr>
          <w:p w:rsidR="002156AA" w:rsidRPr="00703307" w:rsidRDefault="002156AA" w:rsidP="00A0130D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060" w:type="dxa"/>
            <w:tcBorders>
              <w:top w:val="nil"/>
            </w:tcBorders>
          </w:tcPr>
          <w:p w:rsidR="002156AA" w:rsidRPr="00703307" w:rsidRDefault="002156AA" w:rsidP="00A0130D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:rsidR="002156AA" w:rsidRPr="00703307" w:rsidRDefault="002156AA" w:rsidP="00A0130D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:rsidR="002156AA" w:rsidRPr="00703307" w:rsidRDefault="002156AA" w:rsidP="00A0130D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439" w:type="dxa"/>
            <w:tcBorders>
              <w:top w:val="nil"/>
            </w:tcBorders>
          </w:tcPr>
          <w:p w:rsidR="002156AA" w:rsidRPr="00703307" w:rsidRDefault="002156AA" w:rsidP="00A0130D">
            <w:pPr>
              <w:pStyle w:val="TableParagraph"/>
              <w:jc w:val="both"/>
              <w:rPr>
                <w:sz w:val="16"/>
              </w:rPr>
            </w:pPr>
          </w:p>
        </w:tc>
      </w:tr>
    </w:tbl>
    <w:p w:rsidR="00FE5E30" w:rsidRPr="00703307" w:rsidRDefault="000534A2" w:rsidP="00A0130D">
      <w:pPr>
        <w:spacing w:line="128" w:lineRule="exact"/>
        <w:ind w:left="460"/>
        <w:jc w:val="both"/>
        <w:rPr>
          <w:sz w:val="14"/>
        </w:rPr>
      </w:pPr>
      <w:r w:rsidRPr="00703307">
        <w:rPr>
          <w:w w:val="99"/>
          <w:sz w:val="14"/>
        </w:rPr>
        <w:t>a</w:t>
      </w:r>
    </w:p>
    <w:p w:rsidR="00FE5E30" w:rsidRPr="00703307" w:rsidRDefault="000534A2" w:rsidP="00110329">
      <w:pPr>
        <w:pStyle w:val="BodyText"/>
        <w:spacing w:line="226" w:lineRule="exact"/>
        <w:ind w:left="454" w:right="113"/>
        <w:jc w:val="both"/>
      </w:pPr>
      <w:r w:rsidRPr="00703307">
        <w:t xml:space="preserve">Analiza uključuje </w:t>
      </w:r>
      <w:r w:rsidR="002156AA" w:rsidRPr="00703307">
        <w:t>studije</w:t>
      </w:r>
      <w:r w:rsidRPr="00703307">
        <w:t xml:space="preserve"> koj</w:t>
      </w:r>
      <w:r w:rsidR="00762FEE">
        <w:t>e</w:t>
      </w:r>
      <w:r w:rsidRPr="00703307">
        <w:t xml:space="preserve"> su uključival</w:t>
      </w:r>
      <w:r w:rsidR="00762FEE">
        <w:t>e</w:t>
      </w:r>
      <w:r w:rsidRPr="00703307">
        <w:t xml:space="preserve"> transplantat koštane srži </w:t>
      </w:r>
      <w:r w:rsidR="004272FF" w:rsidRPr="00703307">
        <w:t>tokom</w:t>
      </w:r>
      <w:r w:rsidRPr="00703307">
        <w:t xml:space="preserve"> tog </w:t>
      </w:r>
      <w:r w:rsidR="004272FF" w:rsidRPr="00703307">
        <w:t>period</w:t>
      </w:r>
      <w:r w:rsidRPr="00703307">
        <w:t>a; u</w:t>
      </w:r>
      <w:r w:rsidR="00110329">
        <w:t xml:space="preserve"> </w:t>
      </w:r>
      <w:r w:rsidRPr="00703307">
        <w:t xml:space="preserve">nekim ispitivanjima </w:t>
      </w:r>
      <w:r w:rsidR="002156AA" w:rsidRPr="00703307">
        <w:t xml:space="preserve">se </w:t>
      </w:r>
      <w:r w:rsidRPr="00703307">
        <w:t>primjenjivao GM-CSF</w:t>
      </w:r>
    </w:p>
    <w:p w:rsidR="00FE5E30" w:rsidRPr="00703307" w:rsidRDefault="000534A2" w:rsidP="00FB70C4">
      <w:pPr>
        <w:spacing w:line="104" w:lineRule="exact"/>
        <w:ind w:left="454" w:right="113"/>
        <w:jc w:val="both"/>
        <w:rPr>
          <w:sz w:val="14"/>
        </w:rPr>
      </w:pPr>
      <w:r w:rsidRPr="00703307">
        <w:rPr>
          <w:w w:val="99"/>
          <w:sz w:val="14"/>
        </w:rPr>
        <w:t>b</w:t>
      </w:r>
    </w:p>
    <w:p w:rsidR="00FE5E30" w:rsidRPr="00703307" w:rsidRDefault="000534A2" w:rsidP="00FB70C4">
      <w:pPr>
        <w:pStyle w:val="BodyText"/>
        <w:spacing w:line="244" w:lineRule="exact"/>
        <w:ind w:left="454" w:right="113"/>
        <w:jc w:val="both"/>
      </w:pPr>
      <w:r w:rsidRPr="00703307">
        <w:t xml:space="preserve">Analiza uključuje </w:t>
      </w:r>
      <w:r w:rsidR="00E81CCA" w:rsidRPr="00703307">
        <w:t>pacijente</w:t>
      </w:r>
      <w:r w:rsidRPr="00703307">
        <w:t xml:space="preserve"> koji su primili transplantat koštane srži </w:t>
      </w:r>
      <w:r w:rsidR="004272FF" w:rsidRPr="00703307">
        <w:t>tokom</w:t>
      </w:r>
      <w:r w:rsidRPr="00703307">
        <w:t xml:space="preserve"> tog </w:t>
      </w:r>
      <w:r w:rsidR="004272FF" w:rsidRPr="00703307">
        <w:t>period</w:t>
      </w:r>
      <w:r w:rsidRPr="00703307">
        <w:t>a</w:t>
      </w:r>
    </w:p>
    <w:p w:rsidR="00FE5E30" w:rsidRPr="00243A59" w:rsidRDefault="00FE5E30" w:rsidP="00FB70C4">
      <w:pPr>
        <w:pStyle w:val="BodyText"/>
        <w:spacing w:before="9"/>
        <w:ind w:left="454" w:right="113"/>
        <w:jc w:val="both"/>
        <w:rPr>
          <w:color w:val="FF0000"/>
          <w:sz w:val="21"/>
        </w:rPr>
      </w:pPr>
    </w:p>
    <w:p w:rsidR="00FE5E30" w:rsidRPr="00703307" w:rsidRDefault="000534A2" w:rsidP="00FB70C4">
      <w:pPr>
        <w:ind w:left="454" w:right="113"/>
        <w:jc w:val="both"/>
        <w:rPr>
          <w:i/>
        </w:rPr>
      </w:pPr>
      <w:r w:rsidRPr="00703307">
        <w:rPr>
          <w:i/>
          <w:u w:val="single"/>
        </w:rPr>
        <w:t xml:space="preserve">Primjena filgrastima za mobilizaciju </w:t>
      </w:r>
      <w:r w:rsidR="00D14DE6" w:rsidRPr="00703307">
        <w:rPr>
          <w:i/>
          <w:u w:val="single"/>
        </w:rPr>
        <w:t>progenitorskih ćelija</w:t>
      </w:r>
      <w:r w:rsidRPr="00703307">
        <w:rPr>
          <w:i/>
          <w:u w:val="single"/>
        </w:rPr>
        <w:t xml:space="preserve"> periferne krvi </w:t>
      </w:r>
      <w:r w:rsidR="00E81CCA" w:rsidRPr="00703307">
        <w:rPr>
          <w:i/>
          <w:u w:val="single"/>
        </w:rPr>
        <w:t xml:space="preserve">kod </w:t>
      </w:r>
      <w:r w:rsidRPr="00703307">
        <w:rPr>
          <w:i/>
          <w:u w:val="single"/>
        </w:rPr>
        <w:t xml:space="preserve">zdravih </w:t>
      </w:r>
      <w:r w:rsidR="00762FEE" w:rsidRPr="00703307">
        <w:rPr>
          <w:i/>
          <w:u w:val="single"/>
        </w:rPr>
        <w:t>d</w:t>
      </w:r>
      <w:r w:rsidR="00762FEE">
        <w:rPr>
          <w:i/>
          <w:u w:val="single"/>
        </w:rPr>
        <w:t>onora</w:t>
      </w:r>
      <w:r w:rsidR="00762FEE" w:rsidRPr="00703307">
        <w:rPr>
          <w:i/>
          <w:u w:val="single"/>
        </w:rPr>
        <w:t xml:space="preserve"> </w:t>
      </w:r>
      <w:r w:rsidRPr="00703307">
        <w:rPr>
          <w:i/>
          <w:u w:val="single"/>
        </w:rPr>
        <w:t>prije</w:t>
      </w:r>
      <w:r w:rsidRPr="00A0130D">
        <w:rPr>
          <w:i/>
          <w:u w:val="single"/>
        </w:rPr>
        <w:t xml:space="preserve"> </w:t>
      </w:r>
      <w:r w:rsidRPr="00703307">
        <w:rPr>
          <w:i/>
          <w:u w:val="single"/>
        </w:rPr>
        <w:t xml:space="preserve">transplantacije alogenih </w:t>
      </w:r>
      <w:r w:rsidR="00D14DE6" w:rsidRPr="00703307">
        <w:rPr>
          <w:i/>
          <w:u w:val="single"/>
        </w:rPr>
        <w:t>progenitorskih ćelija</w:t>
      </w:r>
      <w:r w:rsidRPr="00703307">
        <w:rPr>
          <w:i/>
          <w:u w:val="single"/>
        </w:rPr>
        <w:t xml:space="preserve"> periferne krv</w:t>
      </w:r>
      <w:r w:rsidR="00E81CCA" w:rsidRPr="00703307">
        <w:rPr>
          <w:i/>
          <w:u w:val="single"/>
        </w:rPr>
        <w:t>i</w:t>
      </w:r>
    </w:p>
    <w:p w:rsidR="00FE5E30" w:rsidRPr="00703307" w:rsidRDefault="00FE5E30" w:rsidP="00FB70C4">
      <w:pPr>
        <w:pStyle w:val="BodyText"/>
        <w:ind w:left="454" w:right="113"/>
        <w:jc w:val="both"/>
        <w:rPr>
          <w:i/>
          <w:sz w:val="14"/>
        </w:rPr>
      </w:pPr>
    </w:p>
    <w:p w:rsidR="00FE5E30" w:rsidRPr="00703307" w:rsidRDefault="00E81CCA" w:rsidP="00FB70C4">
      <w:pPr>
        <w:pStyle w:val="BodyText"/>
        <w:spacing w:before="92"/>
        <w:ind w:left="454" w:right="113" w:hanging="1"/>
        <w:jc w:val="both"/>
      </w:pPr>
      <w:r w:rsidRPr="00703307">
        <w:t>Kod</w:t>
      </w:r>
      <w:r w:rsidR="000534A2" w:rsidRPr="00703307">
        <w:t xml:space="preserve"> zdravih </w:t>
      </w:r>
      <w:r w:rsidR="00762FEE" w:rsidRPr="00703307">
        <w:t>d</w:t>
      </w:r>
      <w:r w:rsidR="00762FEE">
        <w:t>onora</w:t>
      </w:r>
      <w:r w:rsidR="000534A2" w:rsidRPr="00703307">
        <w:t>, doza od 10</w:t>
      </w:r>
      <w:r w:rsidR="00762FEE">
        <w:t xml:space="preserve"> </w:t>
      </w:r>
      <w:r w:rsidR="000534A2" w:rsidRPr="00703307">
        <w:t xml:space="preserve">mikrograma/kg/dan koja se primjenjuje </w:t>
      </w:r>
      <w:r w:rsidR="00762FEE">
        <w:t>subkutano</w:t>
      </w:r>
      <w:r w:rsidR="00762FEE" w:rsidRPr="00703307">
        <w:t xml:space="preserve"> </w:t>
      </w:r>
      <w:r w:rsidR="004272FF" w:rsidRPr="00703307">
        <w:t>tokom</w:t>
      </w:r>
      <w:r w:rsidR="000534A2" w:rsidRPr="00703307">
        <w:t xml:space="preserve"> 4-5 dana uzastopno omoguć</w:t>
      </w:r>
      <w:r w:rsidR="005317ED" w:rsidRPr="00703307">
        <w:t>ava</w:t>
      </w:r>
      <w:r w:rsidR="000534A2" w:rsidRPr="00703307">
        <w:t xml:space="preserve"> </w:t>
      </w:r>
      <w:r w:rsidR="005317ED" w:rsidRPr="00703307">
        <w:t xml:space="preserve">izdvajanje </w:t>
      </w:r>
      <w:r w:rsidR="000534A2" w:rsidRPr="00703307">
        <w:t>≥ 4 x 10</w:t>
      </w:r>
      <w:r w:rsidR="000534A2" w:rsidRPr="00703307">
        <w:rPr>
          <w:vertAlign w:val="superscript"/>
        </w:rPr>
        <w:t>6</w:t>
      </w:r>
      <w:r w:rsidR="000534A2" w:rsidRPr="00703307">
        <w:t xml:space="preserve"> CD34</w:t>
      </w:r>
      <w:r w:rsidR="000534A2" w:rsidRPr="00703307">
        <w:rPr>
          <w:vertAlign w:val="superscript"/>
        </w:rPr>
        <w:t>+</w:t>
      </w:r>
      <w:r w:rsidR="000534A2" w:rsidRPr="00703307">
        <w:t xml:space="preserve"> </w:t>
      </w:r>
      <w:r w:rsidR="00D14DE6" w:rsidRPr="00703307">
        <w:t>ćelij</w:t>
      </w:r>
      <w:r w:rsidR="000534A2" w:rsidRPr="00703307">
        <w:t xml:space="preserve">a/kg tjelesne </w:t>
      </w:r>
      <w:r w:rsidR="00D9225F">
        <w:t>mase</w:t>
      </w:r>
      <w:r w:rsidR="00D9225F" w:rsidRPr="00703307">
        <w:t xml:space="preserve"> </w:t>
      </w:r>
      <w:r w:rsidR="005317ED" w:rsidRPr="00703307">
        <w:t>primaoc</w:t>
      </w:r>
      <w:r w:rsidR="000534A2" w:rsidRPr="00703307">
        <w:t xml:space="preserve">a </w:t>
      </w:r>
      <w:r w:rsidR="005317ED" w:rsidRPr="00703307">
        <w:t>kod</w:t>
      </w:r>
      <w:r w:rsidR="000534A2" w:rsidRPr="00703307">
        <w:t xml:space="preserve"> većine </w:t>
      </w:r>
      <w:r w:rsidR="00200AF4" w:rsidRPr="00703307">
        <w:t>d</w:t>
      </w:r>
      <w:r w:rsidR="00200AF4">
        <w:t>onor</w:t>
      </w:r>
      <w:r w:rsidR="00200AF4" w:rsidRPr="00703307">
        <w:t xml:space="preserve">a </w:t>
      </w:r>
      <w:r w:rsidR="000534A2" w:rsidRPr="00703307">
        <w:t>nakon dvije leuk</w:t>
      </w:r>
      <w:r w:rsidR="005317ED" w:rsidRPr="00703307">
        <w:t>o</w:t>
      </w:r>
      <w:r w:rsidR="000534A2" w:rsidRPr="00703307">
        <w:t>fereze.</w:t>
      </w:r>
    </w:p>
    <w:p w:rsidR="00FE5E30" w:rsidRPr="00703307" w:rsidRDefault="00FE5E30" w:rsidP="00FB70C4">
      <w:pPr>
        <w:pStyle w:val="BodyText"/>
        <w:ind w:left="454" w:right="113"/>
        <w:jc w:val="both"/>
      </w:pPr>
    </w:p>
    <w:p w:rsidR="00FE5E30" w:rsidRPr="00703307" w:rsidRDefault="000534A2" w:rsidP="00FB70C4">
      <w:pPr>
        <w:pStyle w:val="BodyText"/>
        <w:ind w:left="454" w:right="113"/>
        <w:jc w:val="both"/>
      </w:pPr>
      <w:r w:rsidRPr="00703307">
        <w:t xml:space="preserve">Primjena filgrastima </w:t>
      </w:r>
      <w:r w:rsidR="00455075" w:rsidRPr="00703307">
        <w:t>kod</w:t>
      </w:r>
      <w:r w:rsidRPr="00703307">
        <w:t xml:space="preserve"> odraslih s</w:t>
      </w:r>
      <w:r w:rsidR="00C22392" w:rsidRPr="00703307">
        <w:t>a</w:t>
      </w:r>
      <w:r w:rsidRPr="00703307">
        <w:t xml:space="preserve"> teškom </w:t>
      </w:r>
      <w:r w:rsidR="001374C3" w:rsidRPr="00703307">
        <w:t>hronič</w:t>
      </w:r>
      <w:r w:rsidRPr="00703307">
        <w:t>nom neutropeni</w:t>
      </w:r>
      <w:r w:rsidR="00455075" w:rsidRPr="00703307">
        <w:t>jom (teška kongenitalna, cikličn</w:t>
      </w:r>
      <w:r w:rsidRPr="00703307">
        <w:t>a i idiopatska neutropenija) izaziva trajno poveć</w:t>
      </w:r>
      <w:r w:rsidR="001963BF">
        <w:t>a</w:t>
      </w:r>
      <w:r w:rsidRPr="00703307">
        <w:t>nje ABN u perifernoj krvi i smanjenje infekcija i s</w:t>
      </w:r>
      <w:r w:rsidR="00C22392" w:rsidRPr="00703307">
        <w:t>a tim</w:t>
      </w:r>
      <w:r w:rsidRPr="00703307">
        <w:t xml:space="preserve"> povezanih događaja.</w:t>
      </w:r>
    </w:p>
    <w:p w:rsidR="00FE5E30" w:rsidRPr="00703307" w:rsidRDefault="00FE5E30" w:rsidP="00FB70C4">
      <w:pPr>
        <w:pStyle w:val="BodyText"/>
        <w:spacing w:before="1"/>
        <w:ind w:left="454" w:right="113"/>
        <w:jc w:val="both"/>
      </w:pPr>
    </w:p>
    <w:p w:rsidR="00FE5E30" w:rsidRPr="00703307" w:rsidRDefault="000534A2" w:rsidP="00FB70C4">
      <w:pPr>
        <w:pStyle w:val="BodyText"/>
        <w:ind w:left="454" w:right="113" w:hanging="1"/>
        <w:jc w:val="both"/>
      </w:pPr>
      <w:r w:rsidRPr="00703307">
        <w:t xml:space="preserve">Primjena filgrastima </w:t>
      </w:r>
      <w:r w:rsidR="00E06721" w:rsidRPr="00703307">
        <w:t>kod pacijenata</w:t>
      </w:r>
      <w:r w:rsidRPr="00703307">
        <w:t xml:space="preserve"> s</w:t>
      </w:r>
      <w:r w:rsidR="00C22392" w:rsidRPr="00703307">
        <w:t>a</w:t>
      </w:r>
      <w:r w:rsidRPr="00703307">
        <w:t xml:space="preserve"> HIV-infekcijom održava normalan broj neutrofila</w:t>
      </w:r>
      <w:r w:rsidR="001963BF">
        <w:t>,</w:t>
      </w:r>
      <w:r w:rsidRPr="00703307">
        <w:t xml:space="preserve"> što omogućuje planirano doziranje antivirusnih i/ili mijelosupresivnih </w:t>
      </w:r>
      <w:r w:rsidR="00455075" w:rsidRPr="00703307">
        <w:t>terapija</w:t>
      </w:r>
      <w:r w:rsidRPr="00703307">
        <w:t xml:space="preserve">. Nema dokaza da je </w:t>
      </w:r>
      <w:r w:rsidR="00E06721" w:rsidRPr="00703307">
        <w:t>kod</w:t>
      </w:r>
      <w:r w:rsidR="00E06721" w:rsidRPr="00243A59">
        <w:rPr>
          <w:color w:val="FF0000"/>
        </w:rPr>
        <w:t xml:space="preserve"> </w:t>
      </w:r>
      <w:r w:rsidR="00E06721" w:rsidRPr="00703307">
        <w:t>pacijenata</w:t>
      </w:r>
      <w:r w:rsidRPr="00703307">
        <w:t xml:space="preserve"> s</w:t>
      </w:r>
      <w:r w:rsidR="00C22392" w:rsidRPr="00703307">
        <w:t>a</w:t>
      </w:r>
      <w:r w:rsidRPr="00703307">
        <w:t xml:space="preserve"> HIV-infekcijom liječenih filgrastimom povećana replikacija HIV-a.</w:t>
      </w:r>
    </w:p>
    <w:p w:rsidR="00FE5E30" w:rsidRPr="00703307" w:rsidRDefault="00FE5E30" w:rsidP="00A0130D">
      <w:pPr>
        <w:pStyle w:val="BodyText"/>
        <w:spacing w:before="7"/>
        <w:jc w:val="both"/>
        <w:rPr>
          <w:sz w:val="21"/>
        </w:rPr>
      </w:pPr>
    </w:p>
    <w:p w:rsidR="00FE5E30" w:rsidRPr="00703307" w:rsidRDefault="000534A2" w:rsidP="00A0130D">
      <w:pPr>
        <w:pStyle w:val="BodyText"/>
        <w:ind w:left="454" w:right="113"/>
        <w:jc w:val="both"/>
      </w:pPr>
      <w:r w:rsidRPr="00703307">
        <w:t xml:space="preserve">Kao i kod drugih hematopoetskih </w:t>
      </w:r>
      <w:r w:rsidR="001963BF">
        <w:t>faktora</w:t>
      </w:r>
      <w:r w:rsidR="001963BF" w:rsidRPr="00703307">
        <w:t xml:space="preserve"> </w:t>
      </w:r>
      <w:r w:rsidRPr="00703307">
        <w:t xml:space="preserve">rasta, G-CSF </w:t>
      </w:r>
      <w:r w:rsidRPr="00703307">
        <w:rPr>
          <w:i/>
        </w:rPr>
        <w:t xml:space="preserve">in vitro </w:t>
      </w:r>
      <w:r w:rsidR="00455075" w:rsidRPr="00703307">
        <w:t>pokazuje</w:t>
      </w:r>
      <w:r w:rsidRPr="00703307">
        <w:t xml:space="preserve"> stimulirajuće djelovanje</w:t>
      </w:r>
      <w:r w:rsidR="00703307" w:rsidRPr="00703307">
        <w:t xml:space="preserve"> </w:t>
      </w:r>
      <w:r w:rsidRPr="00703307">
        <w:t xml:space="preserve">na </w:t>
      </w:r>
      <w:r w:rsidR="00455075" w:rsidRPr="00703307">
        <w:t>humane</w:t>
      </w:r>
      <w:r w:rsidRPr="00703307">
        <w:t xml:space="preserve"> endotelne </w:t>
      </w:r>
      <w:r w:rsidR="00D14DE6" w:rsidRPr="00703307">
        <w:t>ćelij</w:t>
      </w:r>
      <w:r w:rsidRPr="00703307">
        <w:t>e.</w:t>
      </w:r>
    </w:p>
    <w:p w:rsidR="00FE5E30" w:rsidRPr="00703307" w:rsidRDefault="00FE5E30" w:rsidP="00A0130D">
      <w:pPr>
        <w:pStyle w:val="BodyText"/>
        <w:spacing w:before="7"/>
        <w:ind w:left="454" w:right="113"/>
        <w:jc w:val="both"/>
      </w:pPr>
    </w:p>
    <w:p w:rsidR="00FE5E30" w:rsidRPr="00703307" w:rsidRDefault="000B6F39" w:rsidP="00A0130D">
      <w:pPr>
        <w:pStyle w:val="Heading1"/>
        <w:numPr>
          <w:ilvl w:val="1"/>
          <w:numId w:val="18"/>
        </w:numPr>
        <w:tabs>
          <w:tab w:val="left" w:pos="879"/>
        </w:tabs>
        <w:ind w:left="454" w:right="113" w:hanging="417"/>
        <w:jc w:val="both"/>
      </w:pPr>
      <w:r w:rsidRPr="00703307">
        <w:t>Farmakokinetički podaci</w:t>
      </w:r>
    </w:p>
    <w:p w:rsidR="00FE5E30" w:rsidRPr="00703307" w:rsidRDefault="00FE5E30" w:rsidP="00A0130D">
      <w:pPr>
        <w:pStyle w:val="BodyText"/>
        <w:spacing w:before="6"/>
        <w:ind w:left="454" w:right="113"/>
        <w:jc w:val="both"/>
        <w:rPr>
          <w:b/>
          <w:sz w:val="21"/>
        </w:rPr>
      </w:pPr>
    </w:p>
    <w:p w:rsidR="00FE5E30" w:rsidRPr="00703307" w:rsidRDefault="00455075" w:rsidP="00A0130D">
      <w:pPr>
        <w:pStyle w:val="BodyText"/>
        <w:ind w:left="454" w:right="113"/>
        <w:jc w:val="both"/>
      </w:pPr>
      <w:r w:rsidRPr="00703307">
        <w:rPr>
          <w:u w:val="single"/>
        </w:rPr>
        <w:t>Re</w:t>
      </w:r>
      <w:r w:rsidR="000534A2" w:rsidRPr="00703307">
        <w:rPr>
          <w:u w:val="single"/>
        </w:rPr>
        <w:t>sorpcija</w:t>
      </w:r>
    </w:p>
    <w:p w:rsidR="00FE5E30" w:rsidRPr="00243A59" w:rsidRDefault="00FE5E30" w:rsidP="00A0130D">
      <w:pPr>
        <w:pStyle w:val="BodyText"/>
        <w:spacing w:before="10"/>
        <w:ind w:left="454" w:right="113"/>
        <w:jc w:val="both"/>
        <w:rPr>
          <w:color w:val="FF0000"/>
          <w:sz w:val="13"/>
        </w:rPr>
      </w:pPr>
    </w:p>
    <w:p w:rsidR="00FE5E30" w:rsidRPr="007F7F02" w:rsidRDefault="000534A2" w:rsidP="00A0130D">
      <w:pPr>
        <w:pStyle w:val="BodyText"/>
        <w:spacing w:before="91"/>
        <w:ind w:left="454" w:right="113" w:hanging="1"/>
        <w:jc w:val="both"/>
      </w:pPr>
      <w:r w:rsidRPr="007F7F02">
        <w:t>Nakon su</w:t>
      </w:r>
      <w:r w:rsidR="001963BF">
        <w:t>b</w:t>
      </w:r>
      <w:r w:rsidRPr="007F7F02">
        <w:t>kutane primjene preporučenih doza, koncentracije u serumu bile su održa</w:t>
      </w:r>
      <w:r w:rsidR="00455075" w:rsidRPr="007F7F02">
        <w:t>va</w:t>
      </w:r>
      <w:r w:rsidRPr="007F7F02">
        <w:t xml:space="preserve">ne iznad 10 ng/ml </w:t>
      </w:r>
      <w:r w:rsidR="004272FF" w:rsidRPr="007F7F02">
        <w:t>tokom</w:t>
      </w:r>
      <w:r w:rsidRPr="007F7F02">
        <w:t xml:space="preserve"> 8-16 sati.</w:t>
      </w:r>
    </w:p>
    <w:p w:rsidR="00FE5E30" w:rsidRPr="007F7F02" w:rsidRDefault="00FE5E30" w:rsidP="00A0130D">
      <w:pPr>
        <w:pStyle w:val="BodyText"/>
        <w:ind w:left="454" w:right="113"/>
        <w:jc w:val="both"/>
      </w:pPr>
    </w:p>
    <w:p w:rsidR="00FE5E30" w:rsidRPr="007F7F02" w:rsidRDefault="000534A2" w:rsidP="00A0130D">
      <w:pPr>
        <w:pStyle w:val="BodyText"/>
        <w:ind w:left="454" w:right="113"/>
        <w:jc w:val="both"/>
      </w:pPr>
      <w:r w:rsidRPr="007F7F02">
        <w:rPr>
          <w:u w:val="single"/>
        </w:rPr>
        <w:t>Distribucija</w:t>
      </w:r>
    </w:p>
    <w:p w:rsidR="00FE5E30" w:rsidRPr="007F7F02" w:rsidRDefault="00FE5E30" w:rsidP="00A0130D">
      <w:pPr>
        <w:pStyle w:val="BodyText"/>
        <w:spacing w:before="3"/>
        <w:ind w:left="454" w:right="113"/>
        <w:jc w:val="both"/>
        <w:rPr>
          <w:sz w:val="14"/>
        </w:rPr>
      </w:pPr>
    </w:p>
    <w:p w:rsidR="00124391" w:rsidRDefault="000534A2" w:rsidP="00A0130D">
      <w:pPr>
        <w:pStyle w:val="BodyText"/>
        <w:spacing w:before="92" w:line="477" w:lineRule="auto"/>
        <w:ind w:left="454" w:right="113"/>
        <w:jc w:val="both"/>
        <w:rPr>
          <w:spacing w:val="-3"/>
        </w:rPr>
      </w:pPr>
      <w:r w:rsidRPr="007F7F02">
        <w:t xml:space="preserve">Volumen distribucije u krvi je približno 150 </w:t>
      </w:r>
      <w:r w:rsidRPr="007F7F02">
        <w:rPr>
          <w:spacing w:val="-3"/>
        </w:rPr>
        <w:t xml:space="preserve">ml/kg. </w:t>
      </w:r>
    </w:p>
    <w:p w:rsidR="00FE5E30" w:rsidRPr="007F7F02" w:rsidRDefault="000534A2" w:rsidP="00A0130D">
      <w:pPr>
        <w:pStyle w:val="BodyText"/>
        <w:spacing w:before="92" w:line="477" w:lineRule="auto"/>
        <w:ind w:left="454" w:right="113"/>
        <w:jc w:val="both"/>
      </w:pPr>
      <w:r w:rsidRPr="007F7F02">
        <w:rPr>
          <w:u w:val="single"/>
        </w:rPr>
        <w:t>Eliminacija</w:t>
      </w:r>
    </w:p>
    <w:p w:rsidR="00A51522" w:rsidRPr="007F7F02" w:rsidRDefault="000534A2" w:rsidP="00A0130D">
      <w:pPr>
        <w:pStyle w:val="BodyText"/>
        <w:spacing w:before="6"/>
        <w:ind w:left="454" w:right="113"/>
        <w:jc w:val="both"/>
      </w:pPr>
      <w:r w:rsidRPr="007F7F02">
        <w:t xml:space="preserve">Pokazalo se da klirens filgrastima </w:t>
      </w:r>
      <w:r w:rsidR="008F0D62" w:rsidRPr="007F7F02">
        <w:t>prati</w:t>
      </w:r>
      <w:r w:rsidRPr="007F7F02">
        <w:t xml:space="preserve"> farmakokinetiku prvog reda kako nakon su</w:t>
      </w:r>
      <w:r w:rsidR="001963BF">
        <w:t>b</w:t>
      </w:r>
      <w:r w:rsidRPr="007F7F02">
        <w:t>kutane, tako</w:t>
      </w:r>
      <w:r w:rsidR="008F0D62" w:rsidRPr="007F7F02">
        <w:t xml:space="preserve"> i </w:t>
      </w:r>
      <w:r w:rsidRPr="007F7F02">
        <w:t>nakon intravenske primjene. Polu</w:t>
      </w:r>
      <w:r w:rsidR="008F0D62" w:rsidRPr="007F7F02">
        <w:t xml:space="preserve">život </w:t>
      </w:r>
      <w:r w:rsidRPr="007F7F02">
        <w:t xml:space="preserve">eliminacije filgrastima iz </w:t>
      </w:r>
      <w:r w:rsidR="008F0D62" w:rsidRPr="007F7F02">
        <w:t>seruma iznosi približno 3,5 sata</w:t>
      </w:r>
      <w:r w:rsidRPr="007F7F02">
        <w:t xml:space="preserve">, uz brzinu klirensa od približno 0,6 ml/min/kg. Kontinuirana infuzija </w:t>
      </w:r>
      <w:r w:rsidR="001963BF">
        <w:t xml:space="preserve">lijeka </w:t>
      </w:r>
      <w:r w:rsidR="000A38B0">
        <w:t xml:space="preserve">Accofil </w:t>
      </w:r>
      <w:r w:rsidR="001963BF" w:rsidRPr="007F7F02">
        <w:t xml:space="preserve"> </w:t>
      </w:r>
      <w:r w:rsidR="004272FF" w:rsidRPr="007F7F02">
        <w:t>tokom</w:t>
      </w:r>
      <w:r w:rsidRPr="007F7F02">
        <w:t xml:space="preserve"> </w:t>
      </w:r>
      <w:r w:rsidR="004272FF" w:rsidRPr="007F7F02">
        <w:t>period</w:t>
      </w:r>
      <w:r w:rsidRPr="007F7F02">
        <w:t xml:space="preserve">a od najviše 28 dana </w:t>
      </w:r>
      <w:r w:rsidR="00E06721" w:rsidRPr="007F7F02">
        <w:t>kod pacijenata</w:t>
      </w:r>
      <w:r w:rsidRPr="007F7F02">
        <w:t xml:space="preserve"> koji su se oporavljali od transplantacije autologne koštane srži nije dovela do nakupljanja lije</w:t>
      </w:r>
      <w:r w:rsidR="00A51522" w:rsidRPr="007F7F02">
        <w:t>ka i polu</w:t>
      </w:r>
      <w:r w:rsidR="008F0D62" w:rsidRPr="007F7F02">
        <w:t xml:space="preserve">život </w:t>
      </w:r>
      <w:r w:rsidR="00A51522" w:rsidRPr="007F7F02">
        <w:t>je bio uporediv.</w:t>
      </w:r>
    </w:p>
    <w:p w:rsidR="00A51522" w:rsidRPr="007F7F02" w:rsidRDefault="00A51522" w:rsidP="00A0130D">
      <w:pPr>
        <w:pStyle w:val="BodyText"/>
        <w:spacing w:before="6"/>
        <w:ind w:left="454" w:right="113"/>
        <w:jc w:val="both"/>
      </w:pPr>
    </w:p>
    <w:p w:rsidR="00FE5E30" w:rsidRPr="007F7F02" w:rsidRDefault="000534A2" w:rsidP="00A0130D">
      <w:pPr>
        <w:pStyle w:val="BodyText"/>
        <w:spacing w:before="6"/>
        <w:ind w:left="454" w:right="113"/>
        <w:jc w:val="both"/>
      </w:pPr>
      <w:r w:rsidRPr="007F7F02">
        <w:rPr>
          <w:u w:val="single"/>
        </w:rPr>
        <w:t>Linearnost</w:t>
      </w:r>
    </w:p>
    <w:p w:rsidR="00FE5E30" w:rsidRPr="00243A59" w:rsidRDefault="00FE5E30" w:rsidP="00A0130D">
      <w:pPr>
        <w:pStyle w:val="BodyText"/>
        <w:spacing w:before="3"/>
        <w:ind w:left="454" w:right="113"/>
        <w:jc w:val="both"/>
        <w:rPr>
          <w:color w:val="FF0000"/>
          <w:sz w:val="14"/>
        </w:rPr>
      </w:pPr>
    </w:p>
    <w:p w:rsidR="00FE5E30" w:rsidRPr="000D70C2" w:rsidRDefault="000534A2" w:rsidP="00A0130D">
      <w:pPr>
        <w:pStyle w:val="BodyText"/>
        <w:spacing w:before="91"/>
        <w:ind w:left="454" w:right="113" w:hanging="1"/>
        <w:jc w:val="both"/>
      </w:pPr>
      <w:r w:rsidRPr="000D70C2">
        <w:t xml:space="preserve">Postoji pozitivna linearna korelacija između doze i serumskih koncentracija filgrastima, bilo </w:t>
      </w:r>
      <w:r w:rsidRPr="000D70C2">
        <w:rPr>
          <w:spacing w:val="-3"/>
        </w:rPr>
        <w:t xml:space="preserve">da </w:t>
      </w:r>
      <w:r w:rsidRPr="000D70C2">
        <w:t>je primijenjen intravenski ili su</w:t>
      </w:r>
      <w:r w:rsidR="001963BF">
        <w:t>b</w:t>
      </w:r>
      <w:r w:rsidRPr="000D70C2">
        <w:t>kutano. Nakon su</w:t>
      </w:r>
      <w:r w:rsidR="001963BF">
        <w:t>b</w:t>
      </w:r>
      <w:r w:rsidRPr="000D70C2">
        <w:t xml:space="preserve">kutane primjene preporučenih doza serumske koncentracije su </w:t>
      </w:r>
      <w:r w:rsidRPr="000D70C2">
        <w:rPr>
          <w:spacing w:val="2"/>
        </w:rPr>
        <w:t xml:space="preserve">se </w:t>
      </w:r>
      <w:r w:rsidRPr="000D70C2">
        <w:t xml:space="preserve">održale iznad 10 ng/ml od 8 </w:t>
      </w:r>
      <w:r w:rsidRPr="000D70C2">
        <w:rPr>
          <w:spacing w:val="-3"/>
        </w:rPr>
        <w:t xml:space="preserve">do </w:t>
      </w:r>
      <w:r w:rsidRPr="000D70C2">
        <w:t xml:space="preserve">16 sati. </w:t>
      </w:r>
      <w:r w:rsidRPr="000D70C2">
        <w:rPr>
          <w:spacing w:val="-3"/>
        </w:rPr>
        <w:t xml:space="preserve">Volumen </w:t>
      </w:r>
      <w:r w:rsidRPr="000D70C2">
        <w:t>distribucije u krvi je približno 150</w:t>
      </w:r>
      <w:r w:rsidRPr="000D70C2">
        <w:rPr>
          <w:spacing w:val="2"/>
        </w:rPr>
        <w:t xml:space="preserve"> </w:t>
      </w:r>
      <w:r w:rsidRPr="000D70C2">
        <w:rPr>
          <w:spacing w:val="-2"/>
        </w:rPr>
        <w:t>ml/kg.</w:t>
      </w:r>
    </w:p>
    <w:p w:rsidR="00FE5E30" w:rsidRPr="000D70C2" w:rsidRDefault="00FE5E30" w:rsidP="00A0130D">
      <w:pPr>
        <w:pStyle w:val="BodyText"/>
        <w:spacing w:before="2"/>
        <w:jc w:val="both"/>
      </w:pPr>
    </w:p>
    <w:p w:rsidR="00FE5E30" w:rsidRPr="000D70C2" w:rsidRDefault="000B6F39" w:rsidP="00A0130D">
      <w:pPr>
        <w:pStyle w:val="Heading1"/>
        <w:numPr>
          <w:ilvl w:val="1"/>
          <w:numId w:val="18"/>
        </w:numPr>
        <w:tabs>
          <w:tab w:val="left" w:pos="879"/>
        </w:tabs>
        <w:ind w:left="878"/>
        <w:jc w:val="both"/>
      </w:pPr>
      <w:r w:rsidRPr="000D70C2">
        <w:t>Pr</w:t>
      </w:r>
      <w:r w:rsidR="000534A2" w:rsidRPr="000D70C2">
        <w:t>e</w:t>
      </w:r>
      <w:r w:rsidRPr="000D70C2">
        <w:t>t</w:t>
      </w:r>
      <w:r w:rsidR="000534A2" w:rsidRPr="000D70C2">
        <w:t xml:space="preserve">klinički podaci o </w:t>
      </w:r>
      <w:r w:rsidRPr="000D70C2">
        <w:t>bezbjednosti</w:t>
      </w:r>
    </w:p>
    <w:p w:rsidR="00FE5E30" w:rsidRPr="000D70C2" w:rsidRDefault="00FE5E30" w:rsidP="00A0130D">
      <w:pPr>
        <w:pStyle w:val="BodyText"/>
        <w:spacing w:before="10"/>
        <w:jc w:val="both"/>
        <w:rPr>
          <w:b/>
          <w:sz w:val="21"/>
        </w:rPr>
      </w:pPr>
    </w:p>
    <w:p w:rsidR="00FE5E30" w:rsidRPr="000D70C2" w:rsidRDefault="000534A2" w:rsidP="00A0130D">
      <w:pPr>
        <w:pStyle w:val="BodyText"/>
        <w:ind w:left="454" w:right="113"/>
        <w:jc w:val="both"/>
      </w:pPr>
      <w:r w:rsidRPr="000D70C2">
        <w:t>Filgrastim je ispitivan u studijama toksičnosti ponavljanih doza u trajanju do godine dana</w:t>
      </w:r>
      <w:r w:rsidR="00EA2282">
        <w:t>,</w:t>
      </w:r>
      <w:r w:rsidRPr="000D70C2">
        <w:t xml:space="preserve"> koje su</w:t>
      </w:r>
      <w:r w:rsidR="000A675A">
        <w:t xml:space="preserve"> </w:t>
      </w:r>
      <w:r w:rsidRPr="000D70C2">
        <w:t>otkrile promjene koje je moguće pripisati očekivanim farmakološkim djelovanjima</w:t>
      </w:r>
      <w:r w:rsidR="00EA2282">
        <w:t>,</w:t>
      </w:r>
      <w:r w:rsidRPr="000D70C2">
        <w:t xml:space="preserve"> uključujući povećanje leukocita, mijeloidnu hiperplaziju u koštanoj srži, ekstramedularn</w:t>
      </w:r>
      <w:r w:rsidR="00C22392" w:rsidRPr="000D70C2">
        <w:t>u granulopoezu i povećanje slezi</w:t>
      </w:r>
      <w:r w:rsidRPr="000D70C2">
        <w:t xml:space="preserve">ne. Sve ove promjene </w:t>
      </w:r>
      <w:r w:rsidR="00C22392" w:rsidRPr="000D70C2">
        <w:t xml:space="preserve">su se </w:t>
      </w:r>
      <w:r w:rsidRPr="000D70C2">
        <w:t>povukle nakon prekida liječenja.</w:t>
      </w:r>
    </w:p>
    <w:p w:rsidR="00FE5E30" w:rsidRPr="000D70C2" w:rsidRDefault="000534A2" w:rsidP="00A0130D">
      <w:pPr>
        <w:pStyle w:val="BodyText"/>
        <w:spacing w:line="249" w:lineRule="exact"/>
        <w:ind w:left="454" w:right="113"/>
        <w:jc w:val="both"/>
      </w:pPr>
      <w:r w:rsidRPr="000D70C2">
        <w:t>Ut</w:t>
      </w:r>
      <w:r w:rsidR="008F0D62" w:rsidRPr="000D70C2">
        <w:t>i</w:t>
      </w:r>
      <w:r w:rsidRPr="000D70C2">
        <w:t xml:space="preserve">caj filgrastima na prenatalni razvoj ispitivan </w:t>
      </w:r>
      <w:r w:rsidR="00393105" w:rsidRPr="000D70C2">
        <w:t>je</w:t>
      </w:r>
      <w:r w:rsidRPr="000D70C2">
        <w:t xml:space="preserve"> na </w:t>
      </w:r>
      <w:r w:rsidR="008F0D62" w:rsidRPr="000D70C2">
        <w:t>pacovima</w:t>
      </w:r>
      <w:r w:rsidRPr="000D70C2">
        <w:t xml:space="preserve"> i kunićima. Intravenska (80</w:t>
      </w:r>
      <w:r w:rsidR="000A675A">
        <w:t xml:space="preserve"> </w:t>
      </w:r>
      <w:r w:rsidRPr="000D70C2">
        <w:t xml:space="preserve">µg/kg/dan) primjena filgrastima </w:t>
      </w:r>
      <w:r w:rsidR="008F0D62" w:rsidRPr="000D70C2">
        <w:t>kod</w:t>
      </w:r>
      <w:r w:rsidRPr="000D70C2">
        <w:t xml:space="preserve"> kunića </w:t>
      </w:r>
      <w:r w:rsidR="004272FF" w:rsidRPr="000D70C2">
        <w:t>tokom</w:t>
      </w:r>
      <w:r w:rsidRPr="000D70C2">
        <w:t xml:space="preserve"> </w:t>
      </w:r>
      <w:r w:rsidR="004272FF" w:rsidRPr="000D70C2">
        <w:t>period</w:t>
      </w:r>
      <w:r w:rsidRPr="000D70C2">
        <w:t xml:space="preserve">a organogeneze bila je toksična </w:t>
      </w:r>
      <w:r w:rsidR="008F0D62" w:rsidRPr="000D70C2">
        <w:t>za</w:t>
      </w:r>
      <w:r w:rsidRPr="000D70C2">
        <w:t xml:space="preserve"> majke, a zabilježen je povećan broj spontanih pobačaja, gubitaka nakon implantacije i smanjenje prosječne veličine živog legla i tjelesne </w:t>
      </w:r>
      <w:r w:rsidR="00D9225F">
        <w:t>mase</w:t>
      </w:r>
      <w:r w:rsidR="00D9225F" w:rsidRPr="000D70C2">
        <w:t xml:space="preserve"> </w:t>
      </w:r>
      <w:r w:rsidRPr="000D70C2">
        <w:t>fetusa.</w:t>
      </w:r>
    </w:p>
    <w:p w:rsidR="00FE5E30" w:rsidRPr="000D70C2" w:rsidRDefault="000534A2" w:rsidP="00A0130D">
      <w:pPr>
        <w:pStyle w:val="BodyText"/>
        <w:ind w:left="454" w:right="113" w:hanging="1"/>
        <w:jc w:val="both"/>
      </w:pPr>
      <w:r w:rsidRPr="000D70C2">
        <w:t>Na osnov</w:t>
      </w:r>
      <w:r w:rsidR="008F0D62" w:rsidRPr="000D70C2">
        <w:t>u</w:t>
      </w:r>
      <w:r w:rsidRPr="000D70C2">
        <w:t xml:space="preserve"> zabilježenih podatak</w:t>
      </w:r>
      <w:r w:rsidR="008F0D62" w:rsidRPr="000D70C2">
        <w:t>a za drugi lijek s</w:t>
      </w:r>
      <w:r w:rsidR="00C22392" w:rsidRPr="000D70C2">
        <w:t>a</w:t>
      </w:r>
      <w:r w:rsidR="008F0D62" w:rsidRPr="000D70C2">
        <w:t xml:space="preserve"> filgrastimom, </w:t>
      </w:r>
      <w:r w:rsidRPr="000D70C2">
        <w:t>sl</w:t>
      </w:r>
      <w:r w:rsidR="008F0D62" w:rsidRPr="000D70C2">
        <w:t xml:space="preserve">ičan </w:t>
      </w:r>
      <w:r w:rsidR="00C22392" w:rsidRPr="000D70C2">
        <w:t xml:space="preserve">lijeku </w:t>
      </w:r>
      <w:r w:rsidR="000A38B0">
        <w:t xml:space="preserve">Accofil </w:t>
      </w:r>
      <w:r w:rsidR="008F0D62" w:rsidRPr="000D70C2">
        <w:t>, zabilježeni su u</w:t>
      </w:r>
      <w:r w:rsidRPr="000D70C2">
        <w:t xml:space="preserve">poredivi rezultati te, dodatno, povećan broj malformacija fetusa pri 100 µg/kg/dan, što je doza koja je toksična kod majke i koja odgovara </w:t>
      </w:r>
      <w:r w:rsidR="004272FF" w:rsidRPr="000D70C2">
        <w:t>sistem</w:t>
      </w:r>
      <w:r w:rsidR="00393105" w:rsidRPr="000D70C2">
        <w:t>sko</w:t>
      </w:r>
      <w:r w:rsidRPr="000D70C2">
        <w:t xml:space="preserve">m izlaganju od oko 50-90 puta većem od izloženosti zabilježene </w:t>
      </w:r>
      <w:r w:rsidR="00E06721" w:rsidRPr="000D70C2">
        <w:t>kod pacijenata</w:t>
      </w:r>
      <w:r w:rsidRPr="000D70C2">
        <w:t xml:space="preserve"> koji su liječeni kliničkom dozom od 5 µg/kg/dan. </w:t>
      </w:r>
      <w:r w:rsidR="00C22392" w:rsidRPr="00FA5261">
        <w:t>Koncentracija</w:t>
      </w:r>
      <w:r w:rsidRPr="00FA5261">
        <w:t xml:space="preserve"> na kojoj ni</w:t>
      </w:r>
      <w:r w:rsidR="00FA5261" w:rsidRPr="00FA5261">
        <w:t>je</w:t>
      </w:r>
      <w:r w:rsidRPr="00FA5261">
        <w:t xml:space="preserve">su zabilježeni neželjeni </w:t>
      </w:r>
      <w:r w:rsidR="00C22392" w:rsidRPr="00FA5261">
        <w:t>efekt</w:t>
      </w:r>
      <w:r w:rsidRPr="00FA5261">
        <w:t xml:space="preserve">i </w:t>
      </w:r>
      <w:r w:rsidR="00FA5261">
        <w:t>u pogledu</w:t>
      </w:r>
      <w:r w:rsidR="00FA5261" w:rsidRPr="00FA5261">
        <w:t xml:space="preserve"> </w:t>
      </w:r>
      <w:r w:rsidRPr="00FA5261">
        <w:t>embriofetaln</w:t>
      </w:r>
      <w:r w:rsidR="00FA5261">
        <w:t>e</w:t>
      </w:r>
      <w:r w:rsidRPr="00FA5261">
        <w:t xml:space="preserve"> toksičnost</w:t>
      </w:r>
      <w:r w:rsidR="00200AF4">
        <w:t>i</w:t>
      </w:r>
      <w:r w:rsidRPr="000D70C2">
        <w:t xml:space="preserve"> u ovoj studiji iznosila je 10 µg/kg/dan, što je odgovaralo </w:t>
      </w:r>
      <w:r w:rsidR="004272FF" w:rsidRPr="000D70C2">
        <w:t>sistem</w:t>
      </w:r>
      <w:r w:rsidR="00FA5261">
        <w:t>sk</w:t>
      </w:r>
      <w:r w:rsidRPr="000D70C2">
        <w:t xml:space="preserve">oj izloženosti od </w:t>
      </w:r>
      <w:r w:rsidR="00FA5261">
        <w:t xml:space="preserve">približno </w:t>
      </w:r>
      <w:r w:rsidRPr="000D70C2">
        <w:t>3 do 5 puta ve</w:t>
      </w:r>
      <w:r w:rsidR="00C22392" w:rsidRPr="000D70C2">
        <w:t>ćoj od izloženosti zabilježene kod</w:t>
      </w:r>
      <w:r w:rsidRPr="000D70C2">
        <w:t xml:space="preserve"> pacijenata koj</w:t>
      </w:r>
      <w:r w:rsidR="00C22392" w:rsidRPr="000D70C2">
        <w:t>i su liječeni kliničkom dozom. Kod gravidnih ženki pacov</w:t>
      </w:r>
      <w:r w:rsidRPr="000D70C2">
        <w:t xml:space="preserve">a nije zabilježena toksičnost kod majke niti fetalna toksičnost pri dozama do 575 µg/kg/dan. Potomci </w:t>
      </w:r>
      <w:r w:rsidR="00C22392" w:rsidRPr="000D70C2">
        <w:t>pacov</w:t>
      </w:r>
      <w:r w:rsidRPr="000D70C2">
        <w:t xml:space="preserve">a koji su primali filgrastim </w:t>
      </w:r>
      <w:r w:rsidR="004272FF" w:rsidRPr="000D70C2">
        <w:t>tokom</w:t>
      </w:r>
      <w:r w:rsidRPr="000D70C2">
        <w:t xml:space="preserve"> perinatalnog </w:t>
      </w:r>
      <w:r w:rsidR="004272FF" w:rsidRPr="000D70C2">
        <w:t>period</w:t>
      </w:r>
      <w:r w:rsidRPr="000D70C2">
        <w:t xml:space="preserve">a i </w:t>
      </w:r>
      <w:r w:rsidR="004272FF" w:rsidRPr="000D70C2">
        <w:t>period</w:t>
      </w:r>
      <w:r w:rsidRPr="000D70C2">
        <w:t xml:space="preserve">a dojenja zaostajali </w:t>
      </w:r>
      <w:r w:rsidR="00FA5261">
        <w:t xml:space="preserve">su </w:t>
      </w:r>
      <w:r w:rsidRPr="000D70C2">
        <w:t>u vanjskoj diferencijaciji, imali usporen rast (≥20 µg/kg/dan) i nešto manju stopu preživljenja (100 µg/kg/dan).</w:t>
      </w:r>
    </w:p>
    <w:p w:rsidR="00FE5E30" w:rsidRPr="000D70C2" w:rsidRDefault="00C22392" w:rsidP="00A0130D">
      <w:pPr>
        <w:pStyle w:val="BodyText"/>
        <w:spacing w:line="252" w:lineRule="exact"/>
        <w:ind w:left="454" w:right="113"/>
        <w:jc w:val="both"/>
      </w:pPr>
      <w:r w:rsidRPr="000D70C2">
        <w:t>Nije zabilježen uti</w:t>
      </w:r>
      <w:r w:rsidR="000534A2" w:rsidRPr="000D70C2">
        <w:t xml:space="preserve">caj filgrastima na plodnost mužjaka ili ženki </w:t>
      </w:r>
      <w:r w:rsidRPr="000D70C2">
        <w:t>pacov</w:t>
      </w:r>
      <w:r w:rsidR="000534A2" w:rsidRPr="000D70C2">
        <w:t>a.</w:t>
      </w:r>
    </w:p>
    <w:p w:rsidR="00FE5E30" w:rsidRPr="00243A59" w:rsidRDefault="00FE5E30" w:rsidP="00A0130D">
      <w:pPr>
        <w:pStyle w:val="BodyText"/>
        <w:jc w:val="both"/>
        <w:rPr>
          <w:color w:val="FF0000"/>
          <w:sz w:val="24"/>
        </w:rPr>
      </w:pPr>
    </w:p>
    <w:p w:rsidR="00FE5E30" w:rsidRPr="00243A59" w:rsidRDefault="00FE5E30" w:rsidP="00A0130D">
      <w:pPr>
        <w:pStyle w:val="BodyText"/>
        <w:spacing w:before="3"/>
        <w:jc w:val="both"/>
        <w:rPr>
          <w:color w:val="FF0000"/>
          <w:sz w:val="20"/>
        </w:rPr>
      </w:pPr>
    </w:p>
    <w:p w:rsidR="00FE5E30" w:rsidRPr="000D70C2" w:rsidRDefault="000534A2" w:rsidP="00A0130D">
      <w:pPr>
        <w:pStyle w:val="Heading1"/>
        <w:numPr>
          <w:ilvl w:val="0"/>
          <w:numId w:val="18"/>
        </w:numPr>
        <w:tabs>
          <w:tab w:val="left" w:pos="878"/>
          <w:tab w:val="left" w:pos="879"/>
        </w:tabs>
        <w:spacing w:before="1"/>
        <w:ind w:left="878" w:hanging="417"/>
        <w:jc w:val="both"/>
      </w:pPr>
      <w:r w:rsidRPr="000D70C2">
        <w:t>FARMACEUTSKI</w:t>
      </w:r>
      <w:r w:rsidRPr="000D70C2">
        <w:rPr>
          <w:spacing w:val="-2"/>
        </w:rPr>
        <w:t xml:space="preserve"> </w:t>
      </w:r>
      <w:r w:rsidRPr="000D70C2">
        <w:rPr>
          <w:spacing w:val="-3"/>
        </w:rPr>
        <w:t>PODACI</w:t>
      </w:r>
    </w:p>
    <w:p w:rsidR="00FE5E30" w:rsidRPr="000D70C2" w:rsidRDefault="00FE5E30" w:rsidP="00A0130D">
      <w:pPr>
        <w:pStyle w:val="BodyText"/>
        <w:spacing w:before="2"/>
        <w:jc w:val="both"/>
        <w:rPr>
          <w:b/>
        </w:rPr>
      </w:pPr>
    </w:p>
    <w:p w:rsidR="00FE5E30" w:rsidRPr="000D70C2" w:rsidRDefault="000B6F39" w:rsidP="00A0130D">
      <w:pPr>
        <w:pStyle w:val="ListParagraph"/>
        <w:numPr>
          <w:ilvl w:val="1"/>
          <w:numId w:val="18"/>
        </w:numPr>
        <w:tabs>
          <w:tab w:val="left" w:pos="879"/>
        </w:tabs>
        <w:ind w:left="878" w:hanging="417"/>
        <w:jc w:val="both"/>
        <w:rPr>
          <w:b/>
        </w:rPr>
      </w:pPr>
      <w:r w:rsidRPr="000D70C2">
        <w:rPr>
          <w:b/>
        </w:rPr>
        <w:t>L</w:t>
      </w:r>
      <w:r w:rsidR="000534A2" w:rsidRPr="000D70C2">
        <w:rPr>
          <w:b/>
        </w:rPr>
        <w:t>is</w:t>
      </w:r>
      <w:r w:rsidRPr="000D70C2">
        <w:rPr>
          <w:b/>
        </w:rPr>
        <w:t>ta</w:t>
      </w:r>
      <w:r w:rsidR="000534A2" w:rsidRPr="000D70C2">
        <w:rPr>
          <w:b/>
        </w:rPr>
        <w:t xml:space="preserve"> pomoćnih</w:t>
      </w:r>
      <w:r w:rsidR="000534A2" w:rsidRPr="000D70C2">
        <w:rPr>
          <w:b/>
          <w:spacing w:val="2"/>
        </w:rPr>
        <w:t xml:space="preserve"> </w:t>
      </w:r>
      <w:r w:rsidRPr="000D70C2">
        <w:rPr>
          <w:b/>
          <w:spacing w:val="2"/>
        </w:rPr>
        <w:t>supstanci (ekscipijenasa)</w:t>
      </w:r>
    </w:p>
    <w:p w:rsidR="00FE5E30" w:rsidRPr="000D70C2" w:rsidRDefault="00FE5E30" w:rsidP="00A0130D">
      <w:pPr>
        <w:pStyle w:val="BodyText"/>
        <w:spacing w:before="5"/>
        <w:jc w:val="both"/>
        <w:rPr>
          <w:b/>
          <w:sz w:val="21"/>
        </w:rPr>
      </w:pPr>
    </w:p>
    <w:p w:rsidR="00CB780D" w:rsidRDefault="00CA7A72" w:rsidP="00124391">
      <w:pPr>
        <w:pStyle w:val="BodyText"/>
        <w:ind w:left="461"/>
        <w:jc w:val="both"/>
      </w:pPr>
      <w:r w:rsidRPr="000D70C2">
        <w:t>Sirćetna kiselina,</w:t>
      </w:r>
      <w:r w:rsidR="00CB780D">
        <w:t xml:space="preserve"> glacijalna</w:t>
      </w:r>
    </w:p>
    <w:p w:rsidR="00124391" w:rsidRDefault="00CA7A72" w:rsidP="00124391">
      <w:pPr>
        <w:pStyle w:val="BodyText"/>
        <w:ind w:left="461"/>
        <w:jc w:val="both"/>
      </w:pPr>
      <w:r w:rsidRPr="000D70C2">
        <w:t xml:space="preserve">Natrijum hidroksid </w:t>
      </w:r>
    </w:p>
    <w:p w:rsidR="00124391" w:rsidRDefault="00CA7A72" w:rsidP="00124391">
      <w:pPr>
        <w:pStyle w:val="BodyText"/>
        <w:ind w:left="461"/>
        <w:jc w:val="both"/>
      </w:pPr>
      <w:r w:rsidRPr="000D70C2">
        <w:t xml:space="preserve">Sorbitol (E420) </w:t>
      </w:r>
    </w:p>
    <w:p w:rsidR="00FE5E30" w:rsidRPr="000D70C2" w:rsidRDefault="00CA7A72" w:rsidP="00124391">
      <w:pPr>
        <w:pStyle w:val="BodyText"/>
        <w:ind w:left="461"/>
        <w:jc w:val="both"/>
      </w:pPr>
      <w:r w:rsidRPr="000D70C2">
        <w:t>P</w:t>
      </w:r>
      <w:r w:rsidR="000534A2" w:rsidRPr="000D70C2">
        <w:t>olisorbat 80</w:t>
      </w:r>
    </w:p>
    <w:p w:rsidR="00FE5E30" w:rsidRPr="000D70C2" w:rsidRDefault="00CA7A72" w:rsidP="00124391">
      <w:pPr>
        <w:pStyle w:val="BodyText"/>
        <w:ind w:left="461"/>
        <w:jc w:val="both"/>
      </w:pPr>
      <w:r w:rsidRPr="000D70C2">
        <w:t>V</w:t>
      </w:r>
      <w:r w:rsidR="000534A2" w:rsidRPr="000D70C2">
        <w:t>oda za injekcije</w:t>
      </w:r>
    </w:p>
    <w:p w:rsidR="00FE5E30" w:rsidRDefault="00FE5E30" w:rsidP="00A0130D">
      <w:pPr>
        <w:pStyle w:val="BodyText"/>
        <w:spacing w:before="2"/>
        <w:jc w:val="both"/>
      </w:pPr>
    </w:p>
    <w:p w:rsidR="000A38B0" w:rsidRDefault="000A38B0" w:rsidP="00A0130D">
      <w:pPr>
        <w:pStyle w:val="BodyText"/>
        <w:spacing w:before="2"/>
        <w:jc w:val="both"/>
      </w:pPr>
    </w:p>
    <w:p w:rsidR="000A38B0" w:rsidRPr="000D70C2" w:rsidRDefault="000A38B0" w:rsidP="00A0130D">
      <w:pPr>
        <w:pStyle w:val="BodyText"/>
        <w:spacing w:before="2"/>
        <w:jc w:val="both"/>
      </w:pPr>
    </w:p>
    <w:p w:rsidR="00FE5E30" w:rsidRPr="000D70C2" w:rsidRDefault="000534A2" w:rsidP="00A0130D">
      <w:pPr>
        <w:pStyle w:val="Heading1"/>
        <w:numPr>
          <w:ilvl w:val="1"/>
          <w:numId w:val="18"/>
        </w:numPr>
        <w:tabs>
          <w:tab w:val="left" w:pos="880"/>
        </w:tabs>
        <w:spacing w:before="1"/>
        <w:ind w:left="879"/>
        <w:jc w:val="both"/>
      </w:pPr>
      <w:r w:rsidRPr="000D70C2">
        <w:lastRenderedPageBreak/>
        <w:t>Inkompatibilnosti</w:t>
      </w:r>
    </w:p>
    <w:p w:rsidR="00FE5E30" w:rsidRPr="000D70C2" w:rsidRDefault="00FE5E30" w:rsidP="00A0130D">
      <w:pPr>
        <w:pStyle w:val="BodyText"/>
        <w:spacing w:before="9"/>
        <w:jc w:val="both"/>
        <w:rPr>
          <w:b/>
          <w:sz w:val="21"/>
        </w:rPr>
      </w:pPr>
    </w:p>
    <w:p w:rsidR="00FE5E30" w:rsidRPr="000D70C2" w:rsidRDefault="00310F5B" w:rsidP="00A0130D">
      <w:pPr>
        <w:pStyle w:val="BodyText"/>
        <w:ind w:left="461"/>
        <w:jc w:val="both"/>
      </w:pPr>
      <w:r w:rsidRPr="000D70C2">
        <w:t xml:space="preserve">Lijek </w:t>
      </w:r>
      <w:r w:rsidR="000A38B0">
        <w:t xml:space="preserve">Accofil </w:t>
      </w:r>
      <w:r w:rsidRPr="000D70C2">
        <w:t>se ne smije razblaži</w:t>
      </w:r>
      <w:r w:rsidR="000534A2" w:rsidRPr="000D70C2">
        <w:t xml:space="preserve">vati </w:t>
      </w:r>
      <w:r w:rsidR="004C406E" w:rsidRPr="000D70C2">
        <w:t>rastvor</w:t>
      </w:r>
      <w:r w:rsidRPr="000D70C2">
        <w:t>om</w:t>
      </w:r>
      <w:r w:rsidR="00D337BC" w:rsidRPr="000D70C2">
        <w:t xml:space="preserve"> natrij</w:t>
      </w:r>
      <w:r w:rsidRPr="000D70C2">
        <w:t>um h</w:t>
      </w:r>
      <w:r w:rsidR="000534A2" w:rsidRPr="000D70C2">
        <w:t>lorida.</w:t>
      </w:r>
    </w:p>
    <w:p w:rsidR="00FE5E30" w:rsidRPr="000D70C2" w:rsidRDefault="00124391" w:rsidP="00124391">
      <w:pPr>
        <w:pStyle w:val="BodyText"/>
        <w:jc w:val="both"/>
      </w:pPr>
      <w:r>
        <w:t xml:space="preserve">        </w:t>
      </w:r>
      <w:r w:rsidR="00D337BC" w:rsidRPr="00124391">
        <w:t xml:space="preserve">Rekonstituisani filgrastim može se </w:t>
      </w:r>
      <w:r w:rsidR="001D738F" w:rsidRPr="00124391">
        <w:t>ad</w:t>
      </w:r>
      <w:r w:rsidR="00D337BC" w:rsidRPr="00124391">
        <w:t xml:space="preserve">sorbovati </w:t>
      </w:r>
      <w:r w:rsidR="000534A2" w:rsidRPr="000D70C2">
        <w:t>na staklo i plastične materijale.</w:t>
      </w:r>
    </w:p>
    <w:p w:rsidR="00FE5E30" w:rsidRPr="000D70C2" w:rsidRDefault="00124391" w:rsidP="00124391">
      <w:pPr>
        <w:pStyle w:val="BodyText"/>
        <w:jc w:val="both"/>
      </w:pPr>
      <w:r>
        <w:t xml:space="preserve">        </w:t>
      </w:r>
      <w:r w:rsidR="000534A2" w:rsidRPr="000D70C2">
        <w:t>Lijek se ne smije miješati s</w:t>
      </w:r>
      <w:r w:rsidR="00D337BC" w:rsidRPr="000D70C2">
        <w:t>a drugim l</w:t>
      </w:r>
      <w:r w:rsidR="000534A2" w:rsidRPr="000D70C2">
        <w:t xml:space="preserve">jekovima osim onih navedenih u dijelu </w:t>
      </w:r>
      <w:hyperlink w:anchor="_bookmark4" w:history="1">
        <w:r w:rsidR="000534A2" w:rsidRPr="000D70C2">
          <w:t>6.6.</w:t>
        </w:r>
      </w:hyperlink>
    </w:p>
    <w:p w:rsidR="00FE5E30" w:rsidRPr="000D70C2" w:rsidRDefault="00FE5E30" w:rsidP="00A0130D">
      <w:pPr>
        <w:pStyle w:val="BodyText"/>
        <w:spacing w:before="3"/>
        <w:jc w:val="both"/>
      </w:pPr>
    </w:p>
    <w:p w:rsidR="00FE5E30" w:rsidRPr="000D70C2" w:rsidRDefault="000534A2" w:rsidP="00A0130D">
      <w:pPr>
        <w:pStyle w:val="Heading1"/>
        <w:numPr>
          <w:ilvl w:val="1"/>
          <w:numId w:val="18"/>
        </w:numPr>
        <w:tabs>
          <w:tab w:val="left" w:pos="881"/>
        </w:tabs>
        <w:ind w:left="880"/>
        <w:jc w:val="both"/>
      </w:pPr>
      <w:r w:rsidRPr="000D70C2">
        <w:t>Rok</w:t>
      </w:r>
      <w:r w:rsidRPr="000D70C2">
        <w:rPr>
          <w:spacing w:val="-5"/>
        </w:rPr>
        <w:t xml:space="preserve"> </w:t>
      </w:r>
      <w:r w:rsidR="000B6F39" w:rsidRPr="000D70C2">
        <w:t>upotrebe</w:t>
      </w:r>
    </w:p>
    <w:p w:rsidR="00FE5E30" w:rsidRPr="000D70C2" w:rsidRDefault="00FE5E30" w:rsidP="00A0130D">
      <w:pPr>
        <w:pStyle w:val="BodyText"/>
        <w:spacing w:before="4"/>
        <w:jc w:val="both"/>
        <w:rPr>
          <w:b/>
          <w:sz w:val="21"/>
        </w:rPr>
      </w:pPr>
    </w:p>
    <w:p w:rsidR="00FE5E30" w:rsidRPr="000D70C2" w:rsidRDefault="000534A2" w:rsidP="00A0130D">
      <w:pPr>
        <w:pStyle w:val="BodyText"/>
        <w:ind w:left="462"/>
        <w:jc w:val="both"/>
      </w:pPr>
      <w:r w:rsidRPr="000D70C2">
        <w:t>3 godine.</w:t>
      </w:r>
    </w:p>
    <w:p w:rsidR="00FE5E30" w:rsidRPr="000D70C2" w:rsidRDefault="00FE5E30" w:rsidP="00A0130D">
      <w:pPr>
        <w:pStyle w:val="BodyText"/>
        <w:spacing w:before="3"/>
        <w:jc w:val="both"/>
      </w:pPr>
    </w:p>
    <w:p w:rsidR="00FE5E30" w:rsidRPr="000D70C2" w:rsidRDefault="00554B0A" w:rsidP="00A0130D">
      <w:pPr>
        <w:pStyle w:val="BodyText"/>
        <w:ind w:left="454" w:right="113" w:hanging="1"/>
        <w:jc w:val="both"/>
      </w:pPr>
      <w:r w:rsidRPr="000D70C2">
        <w:t>Dokazana je h</w:t>
      </w:r>
      <w:r w:rsidR="000534A2" w:rsidRPr="000D70C2">
        <w:t>emijska i fizi</w:t>
      </w:r>
      <w:r w:rsidRPr="000D70C2">
        <w:t>č</w:t>
      </w:r>
      <w:r w:rsidR="000534A2" w:rsidRPr="000D70C2">
        <w:t>ka stabilnost raz</w:t>
      </w:r>
      <w:r w:rsidRPr="000D70C2">
        <w:t>blaženog</w:t>
      </w:r>
      <w:r w:rsidR="000534A2" w:rsidRPr="000D70C2">
        <w:t xml:space="preserve"> </w:t>
      </w:r>
      <w:r w:rsidR="001923F3" w:rsidRPr="000D70C2">
        <w:t>rastvor</w:t>
      </w:r>
      <w:r w:rsidRPr="000D70C2">
        <w:t>a</w:t>
      </w:r>
      <w:r w:rsidR="000534A2" w:rsidRPr="000D70C2">
        <w:t xml:space="preserve"> za infuziju u primjeni u trajanju od 24 sata na temperaturi od 2 °C do 8 °C. S</w:t>
      </w:r>
      <w:r w:rsidR="00567A01">
        <w:t>a</w:t>
      </w:r>
      <w:r w:rsidR="000534A2" w:rsidRPr="000D70C2">
        <w:t xml:space="preserve"> mikrobiološkog sta</w:t>
      </w:r>
      <w:r w:rsidRPr="000D70C2">
        <w:t>novi</w:t>
      </w:r>
      <w:r w:rsidR="000534A2" w:rsidRPr="000D70C2">
        <w:t>šta, lijek je potrebno odmah primijeniti. Ako se n</w:t>
      </w:r>
      <w:r w:rsidRPr="000D70C2">
        <w:t>e primijeni odmah, trajanje i uslov</w:t>
      </w:r>
      <w:r w:rsidR="000534A2" w:rsidRPr="000D70C2">
        <w:t>i čuvanja lijeka prije upo</w:t>
      </w:r>
      <w:r w:rsidRPr="000D70C2">
        <w:t>t</w:t>
      </w:r>
      <w:r w:rsidR="000534A2" w:rsidRPr="000D70C2">
        <w:t>r</w:t>
      </w:r>
      <w:r w:rsidRPr="000D70C2">
        <w:t>e</w:t>
      </w:r>
      <w:r w:rsidR="000534A2" w:rsidRPr="000D70C2">
        <w:t>be</w:t>
      </w:r>
      <w:r w:rsidRPr="000D70C2">
        <w:t xml:space="preserve"> su</w:t>
      </w:r>
      <w:r w:rsidR="000534A2" w:rsidRPr="000D70C2">
        <w:t xml:space="preserve"> odgovornost korisnika i oni obično ne bi smjeli iznositi više od 24 sata na temperaturi od 2 °C do 8 °C, osim ako </w:t>
      </w:r>
      <w:r w:rsidR="00567A01">
        <w:t xml:space="preserve">je </w:t>
      </w:r>
      <w:r w:rsidR="000534A2" w:rsidRPr="000D70C2">
        <w:t xml:space="preserve">razrjeđivanje </w:t>
      </w:r>
      <w:r w:rsidRPr="000D70C2">
        <w:t>vrš</w:t>
      </w:r>
      <w:r w:rsidR="00C5403E" w:rsidRPr="000D70C2">
        <w:t>e</w:t>
      </w:r>
      <w:r w:rsidR="000534A2" w:rsidRPr="000D70C2">
        <w:t>no u kontroli</w:t>
      </w:r>
      <w:r w:rsidRPr="000D70C2">
        <w:t>s</w:t>
      </w:r>
      <w:r w:rsidR="000534A2" w:rsidRPr="000D70C2">
        <w:t>anim i validiranim aseptičkim u</w:t>
      </w:r>
      <w:r w:rsidRPr="000D70C2">
        <w:t>slo</w:t>
      </w:r>
      <w:r w:rsidR="000534A2" w:rsidRPr="000D70C2">
        <w:t>vima.</w:t>
      </w:r>
    </w:p>
    <w:p w:rsidR="00A51522" w:rsidRPr="00243A59" w:rsidRDefault="00A51522" w:rsidP="00A0130D">
      <w:pPr>
        <w:pStyle w:val="BodyText"/>
        <w:ind w:left="454" w:right="113" w:hanging="1"/>
        <w:jc w:val="both"/>
        <w:rPr>
          <w:color w:val="FF0000"/>
        </w:rPr>
      </w:pPr>
    </w:p>
    <w:p w:rsidR="00FE5E30" w:rsidRPr="00CC41AD" w:rsidRDefault="000534A2" w:rsidP="00A0130D">
      <w:pPr>
        <w:pStyle w:val="Heading1"/>
        <w:numPr>
          <w:ilvl w:val="1"/>
          <w:numId w:val="18"/>
        </w:numPr>
        <w:tabs>
          <w:tab w:val="left" w:pos="878"/>
        </w:tabs>
        <w:spacing w:before="65"/>
        <w:ind w:left="454" w:right="113" w:hanging="417"/>
        <w:jc w:val="both"/>
      </w:pPr>
      <w:r w:rsidRPr="00CC41AD">
        <w:t xml:space="preserve">Posebne mjere </w:t>
      </w:r>
      <w:r w:rsidR="000B6F39" w:rsidRPr="00CC41AD">
        <w:t xml:space="preserve">upozorenja </w:t>
      </w:r>
      <w:r w:rsidRPr="00CC41AD">
        <w:t>pri čuvanju</w:t>
      </w:r>
      <w:r w:rsidRPr="00CC41AD">
        <w:rPr>
          <w:spacing w:val="2"/>
        </w:rPr>
        <w:t xml:space="preserve"> </w:t>
      </w:r>
      <w:r w:rsidRPr="00CC41AD">
        <w:t>lijeka</w:t>
      </w:r>
    </w:p>
    <w:p w:rsidR="00FE5E30" w:rsidRPr="00CC41AD" w:rsidRDefault="00FE5E30" w:rsidP="00A0130D">
      <w:pPr>
        <w:pStyle w:val="BodyText"/>
        <w:spacing w:before="4"/>
        <w:ind w:left="454" w:right="113"/>
        <w:jc w:val="both"/>
        <w:rPr>
          <w:b/>
          <w:sz w:val="21"/>
        </w:rPr>
      </w:pPr>
    </w:p>
    <w:p w:rsidR="00FE5E30" w:rsidRPr="00CC41AD" w:rsidRDefault="00FB4B40" w:rsidP="00A0130D">
      <w:pPr>
        <w:pStyle w:val="BodyText"/>
        <w:ind w:left="454" w:right="113"/>
        <w:jc w:val="both"/>
      </w:pPr>
      <w:r w:rsidRPr="00CC41AD">
        <w:t>Lijek čuvati u frižider</w:t>
      </w:r>
      <w:r w:rsidR="000534A2" w:rsidRPr="00CC41AD">
        <w:t>u (2 °C-8 °C). Ne zamrzavati.</w:t>
      </w:r>
    </w:p>
    <w:p w:rsidR="00FE5E30" w:rsidRPr="00CC41AD" w:rsidRDefault="00FE5E30" w:rsidP="00A0130D">
      <w:pPr>
        <w:pStyle w:val="BodyText"/>
        <w:spacing w:before="3"/>
        <w:ind w:left="454" w:right="113"/>
        <w:jc w:val="both"/>
      </w:pPr>
    </w:p>
    <w:p w:rsidR="00FE5E30" w:rsidRPr="00CC41AD" w:rsidRDefault="004B1DA3" w:rsidP="00A0130D">
      <w:pPr>
        <w:pStyle w:val="BodyText"/>
        <w:ind w:left="454" w:right="113" w:hanging="1"/>
        <w:jc w:val="both"/>
      </w:pPr>
      <w:r w:rsidRPr="00CC41AD">
        <w:t>Slučaj</w:t>
      </w:r>
      <w:r w:rsidR="000534A2" w:rsidRPr="00CC41AD">
        <w:t xml:space="preserve">no jednokratno izlaganje </w:t>
      </w:r>
      <w:r w:rsidRPr="00CC41AD">
        <w:t>temperaturama zamrzavanja ne utiče štetno n</w:t>
      </w:r>
      <w:r w:rsidR="000534A2" w:rsidRPr="00CC41AD">
        <w:t xml:space="preserve">a stabilnost </w:t>
      </w:r>
      <w:r w:rsidRPr="00CC41AD">
        <w:t xml:space="preserve">lijeka </w:t>
      </w:r>
      <w:r w:rsidR="000A38B0">
        <w:t>Accofil</w:t>
      </w:r>
      <w:r w:rsidR="000534A2" w:rsidRPr="00CC41AD">
        <w:t xml:space="preserve">. Ako je izloženost </w:t>
      </w:r>
      <w:r w:rsidRPr="00CC41AD">
        <w:t xml:space="preserve">lijeka </w:t>
      </w:r>
      <w:r w:rsidR="000A38B0">
        <w:t>Accofil</w:t>
      </w:r>
      <w:r w:rsidR="000534A2" w:rsidRPr="00CC41AD">
        <w:t xml:space="preserve"> trajala du</w:t>
      </w:r>
      <w:r w:rsidRPr="00CC41AD">
        <w:t>ž</w:t>
      </w:r>
      <w:r w:rsidR="000534A2" w:rsidRPr="00CC41AD">
        <w:t>e od 24 sata ili je bio zamrznut više od jedn</w:t>
      </w:r>
      <w:r w:rsidRPr="00CC41AD">
        <w:t>om</w:t>
      </w:r>
      <w:r w:rsidR="000534A2" w:rsidRPr="00CC41AD">
        <w:t>, NE SMIJE se upotrijebiti.</w:t>
      </w:r>
    </w:p>
    <w:p w:rsidR="00FE5E30" w:rsidRPr="00CC41AD" w:rsidRDefault="00FE5E30" w:rsidP="00A0130D">
      <w:pPr>
        <w:pStyle w:val="BodyText"/>
        <w:ind w:left="454" w:right="113"/>
        <w:jc w:val="both"/>
      </w:pPr>
    </w:p>
    <w:p w:rsidR="00FE5E30" w:rsidRPr="00CC41AD" w:rsidRDefault="000534A2" w:rsidP="00A0130D">
      <w:pPr>
        <w:pStyle w:val="BodyText"/>
        <w:spacing w:before="1"/>
        <w:ind w:left="454" w:right="113"/>
        <w:jc w:val="both"/>
      </w:pPr>
      <w:r w:rsidRPr="00CC41AD">
        <w:t xml:space="preserve">Unutar roka </w:t>
      </w:r>
      <w:r w:rsidR="007A0498" w:rsidRPr="00CC41AD">
        <w:t>upotrebe</w:t>
      </w:r>
      <w:r w:rsidRPr="00CC41AD">
        <w:t>, za potrebe kućne primjene</w:t>
      </w:r>
      <w:r w:rsidR="007A0498" w:rsidRPr="00CC41AD">
        <w:t>, pacijent</w:t>
      </w:r>
      <w:r w:rsidRPr="00CC41AD">
        <w:t xml:space="preserve"> može izvaditi lijek iz </w:t>
      </w:r>
      <w:r w:rsidR="007A0498" w:rsidRPr="00CC41AD">
        <w:t>frižider</w:t>
      </w:r>
      <w:r w:rsidRPr="00CC41AD">
        <w:t xml:space="preserve">a i čuvati ga na sobnoj temperaturi (ne na temperaturi iznad 25°C) jednokratno u </w:t>
      </w:r>
      <w:r w:rsidR="007A0498" w:rsidRPr="00CC41AD">
        <w:t>period</w:t>
      </w:r>
      <w:r w:rsidRPr="00CC41AD">
        <w:t xml:space="preserve">u do 15 dana. Na kraju tog </w:t>
      </w:r>
      <w:r w:rsidR="007A0498" w:rsidRPr="00CC41AD">
        <w:t>period</w:t>
      </w:r>
      <w:r w:rsidRPr="00CC41AD">
        <w:t xml:space="preserve">a lijek se ne smije vratiti u </w:t>
      </w:r>
      <w:r w:rsidR="007A0498" w:rsidRPr="00CC41AD">
        <w:t>frižider, već se mora baciti</w:t>
      </w:r>
      <w:r w:rsidRPr="00CC41AD">
        <w:t>.</w:t>
      </w:r>
    </w:p>
    <w:p w:rsidR="00FE5E30" w:rsidRPr="00CC41AD" w:rsidRDefault="00FE5E30" w:rsidP="00A0130D">
      <w:pPr>
        <w:pStyle w:val="BodyText"/>
        <w:spacing w:before="7"/>
        <w:ind w:left="454" w:right="113"/>
        <w:jc w:val="both"/>
        <w:rPr>
          <w:sz w:val="21"/>
        </w:rPr>
      </w:pPr>
    </w:p>
    <w:p w:rsidR="004E197F" w:rsidRDefault="004E197F" w:rsidP="00A0130D">
      <w:pPr>
        <w:pStyle w:val="BodyText"/>
        <w:ind w:left="454" w:right="113"/>
        <w:jc w:val="both"/>
      </w:pPr>
      <w:r>
        <w:t>Napunjeni injekcioni š</w:t>
      </w:r>
      <w:r w:rsidR="001923F3" w:rsidRPr="00CC41AD">
        <w:t>pric</w:t>
      </w:r>
      <w:r w:rsidR="000534A2" w:rsidRPr="00CC41AD">
        <w:t xml:space="preserve"> čuvati u </w:t>
      </w:r>
      <w:r w:rsidR="00257DA5" w:rsidRPr="00CC41AD">
        <w:t>spoljašnjem pakov</w:t>
      </w:r>
      <w:r w:rsidR="000534A2" w:rsidRPr="00CC41AD">
        <w:t>anju radi</w:t>
      </w:r>
      <w:r>
        <w:t xml:space="preserve"> </w:t>
      </w:r>
      <w:r w:rsidR="000534A2" w:rsidRPr="00CC41AD">
        <w:t xml:space="preserve">zaštite od svjetlosti. </w:t>
      </w:r>
    </w:p>
    <w:p w:rsidR="004E197F" w:rsidRDefault="004E197F" w:rsidP="00A0130D">
      <w:pPr>
        <w:pStyle w:val="BodyText"/>
        <w:ind w:left="460" w:right="3228"/>
        <w:jc w:val="both"/>
      </w:pPr>
    </w:p>
    <w:p w:rsidR="00FE5E30" w:rsidRDefault="000534A2" w:rsidP="00A0130D">
      <w:pPr>
        <w:pStyle w:val="BodyText"/>
        <w:ind w:left="460" w:right="3228"/>
        <w:jc w:val="both"/>
      </w:pPr>
      <w:r w:rsidRPr="00CC41AD">
        <w:t>U</w:t>
      </w:r>
      <w:r w:rsidR="00257DA5" w:rsidRPr="00CC41AD">
        <w:t>slov</w:t>
      </w:r>
      <w:r w:rsidRPr="00CC41AD">
        <w:t xml:space="preserve">e čuvanja razrijeđenog lijeka vidjeti u dijelu </w:t>
      </w:r>
      <w:hyperlink w:anchor="_bookmark3" w:history="1">
        <w:r w:rsidRPr="00CC41AD">
          <w:t>6.3.</w:t>
        </w:r>
      </w:hyperlink>
    </w:p>
    <w:p w:rsidR="004E197F" w:rsidRPr="00CC41AD" w:rsidRDefault="004E197F" w:rsidP="00A0130D">
      <w:pPr>
        <w:pStyle w:val="BodyText"/>
        <w:ind w:left="460" w:right="3228"/>
        <w:jc w:val="both"/>
      </w:pPr>
    </w:p>
    <w:p w:rsidR="00FE5E30" w:rsidRPr="00CC41AD" w:rsidRDefault="000534A2" w:rsidP="00A0130D">
      <w:pPr>
        <w:pStyle w:val="Heading1"/>
        <w:numPr>
          <w:ilvl w:val="1"/>
          <w:numId w:val="18"/>
        </w:numPr>
        <w:tabs>
          <w:tab w:val="left" w:pos="937"/>
        </w:tabs>
        <w:ind w:left="936" w:hanging="476"/>
        <w:jc w:val="both"/>
      </w:pPr>
      <w:r w:rsidRPr="00CC41AD">
        <w:t>Vrsta i sadržaj</w:t>
      </w:r>
      <w:r w:rsidRPr="00CC41AD">
        <w:rPr>
          <w:spacing w:val="-5"/>
        </w:rPr>
        <w:t xml:space="preserve"> </w:t>
      </w:r>
      <w:r w:rsidR="000B6F39" w:rsidRPr="00CC41AD">
        <w:t>pa</w:t>
      </w:r>
      <w:r w:rsidRPr="00CC41AD">
        <w:t>k</w:t>
      </w:r>
      <w:r w:rsidR="000B6F39" w:rsidRPr="00CC41AD">
        <w:t>ovanj</w:t>
      </w:r>
      <w:r w:rsidRPr="00CC41AD">
        <w:t>a</w:t>
      </w:r>
    </w:p>
    <w:p w:rsidR="00FE5E30" w:rsidRPr="00CC41AD" w:rsidRDefault="00FE5E30" w:rsidP="00A0130D">
      <w:pPr>
        <w:pStyle w:val="BodyText"/>
        <w:spacing w:before="10"/>
        <w:jc w:val="both"/>
        <w:rPr>
          <w:b/>
          <w:sz w:val="21"/>
        </w:rPr>
      </w:pPr>
    </w:p>
    <w:p w:rsidR="00FE5E30" w:rsidRPr="00CC41AD" w:rsidRDefault="00D609A2" w:rsidP="00A0130D">
      <w:pPr>
        <w:pStyle w:val="BodyText"/>
        <w:ind w:left="454" w:right="113"/>
        <w:jc w:val="both"/>
      </w:pPr>
      <w:r w:rsidRPr="00CC41AD">
        <w:t>Napunjeni</w:t>
      </w:r>
      <w:r w:rsidR="00A8368B" w:rsidRPr="00CC41AD">
        <w:t xml:space="preserve"> injekcioni</w:t>
      </w:r>
      <w:r w:rsidR="000534A2" w:rsidRPr="00CC41AD">
        <w:t xml:space="preserve"> </w:t>
      </w:r>
      <w:r w:rsidR="001923F3" w:rsidRPr="00CC41AD">
        <w:t>špric</w:t>
      </w:r>
      <w:r w:rsidR="000534A2" w:rsidRPr="00CC41AD">
        <w:t>e</w:t>
      </w:r>
      <w:r w:rsidRPr="00CC41AD">
        <w:t>vi</w:t>
      </w:r>
      <w:r w:rsidR="000534A2" w:rsidRPr="00CC41AD">
        <w:t xml:space="preserve"> od stakla tip I s</w:t>
      </w:r>
      <w:r w:rsidR="00D3049D" w:rsidRPr="00CC41AD">
        <w:t>a</w:t>
      </w:r>
      <w:r w:rsidR="000534A2" w:rsidRPr="00CC41AD">
        <w:t xml:space="preserve"> neodvojivom iglom od nerđajućeg čelika na vrhu i gradacijskom skalom s</w:t>
      </w:r>
      <w:r w:rsidR="00D3049D" w:rsidRPr="00CC41AD">
        <w:t>a</w:t>
      </w:r>
      <w:r w:rsidR="000534A2" w:rsidRPr="00CC41AD">
        <w:t xml:space="preserve"> 1/40 otisnutim oznakama od 0,1 ml do 1 ml na tijelu </w:t>
      </w:r>
      <w:r w:rsidR="001923F3" w:rsidRPr="00CC41AD">
        <w:t>špric</w:t>
      </w:r>
      <w:r w:rsidR="00D3049D" w:rsidRPr="00CC41AD">
        <w:t>a. Poklopac igle na napunjenom</w:t>
      </w:r>
      <w:r w:rsidR="000534A2" w:rsidRPr="00CC41AD">
        <w:t xml:space="preserve"> </w:t>
      </w:r>
      <w:r w:rsidR="00A8368B" w:rsidRPr="00CC41AD">
        <w:t xml:space="preserve">injekcionom </w:t>
      </w:r>
      <w:r w:rsidR="001923F3" w:rsidRPr="00CC41AD">
        <w:t>špric</w:t>
      </w:r>
      <w:r w:rsidR="00D3049D" w:rsidRPr="00CC41AD">
        <w:t>u sadrži suv</w:t>
      </w:r>
      <w:r w:rsidR="000534A2" w:rsidRPr="00CC41AD">
        <w:t>u prirodnu gumu (vidjeti dio 4.4). Jed</w:t>
      </w:r>
      <w:r w:rsidR="00D3049D" w:rsidRPr="00CC41AD">
        <w:t>a</w:t>
      </w:r>
      <w:r w:rsidR="000534A2" w:rsidRPr="00CC41AD">
        <w:t>n</w:t>
      </w:r>
      <w:r w:rsidR="00D3049D" w:rsidRPr="00CC41AD">
        <w:t xml:space="preserve"> napunjen</w:t>
      </w:r>
      <w:r w:rsidR="000534A2" w:rsidRPr="00CC41AD">
        <w:t xml:space="preserve"> </w:t>
      </w:r>
      <w:r w:rsidR="00A8368B" w:rsidRPr="00CC41AD">
        <w:t xml:space="preserve">injekcioni </w:t>
      </w:r>
      <w:r w:rsidR="001923F3" w:rsidRPr="00CC41AD">
        <w:t>špric</w:t>
      </w:r>
      <w:r w:rsidR="000534A2" w:rsidRPr="00CC41AD">
        <w:t xml:space="preserve"> sadrži 0,5 ml </w:t>
      </w:r>
      <w:r w:rsidR="001923F3" w:rsidRPr="00CC41AD">
        <w:t>rastvor</w:t>
      </w:r>
      <w:r w:rsidR="00D3049D" w:rsidRPr="00CC41AD">
        <w:t>a</w:t>
      </w:r>
      <w:r w:rsidR="000534A2" w:rsidRPr="00CC41AD">
        <w:t>.</w:t>
      </w:r>
    </w:p>
    <w:p w:rsidR="00FE5E30" w:rsidRPr="00CC41AD" w:rsidRDefault="00FE5E30" w:rsidP="00A0130D">
      <w:pPr>
        <w:pStyle w:val="BodyText"/>
        <w:spacing w:before="8"/>
        <w:jc w:val="both"/>
        <w:rPr>
          <w:sz w:val="21"/>
        </w:rPr>
      </w:pPr>
    </w:p>
    <w:p w:rsidR="00FE5E30" w:rsidRPr="00CC41AD" w:rsidRDefault="00B711CF" w:rsidP="00A0130D">
      <w:pPr>
        <w:pStyle w:val="BodyText"/>
        <w:spacing w:before="1"/>
        <w:ind w:left="454" w:right="113"/>
        <w:jc w:val="both"/>
      </w:pPr>
      <w:r w:rsidRPr="00CC41AD">
        <w:t>Jedno pakov</w:t>
      </w:r>
      <w:r w:rsidR="000534A2" w:rsidRPr="00CC41AD">
        <w:t xml:space="preserve">anje sadrži pet napunjenih </w:t>
      </w:r>
      <w:r w:rsidR="00A8368B" w:rsidRPr="00CC41AD">
        <w:t xml:space="preserve">injekcionih </w:t>
      </w:r>
      <w:r w:rsidR="001923F3" w:rsidRPr="00CC41AD">
        <w:t>špric</w:t>
      </w:r>
      <w:r w:rsidR="00435375" w:rsidRPr="00CC41AD">
        <w:t>eva</w:t>
      </w:r>
      <w:r w:rsidR="000534A2" w:rsidRPr="00CC41AD">
        <w:t xml:space="preserve"> sa </w:t>
      </w:r>
      <w:r w:rsidR="00C415EE" w:rsidRPr="00CC41AD">
        <w:t>za</w:t>
      </w:r>
      <w:r w:rsidR="00D2552E" w:rsidRPr="00CC41AD">
        <w:t>štit</w:t>
      </w:r>
      <w:r w:rsidR="00C415EE" w:rsidRPr="00CC41AD">
        <w:t>om</w:t>
      </w:r>
      <w:r w:rsidR="00D2552E" w:rsidRPr="00CC41AD">
        <w:t xml:space="preserve"> za iglu i maramice natopljen</w:t>
      </w:r>
      <w:r w:rsidR="00CB7391" w:rsidRPr="00CC41AD">
        <w:t xml:space="preserve">e alkoholom. </w:t>
      </w:r>
    </w:p>
    <w:p w:rsidR="00FE5E30" w:rsidRPr="00243A59" w:rsidRDefault="00FE5E30" w:rsidP="00A0130D">
      <w:pPr>
        <w:pStyle w:val="BodyText"/>
        <w:spacing w:before="2"/>
        <w:jc w:val="both"/>
        <w:rPr>
          <w:color w:val="FF0000"/>
        </w:rPr>
      </w:pPr>
    </w:p>
    <w:p w:rsidR="00FE5E30" w:rsidRPr="00CC41AD" w:rsidRDefault="000534A2" w:rsidP="00A0130D">
      <w:pPr>
        <w:pStyle w:val="Heading1"/>
        <w:numPr>
          <w:ilvl w:val="1"/>
          <w:numId w:val="18"/>
        </w:numPr>
        <w:tabs>
          <w:tab w:val="left" w:pos="879"/>
        </w:tabs>
        <w:ind w:left="878" w:right="113"/>
        <w:jc w:val="both"/>
      </w:pPr>
      <w:r w:rsidRPr="00CC41AD">
        <w:t xml:space="preserve">Posebne mjere </w:t>
      </w:r>
      <w:r w:rsidR="000B6F39" w:rsidRPr="00CC41AD">
        <w:t>opreza pri odlaganju materijala koji treba odbaciti nakon primjena lijeka (</w:t>
      </w:r>
      <w:r w:rsidR="00165DF7" w:rsidRPr="00CC41AD">
        <w:t>i</w:t>
      </w:r>
      <w:r w:rsidR="000B6F39" w:rsidRPr="00CC41AD">
        <w:t xml:space="preserve"> druga uputstva za rukovanje lijekom) </w:t>
      </w:r>
    </w:p>
    <w:p w:rsidR="00FE5E30" w:rsidRPr="00CC41AD" w:rsidRDefault="00FE5E30" w:rsidP="00A0130D">
      <w:pPr>
        <w:pStyle w:val="BodyText"/>
        <w:spacing w:before="5"/>
        <w:jc w:val="both"/>
        <w:rPr>
          <w:b/>
          <w:sz w:val="21"/>
        </w:rPr>
      </w:pPr>
    </w:p>
    <w:p w:rsidR="00FE5E30" w:rsidRPr="00CC41AD" w:rsidRDefault="000534A2" w:rsidP="00A0130D">
      <w:pPr>
        <w:pStyle w:val="BodyText"/>
        <w:spacing w:before="1"/>
        <w:ind w:left="454" w:right="113"/>
        <w:jc w:val="both"/>
      </w:pPr>
      <w:r w:rsidRPr="00CC41AD">
        <w:t xml:space="preserve">Po potrebi, </w:t>
      </w:r>
      <w:r w:rsidR="00797BE5" w:rsidRPr="00CC41AD">
        <w:t xml:space="preserve">lijek </w:t>
      </w:r>
      <w:r w:rsidR="000A38B0">
        <w:t xml:space="preserve">Accofil </w:t>
      </w:r>
      <w:r w:rsidRPr="00CC41AD">
        <w:t xml:space="preserve"> </w:t>
      </w:r>
      <w:r w:rsidRPr="00A0130D">
        <w:t>se</w:t>
      </w:r>
      <w:r w:rsidRPr="00CC41AD">
        <w:t xml:space="preserve"> može razrijediti u 5%-tn</w:t>
      </w:r>
      <w:r w:rsidR="001078E6">
        <w:t>om</w:t>
      </w:r>
      <w:r w:rsidRPr="00CC41AD">
        <w:t xml:space="preserve"> </w:t>
      </w:r>
      <w:r w:rsidR="001923F3" w:rsidRPr="00CC41AD">
        <w:t>rastvor</w:t>
      </w:r>
      <w:r w:rsidR="001078E6">
        <w:t>u</w:t>
      </w:r>
      <w:r w:rsidRPr="00CC41AD">
        <w:t xml:space="preserve"> glukoze. </w:t>
      </w:r>
      <w:r w:rsidRPr="00A0130D">
        <w:t xml:space="preserve">Nikako se ne preporučuje </w:t>
      </w:r>
      <w:r w:rsidR="00797BE5" w:rsidRPr="00A0130D">
        <w:t>razrjeđivanje</w:t>
      </w:r>
      <w:r w:rsidRPr="00A0130D">
        <w:t xml:space="preserve"> </w:t>
      </w:r>
      <w:r w:rsidRPr="00CC41AD">
        <w:t>do konačne koncentracije manje od 0,2 M</w:t>
      </w:r>
      <w:r w:rsidR="001A27FB" w:rsidRPr="00CC41AD">
        <w:t>j.</w:t>
      </w:r>
      <w:r w:rsidRPr="00CC41AD">
        <w:t xml:space="preserve"> (2 µg) po </w:t>
      </w:r>
      <w:r w:rsidRPr="00A0130D">
        <w:t>ml.</w:t>
      </w:r>
    </w:p>
    <w:p w:rsidR="00FE5E30" w:rsidRPr="00CC41AD" w:rsidRDefault="00FE5E30" w:rsidP="00A0130D">
      <w:pPr>
        <w:pStyle w:val="BodyText"/>
        <w:spacing w:before="1"/>
        <w:ind w:left="454" w:right="113"/>
        <w:jc w:val="both"/>
      </w:pPr>
    </w:p>
    <w:p w:rsidR="00FE5E30" w:rsidRPr="00CC41AD" w:rsidRDefault="001923F3" w:rsidP="00A0130D">
      <w:pPr>
        <w:pStyle w:val="BodyText"/>
        <w:spacing w:before="1"/>
        <w:ind w:left="454" w:right="113"/>
        <w:jc w:val="both"/>
      </w:pPr>
      <w:r w:rsidRPr="00CC41AD">
        <w:t>Rastvor</w:t>
      </w:r>
      <w:r w:rsidR="000534A2" w:rsidRPr="00CC41AD">
        <w:t xml:space="preserve"> je potrebno vizualno pregledati prije primjene. Smiju se primijeniti samo bistr</w:t>
      </w:r>
      <w:r w:rsidR="00797BE5" w:rsidRPr="00CC41AD">
        <w:t>i</w:t>
      </w:r>
      <w:r w:rsidR="000534A2" w:rsidRPr="00CC41AD">
        <w:t xml:space="preserve"> </w:t>
      </w:r>
      <w:r w:rsidRPr="00CC41AD">
        <w:t>rastvor</w:t>
      </w:r>
      <w:r w:rsidR="00797BE5" w:rsidRPr="00CC41AD">
        <w:t>i koji</w:t>
      </w:r>
      <w:r w:rsidR="000534A2" w:rsidRPr="00CC41AD">
        <w:t xml:space="preserve"> ne sadrže čestice. Ne tresti.</w:t>
      </w:r>
    </w:p>
    <w:p w:rsidR="00336210" w:rsidRPr="00A0130D" w:rsidRDefault="00336210" w:rsidP="00A0130D">
      <w:pPr>
        <w:pStyle w:val="BodyText"/>
        <w:spacing w:before="1"/>
        <w:ind w:left="454" w:right="113"/>
        <w:jc w:val="both"/>
      </w:pPr>
    </w:p>
    <w:p w:rsidR="00FE5E30" w:rsidRPr="00CC41AD" w:rsidRDefault="000534A2" w:rsidP="00A0130D">
      <w:pPr>
        <w:pStyle w:val="BodyText"/>
        <w:spacing w:before="1"/>
        <w:ind w:left="454" w:right="113"/>
        <w:jc w:val="both"/>
      </w:pPr>
      <w:r w:rsidRPr="00CC41AD">
        <w:t xml:space="preserve">Za </w:t>
      </w:r>
      <w:r w:rsidR="00797BE5" w:rsidRPr="00CC41AD">
        <w:t>p</w:t>
      </w:r>
      <w:r w:rsidR="00302820" w:rsidRPr="00CC41AD">
        <w:t>acijent</w:t>
      </w:r>
      <w:r w:rsidRPr="00CC41AD">
        <w:t>e koji se liječe filgrastimom razrijeđenim do koncentracije manje od 1,5 M</w:t>
      </w:r>
      <w:r w:rsidR="001A27FB" w:rsidRPr="00CC41AD">
        <w:t>j.</w:t>
      </w:r>
      <w:r w:rsidRPr="00CC41AD">
        <w:t xml:space="preserve"> (15 µg) po ml, potrebno je dodati ljudski serumski albumin (HSA) do konačne koncentracije od 2 mg/ml.</w:t>
      </w:r>
    </w:p>
    <w:p w:rsidR="00FE5E30" w:rsidRPr="00CC41AD" w:rsidRDefault="00797BE5" w:rsidP="00A0130D">
      <w:pPr>
        <w:pStyle w:val="BodyText"/>
        <w:spacing w:before="1"/>
        <w:ind w:left="454" w:right="113"/>
        <w:jc w:val="both"/>
      </w:pPr>
      <w:r w:rsidRPr="00CC41AD">
        <w:t>Primjer: U konačnoj zapremini</w:t>
      </w:r>
      <w:r w:rsidR="000534A2" w:rsidRPr="00CC41AD">
        <w:t xml:space="preserve"> injekcije od 20 ml, ukupnu dozu filgrastima manju od 30 M</w:t>
      </w:r>
      <w:r w:rsidR="001A27FB" w:rsidRPr="00CC41AD">
        <w:t>j.</w:t>
      </w:r>
      <w:r w:rsidR="000534A2" w:rsidRPr="00CC41AD">
        <w:t xml:space="preserve"> (300</w:t>
      </w:r>
      <w:r w:rsidR="00A0130D">
        <w:t xml:space="preserve"> </w:t>
      </w:r>
      <w:r w:rsidR="000534A2" w:rsidRPr="00CC41AD">
        <w:t>µg) treba dati s</w:t>
      </w:r>
      <w:r w:rsidRPr="00CC41AD">
        <w:t>a</w:t>
      </w:r>
      <w:r w:rsidR="000534A2" w:rsidRPr="00CC41AD">
        <w:t xml:space="preserve"> dodatkom 0,2 ml </w:t>
      </w:r>
      <w:r w:rsidR="001923F3" w:rsidRPr="00CC41AD">
        <w:t>rastvor</w:t>
      </w:r>
      <w:r w:rsidRPr="00CC41AD">
        <w:t>a</w:t>
      </w:r>
      <w:r w:rsidR="000534A2" w:rsidRPr="00CC41AD">
        <w:t xml:space="preserve"> ljudskog serumskog albumina od 200 mg/ml (20%).</w:t>
      </w:r>
    </w:p>
    <w:p w:rsidR="00FE5E30" w:rsidRPr="00CC41AD" w:rsidRDefault="00FE5E30" w:rsidP="00A0130D">
      <w:pPr>
        <w:pStyle w:val="BodyText"/>
        <w:spacing w:before="1"/>
        <w:ind w:left="454" w:right="113"/>
        <w:jc w:val="both"/>
      </w:pPr>
    </w:p>
    <w:p w:rsidR="00FE5E30" w:rsidRPr="00CC41AD" w:rsidRDefault="00797BE5" w:rsidP="00A0130D">
      <w:pPr>
        <w:pStyle w:val="BodyText"/>
        <w:spacing w:before="1"/>
        <w:ind w:left="454" w:right="113"/>
        <w:jc w:val="both"/>
      </w:pPr>
      <w:r w:rsidRPr="00CC41AD">
        <w:t xml:space="preserve">Lijek </w:t>
      </w:r>
      <w:r w:rsidR="000A38B0">
        <w:t xml:space="preserve">Accofil </w:t>
      </w:r>
      <w:r w:rsidRPr="00CC41AD">
        <w:t xml:space="preserve"> ne sadrži konzervanse. </w:t>
      </w:r>
      <w:r w:rsidR="00E1165F">
        <w:t>S o</w:t>
      </w:r>
      <w:r w:rsidR="000534A2" w:rsidRPr="00CC41AD">
        <w:t xml:space="preserve">bzirom na opasnost kontaminacije mikrobima, </w:t>
      </w:r>
      <w:r w:rsidRPr="00CC41AD">
        <w:t xml:space="preserve">lijek </w:t>
      </w:r>
      <w:r w:rsidR="000A38B0">
        <w:t xml:space="preserve">Accofil </w:t>
      </w:r>
      <w:r w:rsidR="000534A2" w:rsidRPr="00CC41AD">
        <w:t xml:space="preserve"> u</w:t>
      </w:r>
      <w:r w:rsidR="00EA0311" w:rsidRPr="00CC41AD">
        <w:t xml:space="preserve"> </w:t>
      </w:r>
      <w:r w:rsidR="000534A2" w:rsidRPr="00CC41AD">
        <w:t xml:space="preserve">napunjenim </w:t>
      </w:r>
      <w:r w:rsidR="00A8368B" w:rsidRPr="00CC41AD">
        <w:t xml:space="preserve">injekcionim </w:t>
      </w:r>
      <w:r w:rsidR="001923F3" w:rsidRPr="00CC41AD">
        <w:t>špric</w:t>
      </w:r>
      <w:r w:rsidRPr="00CC41AD">
        <w:t>evi</w:t>
      </w:r>
      <w:r w:rsidR="000534A2" w:rsidRPr="00CC41AD">
        <w:t>m</w:t>
      </w:r>
      <w:r w:rsidRPr="00CC41AD">
        <w:t>a je predviđen</w:t>
      </w:r>
      <w:r w:rsidR="000534A2" w:rsidRPr="00CC41AD">
        <w:t xml:space="preserve"> isključivo za jednokratnu upo</w:t>
      </w:r>
      <w:r w:rsidRPr="00CC41AD">
        <w:t>t</w:t>
      </w:r>
      <w:r w:rsidR="000534A2" w:rsidRPr="00CC41AD">
        <w:t>r</w:t>
      </w:r>
      <w:r w:rsidRPr="00CC41AD">
        <w:t>e</w:t>
      </w:r>
      <w:r w:rsidR="000534A2" w:rsidRPr="00CC41AD">
        <w:t>bu.</w:t>
      </w:r>
    </w:p>
    <w:p w:rsidR="0064397B" w:rsidRPr="00A0130D" w:rsidRDefault="0064397B" w:rsidP="00A0130D">
      <w:pPr>
        <w:pStyle w:val="BodyText"/>
        <w:spacing w:before="1"/>
        <w:ind w:left="454" w:right="113"/>
        <w:jc w:val="both"/>
      </w:pPr>
    </w:p>
    <w:p w:rsidR="00FE5E30" w:rsidRPr="00CC41AD" w:rsidRDefault="00797BE5" w:rsidP="00A0130D">
      <w:pPr>
        <w:pStyle w:val="BodyText"/>
        <w:spacing w:before="1"/>
        <w:ind w:left="454" w:right="113"/>
        <w:jc w:val="both"/>
      </w:pPr>
      <w:r w:rsidRPr="00CC41AD">
        <w:t>Kad se razrijedi u 5%-tnom</w:t>
      </w:r>
      <w:r w:rsidR="000534A2" w:rsidRPr="00CC41AD">
        <w:t xml:space="preserve"> </w:t>
      </w:r>
      <w:r w:rsidR="001923F3" w:rsidRPr="00CC41AD">
        <w:t>rastvor</w:t>
      </w:r>
      <w:r w:rsidRPr="00CC41AD">
        <w:t>u</w:t>
      </w:r>
      <w:r w:rsidR="000534A2" w:rsidRPr="00CC41AD">
        <w:t xml:space="preserve"> glukoze, </w:t>
      </w:r>
      <w:r w:rsidRPr="00CC41AD">
        <w:t xml:space="preserve">lijek </w:t>
      </w:r>
      <w:r w:rsidR="000A38B0">
        <w:t xml:space="preserve">Accofil </w:t>
      </w:r>
      <w:r w:rsidR="000534A2" w:rsidRPr="00CC41AD">
        <w:t xml:space="preserve"> je kompatibilan sa staklom i raznim vrstama plastike uključujući PVC, poliolefin (kopolimer polipropilena i polietilena) i polipropilen.</w:t>
      </w:r>
    </w:p>
    <w:p w:rsidR="00FE5E30" w:rsidRPr="00CC41AD" w:rsidRDefault="00FE5E30" w:rsidP="00A0130D">
      <w:pPr>
        <w:pStyle w:val="BodyText"/>
        <w:spacing w:before="11"/>
        <w:jc w:val="both"/>
        <w:rPr>
          <w:sz w:val="21"/>
        </w:rPr>
      </w:pPr>
    </w:p>
    <w:p w:rsidR="00FE5E30" w:rsidRPr="00CC41AD" w:rsidRDefault="000534A2" w:rsidP="00A0130D">
      <w:pPr>
        <w:pStyle w:val="BodyText"/>
        <w:ind w:left="460"/>
        <w:jc w:val="both"/>
      </w:pPr>
      <w:r w:rsidRPr="00CC41AD">
        <w:rPr>
          <w:u w:val="single"/>
        </w:rPr>
        <w:t>Upo</w:t>
      </w:r>
      <w:r w:rsidR="00EB6735" w:rsidRPr="00CC41AD">
        <w:rPr>
          <w:u w:val="single"/>
        </w:rPr>
        <w:t>t</w:t>
      </w:r>
      <w:r w:rsidRPr="00CC41AD">
        <w:rPr>
          <w:u w:val="single"/>
        </w:rPr>
        <w:t>r</w:t>
      </w:r>
      <w:r w:rsidR="00EB6735" w:rsidRPr="00CC41AD">
        <w:rPr>
          <w:u w:val="single"/>
        </w:rPr>
        <w:t>e</w:t>
      </w:r>
      <w:r w:rsidRPr="00CC41AD">
        <w:rPr>
          <w:u w:val="single"/>
        </w:rPr>
        <w:t>ba napunjen</w:t>
      </w:r>
      <w:r w:rsidR="00EB6735" w:rsidRPr="00CC41AD">
        <w:rPr>
          <w:u w:val="single"/>
        </w:rPr>
        <w:t>og</w:t>
      </w:r>
      <w:r w:rsidRPr="00CC41AD">
        <w:rPr>
          <w:u w:val="single"/>
        </w:rPr>
        <w:t xml:space="preserve"> </w:t>
      </w:r>
      <w:r w:rsidR="00A8368B" w:rsidRPr="00CC41AD">
        <w:rPr>
          <w:u w:val="single"/>
        </w:rPr>
        <w:t xml:space="preserve">injekcionog </w:t>
      </w:r>
      <w:r w:rsidR="001923F3" w:rsidRPr="00CC41AD">
        <w:rPr>
          <w:u w:val="single"/>
        </w:rPr>
        <w:t>špric</w:t>
      </w:r>
      <w:r w:rsidR="00EB6735" w:rsidRPr="00CC41AD">
        <w:rPr>
          <w:u w:val="single"/>
        </w:rPr>
        <w:t>a</w:t>
      </w:r>
      <w:r w:rsidRPr="00CC41AD">
        <w:rPr>
          <w:u w:val="single"/>
        </w:rPr>
        <w:t xml:space="preserve"> sa </w:t>
      </w:r>
      <w:r w:rsidR="00356C75" w:rsidRPr="00CC41AD">
        <w:rPr>
          <w:u w:val="single"/>
        </w:rPr>
        <w:t>za</w:t>
      </w:r>
      <w:r w:rsidRPr="00CC41AD">
        <w:rPr>
          <w:u w:val="single"/>
        </w:rPr>
        <w:t>štitom za iglu</w:t>
      </w:r>
    </w:p>
    <w:p w:rsidR="00FE5E30" w:rsidRPr="00CC41AD" w:rsidRDefault="00FE5E30" w:rsidP="00A0130D">
      <w:pPr>
        <w:pStyle w:val="BodyText"/>
        <w:spacing w:before="3"/>
        <w:jc w:val="both"/>
        <w:rPr>
          <w:sz w:val="14"/>
        </w:rPr>
      </w:pPr>
    </w:p>
    <w:p w:rsidR="000A38B0" w:rsidRDefault="000A38B0" w:rsidP="000A38B0">
      <w:pPr>
        <w:pStyle w:val="BodyText"/>
        <w:spacing w:before="1"/>
        <w:ind w:left="454" w:right="113"/>
        <w:jc w:val="both"/>
      </w:pPr>
      <w:r w:rsidRPr="00CC41AD">
        <w:t xml:space="preserve">Sigurnosna zaštita za iglu prekriva iglu nakon </w:t>
      </w:r>
      <w:r>
        <w:t>primjene injekcije</w:t>
      </w:r>
      <w:r w:rsidRPr="00CC41AD">
        <w:t xml:space="preserve"> kako bi se spriječila </w:t>
      </w:r>
      <w:r>
        <w:t xml:space="preserve">povreda od uboda </w:t>
      </w:r>
      <w:r w:rsidRPr="00CC41AD">
        <w:t xml:space="preserve">igle. </w:t>
      </w:r>
      <w:r w:rsidRPr="00255457">
        <w:t xml:space="preserve">Ova činjenica je bez uticaja na uobičajeno rukovanje špricem. Pritisnite klip i </w:t>
      </w:r>
      <w:r w:rsidRPr="00617DAA">
        <w:rPr>
          <w:b/>
          <w:u w:val="single"/>
        </w:rPr>
        <w:t>snažno gurnite</w:t>
      </w:r>
      <w:r w:rsidRPr="00255457">
        <w:t xml:space="preserve"> na kraju prim</w:t>
      </w:r>
      <w:r>
        <w:t>j</w:t>
      </w:r>
      <w:r w:rsidRPr="00255457">
        <w:t>ene injekcije kako biste osigurali da je špric potpuno ispražnjen</w:t>
      </w:r>
      <w:r>
        <w:rPr>
          <w:rFonts w:eastAsia="TimesNewRoman"/>
        </w:rPr>
        <w:t xml:space="preserve">. </w:t>
      </w:r>
      <w:r w:rsidRPr="00255457">
        <w:t xml:space="preserve">Čvrsto držite kožu dok se </w:t>
      </w:r>
      <w:r>
        <w:t>primjena injekcije</w:t>
      </w:r>
      <w:r w:rsidRPr="00255457">
        <w:t xml:space="preserve"> ne završi</w:t>
      </w:r>
      <w:r>
        <w:t xml:space="preserve">. </w:t>
      </w:r>
      <w:r w:rsidRPr="000C685A">
        <w:t>Držite špric mirno i polako podignite p</w:t>
      </w:r>
      <w:r>
        <w:t>alac sa glave klipa</w:t>
      </w:r>
      <w:r w:rsidR="0089203E">
        <w:t xml:space="preserve"> šprica</w:t>
      </w:r>
      <w:r w:rsidRPr="000C685A">
        <w:t xml:space="preserve">. </w:t>
      </w:r>
      <w:r w:rsidR="0089203E">
        <w:t>Klip</w:t>
      </w:r>
      <w:r w:rsidRPr="00255457">
        <w:t xml:space="preserve"> </w:t>
      </w:r>
      <w:r w:rsidR="0089203E">
        <w:t>šprica</w:t>
      </w:r>
      <w:r w:rsidRPr="00255457">
        <w:t xml:space="preserve"> će se pom</w:t>
      </w:r>
      <w:r>
        <w:t>j</w:t>
      </w:r>
      <w:r w:rsidRPr="00255457">
        <w:t xml:space="preserve">eriti nagore za vašim palcem i opruga </w:t>
      </w:r>
      <w:r w:rsidR="0089203E">
        <w:t>će uvući</w:t>
      </w:r>
      <w:r w:rsidRPr="00255457">
        <w:t xml:space="preserve"> iglu sa m</w:t>
      </w:r>
      <w:r>
        <w:t>j</w:t>
      </w:r>
      <w:r w:rsidRPr="00255457">
        <w:t>esta prim</w:t>
      </w:r>
      <w:r>
        <w:t>j</w:t>
      </w:r>
      <w:r w:rsidRPr="00255457">
        <w:t xml:space="preserve">ene </w:t>
      </w:r>
      <w:r w:rsidRPr="000C685A">
        <w:t>u sigurno</w:t>
      </w:r>
      <w:r>
        <w:t>snu zaštitu za iglu.</w:t>
      </w:r>
    </w:p>
    <w:p w:rsidR="000A38B0" w:rsidRDefault="000A38B0" w:rsidP="000A38B0">
      <w:pPr>
        <w:pStyle w:val="BodyText"/>
        <w:spacing w:before="1"/>
        <w:ind w:left="454" w:right="113"/>
        <w:jc w:val="both"/>
      </w:pPr>
    </w:p>
    <w:p w:rsidR="000A38B0" w:rsidRDefault="000A38B0" w:rsidP="000A38B0">
      <w:pPr>
        <w:pStyle w:val="BodyText"/>
        <w:spacing w:before="1"/>
        <w:ind w:left="454" w:right="113"/>
        <w:jc w:val="both"/>
        <w:rPr>
          <w:u w:val="single"/>
        </w:rPr>
      </w:pPr>
      <w:r w:rsidRPr="00F50C77">
        <w:rPr>
          <w:u w:val="single"/>
        </w:rPr>
        <w:t>Upotreba napunjenog injekcionog šprica</w:t>
      </w:r>
      <w:r>
        <w:rPr>
          <w:u w:val="single"/>
        </w:rPr>
        <w:t xml:space="preserve"> bez</w:t>
      </w:r>
      <w:r w:rsidRPr="00F50C77">
        <w:rPr>
          <w:u w:val="single"/>
        </w:rPr>
        <w:t xml:space="preserve"> za</w:t>
      </w:r>
      <w:r>
        <w:rPr>
          <w:u w:val="single"/>
        </w:rPr>
        <w:t>štite</w:t>
      </w:r>
      <w:r w:rsidRPr="00F50C77">
        <w:rPr>
          <w:u w:val="single"/>
        </w:rPr>
        <w:t xml:space="preserve"> za iglu</w:t>
      </w:r>
    </w:p>
    <w:p w:rsidR="000A38B0" w:rsidRDefault="000A38B0" w:rsidP="000A38B0">
      <w:pPr>
        <w:pStyle w:val="BodyText"/>
        <w:spacing w:before="1"/>
        <w:ind w:left="454" w:right="113"/>
        <w:jc w:val="both"/>
        <w:rPr>
          <w:u w:val="single"/>
        </w:rPr>
      </w:pPr>
    </w:p>
    <w:p w:rsidR="000A38B0" w:rsidRDefault="000A38B0" w:rsidP="000A38B0">
      <w:pPr>
        <w:pStyle w:val="BodyText"/>
        <w:spacing w:before="1"/>
        <w:ind w:left="454" w:right="113"/>
        <w:jc w:val="both"/>
      </w:pPr>
      <w:r>
        <w:t>Primijenite</w:t>
      </w:r>
      <w:r w:rsidRPr="00D26EE9">
        <w:t xml:space="preserve"> dozu po standardnom protokolu.</w:t>
      </w:r>
    </w:p>
    <w:p w:rsidR="000A38B0" w:rsidRDefault="000A38B0" w:rsidP="000A38B0">
      <w:pPr>
        <w:pStyle w:val="BodyText"/>
        <w:spacing w:before="1"/>
        <w:ind w:left="454" w:right="113"/>
        <w:jc w:val="both"/>
      </w:pPr>
    </w:p>
    <w:p w:rsidR="000A38B0" w:rsidRPr="00617DAA" w:rsidRDefault="000A38B0" w:rsidP="000A38B0">
      <w:pPr>
        <w:pStyle w:val="BodyText"/>
        <w:spacing w:before="1"/>
        <w:ind w:left="454" w:right="113"/>
        <w:jc w:val="both"/>
        <w:rPr>
          <w:b/>
        </w:rPr>
      </w:pPr>
      <w:r w:rsidRPr="00617DAA">
        <w:rPr>
          <w:b/>
        </w:rPr>
        <w:t>Nemojte koristiti napunjeni injekcioni špric ako je pao na tvrdu površinu.</w:t>
      </w:r>
    </w:p>
    <w:p w:rsidR="000A38B0" w:rsidRPr="00A0130D" w:rsidRDefault="000A38B0" w:rsidP="000A38B0">
      <w:pPr>
        <w:pStyle w:val="BodyText"/>
        <w:spacing w:before="1"/>
        <w:ind w:left="454" w:right="113"/>
        <w:jc w:val="both"/>
      </w:pPr>
    </w:p>
    <w:p w:rsidR="000A38B0" w:rsidRDefault="000A38B0" w:rsidP="000A38B0">
      <w:pPr>
        <w:pStyle w:val="BodyText"/>
        <w:ind w:right="4859"/>
        <w:jc w:val="both"/>
        <w:rPr>
          <w:u w:val="single"/>
        </w:rPr>
      </w:pPr>
    </w:p>
    <w:p w:rsidR="00687453" w:rsidRDefault="000A38B0" w:rsidP="00A0130D">
      <w:pPr>
        <w:pStyle w:val="BodyText"/>
        <w:spacing w:before="1"/>
        <w:ind w:left="460"/>
        <w:jc w:val="both"/>
      </w:pPr>
      <w:r>
        <w:rPr>
          <w:u w:val="single"/>
        </w:rPr>
        <w:t>Odlaganje</w:t>
      </w:r>
    </w:p>
    <w:p w:rsidR="00FE5E30" w:rsidRPr="00CC41AD" w:rsidRDefault="000534A2" w:rsidP="00A0130D">
      <w:pPr>
        <w:pStyle w:val="BodyText"/>
        <w:spacing w:before="1"/>
        <w:ind w:left="460"/>
        <w:jc w:val="both"/>
      </w:pPr>
      <w:r w:rsidRPr="00CC41AD">
        <w:t xml:space="preserve">Neiskorišteni lijek ili otpadni materijal potrebno je </w:t>
      </w:r>
      <w:r w:rsidR="00E5466B" w:rsidRPr="00CC41AD">
        <w:t>ukloniti u</w:t>
      </w:r>
      <w:r w:rsidRPr="00CC41AD">
        <w:t xml:space="preserve"> sklad</w:t>
      </w:r>
      <w:r w:rsidR="00E5466B" w:rsidRPr="00CC41AD">
        <w:t xml:space="preserve">u sa </w:t>
      </w:r>
      <w:r w:rsidRPr="00CC41AD">
        <w:t>nacionalnim propisima.</w:t>
      </w:r>
    </w:p>
    <w:p w:rsidR="00FE5E30" w:rsidRPr="00243A59" w:rsidRDefault="00FE5E30" w:rsidP="00A0130D">
      <w:pPr>
        <w:pStyle w:val="BodyText"/>
        <w:jc w:val="both"/>
        <w:rPr>
          <w:color w:val="FF0000"/>
          <w:sz w:val="24"/>
        </w:rPr>
      </w:pPr>
    </w:p>
    <w:p w:rsidR="00FE5E30" w:rsidRPr="00EF2DC2" w:rsidRDefault="00FE5E30" w:rsidP="00A0130D">
      <w:pPr>
        <w:pStyle w:val="BodyText"/>
        <w:spacing w:before="9"/>
        <w:jc w:val="both"/>
        <w:rPr>
          <w:sz w:val="20"/>
        </w:rPr>
      </w:pPr>
    </w:p>
    <w:p w:rsidR="00FE5E30" w:rsidRPr="00EF2DC2" w:rsidRDefault="000B6F39" w:rsidP="00A0130D">
      <w:pPr>
        <w:pStyle w:val="Heading1"/>
        <w:numPr>
          <w:ilvl w:val="0"/>
          <w:numId w:val="18"/>
        </w:numPr>
        <w:tabs>
          <w:tab w:val="left" w:pos="877"/>
          <w:tab w:val="left" w:pos="878"/>
        </w:tabs>
        <w:ind w:hanging="417"/>
        <w:jc w:val="both"/>
      </w:pPr>
      <w:r w:rsidRPr="00EF2DC2">
        <w:t>NOSILAC DOZVOLE</w:t>
      </w:r>
    </w:p>
    <w:p w:rsidR="00FE5E30" w:rsidRPr="00EF2DC2" w:rsidRDefault="00FE5E30" w:rsidP="00A0130D">
      <w:pPr>
        <w:pStyle w:val="BodyText"/>
        <w:spacing w:before="5"/>
        <w:jc w:val="both"/>
        <w:rPr>
          <w:b/>
          <w:sz w:val="21"/>
        </w:rPr>
      </w:pPr>
    </w:p>
    <w:p w:rsidR="00FE5E30" w:rsidRPr="00EF2DC2" w:rsidRDefault="00154F99" w:rsidP="00A0130D">
      <w:pPr>
        <w:pStyle w:val="BodyText"/>
        <w:ind w:left="460"/>
        <w:jc w:val="both"/>
      </w:pPr>
      <w:r w:rsidRPr="00EF2DC2">
        <w:t>Evropa Lek Pharma d.o.o. Podgorica</w:t>
      </w:r>
    </w:p>
    <w:p w:rsidR="00FE5E30" w:rsidRPr="00EF2DC2" w:rsidRDefault="00154F99" w:rsidP="00A0130D">
      <w:pPr>
        <w:pStyle w:val="BodyText"/>
        <w:spacing w:before="1"/>
        <w:ind w:left="460" w:right="5470"/>
        <w:jc w:val="both"/>
      </w:pPr>
      <w:r w:rsidRPr="00EF2DC2">
        <w:t>Kritskog odreda 4/1</w:t>
      </w:r>
    </w:p>
    <w:p w:rsidR="00154F99" w:rsidRPr="00EF2DC2" w:rsidRDefault="00154F99" w:rsidP="00A0130D">
      <w:pPr>
        <w:pStyle w:val="BodyText"/>
        <w:spacing w:before="1"/>
        <w:ind w:left="460" w:right="5470"/>
        <w:jc w:val="both"/>
      </w:pPr>
      <w:r w:rsidRPr="00EF2DC2">
        <w:t>81 000 Podgorica</w:t>
      </w:r>
    </w:p>
    <w:p w:rsidR="00154F99" w:rsidRPr="00EF2DC2" w:rsidRDefault="00154F99" w:rsidP="00A0130D">
      <w:pPr>
        <w:pStyle w:val="BodyText"/>
        <w:spacing w:before="1"/>
        <w:ind w:left="460" w:right="5470"/>
        <w:jc w:val="both"/>
      </w:pPr>
      <w:r w:rsidRPr="00EF2DC2">
        <w:t>Crna Gora</w:t>
      </w:r>
    </w:p>
    <w:p w:rsidR="00FE5E30" w:rsidRPr="00EF2DC2" w:rsidRDefault="00FE5E30" w:rsidP="00A0130D">
      <w:pPr>
        <w:pStyle w:val="BodyText"/>
        <w:jc w:val="both"/>
        <w:rPr>
          <w:sz w:val="24"/>
        </w:rPr>
      </w:pPr>
    </w:p>
    <w:p w:rsidR="00FE5E30" w:rsidRPr="00EF2DC2" w:rsidRDefault="00FE5E30" w:rsidP="00A0130D">
      <w:pPr>
        <w:pStyle w:val="BodyText"/>
        <w:spacing w:before="5"/>
        <w:jc w:val="both"/>
        <w:rPr>
          <w:sz w:val="20"/>
        </w:rPr>
      </w:pPr>
    </w:p>
    <w:p w:rsidR="00FE5E30" w:rsidRPr="00EF2DC2" w:rsidRDefault="00C032DC" w:rsidP="00A0130D">
      <w:pPr>
        <w:pStyle w:val="Heading1"/>
        <w:numPr>
          <w:ilvl w:val="0"/>
          <w:numId w:val="18"/>
        </w:numPr>
        <w:tabs>
          <w:tab w:val="left" w:pos="877"/>
          <w:tab w:val="left" w:pos="878"/>
        </w:tabs>
        <w:ind w:hanging="417"/>
        <w:jc w:val="both"/>
      </w:pPr>
      <w:r w:rsidRPr="00EF2DC2">
        <w:t xml:space="preserve">BROJ DOZVOLE </w:t>
      </w:r>
      <w:r w:rsidR="000534A2" w:rsidRPr="00EF2DC2">
        <w:t>ZA STAVLJANJE LIJEKA U</w:t>
      </w:r>
      <w:r w:rsidR="000534A2" w:rsidRPr="00EF2DC2">
        <w:rPr>
          <w:spacing w:val="-13"/>
        </w:rPr>
        <w:t xml:space="preserve"> </w:t>
      </w:r>
      <w:r w:rsidR="000534A2" w:rsidRPr="00EF2DC2">
        <w:t>PROMET</w:t>
      </w:r>
    </w:p>
    <w:p w:rsidR="00FE5E30" w:rsidRPr="00243A59" w:rsidRDefault="00FE5E30" w:rsidP="00A0130D">
      <w:pPr>
        <w:pStyle w:val="BodyText"/>
        <w:spacing w:before="8"/>
        <w:jc w:val="both"/>
        <w:rPr>
          <w:b/>
          <w:color w:val="FF0000"/>
          <w:sz w:val="24"/>
        </w:rPr>
      </w:pPr>
    </w:p>
    <w:p w:rsidR="00AB4079" w:rsidRDefault="00AB4079" w:rsidP="003979F9">
      <w:pPr>
        <w:pStyle w:val="BodyText"/>
        <w:ind w:left="460"/>
        <w:jc w:val="both"/>
      </w:pPr>
      <w:r w:rsidRPr="00AB4079">
        <w:t>2030/20/1222 - 5122</w:t>
      </w:r>
    </w:p>
    <w:p w:rsidR="0064397B" w:rsidRDefault="0064397B" w:rsidP="00A0130D">
      <w:pPr>
        <w:pStyle w:val="BodyText"/>
        <w:spacing w:before="1"/>
        <w:jc w:val="both"/>
        <w:rPr>
          <w:color w:val="FF0000"/>
          <w:sz w:val="27"/>
        </w:rPr>
      </w:pPr>
    </w:p>
    <w:p w:rsidR="009D0E6E" w:rsidRPr="00243A59" w:rsidRDefault="009D0E6E" w:rsidP="00A0130D">
      <w:pPr>
        <w:pStyle w:val="BodyText"/>
        <w:spacing w:before="1"/>
        <w:jc w:val="both"/>
        <w:rPr>
          <w:color w:val="FF0000"/>
          <w:sz w:val="27"/>
        </w:rPr>
      </w:pPr>
    </w:p>
    <w:p w:rsidR="00FE5E30" w:rsidRPr="00EF2DC2" w:rsidRDefault="00C032DC" w:rsidP="00A0130D">
      <w:pPr>
        <w:pStyle w:val="Heading1"/>
        <w:numPr>
          <w:ilvl w:val="0"/>
          <w:numId w:val="18"/>
        </w:numPr>
        <w:tabs>
          <w:tab w:val="left" w:pos="878"/>
          <w:tab w:val="left" w:pos="879"/>
        </w:tabs>
        <w:ind w:left="878" w:right="227"/>
        <w:jc w:val="both"/>
      </w:pPr>
      <w:r w:rsidRPr="00EF2DC2">
        <w:t>DATUM PRVE DOZVOLE/</w:t>
      </w:r>
      <w:r w:rsidR="000534A2" w:rsidRPr="00EF2DC2">
        <w:t xml:space="preserve"> OBNOVE </w:t>
      </w:r>
      <w:r w:rsidRPr="00EF2DC2">
        <w:t>DOZVOLE ZA STAVLJANJE LIJEKA U PROMET</w:t>
      </w:r>
    </w:p>
    <w:p w:rsidR="00FE5E30" w:rsidRDefault="00FE5E30" w:rsidP="00A0130D">
      <w:pPr>
        <w:pStyle w:val="BodyText"/>
        <w:spacing w:before="8"/>
        <w:jc w:val="both"/>
        <w:rPr>
          <w:b/>
          <w:sz w:val="24"/>
        </w:rPr>
      </w:pPr>
    </w:p>
    <w:p w:rsidR="00AB4079" w:rsidRDefault="00AB4079" w:rsidP="003979F9">
      <w:pPr>
        <w:pStyle w:val="BodyText"/>
        <w:ind w:left="460"/>
        <w:jc w:val="both"/>
      </w:pPr>
      <w:r>
        <w:t>26.11.2020. godine</w:t>
      </w:r>
    </w:p>
    <w:p w:rsidR="009D0E6E" w:rsidRPr="00EF2DC2" w:rsidRDefault="009D0E6E" w:rsidP="00A0130D">
      <w:pPr>
        <w:pStyle w:val="BodyText"/>
        <w:spacing w:before="8"/>
        <w:jc w:val="both"/>
        <w:rPr>
          <w:b/>
          <w:sz w:val="24"/>
        </w:rPr>
      </w:pPr>
    </w:p>
    <w:p w:rsidR="00FE5E30" w:rsidRPr="00EF2DC2" w:rsidRDefault="00FE5E30" w:rsidP="00A0130D">
      <w:pPr>
        <w:pStyle w:val="BodyText"/>
        <w:spacing w:before="9"/>
        <w:jc w:val="both"/>
        <w:rPr>
          <w:sz w:val="26"/>
        </w:rPr>
      </w:pPr>
    </w:p>
    <w:p w:rsidR="00FE5E30" w:rsidRDefault="000534A2" w:rsidP="00A0130D">
      <w:pPr>
        <w:pStyle w:val="Heading1"/>
        <w:numPr>
          <w:ilvl w:val="0"/>
          <w:numId w:val="18"/>
        </w:numPr>
        <w:tabs>
          <w:tab w:val="left" w:pos="879"/>
        </w:tabs>
        <w:spacing w:before="70"/>
        <w:ind w:left="0" w:firstLine="450"/>
        <w:jc w:val="both"/>
      </w:pPr>
      <w:r w:rsidRPr="00EF2DC2">
        <w:t>DATUM REVIZIJE</w:t>
      </w:r>
      <w:r w:rsidRPr="00EF2DC2">
        <w:rPr>
          <w:spacing w:val="-2"/>
        </w:rPr>
        <w:t xml:space="preserve"> </w:t>
      </w:r>
      <w:r w:rsidRPr="00EF2DC2">
        <w:t>TEKS</w:t>
      </w:r>
      <w:bookmarkStart w:id="2" w:name="B._UPUTA_O_LIJEKU"/>
      <w:bookmarkEnd w:id="2"/>
      <w:r w:rsidR="0064397B" w:rsidRPr="00EF2DC2">
        <w:t>TA</w:t>
      </w:r>
    </w:p>
    <w:p w:rsidR="00AB4079" w:rsidRDefault="00AB4079" w:rsidP="00AB4079">
      <w:pPr>
        <w:pStyle w:val="Heading1"/>
        <w:tabs>
          <w:tab w:val="left" w:pos="879"/>
        </w:tabs>
        <w:spacing w:before="70"/>
        <w:jc w:val="both"/>
      </w:pPr>
    </w:p>
    <w:p w:rsidR="00AB4079" w:rsidRPr="00AB4079" w:rsidRDefault="00AB4079" w:rsidP="00AB4079">
      <w:pPr>
        <w:pStyle w:val="Heading1"/>
        <w:tabs>
          <w:tab w:val="left" w:pos="879"/>
        </w:tabs>
        <w:spacing w:before="70"/>
        <w:jc w:val="both"/>
        <w:rPr>
          <w:b w:val="0"/>
        </w:rPr>
      </w:pPr>
      <w:r>
        <w:rPr>
          <w:b w:val="0"/>
        </w:rPr>
        <w:t xml:space="preserve">       </w:t>
      </w:r>
      <w:r w:rsidR="000A38B0">
        <w:rPr>
          <w:b w:val="0"/>
        </w:rPr>
        <w:t>Maj</w:t>
      </w:r>
      <w:r w:rsidRPr="00AB4079">
        <w:rPr>
          <w:b w:val="0"/>
        </w:rPr>
        <w:t>, 202</w:t>
      </w:r>
      <w:r w:rsidR="000A38B0">
        <w:rPr>
          <w:b w:val="0"/>
        </w:rPr>
        <w:t>3</w:t>
      </w:r>
      <w:r w:rsidRPr="00AB4079">
        <w:rPr>
          <w:b w:val="0"/>
        </w:rPr>
        <w:t>. godine</w:t>
      </w:r>
    </w:p>
    <w:sectPr w:rsidR="00AB4079" w:rsidRPr="00AB4079" w:rsidSect="007171E9">
      <w:footerReference w:type="default" r:id="rId13"/>
      <w:pgSz w:w="11910" w:h="16840"/>
      <w:pgMar w:top="1040" w:right="1200" w:bottom="900" w:left="1100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A0B" w:rsidRDefault="00187A0B">
      <w:r>
        <w:separator/>
      </w:r>
    </w:p>
  </w:endnote>
  <w:endnote w:type="continuationSeparator" w:id="0">
    <w:p w:rsidR="00187A0B" w:rsidRDefault="0018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8B0" w:rsidRDefault="000A38B0">
    <w:pPr>
      <w:pStyle w:val="BodyText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3665855</wp:posOffset>
              </wp:positionH>
              <wp:positionV relativeFrom="page">
                <wp:posOffset>10088245</wp:posOffset>
              </wp:positionV>
              <wp:extent cx="560705" cy="147320"/>
              <wp:effectExtent l="0" t="1270" r="254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0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9838135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:rsidR="000A38B0" w:rsidRPr="007171E9" w:rsidRDefault="000A38B0" w:rsidP="003E43C9">
                              <w:pPr>
                                <w:pStyle w:val="Header"/>
                                <w:jc w:val="center"/>
                              </w:pPr>
                              <w:r w:rsidRPr="007171E9">
                                <w:t xml:space="preserve"> </w:t>
                              </w:r>
                              <w:r w:rsidRPr="007171E9">
                                <w:rPr>
                                  <w:bCs/>
                                </w:rPr>
                                <w:fldChar w:fldCharType="begin"/>
                              </w:r>
                              <w:r w:rsidRPr="007171E9">
                                <w:rPr>
                                  <w:bCs/>
                                </w:rPr>
                                <w:instrText xml:space="preserve"> PAGE </w:instrText>
                              </w:r>
                              <w:r w:rsidRPr="007171E9">
                                <w:rPr>
                                  <w:bCs/>
                                </w:rPr>
                                <w:fldChar w:fldCharType="separate"/>
                              </w:r>
                              <w:r w:rsidR="00C400DF">
                                <w:rPr>
                                  <w:bCs/>
                                  <w:noProof/>
                                </w:rPr>
                                <w:t>2</w:t>
                              </w:r>
                              <w:r w:rsidRPr="007171E9">
                                <w:rPr>
                                  <w:bCs/>
                                </w:rPr>
                                <w:fldChar w:fldCharType="end"/>
                              </w:r>
                              <w:r w:rsidRPr="007171E9">
                                <w:t xml:space="preserve"> / </w:t>
                              </w:r>
                              <w:r w:rsidRPr="007171E9">
                                <w:rPr>
                                  <w:bCs/>
                                </w:rPr>
                                <w:fldChar w:fldCharType="begin"/>
                              </w:r>
                              <w:r w:rsidRPr="007171E9">
                                <w:rPr>
                                  <w:bCs/>
                                </w:rPr>
                                <w:instrText xml:space="preserve"> NUMPAGES  </w:instrText>
                              </w:r>
                              <w:r w:rsidRPr="007171E9">
                                <w:rPr>
                                  <w:bCs/>
                                </w:rPr>
                                <w:fldChar w:fldCharType="separate"/>
                              </w:r>
                              <w:r w:rsidR="00C400DF">
                                <w:rPr>
                                  <w:bCs/>
                                  <w:noProof/>
                                </w:rPr>
                                <w:t>20</w:t>
                              </w:r>
                              <w:r w:rsidRPr="007171E9">
                                <w:rPr>
                                  <w:bCs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0A38B0" w:rsidRDefault="000A38B0">
                          <w:pPr>
                            <w:spacing w:before="13"/>
                            <w:ind w:left="4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5pt;margin-top:794.35pt;width:44.15pt;height:11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" filled="f" stroked="f">
              <v:textbox inset="0,0,0,0">
                <w:txbxContent>
                  <w:sdt>
                    <w:sdtPr>
                      <w:id w:val="98381352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0A38B0" w:rsidRPr="007171E9" w:rsidRDefault="000A38B0" w:rsidP="003E43C9">
                        <w:pPr>
                          <w:pStyle w:val="Header"/>
                          <w:jc w:val="center"/>
                        </w:pPr>
                        <w:r w:rsidRPr="007171E9">
                          <w:t xml:space="preserve"> </w:t>
                        </w:r>
                        <w:r w:rsidRPr="007171E9">
                          <w:rPr>
                            <w:bCs/>
                          </w:rPr>
                          <w:fldChar w:fldCharType="begin"/>
                        </w:r>
                        <w:r w:rsidRPr="007171E9">
                          <w:rPr>
                            <w:bCs/>
                          </w:rPr>
                          <w:instrText xml:space="preserve"> PAGE </w:instrText>
                        </w:r>
                        <w:r w:rsidRPr="007171E9">
                          <w:rPr>
                            <w:bCs/>
                          </w:rPr>
                          <w:fldChar w:fldCharType="separate"/>
                        </w:r>
                        <w:r w:rsidR="00C400DF">
                          <w:rPr>
                            <w:bCs/>
                            <w:noProof/>
                          </w:rPr>
                          <w:t>2</w:t>
                        </w:r>
                        <w:r w:rsidRPr="007171E9">
                          <w:rPr>
                            <w:bCs/>
                          </w:rPr>
                          <w:fldChar w:fldCharType="end"/>
                        </w:r>
                        <w:r w:rsidRPr="007171E9">
                          <w:t xml:space="preserve"> / </w:t>
                        </w:r>
                        <w:r w:rsidRPr="007171E9">
                          <w:rPr>
                            <w:bCs/>
                          </w:rPr>
                          <w:fldChar w:fldCharType="begin"/>
                        </w:r>
                        <w:r w:rsidRPr="007171E9">
                          <w:rPr>
                            <w:bCs/>
                          </w:rPr>
                          <w:instrText xml:space="preserve"> NUMPAGES  </w:instrText>
                        </w:r>
                        <w:r w:rsidRPr="007171E9">
                          <w:rPr>
                            <w:bCs/>
                          </w:rPr>
                          <w:fldChar w:fldCharType="separate"/>
                        </w:r>
                        <w:r w:rsidR="00C400DF">
                          <w:rPr>
                            <w:bCs/>
                            <w:noProof/>
                          </w:rPr>
                          <w:t>20</w:t>
                        </w:r>
                        <w:r w:rsidRPr="007171E9">
                          <w:rPr>
                            <w:bCs/>
                          </w:rPr>
                          <w:fldChar w:fldCharType="end"/>
                        </w:r>
                      </w:p>
                    </w:sdtContent>
                  </w:sdt>
                  <w:p w:rsidR="000A38B0" w:rsidRDefault="000A38B0">
                    <w:pPr>
                      <w:spacing w:before="13"/>
                      <w:ind w:left="4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A0B" w:rsidRDefault="00187A0B">
      <w:r>
        <w:separator/>
      </w:r>
    </w:p>
  </w:footnote>
  <w:footnote w:type="continuationSeparator" w:id="0">
    <w:p w:rsidR="00187A0B" w:rsidRDefault="00187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2352"/>
    <w:multiLevelType w:val="hybridMultilevel"/>
    <w:tmpl w:val="6BA869E4"/>
    <w:lvl w:ilvl="0" w:tplc="AD2AB1D0">
      <w:numFmt w:val="bullet"/>
      <w:lvlText w:val="-"/>
      <w:lvlJc w:val="left"/>
      <w:pPr>
        <w:ind w:left="74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416DC50">
      <w:numFmt w:val="bullet"/>
      <w:lvlText w:val=""/>
      <w:lvlJc w:val="left"/>
      <w:pPr>
        <w:ind w:left="882" w:hanging="207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B3030AE">
      <w:numFmt w:val="bullet"/>
      <w:lvlText w:val="•"/>
      <w:lvlJc w:val="left"/>
      <w:pPr>
        <w:ind w:left="1849" w:hanging="207"/>
      </w:pPr>
      <w:rPr>
        <w:rFonts w:hint="default"/>
      </w:rPr>
    </w:lvl>
    <w:lvl w:ilvl="3" w:tplc="F7D89BEE">
      <w:numFmt w:val="bullet"/>
      <w:lvlText w:val="•"/>
      <w:lvlJc w:val="left"/>
      <w:pPr>
        <w:ind w:left="2819" w:hanging="207"/>
      </w:pPr>
      <w:rPr>
        <w:rFonts w:hint="default"/>
      </w:rPr>
    </w:lvl>
    <w:lvl w:ilvl="4" w:tplc="61B287E0">
      <w:numFmt w:val="bullet"/>
      <w:lvlText w:val="•"/>
      <w:lvlJc w:val="left"/>
      <w:pPr>
        <w:ind w:left="3789" w:hanging="207"/>
      </w:pPr>
      <w:rPr>
        <w:rFonts w:hint="default"/>
      </w:rPr>
    </w:lvl>
    <w:lvl w:ilvl="5" w:tplc="10888C32">
      <w:numFmt w:val="bullet"/>
      <w:lvlText w:val="•"/>
      <w:lvlJc w:val="left"/>
      <w:pPr>
        <w:ind w:left="4759" w:hanging="207"/>
      </w:pPr>
      <w:rPr>
        <w:rFonts w:hint="default"/>
      </w:rPr>
    </w:lvl>
    <w:lvl w:ilvl="6" w:tplc="ECD44776">
      <w:numFmt w:val="bullet"/>
      <w:lvlText w:val="•"/>
      <w:lvlJc w:val="left"/>
      <w:pPr>
        <w:ind w:left="5729" w:hanging="207"/>
      </w:pPr>
      <w:rPr>
        <w:rFonts w:hint="default"/>
      </w:rPr>
    </w:lvl>
    <w:lvl w:ilvl="7" w:tplc="D81A0DF2">
      <w:numFmt w:val="bullet"/>
      <w:lvlText w:val="•"/>
      <w:lvlJc w:val="left"/>
      <w:pPr>
        <w:ind w:left="6699" w:hanging="207"/>
      </w:pPr>
      <w:rPr>
        <w:rFonts w:hint="default"/>
      </w:rPr>
    </w:lvl>
    <w:lvl w:ilvl="8" w:tplc="79B46FA4">
      <w:numFmt w:val="bullet"/>
      <w:lvlText w:val="•"/>
      <w:lvlJc w:val="left"/>
      <w:pPr>
        <w:ind w:left="7669" w:hanging="207"/>
      </w:pPr>
      <w:rPr>
        <w:rFonts w:hint="default"/>
      </w:rPr>
    </w:lvl>
  </w:abstractNum>
  <w:abstractNum w:abstractNumId="1" w15:restartNumberingAfterBreak="0">
    <w:nsid w:val="03BD0F21"/>
    <w:multiLevelType w:val="hybridMultilevel"/>
    <w:tmpl w:val="48FA2AB8"/>
    <w:lvl w:ilvl="0" w:tplc="518E4C06">
      <w:start w:val="1"/>
      <w:numFmt w:val="upperLetter"/>
      <w:lvlText w:val="%1."/>
      <w:lvlJc w:val="left"/>
      <w:pPr>
        <w:ind w:left="2014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1" w:tplc="0EC860DC">
      <w:numFmt w:val="bullet"/>
      <w:lvlText w:val="•"/>
      <w:lvlJc w:val="left"/>
      <w:pPr>
        <w:ind w:left="2778" w:hanging="706"/>
      </w:pPr>
      <w:rPr>
        <w:rFonts w:hint="default"/>
      </w:rPr>
    </w:lvl>
    <w:lvl w:ilvl="2" w:tplc="485E9C28">
      <w:numFmt w:val="bullet"/>
      <w:lvlText w:val="•"/>
      <w:lvlJc w:val="left"/>
      <w:pPr>
        <w:ind w:left="3537" w:hanging="706"/>
      </w:pPr>
      <w:rPr>
        <w:rFonts w:hint="default"/>
      </w:rPr>
    </w:lvl>
    <w:lvl w:ilvl="3" w:tplc="18CC9A50">
      <w:numFmt w:val="bullet"/>
      <w:lvlText w:val="•"/>
      <w:lvlJc w:val="left"/>
      <w:pPr>
        <w:ind w:left="4296" w:hanging="706"/>
      </w:pPr>
      <w:rPr>
        <w:rFonts w:hint="default"/>
      </w:rPr>
    </w:lvl>
    <w:lvl w:ilvl="4" w:tplc="8C5E6AAC">
      <w:numFmt w:val="bullet"/>
      <w:lvlText w:val="•"/>
      <w:lvlJc w:val="left"/>
      <w:pPr>
        <w:ind w:left="5055" w:hanging="706"/>
      </w:pPr>
      <w:rPr>
        <w:rFonts w:hint="default"/>
      </w:rPr>
    </w:lvl>
    <w:lvl w:ilvl="5" w:tplc="C908D97A">
      <w:numFmt w:val="bullet"/>
      <w:lvlText w:val="•"/>
      <w:lvlJc w:val="left"/>
      <w:pPr>
        <w:ind w:left="5814" w:hanging="706"/>
      </w:pPr>
      <w:rPr>
        <w:rFonts w:hint="default"/>
      </w:rPr>
    </w:lvl>
    <w:lvl w:ilvl="6" w:tplc="AE64D3D0">
      <w:numFmt w:val="bullet"/>
      <w:lvlText w:val="•"/>
      <w:lvlJc w:val="left"/>
      <w:pPr>
        <w:ind w:left="6573" w:hanging="706"/>
      </w:pPr>
      <w:rPr>
        <w:rFonts w:hint="default"/>
      </w:rPr>
    </w:lvl>
    <w:lvl w:ilvl="7" w:tplc="7884BF8E">
      <w:numFmt w:val="bullet"/>
      <w:lvlText w:val="•"/>
      <w:lvlJc w:val="left"/>
      <w:pPr>
        <w:ind w:left="7332" w:hanging="706"/>
      </w:pPr>
      <w:rPr>
        <w:rFonts w:hint="default"/>
      </w:rPr>
    </w:lvl>
    <w:lvl w:ilvl="8" w:tplc="522CC406">
      <w:numFmt w:val="bullet"/>
      <w:lvlText w:val="•"/>
      <w:lvlJc w:val="left"/>
      <w:pPr>
        <w:ind w:left="8091" w:hanging="706"/>
      </w:pPr>
      <w:rPr>
        <w:rFonts w:hint="default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3" w15:restartNumberingAfterBreak="0">
    <w:nsid w:val="05890F1A"/>
    <w:multiLevelType w:val="hybridMultilevel"/>
    <w:tmpl w:val="F850C794"/>
    <w:lvl w:ilvl="0" w:tplc="2E04C130">
      <w:start w:val="1"/>
      <w:numFmt w:val="lowerLetter"/>
      <w:lvlText w:val="%1."/>
      <w:lvlJc w:val="left"/>
      <w:pPr>
        <w:ind w:left="743" w:hanging="36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06C4FF9A">
      <w:numFmt w:val="bullet"/>
      <w:lvlText w:val="•"/>
      <w:lvlJc w:val="left"/>
      <w:pPr>
        <w:ind w:left="1626" w:hanging="361"/>
      </w:pPr>
      <w:rPr>
        <w:rFonts w:hint="default"/>
      </w:rPr>
    </w:lvl>
    <w:lvl w:ilvl="2" w:tplc="57B87F48">
      <w:numFmt w:val="bullet"/>
      <w:lvlText w:val="•"/>
      <w:lvlJc w:val="left"/>
      <w:pPr>
        <w:ind w:left="2513" w:hanging="361"/>
      </w:pPr>
      <w:rPr>
        <w:rFonts w:hint="default"/>
      </w:rPr>
    </w:lvl>
    <w:lvl w:ilvl="3" w:tplc="5D6A31EC">
      <w:numFmt w:val="bullet"/>
      <w:lvlText w:val="•"/>
      <w:lvlJc w:val="left"/>
      <w:pPr>
        <w:ind w:left="3400" w:hanging="361"/>
      </w:pPr>
      <w:rPr>
        <w:rFonts w:hint="default"/>
      </w:rPr>
    </w:lvl>
    <w:lvl w:ilvl="4" w:tplc="B6E8740A">
      <w:numFmt w:val="bullet"/>
      <w:lvlText w:val="•"/>
      <w:lvlJc w:val="left"/>
      <w:pPr>
        <w:ind w:left="4287" w:hanging="361"/>
      </w:pPr>
      <w:rPr>
        <w:rFonts w:hint="default"/>
      </w:rPr>
    </w:lvl>
    <w:lvl w:ilvl="5" w:tplc="0A7EEAE2">
      <w:numFmt w:val="bullet"/>
      <w:lvlText w:val="•"/>
      <w:lvlJc w:val="left"/>
      <w:pPr>
        <w:ind w:left="5174" w:hanging="361"/>
      </w:pPr>
      <w:rPr>
        <w:rFonts w:hint="default"/>
      </w:rPr>
    </w:lvl>
    <w:lvl w:ilvl="6" w:tplc="988223DC">
      <w:numFmt w:val="bullet"/>
      <w:lvlText w:val="•"/>
      <w:lvlJc w:val="left"/>
      <w:pPr>
        <w:ind w:left="6061" w:hanging="361"/>
      </w:pPr>
      <w:rPr>
        <w:rFonts w:hint="default"/>
      </w:rPr>
    </w:lvl>
    <w:lvl w:ilvl="7" w:tplc="FBAA7430">
      <w:numFmt w:val="bullet"/>
      <w:lvlText w:val="•"/>
      <w:lvlJc w:val="left"/>
      <w:pPr>
        <w:ind w:left="6948" w:hanging="361"/>
      </w:pPr>
      <w:rPr>
        <w:rFonts w:hint="default"/>
      </w:rPr>
    </w:lvl>
    <w:lvl w:ilvl="8" w:tplc="D3F85874">
      <w:numFmt w:val="bullet"/>
      <w:lvlText w:val="•"/>
      <w:lvlJc w:val="left"/>
      <w:pPr>
        <w:ind w:left="7835" w:hanging="361"/>
      </w:pPr>
      <w:rPr>
        <w:rFonts w:hint="default"/>
      </w:rPr>
    </w:lvl>
  </w:abstractNum>
  <w:abstractNum w:abstractNumId="4" w15:restartNumberingAfterBreak="0">
    <w:nsid w:val="075D28D2"/>
    <w:multiLevelType w:val="hybridMultilevel"/>
    <w:tmpl w:val="79B485C0"/>
    <w:lvl w:ilvl="0" w:tplc="ABAEA6C0">
      <w:start w:val="1"/>
      <w:numFmt w:val="decimal"/>
      <w:lvlText w:val="%1."/>
      <w:lvlJc w:val="left"/>
      <w:pPr>
        <w:ind w:left="319" w:hanging="50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92E4A976">
      <w:start w:val="1"/>
      <w:numFmt w:val="lowerLetter"/>
      <w:lvlText w:val="%2."/>
      <w:lvlJc w:val="left"/>
      <w:pPr>
        <w:ind w:left="746" w:hanging="36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BD1C56CA">
      <w:numFmt w:val="bullet"/>
      <w:lvlText w:val="•"/>
      <w:lvlJc w:val="left"/>
      <w:pPr>
        <w:ind w:left="1725" w:hanging="361"/>
      </w:pPr>
      <w:rPr>
        <w:rFonts w:hint="default"/>
      </w:rPr>
    </w:lvl>
    <w:lvl w:ilvl="3" w:tplc="EF923612">
      <w:numFmt w:val="bullet"/>
      <w:lvlText w:val="•"/>
      <w:lvlJc w:val="left"/>
      <w:pPr>
        <w:ind w:left="2710" w:hanging="361"/>
      </w:pPr>
      <w:rPr>
        <w:rFonts w:hint="default"/>
      </w:rPr>
    </w:lvl>
    <w:lvl w:ilvl="4" w:tplc="D09A3A00">
      <w:numFmt w:val="bullet"/>
      <w:lvlText w:val="•"/>
      <w:lvlJc w:val="left"/>
      <w:pPr>
        <w:ind w:left="3696" w:hanging="361"/>
      </w:pPr>
      <w:rPr>
        <w:rFonts w:hint="default"/>
      </w:rPr>
    </w:lvl>
    <w:lvl w:ilvl="5" w:tplc="A4AAA24C">
      <w:numFmt w:val="bullet"/>
      <w:lvlText w:val="•"/>
      <w:lvlJc w:val="left"/>
      <w:pPr>
        <w:ind w:left="4681" w:hanging="361"/>
      </w:pPr>
      <w:rPr>
        <w:rFonts w:hint="default"/>
      </w:rPr>
    </w:lvl>
    <w:lvl w:ilvl="6" w:tplc="DECA9460">
      <w:numFmt w:val="bullet"/>
      <w:lvlText w:val="•"/>
      <w:lvlJc w:val="left"/>
      <w:pPr>
        <w:ind w:left="5667" w:hanging="361"/>
      </w:pPr>
      <w:rPr>
        <w:rFonts w:hint="default"/>
      </w:rPr>
    </w:lvl>
    <w:lvl w:ilvl="7" w:tplc="9950F984">
      <w:numFmt w:val="bullet"/>
      <w:lvlText w:val="•"/>
      <w:lvlJc w:val="left"/>
      <w:pPr>
        <w:ind w:left="6652" w:hanging="361"/>
      </w:pPr>
      <w:rPr>
        <w:rFonts w:hint="default"/>
      </w:rPr>
    </w:lvl>
    <w:lvl w:ilvl="8" w:tplc="F0EC271A">
      <w:numFmt w:val="bullet"/>
      <w:lvlText w:val="•"/>
      <w:lvlJc w:val="left"/>
      <w:pPr>
        <w:ind w:left="7637" w:hanging="361"/>
      </w:pPr>
      <w:rPr>
        <w:rFonts w:hint="default"/>
      </w:rPr>
    </w:lvl>
  </w:abstractNum>
  <w:abstractNum w:abstractNumId="5" w15:restartNumberingAfterBreak="0">
    <w:nsid w:val="11714574"/>
    <w:multiLevelType w:val="hybridMultilevel"/>
    <w:tmpl w:val="681A1B60"/>
    <w:lvl w:ilvl="0" w:tplc="7BF27B90">
      <w:start w:val="1"/>
      <w:numFmt w:val="decimal"/>
      <w:lvlText w:val="%1."/>
      <w:lvlJc w:val="left"/>
      <w:pPr>
        <w:ind w:left="881" w:hanging="56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EB474EE">
      <w:numFmt w:val="bullet"/>
      <w:lvlText w:val="•"/>
      <w:lvlJc w:val="left"/>
      <w:pPr>
        <w:ind w:left="1752" w:hanging="562"/>
      </w:pPr>
      <w:rPr>
        <w:rFonts w:hint="default"/>
      </w:rPr>
    </w:lvl>
    <w:lvl w:ilvl="2" w:tplc="5DF26028">
      <w:numFmt w:val="bullet"/>
      <w:lvlText w:val="•"/>
      <w:lvlJc w:val="left"/>
      <w:pPr>
        <w:ind w:left="2625" w:hanging="562"/>
      </w:pPr>
      <w:rPr>
        <w:rFonts w:hint="default"/>
      </w:rPr>
    </w:lvl>
    <w:lvl w:ilvl="3" w:tplc="7BCCE6CA">
      <w:numFmt w:val="bullet"/>
      <w:lvlText w:val="•"/>
      <w:lvlJc w:val="left"/>
      <w:pPr>
        <w:ind w:left="3498" w:hanging="562"/>
      </w:pPr>
      <w:rPr>
        <w:rFonts w:hint="default"/>
      </w:rPr>
    </w:lvl>
    <w:lvl w:ilvl="4" w:tplc="830CECEE">
      <w:numFmt w:val="bullet"/>
      <w:lvlText w:val="•"/>
      <w:lvlJc w:val="left"/>
      <w:pPr>
        <w:ind w:left="4371" w:hanging="562"/>
      </w:pPr>
      <w:rPr>
        <w:rFonts w:hint="default"/>
      </w:rPr>
    </w:lvl>
    <w:lvl w:ilvl="5" w:tplc="FC527930">
      <w:numFmt w:val="bullet"/>
      <w:lvlText w:val="•"/>
      <w:lvlJc w:val="left"/>
      <w:pPr>
        <w:ind w:left="5244" w:hanging="562"/>
      </w:pPr>
      <w:rPr>
        <w:rFonts w:hint="default"/>
      </w:rPr>
    </w:lvl>
    <w:lvl w:ilvl="6" w:tplc="9678E070">
      <w:numFmt w:val="bullet"/>
      <w:lvlText w:val="•"/>
      <w:lvlJc w:val="left"/>
      <w:pPr>
        <w:ind w:left="6117" w:hanging="562"/>
      </w:pPr>
      <w:rPr>
        <w:rFonts w:hint="default"/>
      </w:rPr>
    </w:lvl>
    <w:lvl w:ilvl="7" w:tplc="E5E2A256">
      <w:numFmt w:val="bullet"/>
      <w:lvlText w:val="•"/>
      <w:lvlJc w:val="left"/>
      <w:pPr>
        <w:ind w:left="6990" w:hanging="562"/>
      </w:pPr>
      <w:rPr>
        <w:rFonts w:hint="default"/>
      </w:rPr>
    </w:lvl>
    <w:lvl w:ilvl="8" w:tplc="3518265E">
      <w:numFmt w:val="bullet"/>
      <w:lvlText w:val="•"/>
      <w:lvlJc w:val="left"/>
      <w:pPr>
        <w:ind w:left="7863" w:hanging="562"/>
      </w:pPr>
      <w:rPr>
        <w:rFonts w:hint="default"/>
      </w:rPr>
    </w:lvl>
  </w:abstractNum>
  <w:abstractNum w:abstractNumId="6" w15:restartNumberingAfterBreak="0">
    <w:nsid w:val="1BAA7B40"/>
    <w:multiLevelType w:val="hybridMultilevel"/>
    <w:tmpl w:val="2E46BF48"/>
    <w:lvl w:ilvl="0" w:tplc="9E129C84">
      <w:start w:val="4"/>
      <w:numFmt w:val="decimal"/>
      <w:lvlText w:val="%1."/>
      <w:lvlJc w:val="left"/>
      <w:pPr>
        <w:ind w:left="820" w:hanging="50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8C6B8C8">
      <w:numFmt w:val="bullet"/>
      <w:lvlText w:val="•"/>
      <w:lvlJc w:val="left"/>
      <w:pPr>
        <w:ind w:left="1698" w:hanging="504"/>
      </w:pPr>
      <w:rPr>
        <w:rFonts w:hint="default"/>
      </w:rPr>
    </w:lvl>
    <w:lvl w:ilvl="2" w:tplc="3F90D8F0">
      <w:numFmt w:val="bullet"/>
      <w:lvlText w:val="•"/>
      <w:lvlJc w:val="left"/>
      <w:pPr>
        <w:ind w:left="2577" w:hanging="504"/>
      </w:pPr>
      <w:rPr>
        <w:rFonts w:hint="default"/>
      </w:rPr>
    </w:lvl>
    <w:lvl w:ilvl="3" w:tplc="08C6E542">
      <w:numFmt w:val="bullet"/>
      <w:lvlText w:val="•"/>
      <w:lvlJc w:val="left"/>
      <w:pPr>
        <w:ind w:left="3456" w:hanging="504"/>
      </w:pPr>
      <w:rPr>
        <w:rFonts w:hint="default"/>
      </w:rPr>
    </w:lvl>
    <w:lvl w:ilvl="4" w:tplc="AEEC2B80">
      <w:numFmt w:val="bullet"/>
      <w:lvlText w:val="•"/>
      <w:lvlJc w:val="left"/>
      <w:pPr>
        <w:ind w:left="4335" w:hanging="504"/>
      </w:pPr>
      <w:rPr>
        <w:rFonts w:hint="default"/>
      </w:rPr>
    </w:lvl>
    <w:lvl w:ilvl="5" w:tplc="429A92EA">
      <w:numFmt w:val="bullet"/>
      <w:lvlText w:val="•"/>
      <w:lvlJc w:val="left"/>
      <w:pPr>
        <w:ind w:left="5214" w:hanging="504"/>
      </w:pPr>
      <w:rPr>
        <w:rFonts w:hint="default"/>
      </w:rPr>
    </w:lvl>
    <w:lvl w:ilvl="6" w:tplc="C70CB030">
      <w:numFmt w:val="bullet"/>
      <w:lvlText w:val="•"/>
      <w:lvlJc w:val="left"/>
      <w:pPr>
        <w:ind w:left="6093" w:hanging="504"/>
      </w:pPr>
      <w:rPr>
        <w:rFonts w:hint="default"/>
      </w:rPr>
    </w:lvl>
    <w:lvl w:ilvl="7" w:tplc="D578FC56">
      <w:numFmt w:val="bullet"/>
      <w:lvlText w:val="•"/>
      <w:lvlJc w:val="left"/>
      <w:pPr>
        <w:ind w:left="6972" w:hanging="504"/>
      </w:pPr>
      <w:rPr>
        <w:rFonts w:hint="default"/>
      </w:rPr>
    </w:lvl>
    <w:lvl w:ilvl="8" w:tplc="1BB43B38">
      <w:numFmt w:val="bullet"/>
      <w:lvlText w:val="•"/>
      <w:lvlJc w:val="left"/>
      <w:pPr>
        <w:ind w:left="7851" w:hanging="504"/>
      </w:pPr>
      <w:rPr>
        <w:rFonts w:hint="default"/>
      </w:rPr>
    </w:lvl>
  </w:abstractNum>
  <w:abstractNum w:abstractNumId="7" w15:restartNumberingAfterBreak="0">
    <w:nsid w:val="1BD27BD9"/>
    <w:multiLevelType w:val="hybridMultilevel"/>
    <w:tmpl w:val="E9724994"/>
    <w:lvl w:ilvl="0" w:tplc="10A04322">
      <w:numFmt w:val="bullet"/>
      <w:lvlText w:val=""/>
      <w:lvlJc w:val="left"/>
      <w:pPr>
        <w:ind w:left="860" w:hanging="54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D28F444">
      <w:numFmt w:val="bullet"/>
      <w:lvlText w:val="-"/>
      <w:lvlJc w:val="left"/>
      <w:pPr>
        <w:ind w:left="676" w:hanging="18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6BE6DF80">
      <w:numFmt w:val="bullet"/>
      <w:lvlText w:val="•"/>
      <w:lvlJc w:val="left"/>
      <w:pPr>
        <w:ind w:left="1832" w:hanging="188"/>
      </w:pPr>
      <w:rPr>
        <w:rFonts w:hint="default"/>
      </w:rPr>
    </w:lvl>
    <w:lvl w:ilvl="3" w:tplc="E0C8FCA4">
      <w:numFmt w:val="bullet"/>
      <w:lvlText w:val="•"/>
      <w:lvlJc w:val="left"/>
      <w:pPr>
        <w:ind w:left="2804" w:hanging="188"/>
      </w:pPr>
      <w:rPr>
        <w:rFonts w:hint="default"/>
      </w:rPr>
    </w:lvl>
    <w:lvl w:ilvl="4" w:tplc="E3D64840">
      <w:numFmt w:val="bullet"/>
      <w:lvlText w:val="•"/>
      <w:lvlJc w:val="left"/>
      <w:pPr>
        <w:ind w:left="3776" w:hanging="188"/>
      </w:pPr>
      <w:rPr>
        <w:rFonts w:hint="default"/>
      </w:rPr>
    </w:lvl>
    <w:lvl w:ilvl="5" w:tplc="0D3C27FC">
      <w:numFmt w:val="bullet"/>
      <w:lvlText w:val="•"/>
      <w:lvlJc w:val="left"/>
      <w:pPr>
        <w:ind w:left="4748" w:hanging="188"/>
      </w:pPr>
      <w:rPr>
        <w:rFonts w:hint="default"/>
      </w:rPr>
    </w:lvl>
    <w:lvl w:ilvl="6" w:tplc="6AEA1258">
      <w:numFmt w:val="bullet"/>
      <w:lvlText w:val="•"/>
      <w:lvlJc w:val="left"/>
      <w:pPr>
        <w:ind w:left="5720" w:hanging="188"/>
      </w:pPr>
      <w:rPr>
        <w:rFonts w:hint="default"/>
      </w:rPr>
    </w:lvl>
    <w:lvl w:ilvl="7" w:tplc="F8C65EAC">
      <w:numFmt w:val="bullet"/>
      <w:lvlText w:val="•"/>
      <w:lvlJc w:val="left"/>
      <w:pPr>
        <w:ind w:left="6692" w:hanging="188"/>
      </w:pPr>
      <w:rPr>
        <w:rFonts w:hint="default"/>
      </w:rPr>
    </w:lvl>
    <w:lvl w:ilvl="8" w:tplc="763658A4">
      <w:numFmt w:val="bullet"/>
      <w:lvlText w:val="•"/>
      <w:lvlJc w:val="left"/>
      <w:pPr>
        <w:ind w:left="7664" w:hanging="188"/>
      </w:pPr>
      <w:rPr>
        <w:rFonts w:hint="default"/>
      </w:rPr>
    </w:lvl>
  </w:abstractNum>
  <w:abstractNum w:abstractNumId="8" w15:restartNumberingAfterBreak="0">
    <w:nsid w:val="23215A68"/>
    <w:multiLevelType w:val="hybridMultilevel"/>
    <w:tmpl w:val="3F2C03F6"/>
    <w:lvl w:ilvl="0" w:tplc="3B384CC6">
      <w:start w:val="1"/>
      <w:numFmt w:val="decimal"/>
      <w:lvlText w:val="%1."/>
      <w:lvlJc w:val="left"/>
      <w:pPr>
        <w:ind w:left="882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9427714">
      <w:start w:val="1"/>
      <w:numFmt w:val="lowerLetter"/>
      <w:lvlText w:val="%2."/>
      <w:lvlJc w:val="left"/>
      <w:pPr>
        <w:ind w:left="858" w:hanging="543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C53887BE">
      <w:numFmt w:val="bullet"/>
      <w:lvlText w:val="•"/>
      <w:lvlJc w:val="left"/>
      <w:pPr>
        <w:ind w:left="1849" w:hanging="543"/>
      </w:pPr>
      <w:rPr>
        <w:rFonts w:hint="default"/>
      </w:rPr>
    </w:lvl>
    <w:lvl w:ilvl="3" w:tplc="06F4FC7A">
      <w:numFmt w:val="bullet"/>
      <w:lvlText w:val="•"/>
      <w:lvlJc w:val="left"/>
      <w:pPr>
        <w:ind w:left="2819" w:hanging="543"/>
      </w:pPr>
      <w:rPr>
        <w:rFonts w:hint="default"/>
      </w:rPr>
    </w:lvl>
    <w:lvl w:ilvl="4" w:tplc="6A629540">
      <w:numFmt w:val="bullet"/>
      <w:lvlText w:val="•"/>
      <w:lvlJc w:val="left"/>
      <w:pPr>
        <w:ind w:left="3789" w:hanging="543"/>
      </w:pPr>
      <w:rPr>
        <w:rFonts w:hint="default"/>
      </w:rPr>
    </w:lvl>
    <w:lvl w:ilvl="5" w:tplc="497EC3FC">
      <w:numFmt w:val="bullet"/>
      <w:lvlText w:val="•"/>
      <w:lvlJc w:val="left"/>
      <w:pPr>
        <w:ind w:left="4759" w:hanging="543"/>
      </w:pPr>
      <w:rPr>
        <w:rFonts w:hint="default"/>
      </w:rPr>
    </w:lvl>
    <w:lvl w:ilvl="6" w:tplc="3BCA406A">
      <w:numFmt w:val="bullet"/>
      <w:lvlText w:val="•"/>
      <w:lvlJc w:val="left"/>
      <w:pPr>
        <w:ind w:left="5729" w:hanging="543"/>
      </w:pPr>
      <w:rPr>
        <w:rFonts w:hint="default"/>
      </w:rPr>
    </w:lvl>
    <w:lvl w:ilvl="7" w:tplc="6C2C52FC">
      <w:numFmt w:val="bullet"/>
      <w:lvlText w:val="•"/>
      <w:lvlJc w:val="left"/>
      <w:pPr>
        <w:ind w:left="6699" w:hanging="543"/>
      </w:pPr>
      <w:rPr>
        <w:rFonts w:hint="default"/>
      </w:rPr>
    </w:lvl>
    <w:lvl w:ilvl="8" w:tplc="F9C6E77A">
      <w:numFmt w:val="bullet"/>
      <w:lvlText w:val="•"/>
      <w:lvlJc w:val="left"/>
      <w:pPr>
        <w:ind w:left="7669" w:hanging="543"/>
      </w:pPr>
      <w:rPr>
        <w:rFonts w:hint="default"/>
      </w:rPr>
    </w:lvl>
  </w:abstractNum>
  <w:abstractNum w:abstractNumId="9" w15:restartNumberingAfterBreak="0">
    <w:nsid w:val="235B14C3"/>
    <w:multiLevelType w:val="hybridMultilevel"/>
    <w:tmpl w:val="5406CB0C"/>
    <w:lvl w:ilvl="0" w:tplc="053E6402">
      <w:start w:val="1"/>
      <w:numFmt w:val="upperLetter"/>
      <w:lvlText w:val="%1."/>
      <w:lvlJc w:val="left"/>
      <w:pPr>
        <w:ind w:left="858" w:hanging="399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1" w:tplc="3D8A5CA8">
      <w:start w:val="1"/>
      <w:numFmt w:val="upperLetter"/>
      <w:lvlText w:val="%2."/>
      <w:lvlJc w:val="left"/>
      <w:pPr>
        <w:ind w:left="4256" w:hanging="274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2" w:tplc="12B06CBC">
      <w:numFmt w:val="bullet"/>
      <w:lvlText w:val="•"/>
      <w:lvlJc w:val="left"/>
      <w:pPr>
        <w:ind w:left="4854" w:hanging="274"/>
      </w:pPr>
      <w:rPr>
        <w:rFonts w:hint="default"/>
      </w:rPr>
    </w:lvl>
    <w:lvl w:ilvl="3" w:tplc="D48EEEE2">
      <w:numFmt w:val="bullet"/>
      <w:lvlText w:val="•"/>
      <w:lvlJc w:val="left"/>
      <w:pPr>
        <w:ind w:left="5448" w:hanging="274"/>
      </w:pPr>
      <w:rPr>
        <w:rFonts w:hint="default"/>
      </w:rPr>
    </w:lvl>
    <w:lvl w:ilvl="4" w:tplc="14D2FC98">
      <w:numFmt w:val="bullet"/>
      <w:lvlText w:val="•"/>
      <w:lvlJc w:val="left"/>
      <w:pPr>
        <w:ind w:left="6042" w:hanging="274"/>
      </w:pPr>
      <w:rPr>
        <w:rFonts w:hint="default"/>
      </w:rPr>
    </w:lvl>
    <w:lvl w:ilvl="5" w:tplc="D9C4C2C6">
      <w:numFmt w:val="bullet"/>
      <w:lvlText w:val="•"/>
      <w:lvlJc w:val="left"/>
      <w:pPr>
        <w:ind w:left="6637" w:hanging="274"/>
      </w:pPr>
      <w:rPr>
        <w:rFonts w:hint="default"/>
      </w:rPr>
    </w:lvl>
    <w:lvl w:ilvl="6" w:tplc="B6208C4E">
      <w:numFmt w:val="bullet"/>
      <w:lvlText w:val="•"/>
      <w:lvlJc w:val="left"/>
      <w:pPr>
        <w:ind w:left="7231" w:hanging="274"/>
      </w:pPr>
      <w:rPr>
        <w:rFonts w:hint="default"/>
      </w:rPr>
    </w:lvl>
    <w:lvl w:ilvl="7" w:tplc="34EC8D48">
      <w:numFmt w:val="bullet"/>
      <w:lvlText w:val="•"/>
      <w:lvlJc w:val="left"/>
      <w:pPr>
        <w:ind w:left="7825" w:hanging="274"/>
      </w:pPr>
      <w:rPr>
        <w:rFonts w:hint="default"/>
      </w:rPr>
    </w:lvl>
    <w:lvl w:ilvl="8" w:tplc="6ABE58D2">
      <w:numFmt w:val="bullet"/>
      <w:lvlText w:val="•"/>
      <w:lvlJc w:val="left"/>
      <w:pPr>
        <w:ind w:left="8420" w:hanging="274"/>
      </w:pPr>
      <w:rPr>
        <w:rFonts w:hint="default"/>
      </w:rPr>
    </w:lvl>
  </w:abstractNum>
  <w:abstractNum w:abstractNumId="10" w15:restartNumberingAfterBreak="0">
    <w:nsid w:val="2A7A405C"/>
    <w:multiLevelType w:val="multilevel"/>
    <w:tmpl w:val="E3A6F6B4"/>
    <w:lvl w:ilvl="0">
      <w:start w:val="1"/>
      <w:numFmt w:val="decimal"/>
      <w:lvlText w:val="%1."/>
      <w:lvlJc w:val="left"/>
      <w:pPr>
        <w:ind w:left="877" w:hanging="41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877" w:hanging="41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625" w:hanging="418"/>
      </w:pPr>
      <w:rPr>
        <w:rFonts w:hint="default"/>
      </w:rPr>
    </w:lvl>
    <w:lvl w:ilvl="3">
      <w:numFmt w:val="bullet"/>
      <w:lvlText w:val="•"/>
      <w:lvlJc w:val="left"/>
      <w:pPr>
        <w:ind w:left="3498" w:hanging="418"/>
      </w:pPr>
      <w:rPr>
        <w:rFonts w:hint="default"/>
      </w:rPr>
    </w:lvl>
    <w:lvl w:ilvl="4">
      <w:numFmt w:val="bullet"/>
      <w:lvlText w:val="•"/>
      <w:lvlJc w:val="left"/>
      <w:pPr>
        <w:ind w:left="4371" w:hanging="418"/>
      </w:pPr>
      <w:rPr>
        <w:rFonts w:hint="default"/>
      </w:rPr>
    </w:lvl>
    <w:lvl w:ilvl="5">
      <w:numFmt w:val="bullet"/>
      <w:lvlText w:val="•"/>
      <w:lvlJc w:val="left"/>
      <w:pPr>
        <w:ind w:left="5244" w:hanging="418"/>
      </w:pPr>
      <w:rPr>
        <w:rFonts w:hint="default"/>
      </w:rPr>
    </w:lvl>
    <w:lvl w:ilvl="6">
      <w:numFmt w:val="bullet"/>
      <w:lvlText w:val="•"/>
      <w:lvlJc w:val="left"/>
      <w:pPr>
        <w:ind w:left="6117" w:hanging="418"/>
      </w:pPr>
      <w:rPr>
        <w:rFonts w:hint="default"/>
      </w:rPr>
    </w:lvl>
    <w:lvl w:ilvl="7">
      <w:numFmt w:val="bullet"/>
      <w:lvlText w:val="•"/>
      <w:lvlJc w:val="left"/>
      <w:pPr>
        <w:ind w:left="6990" w:hanging="418"/>
      </w:pPr>
      <w:rPr>
        <w:rFonts w:hint="default"/>
      </w:rPr>
    </w:lvl>
    <w:lvl w:ilvl="8">
      <w:numFmt w:val="bullet"/>
      <w:lvlText w:val="•"/>
      <w:lvlJc w:val="left"/>
      <w:pPr>
        <w:ind w:left="7863" w:hanging="418"/>
      </w:pPr>
      <w:rPr>
        <w:rFonts w:hint="default"/>
      </w:rPr>
    </w:lvl>
  </w:abstractNum>
  <w:abstractNum w:abstractNumId="11" w15:restartNumberingAfterBreak="0">
    <w:nsid w:val="3322537B"/>
    <w:multiLevelType w:val="hybridMultilevel"/>
    <w:tmpl w:val="D4C8B94C"/>
    <w:lvl w:ilvl="0" w:tplc="4CF0055A">
      <w:start w:val="1"/>
      <w:numFmt w:val="decimal"/>
      <w:lvlText w:val="%1."/>
      <w:lvlJc w:val="left"/>
      <w:pPr>
        <w:ind w:left="319" w:hanging="50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C56AE7B8">
      <w:numFmt w:val="bullet"/>
      <w:lvlText w:val=""/>
      <w:lvlJc w:val="left"/>
      <w:pPr>
        <w:ind w:left="1036" w:hanging="207"/>
      </w:pPr>
      <w:rPr>
        <w:rFonts w:ascii="Symbol" w:eastAsia="Symbol" w:hAnsi="Symbol" w:cs="Symbol" w:hint="default"/>
        <w:w w:val="100"/>
        <w:sz w:val="22"/>
        <w:szCs w:val="22"/>
      </w:rPr>
    </w:lvl>
    <w:lvl w:ilvl="2" w:tplc="406845D0">
      <w:numFmt w:val="bullet"/>
      <w:lvlText w:val="•"/>
      <w:lvlJc w:val="left"/>
      <w:pPr>
        <w:ind w:left="1992" w:hanging="207"/>
      </w:pPr>
      <w:rPr>
        <w:rFonts w:hint="default"/>
      </w:rPr>
    </w:lvl>
    <w:lvl w:ilvl="3" w:tplc="D3BC89CE">
      <w:numFmt w:val="bullet"/>
      <w:lvlText w:val="•"/>
      <w:lvlJc w:val="left"/>
      <w:pPr>
        <w:ind w:left="2944" w:hanging="207"/>
      </w:pPr>
      <w:rPr>
        <w:rFonts w:hint="default"/>
      </w:rPr>
    </w:lvl>
    <w:lvl w:ilvl="4" w:tplc="4212340E">
      <w:numFmt w:val="bullet"/>
      <w:lvlText w:val="•"/>
      <w:lvlJc w:val="left"/>
      <w:pPr>
        <w:ind w:left="3896" w:hanging="207"/>
      </w:pPr>
      <w:rPr>
        <w:rFonts w:hint="default"/>
      </w:rPr>
    </w:lvl>
    <w:lvl w:ilvl="5" w:tplc="758840A4">
      <w:numFmt w:val="bullet"/>
      <w:lvlText w:val="•"/>
      <w:lvlJc w:val="left"/>
      <w:pPr>
        <w:ind w:left="4848" w:hanging="207"/>
      </w:pPr>
      <w:rPr>
        <w:rFonts w:hint="default"/>
      </w:rPr>
    </w:lvl>
    <w:lvl w:ilvl="6" w:tplc="646AB068">
      <w:numFmt w:val="bullet"/>
      <w:lvlText w:val="•"/>
      <w:lvlJc w:val="left"/>
      <w:pPr>
        <w:ind w:left="5800" w:hanging="207"/>
      </w:pPr>
      <w:rPr>
        <w:rFonts w:hint="default"/>
      </w:rPr>
    </w:lvl>
    <w:lvl w:ilvl="7" w:tplc="F5A69424">
      <w:numFmt w:val="bullet"/>
      <w:lvlText w:val="•"/>
      <w:lvlJc w:val="left"/>
      <w:pPr>
        <w:ind w:left="6752" w:hanging="207"/>
      </w:pPr>
      <w:rPr>
        <w:rFonts w:hint="default"/>
      </w:rPr>
    </w:lvl>
    <w:lvl w:ilvl="8" w:tplc="A5F2BA06">
      <w:numFmt w:val="bullet"/>
      <w:lvlText w:val="•"/>
      <w:lvlJc w:val="left"/>
      <w:pPr>
        <w:ind w:left="7704" w:hanging="207"/>
      </w:pPr>
      <w:rPr>
        <w:rFonts w:hint="default"/>
      </w:rPr>
    </w:lvl>
  </w:abstractNum>
  <w:abstractNum w:abstractNumId="12" w15:restartNumberingAfterBreak="0">
    <w:nsid w:val="392C0CEE"/>
    <w:multiLevelType w:val="hybridMultilevel"/>
    <w:tmpl w:val="4FA01748"/>
    <w:lvl w:ilvl="0" w:tplc="A12C8CEC">
      <w:numFmt w:val="bullet"/>
      <w:lvlText w:val="-"/>
      <w:lvlJc w:val="left"/>
      <w:pPr>
        <w:ind w:left="860" w:hanging="54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F0C53FA">
      <w:numFmt w:val="bullet"/>
      <w:lvlText w:val="•"/>
      <w:lvlJc w:val="left"/>
      <w:pPr>
        <w:ind w:left="1734" w:hanging="543"/>
      </w:pPr>
      <w:rPr>
        <w:rFonts w:hint="default"/>
      </w:rPr>
    </w:lvl>
    <w:lvl w:ilvl="2" w:tplc="37E6E126">
      <w:numFmt w:val="bullet"/>
      <w:lvlText w:val="•"/>
      <w:lvlJc w:val="left"/>
      <w:pPr>
        <w:ind w:left="2609" w:hanging="543"/>
      </w:pPr>
      <w:rPr>
        <w:rFonts w:hint="default"/>
      </w:rPr>
    </w:lvl>
    <w:lvl w:ilvl="3" w:tplc="07189B8E">
      <w:numFmt w:val="bullet"/>
      <w:lvlText w:val="•"/>
      <w:lvlJc w:val="left"/>
      <w:pPr>
        <w:ind w:left="3484" w:hanging="543"/>
      </w:pPr>
      <w:rPr>
        <w:rFonts w:hint="default"/>
      </w:rPr>
    </w:lvl>
    <w:lvl w:ilvl="4" w:tplc="1F2C5C78">
      <w:numFmt w:val="bullet"/>
      <w:lvlText w:val="•"/>
      <w:lvlJc w:val="left"/>
      <w:pPr>
        <w:ind w:left="4359" w:hanging="543"/>
      </w:pPr>
      <w:rPr>
        <w:rFonts w:hint="default"/>
      </w:rPr>
    </w:lvl>
    <w:lvl w:ilvl="5" w:tplc="FC504D82">
      <w:numFmt w:val="bullet"/>
      <w:lvlText w:val="•"/>
      <w:lvlJc w:val="left"/>
      <w:pPr>
        <w:ind w:left="5234" w:hanging="543"/>
      </w:pPr>
      <w:rPr>
        <w:rFonts w:hint="default"/>
      </w:rPr>
    </w:lvl>
    <w:lvl w:ilvl="6" w:tplc="F788C4F0">
      <w:numFmt w:val="bullet"/>
      <w:lvlText w:val="•"/>
      <w:lvlJc w:val="left"/>
      <w:pPr>
        <w:ind w:left="6109" w:hanging="543"/>
      </w:pPr>
      <w:rPr>
        <w:rFonts w:hint="default"/>
      </w:rPr>
    </w:lvl>
    <w:lvl w:ilvl="7" w:tplc="D494ED6A">
      <w:numFmt w:val="bullet"/>
      <w:lvlText w:val="•"/>
      <w:lvlJc w:val="left"/>
      <w:pPr>
        <w:ind w:left="6984" w:hanging="543"/>
      </w:pPr>
      <w:rPr>
        <w:rFonts w:hint="default"/>
      </w:rPr>
    </w:lvl>
    <w:lvl w:ilvl="8" w:tplc="AC06D730">
      <w:numFmt w:val="bullet"/>
      <w:lvlText w:val="•"/>
      <w:lvlJc w:val="left"/>
      <w:pPr>
        <w:ind w:left="7859" w:hanging="543"/>
      </w:pPr>
      <w:rPr>
        <w:rFonts w:hint="default"/>
      </w:rPr>
    </w:lvl>
  </w:abstractNum>
  <w:abstractNum w:abstractNumId="13" w15:restartNumberingAfterBreak="0">
    <w:nsid w:val="3A0E5977"/>
    <w:multiLevelType w:val="hybridMultilevel"/>
    <w:tmpl w:val="DC30ADD0"/>
    <w:lvl w:ilvl="0" w:tplc="9194699C">
      <w:start w:val="4"/>
      <w:numFmt w:val="decimal"/>
      <w:lvlText w:val="%1."/>
      <w:lvlJc w:val="left"/>
      <w:pPr>
        <w:ind w:left="820" w:hanging="50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DBE21144">
      <w:numFmt w:val="bullet"/>
      <w:lvlText w:val="•"/>
      <w:lvlJc w:val="left"/>
      <w:pPr>
        <w:ind w:left="1698" w:hanging="504"/>
      </w:pPr>
      <w:rPr>
        <w:rFonts w:hint="default"/>
      </w:rPr>
    </w:lvl>
    <w:lvl w:ilvl="2" w:tplc="BDB20FFA">
      <w:numFmt w:val="bullet"/>
      <w:lvlText w:val="•"/>
      <w:lvlJc w:val="left"/>
      <w:pPr>
        <w:ind w:left="2577" w:hanging="504"/>
      </w:pPr>
      <w:rPr>
        <w:rFonts w:hint="default"/>
      </w:rPr>
    </w:lvl>
    <w:lvl w:ilvl="3" w:tplc="6144DD44">
      <w:numFmt w:val="bullet"/>
      <w:lvlText w:val="•"/>
      <w:lvlJc w:val="left"/>
      <w:pPr>
        <w:ind w:left="3456" w:hanging="504"/>
      </w:pPr>
      <w:rPr>
        <w:rFonts w:hint="default"/>
      </w:rPr>
    </w:lvl>
    <w:lvl w:ilvl="4" w:tplc="3D5ECA3A">
      <w:numFmt w:val="bullet"/>
      <w:lvlText w:val="•"/>
      <w:lvlJc w:val="left"/>
      <w:pPr>
        <w:ind w:left="4335" w:hanging="504"/>
      </w:pPr>
      <w:rPr>
        <w:rFonts w:hint="default"/>
      </w:rPr>
    </w:lvl>
    <w:lvl w:ilvl="5" w:tplc="A2A63934">
      <w:numFmt w:val="bullet"/>
      <w:lvlText w:val="•"/>
      <w:lvlJc w:val="left"/>
      <w:pPr>
        <w:ind w:left="5214" w:hanging="504"/>
      </w:pPr>
      <w:rPr>
        <w:rFonts w:hint="default"/>
      </w:rPr>
    </w:lvl>
    <w:lvl w:ilvl="6" w:tplc="F1829A5A">
      <w:numFmt w:val="bullet"/>
      <w:lvlText w:val="•"/>
      <w:lvlJc w:val="left"/>
      <w:pPr>
        <w:ind w:left="6093" w:hanging="504"/>
      </w:pPr>
      <w:rPr>
        <w:rFonts w:hint="default"/>
      </w:rPr>
    </w:lvl>
    <w:lvl w:ilvl="7" w:tplc="07687542">
      <w:numFmt w:val="bullet"/>
      <w:lvlText w:val="•"/>
      <w:lvlJc w:val="left"/>
      <w:pPr>
        <w:ind w:left="6972" w:hanging="504"/>
      </w:pPr>
      <w:rPr>
        <w:rFonts w:hint="default"/>
      </w:rPr>
    </w:lvl>
    <w:lvl w:ilvl="8" w:tplc="07C2DD06">
      <w:numFmt w:val="bullet"/>
      <w:lvlText w:val="•"/>
      <w:lvlJc w:val="left"/>
      <w:pPr>
        <w:ind w:left="7851" w:hanging="504"/>
      </w:pPr>
      <w:rPr>
        <w:rFonts w:hint="default"/>
      </w:rPr>
    </w:lvl>
  </w:abstractNum>
  <w:abstractNum w:abstractNumId="14" w15:restartNumberingAfterBreak="0">
    <w:nsid w:val="3B091517"/>
    <w:multiLevelType w:val="hybridMultilevel"/>
    <w:tmpl w:val="A1667230"/>
    <w:lvl w:ilvl="0" w:tplc="1A047CA2">
      <w:start w:val="1"/>
      <w:numFmt w:val="decimal"/>
      <w:lvlText w:val="%1."/>
      <w:lvlJc w:val="left"/>
      <w:pPr>
        <w:ind w:left="881" w:hanging="56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A1E1DCA">
      <w:numFmt w:val="bullet"/>
      <w:lvlText w:val="•"/>
      <w:lvlJc w:val="left"/>
      <w:pPr>
        <w:ind w:left="1752" w:hanging="562"/>
      </w:pPr>
      <w:rPr>
        <w:rFonts w:hint="default"/>
      </w:rPr>
    </w:lvl>
    <w:lvl w:ilvl="2" w:tplc="1230177A">
      <w:numFmt w:val="bullet"/>
      <w:lvlText w:val="•"/>
      <w:lvlJc w:val="left"/>
      <w:pPr>
        <w:ind w:left="2625" w:hanging="562"/>
      </w:pPr>
      <w:rPr>
        <w:rFonts w:hint="default"/>
      </w:rPr>
    </w:lvl>
    <w:lvl w:ilvl="3" w:tplc="1BAC0A0C">
      <w:numFmt w:val="bullet"/>
      <w:lvlText w:val="•"/>
      <w:lvlJc w:val="left"/>
      <w:pPr>
        <w:ind w:left="3498" w:hanging="562"/>
      </w:pPr>
      <w:rPr>
        <w:rFonts w:hint="default"/>
      </w:rPr>
    </w:lvl>
    <w:lvl w:ilvl="4" w:tplc="F28206B2">
      <w:numFmt w:val="bullet"/>
      <w:lvlText w:val="•"/>
      <w:lvlJc w:val="left"/>
      <w:pPr>
        <w:ind w:left="4371" w:hanging="562"/>
      </w:pPr>
      <w:rPr>
        <w:rFonts w:hint="default"/>
      </w:rPr>
    </w:lvl>
    <w:lvl w:ilvl="5" w:tplc="3774E110">
      <w:numFmt w:val="bullet"/>
      <w:lvlText w:val="•"/>
      <w:lvlJc w:val="left"/>
      <w:pPr>
        <w:ind w:left="5244" w:hanging="562"/>
      </w:pPr>
      <w:rPr>
        <w:rFonts w:hint="default"/>
      </w:rPr>
    </w:lvl>
    <w:lvl w:ilvl="6" w:tplc="B7885CEC">
      <w:numFmt w:val="bullet"/>
      <w:lvlText w:val="•"/>
      <w:lvlJc w:val="left"/>
      <w:pPr>
        <w:ind w:left="6117" w:hanging="562"/>
      </w:pPr>
      <w:rPr>
        <w:rFonts w:hint="default"/>
      </w:rPr>
    </w:lvl>
    <w:lvl w:ilvl="7" w:tplc="32741812">
      <w:numFmt w:val="bullet"/>
      <w:lvlText w:val="•"/>
      <w:lvlJc w:val="left"/>
      <w:pPr>
        <w:ind w:left="6990" w:hanging="562"/>
      </w:pPr>
      <w:rPr>
        <w:rFonts w:hint="default"/>
      </w:rPr>
    </w:lvl>
    <w:lvl w:ilvl="8" w:tplc="BA386634">
      <w:numFmt w:val="bullet"/>
      <w:lvlText w:val="•"/>
      <w:lvlJc w:val="left"/>
      <w:pPr>
        <w:ind w:left="7863" w:hanging="562"/>
      </w:pPr>
      <w:rPr>
        <w:rFonts w:hint="default"/>
      </w:rPr>
    </w:lvl>
  </w:abstractNum>
  <w:abstractNum w:abstractNumId="1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60256"/>
    <w:multiLevelType w:val="hybridMultilevel"/>
    <w:tmpl w:val="72D0F51E"/>
    <w:lvl w:ilvl="0" w:tplc="478059AC">
      <w:numFmt w:val="bullet"/>
      <w:lvlText w:val=""/>
      <w:lvlJc w:val="left"/>
      <w:pPr>
        <w:ind w:left="745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FF00D6E">
      <w:numFmt w:val="bullet"/>
      <w:lvlText w:val="•"/>
      <w:lvlJc w:val="left"/>
      <w:pPr>
        <w:ind w:left="1626" w:hanging="361"/>
      </w:pPr>
      <w:rPr>
        <w:rFonts w:hint="default"/>
      </w:rPr>
    </w:lvl>
    <w:lvl w:ilvl="2" w:tplc="9D787452">
      <w:numFmt w:val="bullet"/>
      <w:lvlText w:val="•"/>
      <w:lvlJc w:val="left"/>
      <w:pPr>
        <w:ind w:left="2513" w:hanging="361"/>
      </w:pPr>
      <w:rPr>
        <w:rFonts w:hint="default"/>
      </w:rPr>
    </w:lvl>
    <w:lvl w:ilvl="3" w:tplc="CF988B78">
      <w:numFmt w:val="bullet"/>
      <w:lvlText w:val="•"/>
      <w:lvlJc w:val="left"/>
      <w:pPr>
        <w:ind w:left="3400" w:hanging="361"/>
      </w:pPr>
      <w:rPr>
        <w:rFonts w:hint="default"/>
      </w:rPr>
    </w:lvl>
    <w:lvl w:ilvl="4" w:tplc="2170067A">
      <w:numFmt w:val="bullet"/>
      <w:lvlText w:val="•"/>
      <w:lvlJc w:val="left"/>
      <w:pPr>
        <w:ind w:left="4287" w:hanging="361"/>
      </w:pPr>
      <w:rPr>
        <w:rFonts w:hint="default"/>
      </w:rPr>
    </w:lvl>
    <w:lvl w:ilvl="5" w:tplc="CBCAC064">
      <w:numFmt w:val="bullet"/>
      <w:lvlText w:val="•"/>
      <w:lvlJc w:val="left"/>
      <w:pPr>
        <w:ind w:left="5174" w:hanging="361"/>
      </w:pPr>
      <w:rPr>
        <w:rFonts w:hint="default"/>
      </w:rPr>
    </w:lvl>
    <w:lvl w:ilvl="6" w:tplc="5A54A93E">
      <w:numFmt w:val="bullet"/>
      <w:lvlText w:val="•"/>
      <w:lvlJc w:val="left"/>
      <w:pPr>
        <w:ind w:left="6061" w:hanging="361"/>
      </w:pPr>
      <w:rPr>
        <w:rFonts w:hint="default"/>
      </w:rPr>
    </w:lvl>
    <w:lvl w:ilvl="7" w:tplc="639AAA68">
      <w:numFmt w:val="bullet"/>
      <w:lvlText w:val="•"/>
      <w:lvlJc w:val="left"/>
      <w:pPr>
        <w:ind w:left="6948" w:hanging="361"/>
      </w:pPr>
      <w:rPr>
        <w:rFonts w:hint="default"/>
      </w:rPr>
    </w:lvl>
    <w:lvl w:ilvl="8" w:tplc="F30011F4">
      <w:numFmt w:val="bullet"/>
      <w:lvlText w:val="•"/>
      <w:lvlJc w:val="left"/>
      <w:pPr>
        <w:ind w:left="7835" w:hanging="361"/>
      </w:pPr>
      <w:rPr>
        <w:rFonts w:hint="default"/>
      </w:rPr>
    </w:lvl>
  </w:abstractNum>
  <w:abstractNum w:abstractNumId="17" w15:restartNumberingAfterBreak="0">
    <w:nsid w:val="5F6E3BAD"/>
    <w:multiLevelType w:val="multilevel"/>
    <w:tmpl w:val="FE049198"/>
    <w:lvl w:ilvl="0">
      <w:start w:val="1"/>
      <w:numFmt w:val="decimal"/>
      <w:lvlText w:val="%1."/>
      <w:lvlJc w:val="left"/>
      <w:pPr>
        <w:ind w:left="985" w:hanging="41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877" w:hanging="41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625" w:hanging="418"/>
      </w:pPr>
      <w:rPr>
        <w:rFonts w:hint="default"/>
      </w:rPr>
    </w:lvl>
    <w:lvl w:ilvl="3">
      <w:numFmt w:val="bullet"/>
      <w:lvlText w:val="•"/>
      <w:lvlJc w:val="left"/>
      <w:pPr>
        <w:ind w:left="3498" w:hanging="418"/>
      </w:pPr>
      <w:rPr>
        <w:rFonts w:hint="default"/>
      </w:rPr>
    </w:lvl>
    <w:lvl w:ilvl="4">
      <w:numFmt w:val="bullet"/>
      <w:lvlText w:val="•"/>
      <w:lvlJc w:val="left"/>
      <w:pPr>
        <w:ind w:left="4371" w:hanging="418"/>
      </w:pPr>
      <w:rPr>
        <w:rFonts w:hint="default"/>
      </w:rPr>
    </w:lvl>
    <w:lvl w:ilvl="5">
      <w:numFmt w:val="bullet"/>
      <w:lvlText w:val="•"/>
      <w:lvlJc w:val="left"/>
      <w:pPr>
        <w:ind w:left="5244" w:hanging="418"/>
      </w:pPr>
      <w:rPr>
        <w:rFonts w:hint="default"/>
      </w:rPr>
    </w:lvl>
    <w:lvl w:ilvl="6">
      <w:numFmt w:val="bullet"/>
      <w:lvlText w:val="•"/>
      <w:lvlJc w:val="left"/>
      <w:pPr>
        <w:ind w:left="6117" w:hanging="418"/>
      </w:pPr>
      <w:rPr>
        <w:rFonts w:hint="default"/>
      </w:rPr>
    </w:lvl>
    <w:lvl w:ilvl="7">
      <w:numFmt w:val="bullet"/>
      <w:lvlText w:val="•"/>
      <w:lvlJc w:val="left"/>
      <w:pPr>
        <w:ind w:left="6990" w:hanging="418"/>
      </w:pPr>
      <w:rPr>
        <w:rFonts w:hint="default"/>
      </w:rPr>
    </w:lvl>
    <w:lvl w:ilvl="8">
      <w:numFmt w:val="bullet"/>
      <w:lvlText w:val="•"/>
      <w:lvlJc w:val="left"/>
      <w:pPr>
        <w:ind w:left="7863" w:hanging="418"/>
      </w:pPr>
      <w:rPr>
        <w:rFonts w:hint="default"/>
      </w:rPr>
    </w:lvl>
  </w:abstractNum>
  <w:abstractNum w:abstractNumId="18" w15:restartNumberingAfterBreak="0">
    <w:nsid w:val="75DF4CD0"/>
    <w:multiLevelType w:val="hybridMultilevel"/>
    <w:tmpl w:val="35AEDD9A"/>
    <w:lvl w:ilvl="0" w:tplc="F3E678D6">
      <w:numFmt w:val="bullet"/>
      <w:lvlText w:val=""/>
      <w:lvlJc w:val="left"/>
      <w:pPr>
        <w:ind w:left="862" w:hanging="385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784A576">
      <w:numFmt w:val="bullet"/>
      <w:lvlText w:val="•"/>
      <w:lvlJc w:val="left"/>
      <w:pPr>
        <w:ind w:left="1734" w:hanging="385"/>
      </w:pPr>
      <w:rPr>
        <w:rFonts w:hint="default"/>
      </w:rPr>
    </w:lvl>
    <w:lvl w:ilvl="2" w:tplc="0BC63110">
      <w:numFmt w:val="bullet"/>
      <w:lvlText w:val="•"/>
      <w:lvlJc w:val="left"/>
      <w:pPr>
        <w:ind w:left="2609" w:hanging="385"/>
      </w:pPr>
      <w:rPr>
        <w:rFonts w:hint="default"/>
      </w:rPr>
    </w:lvl>
    <w:lvl w:ilvl="3" w:tplc="ACA02866">
      <w:numFmt w:val="bullet"/>
      <w:lvlText w:val="•"/>
      <w:lvlJc w:val="left"/>
      <w:pPr>
        <w:ind w:left="3484" w:hanging="385"/>
      </w:pPr>
      <w:rPr>
        <w:rFonts w:hint="default"/>
      </w:rPr>
    </w:lvl>
    <w:lvl w:ilvl="4" w:tplc="23665388">
      <w:numFmt w:val="bullet"/>
      <w:lvlText w:val="•"/>
      <w:lvlJc w:val="left"/>
      <w:pPr>
        <w:ind w:left="4359" w:hanging="385"/>
      </w:pPr>
      <w:rPr>
        <w:rFonts w:hint="default"/>
      </w:rPr>
    </w:lvl>
    <w:lvl w:ilvl="5" w:tplc="099CF33E">
      <w:numFmt w:val="bullet"/>
      <w:lvlText w:val="•"/>
      <w:lvlJc w:val="left"/>
      <w:pPr>
        <w:ind w:left="5234" w:hanging="385"/>
      </w:pPr>
      <w:rPr>
        <w:rFonts w:hint="default"/>
      </w:rPr>
    </w:lvl>
    <w:lvl w:ilvl="6" w:tplc="2E92E2C6">
      <w:numFmt w:val="bullet"/>
      <w:lvlText w:val="•"/>
      <w:lvlJc w:val="left"/>
      <w:pPr>
        <w:ind w:left="6109" w:hanging="385"/>
      </w:pPr>
      <w:rPr>
        <w:rFonts w:hint="default"/>
      </w:rPr>
    </w:lvl>
    <w:lvl w:ilvl="7" w:tplc="7D62956E">
      <w:numFmt w:val="bullet"/>
      <w:lvlText w:val="•"/>
      <w:lvlJc w:val="left"/>
      <w:pPr>
        <w:ind w:left="6984" w:hanging="385"/>
      </w:pPr>
      <w:rPr>
        <w:rFonts w:hint="default"/>
      </w:rPr>
    </w:lvl>
    <w:lvl w:ilvl="8" w:tplc="13BA341A">
      <w:numFmt w:val="bullet"/>
      <w:lvlText w:val="•"/>
      <w:lvlJc w:val="left"/>
      <w:pPr>
        <w:ind w:left="7859" w:hanging="385"/>
      </w:pPr>
      <w:rPr>
        <w:rFonts w:hint="default"/>
      </w:rPr>
    </w:lvl>
  </w:abstractNum>
  <w:abstractNum w:abstractNumId="19" w15:restartNumberingAfterBreak="0">
    <w:nsid w:val="78D008E6"/>
    <w:multiLevelType w:val="hybridMultilevel"/>
    <w:tmpl w:val="16426286"/>
    <w:lvl w:ilvl="0" w:tplc="0972D5D6">
      <w:start w:val="1"/>
      <w:numFmt w:val="decimal"/>
      <w:lvlText w:val="%1."/>
      <w:lvlJc w:val="left"/>
      <w:pPr>
        <w:ind w:left="1036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5783462">
      <w:start w:val="1"/>
      <w:numFmt w:val="lowerLetter"/>
      <w:lvlText w:val="%2."/>
      <w:lvlJc w:val="left"/>
      <w:pPr>
        <w:ind w:left="882" w:hanging="567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1DB2B048">
      <w:numFmt w:val="bullet"/>
      <w:lvlText w:val="•"/>
      <w:lvlJc w:val="left"/>
      <w:pPr>
        <w:ind w:left="1992" w:hanging="567"/>
      </w:pPr>
      <w:rPr>
        <w:rFonts w:hint="default"/>
      </w:rPr>
    </w:lvl>
    <w:lvl w:ilvl="3" w:tplc="4578701C">
      <w:numFmt w:val="bullet"/>
      <w:lvlText w:val="•"/>
      <w:lvlJc w:val="left"/>
      <w:pPr>
        <w:ind w:left="2944" w:hanging="567"/>
      </w:pPr>
      <w:rPr>
        <w:rFonts w:hint="default"/>
      </w:rPr>
    </w:lvl>
    <w:lvl w:ilvl="4" w:tplc="71485BDE">
      <w:numFmt w:val="bullet"/>
      <w:lvlText w:val="•"/>
      <w:lvlJc w:val="left"/>
      <w:pPr>
        <w:ind w:left="3896" w:hanging="567"/>
      </w:pPr>
      <w:rPr>
        <w:rFonts w:hint="default"/>
      </w:rPr>
    </w:lvl>
    <w:lvl w:ilvl="5" w:tplc="EFC2A028">
      <w:numFmt w:val="bullet"/>
      <w:lvlText w:val="•"/>
      <w:lvlJc w:val="left"/>
      <w:pPr>
        <w:ind w:left="4848" w:hanging="567"/>
      </w:pPr>
      <w:rPr>
        <w:rFonts w:hint="default"/>
      </w:rPr>
    </w:lvl>
    <w:lvl w:ilvl="6" w:tplc="92BCC884">
      <w:numFmt w:val="bullet"/>
      <w:lvlText w:val="•"/>
      <w:lvlJc w:val="left"/>
      <w:pPr>
        <w:ind w:left="5800" w:hanging="567"/>
      </w:pPr>
      <w:rPr>
        <w:rFonts w:hint="default"/>
      </w:rPr>
    </w:lvl>
    <w:lvl w:ilvl="7" w:tplc="2118DFB4">
      <w:numFmt w:val="bullet"/>
      <w:lvlText w:val="•"/>
      <w:lvlJc w:val="left"/>
      <w:pPr>
        <w:ind w:left="6752" w:hanging="567"/>
      </w:pPr>
      <w:rPr>
        <w:rFonts w:hint="default"/>
      </w:rPr>
    </w:lvl>
    <w:lvl w:ilvl="8" w:tplc="8FB81A80">
      <w:numFmt w:val="bullet"/>
      <w:lvlText w:val="•"/>
      <w:lvlJc w:val="left"/>
      <w:pPr>
        <w:ind w:left="7704" w:hanging="567"/>
      </w:pPr>
      <w:rPr>
        <w:rFonts w:hint="default"/>
      </w:rPr>
    </w:lvl>
  </w:abstractNum>
  <w:abstractNum w:abstractNumId="20" w15:restartNumberingAfterBreak="0">
    <w:nsid w:val="7B397F63"/>
    <w:multiLevelType w:val="hybridMultilevel"/>
    <w:tmpl w:val="85F0E502"/>
    <w:lvl w:ilvl="0" w:tplc="1A860312">
      <w:numFmt w:val="bullet"/>
      <w:lvlText w:val=""/>
      <w:lvlJc w:val="left"/>
      <w:pPr>
        <w:ind w:left="743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2126D7A">
      <w:numFmt w:val="bullet"/>
      <w:lvlText w:val="•"/>
      <w:lvlJc w:val="left"/>
      <w:pPr>
        <w:ind w:left="1626" w:hanging="361"/>
      </w:pPr>
      <w:rPr>
        <w:rFonts w:hint="default"/>
      </w:rPr>
    </w:lvl>
    <w:lvl w:ilvl="2" w:tplc="7C22A7EC">
      <w:numFmt w:val="bullet"/>
      <w:lvlText w:val="•"/>
      <w:lvlJc w:val="left"/>
      <w:pPr>
        <w:ind w:left="2513" w:hanging="361"/>
      </w:pPr>
      <w:rPr>
        <w:rFonts w:hint="default"/>
      </w:rPr>
    </w:lvl>
    <w:lvl w:ilvl="3" w:tplc="9EDE35C0">
      <w:numFmt w:val="bullet"/>
      <w:lvlText w:val="•"/>
      <w:lvlJc w:val="left"/>
      <w:pPr>
        <w:ind w:left="3400" w:hanging="361"/>
      </w:pPr>
      <w:rPr>
        <w:rFonts w:hint="default"/>
      </w:rPr>
    </w:lvl>
    <w:lvl w:ilvl="4" w:tplc="64744D82">
      <w:numFmt w:val="bullet"/>
      <w:lvlText w:val="•"/>
      <w:lvlJc w:val="left"/>
      <w:pPr>
        <w:ind w:left="4287" w:hanging="361"/>
      </w:pPr>
      <w:rPr>
        <w:rFonts w:hint="default"/>
      </w:rPr>
    </w:lvl>
    <w:lvl w:ilvl="5" w:tplc="EBE0A2E0">
      <w:numFmt w:val="bullet"/>
      <w:lvlText w:val="•"/>
      <w:lvlJc w:val="left"/>
      <w:pPr>
        <w:ind w:left="5174" w:hanging="361"/>
      </w:pPr>
      <w:rPr>
        <w:rFonts w:hint="default"/>
      </w:rPr>
    </w:lvl>
    <w:lvl w:ilvl="6" w:tplc="EB66685A">
      <w:numFmt w:val="bullet"/>
      <w:lvlText w:val="•"/>
      <w:lvlJc w:val="left"/>
      <w:pPr>
        <w:ind w:left="6061" w:hanging="361"/>
      </w:pPr>
      <w:rPr>
        <w:rFonts w:hint="default"/>
      </w:rPr>
    </w:lvl>
    <w:lvl w:ilvl="7" w:tplc="D1F8A520">
      <w:numFmt w:val="bullet"/>
      <w:lvlText w:val="•"/>
      <w:lvlJc w:val="left"/>
      <w:pPr>
        <w:ind w:left="6948" w:hanging="361"/>
      </w:pPr>
      <w:rPr>
        <w:rFonts w:hint="default"/>
      </w:rPr>
    </w:lvl>
    <w:lvl w:ilvl="8" w:tplc="6430108E">
      <w:numFmt w:val="bullet"/>
      <w:lvlText w:val="•"/>
      <w:lvlJc w:val="left"/>
      <w:pPr>
        <w:ind w:left="7835" w:hanging="361"/>
      </w:pPr>
      <w:rPr>
        <w:rFonts w:hint="default"/>
      </w:rPr>
    </w:lvl>
  </w:abstractNum>
  <w:num w:numId="1">
    <w:abstractNumId w:val="13"/>
  </w:num>
  <w:num w:numId="2">
    <w:abstractNumId w:val="19"/>
  </w:num>
  <w:num w:numId="3">
    <w:abstractNumId w:val="3"/>
  </w:num>
  <w:num w:numId="4">
    <w:abstractNumId w:val="20"/>
  </w:num>
  <w:num w:numId="5">
    <w:abstractNumId w:val="11"/>
  </w:num>
  <w:num w:numId="6">
    <w:abstractNumId w:val="5"/>
  </w:num>
  <w:num w:numId="7">
    <w:abstractNumId w:val="6"/>
  </w:num>
  <w:num w:numId="8">
    <w:abstractNumId w:val="8"/>
  </w:num>
  <w:num w:numId="9">
    <w:abstractNumId w:val="16"/>
  </w:num>
  <w:num w:numId="10">
    <w:abstractNumId w:val="0"/>
  </w:num>
  <w:num w:numId="11">
    <w:abstractNumId w:val="12"/>
  </w:num>
  <w:num w:numId="12">
    <w:abstractNumId w:val="4"/>
  </w:num>
  <w:num w:numId="13">
    <w:abstractNumId w:val="14"/>
  </w:num>
  <w:num w:numId="14">
    <w:abstractNumId w:val="7"/>
  </w:num>
  <w:num w:numId="15">
    <w:abstractNumId w:val="18"/>
  </w:num>
  <w:num w:numId="16">
    <w:abstractNumId w:val="9"/>
  </w:num>
  <w:num w:numId="17">
    <w:abstractNumId w:val="1"/>
  </w:num>
  <w:num w:numId="18">
    <w:abstractNumId w:val="17"/>
  </w:num>
  <w:num w:numId="19">
    <w:abstractNumId w:val="10"/>
  </w:num>
  <w:num w:numId="20">
    <w:abstractNumId w:val="15"/>
  </w:num>
  <w:num w:numId="2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30"/>
    <w:rsid w:val="00006D20"/>
    <w:rsid w:val="00006E3B"/>
    <w:rsid w:val="00026AC1"/>
    <w:rsid w:val="000342C0"/>
    <w:rsid w:val="000401F8"/>
    <w:rsid w:val="000534A2"/>
    <w:rsid w:val="0006103B"/>
    <w:rsid w:val="000733CC"/>
    <w:rsid w:val="00085BEA"/>
    <w:rsid w:val="0009088E"/>
    <w:rsid w:val="00091BDC"/>
    <w:rsid w:val="00094E72"/>
    <w:rsid w:val="000958F1"/>
    <w:rsid w:val="0009674D"/>
    <w:rsid w:val="000A38B0"/>
    <w:rsid w:val="000A675A"/>
    <w:rsid w:val="000B142A"/>
    <w:rsid w:val="000B684C"/>
    <w:rsid w:val="000B6F39"/>
    <w:rsid w:val="000C5FDD"/>
    <w:rsid w:val="000D1E96"/>
    <w:rsid w:val="000D2479"/>
    <w:rsid w:val="000D42A8"/>
    <w:rsid w:val="000D70C2"/>
    <w:rsid w:val="000E3CDA"/>
    <w:rsid w:val="000F0574"/>
    <w:rsid w:val="00102C7B"/>
    <w:rsid w:val="001078E6"/>
    <w:rsid w:val="00110329"/>
    <w:rsid w:val="00116A93"/>
    <w:rsid w:val="00124391"/>
    <w:rsid w:val="00127F4E"/>
    <w:rsid w:val="001374C3"/>
    <w:rsid w:val="001376B7"/>
    <w:rsid w:val="00140597"/>
    <w:rsid w:val="001452F2"/>
    <w:rsid w:val="00146473"/>
    <w:rsid w:val="00146A3B"/>
    <w:rsid w:val="00154F99"/>
    <w:rsid w:val="00165DF7"/>
    <w:rsid w:val="00166C5E"/>
    <w:rsid w:val="00171256"/>
    <w:rsid w:val="0017197D"/>
    <w:rsid w:val="00181A69"/>
    <w:rsid w:val="00187A0B"/>
    <w:rsid w:val="001923F3"/>
    <w:rsid w:val="001963BF"/>
    <w:rsid w:val="00196464"/>
    <w:rsid w:val="001A27FB"/>
    <w:rsid w:val="001A4DBF"/>
    <w:rsid w:val="001A768D"/>
    <w:rsid w:val="001B1E50"/>
    <w:rsid w:val="001B226E"/>
    <w:rsid w:val="001D101A"/>
    <w:rsid w:val="001D20B0"/>
    <w:rsid w:val="001D243B"/>
    <w:rsid w:val="001D4273"/>
    <w:rsid w:val="001D5012"/>
    <w:rsid w:val="001D738F"/>
    <w:rsid w:val="001E5B6A"/>
    <w:rsid w:val="001F2FF4"/>
    <w:rsid w:val="00200AF4"/>
    <w:rsid w:val="00201DB9"/>
    <w:rsid w:val="00207013"/>
    <w:rsid w:val="002156AA"/>
    <w:rsid w:val="00216182"/>
    <w:rsid w:val="00220AF8"/>
    <w:rsid w:val="00225260"/>
    <w:rsid w:val="0022537B"/>
    <w:rsid w:val="00240157"/>
    <w:rsid w:val="0024025F"/>
    <w:rsid w:val="00241EB7"/>
    <w:rsid w:val="00243A59"/>
    <w:rsid w:val="00252205"/>
    <w:rsid w:val="00253909"/>
    <w:rsid w:val="00255552"/>
    <w:rsid w:val="00257DA5"/>
    <w:rsid w:val="002657B2"/>
    <w:rsid w:val="00272230"/>
    <w:rsid w:val="002755CE"/>
    <w:rsid w:val="00276FC2"/>
    <w:rsid w:val="0027742E"/>
    <w:rsid w:val="002822B9"/>
    <w:rsid w:val="002A039B"/>
    <w:rsid w:val="002A0875"/>
    <w:rsid w:val="002A2CFE"/>
    <w:rsid w:val="002B7D02"/>
    <w:rsid w:val="002C106F"/>
    <w:rsid w:val="002C3CA3"/>
    <w:rsid w:val="002C73EC"/>
    <w:rsid w:val="002C755E"/>
    <w:rsid w:val="002E064A"/>
    <w:rsid w:val="002E4663"/>
    <w:rsid w:val="002F35EB"/>
    <w:rsid w:val="002F574E"/>
    <w:rsid w:val="002F665B"/>
    <w:rsid w:val="003022D7"/>
    <w:rsid w:val="00302820"/>
    <w:rsid w:val="00310F5B"/>
    <w:rsid w:val="003113AC"/>
    <w:rsid w:val="003264C4"/>
    <w:rsid w:val="00331D44"/>
    <w:rsid w:val="0033303F"/>
    <w:rsid w:val="00336210"/>
    <w:rsid w:val="00340CE4"/>
    <w:rsid w:val="00345970"/>
    <w:rsid w:val="00356360"/>
    <w:rsid w:val="00356771"/>
    <w:rsid w:val="00356C75"/>
    <w:rsid w:val="00357846"/>
    <w:rsid w:val="00362288"/>
    <w:rsid w:val="003677D3"/>
    <w:rsid w:val="00373B3B"/>
    <w:rsid w:val="003867E6"/>
    <w:rsid w:val="00393105"/>
    <w:rsid w:val="003979F9"/>
    <w:rsid w:val="003A20EB"/>
    <w:rsid w:val="003A3A21"/>
    <w:rsid w:val="003B1B58"/>
    <w:rsid w:val="003B6612"/>
    <w:rsid w:val="003B7835"/>
    <w:rsid w:val="003C5AFA"/>
    <w:rsid w:val="003D0E3A"/>
    <w:rsid w:val="003D570E"/>
    <w:rsid w:val="003E43C9"/>
    <w:rsid w:val="003E4B60"/>
    <w:rsid w:val="003F1355"/>
    <w:rsid w:val="003F31F9"/>
    <w:rsid w:val="003F4D35"/>
    <w:rsid w:val="003F7097"/>
    <w:rsid w:val="00400B3B"/>
    <w:rsid w:val="00405903"/>
    <w:rsid w:val="00415F77"/>
    <w:rsid w:val="004224D5"/>
    <w:rsid w:val="004272FF"/>
    <w:rsid w:val="004303DA"/>
    <w:rsid w:val="00430E99"/>
    <w:rsid w:val="00435375"/>
    <w:rsid w:val="004453DD"/>
    <w:rsid w:val="00452417"/>
    <w:rsid w:val="00455075"/>
    <w:rsid w:val="00457563"/>
    <w:rsid w:val="0046014E"/>
    <w:rsid w:val="00460A8F"/>
    <w:rsid w:val="00467C35"/>
    <w:rsid w:val="004969E4"/>
    <w:rsid w:val="004973D1"/>
    <w:rsid w:val="004A4496"/>
    <w:rsid w:val="004A61B4"/>
    <w:rsid w:val="004A7244"/>
    <w:rsid w:val="004B1DA3"/>
    <w:rsid w:val="004B2CAB"/>
    <w:rsid w:val="004B6DB3"/>
    <w:rsid w:val="004C3147"/>
    <w:rsid w:val="004C3647"/>
    <w:rsid w:val="004C406E"/>
    <w:rsid w:val="004D3FE0"/>
    <w:rsid w:val="004D66FE"/>
    <w:rsid w:val="004E197F"/>
    <w:rsid w:val="004E5108"/>
    <w:rsid w:val="004F5A85"/>
    <w:rsid w:val="004F5C80"/>
    <w:rsid w:val="005059FE"/>
    <w:rsid w:val="00511879"/>
    <w:rsid w:val="00512358"/>
    <w:rsid w:val="00513A60"/>
    <w:rsid w:val="00520163"/>
    <w:rsid w:val="00526294"/>
    <w:rsid w:val="0052763A"/>
    <w:rsid w:val="005317ED"/>
    <w:rsid w:val="00554B0A"/>
    <w:rsid w:val="005573AE"/>
    <w:rsid w:val="00557A12"/>
    <w:rsid w:val="00567A01"/>
    <w:rsid w:val="00573E14"/>
    <w:rsid w:val="00576468"/>
    <w:rsid w:val="005771EF"/>
    <w:rsid w:val="0059005B"/>
    <w:rsid w:val="005A554E"/>
    <w:rsid w:val="005B07FF"/>
    <w:rsid w:val="005B65E2"/>
    <w:rsid w:val="005B7B3D"/>
    <w:rsid w:val="005C75CB"/>
    <w:rsid w:val="005D32E5"/>
    <w:rsid w:val="005D76C9"/>
    <w:rsid w:val="005D7ABB"/>
    <w:rsid w:val="005E2A28"/>
    <w:rsid w:val="005E391A"/>
    <w:rsid w:val="005F3488"/>
    <w:rsid w:val="005F772D"/>
    <w:rsid w:val="00601AFC"/>
    <w:rsid w:val="00602523"/>
    <w:rsid w:val="006039E5"/>
    <w:rsid w:val="00613B65"/>
    <w:rsid w:val="00627B02"/>
    <w:rsid w:val="00631ADC"/>
    <w:rsid w:val="00634FF7"/>
    <w:rsid w:val="0064169A"/>
    <w:rsid w:val="0064222F"/>
    <w:rsid w:val="0064397B"/>
    <w:rsid w:val="00650751"/>
    <w:rsid w:val="006570EA"/>
    <w:rsid w:val="006715BB"/>
    <w:rsid w:val="00685248"/>
    <w:rsid w:val="0068672D"/>
    <w:rsid w:val="00687111"/>
    <w:rsid w:val="00687453"/>
    <w:rsid w:val="006947BB"/>
    <w:rsid w:val="006A111F"/>
    <w:rsid w:val="006A7E94"/>
    <w:rsid w:val="006D4B9A"/>
    <w:rsid w:val="006F22BC"/>
    <w:rsid w:val="00700699"/>
    <w:rsid w:val="00703307"/>
    <w:rsid w:val="00711ED5"/>
    <w:rsid w:val="007171E9"/>
    <w:rsid w:val="007254E4"/>
    <w:rsid w:val="00735E7A"/>
    <w:rsid w:val="00737EF2"/>
    <w:rsid w:val="00744557"/>
    <w:rsid w:val="00744F04"/>
    <w:rsid w:val="00760A4E"/>
    <w:rsid w:val="00762FEE"/>
    <w:rsid w:val="0079698F"/>
    <w:rsid w:val="00797BE5"/>
    <w:rsid w:val="007A0498"/>
    <w:rsid w:val="007A1197"/>
    <w:rsid w:val="007A3974"/>
    <w:rsid w:val="007A417C"/>
    <w:rsid w:val="007C3A28"/>
    <w:rsid w:val="007C556D"/>
    <w:rsid w:val="007E2F96"/>
    <w:rsid w:val="007F03F7"/>
    <w:rsid w:val="007F36A8"/>
    <w:rsid w:val="007F4DF2"/>
    <w:rsid w:val="007F750E"/>
    <w:rsid w:val="007F7F02"/>
    <w:rsid w:val="00820FFC"/>
    <w:rsid w:val="008333C1"/>
    <w:rsid w:val="0084301D"/>
    <w:rsid w:val="00852B34"/>
    <w:rsid w:val="0086274C"/>
    <w:rsid w:val="00866481"/>
    <w:rsid w:val="00876519"/>
    <w:rsid w:val="008803A0"/>
    <w:rsid w:val="0089203E"/>
    <w:rsid w:val="008B5499"/>
    <w:rsid w:val="008B728D"/>
    <w:rsid w:val="008C15D9"/>
    <w:rsid w:val="008C4F76"/>
    <w:rsid w:val="008C67B5"/>
    <w:rsid w:val="008D02A4"/>
    <w:rsid w:val="008D0C7C"/>
    <w:rsid w:val="008D15F7"/>
    <w:rsid w:val="008D3D9F"/>
    <w:rsid w:val="008E4430"/>
    <w:rsid w:val="008F0D62"/>
    <w:rsid w:val="008F3CD5"/>
    <w:rsid w:val="008F6AB3"/>
    <w:rsid w:val="00907A42"/>
    <w:rsid w:val="00910683"/>
    <w:rsid w:val="00910A51"/>
    <w:rsid w:val="00912FD9"/>
    <w:rsid w:val="00913F74"/>
    <w:rsid w:val="009324F2"/>
    <w:rsid w:val="00942A92"/>
    <w:rsid w:val="00952C9B"/>
    <w:rsid w:val="00953F19"/>
    <w:rsid w:val="0097687E"/>
    <w:rsid w:val="00981114"/>
    <w:rsid w:val="009863C8"/>
    <w:rsid w:val="00993075"/>
    <w:rsid w:val="009A1790"/>
    <w:rsid w:val="009A2014"/>
    <w:rsid w:val="009A787A"/>
    <w:rsid w:val="009B1891"/>
    <w:rsid w:val="009B579E"/>
    <w:rsid w:val="009C0455"/>
    <w:rsid w:val="009D0E6E"/>
    <w:rsid w:val="009D1994"/>
    <w:rsid w:val="009D28EE"/>
    <w:rsid w:val="009F65D5"/>
    <w:rsid w:val="009F6B81"/>
    <w:rsid w:val="00A0130D"/>
    <w:rsid w:val="00A049F2"/>
    <w:rsid w:val="00A0620F"/>
    <w:rsid w:val="00A07FF6"/>
    <w:rsid w:val="00A16709"/>
    <w:rsid w:val="00A170E3"/>
    <w:rsid w:val="00A27955"/>
    <w:rsid w:val="00A33DF3"/>
    <w:rsid w:val="00A406BA"/>
    <w:rsid w:val="00A51522"/>
    <w:rsid w:val="00A525C7"/>
    <w:rsid w:val="00A55F1E"/>
    <w:rsid w:val="00A57566"/>
    <w:rsid w:val="00A61B63"/>
    <w:rsid w:val="00A6636E"/>
    <w:rsid w:val="00A7567F"/>
    <w:rsid w:val="00A75B9B"/>
    <w:rsid w:val="00A82FBB"/>
    <w:rsid w:val="00A8368B"/>
    <w:rsid w:val="00AA458C"/>
    <w:rsid w:val="00AB3736"/>
    <w:rsid w:val="00AB4079"/>
    <w:rsid w:val="00AF3390"/>
    <w:rsid w:val="00B03136"/>
    <w:rsid w:val="00B0554A"/>
    <w:rsid w:val="00B154AD"/>
    <w:rsid w:val="00B23DBA"/>
    <w:rsid w:val="00B314F0"/>
    <w:rsid w:val="00B36681"/>
    <w:rsid w:val="00B37BEE"/>
    <w:rsid w:val="00B46DE0"/>
    <w:rsid w:val="00B5774D"/>
    <w:rsid w:val="00B63418"/>
    <w:rsid w:val="00B711CF"/>
    <w:rsid w:val="00B77089"/>
    <w:rsid w:val="00B81832"/>
    <w:rsid w:val="00B968E8"/>
    <w:rsid w:val="00BA107E"/>
    <w:rsid w:val="00BA73ED"/>
    <w:rsid w:val="00BB2B4E"/>
    <w:rsid w:val="00BB396E"/>
    <w:rsid w:val="00BB4C18"/>
    <w:rsid w:val="00BB595D"/>
    <w:rsid w:val="00BE3AA2"/>
    <w:rsid w:val="00BE724F"/>
    <w:rsid w:val="00BF332D"/>
    <w:rsid w:val="00BF35BD"/>
    <w:rsid w:val="00BF3786"/>
    <w:rsid w:val="00BF46D3"/>
    <w:rsid w:val="00BF518F"/>
    <w:rsid w:val="00BF52F8"/>
    <w:rsid w:val="00BF7C30"/>
    <w:rsid w:val="00C00D7A"/>
    <w:rsid w:val="00C029B1"/>
    <w:rsid w:val="00C032DC"/>
    <w:rsid w:val="00C05F2F"/>
    <w:rsid w:val="00C10B8F"/>
    <w:rsid w:val="00C215D3"/>
    <w:rsid w:val="00C22392"/>
    <w:rsid w:val="00C22E9B"/>
    <w:rsid w:val="00C34075"/>
    <w:rsid w:val="00C35020"/>
    <w:rsid w:val="00C36A5B"/>
    <w:rsid w:val="00C37AA8"/>
    <w:rsid w:val="00C37B0B"/>
    <w:rsid w:val="00C400DF"/>
    <w:rsid w:val="00C4107F"/>
    <w:rsid w:val="00C415EE"/>
    <w:rsid w:val="00C43C55"/>
    <w:rsid w:val="00C5403E"/>
    <w:rsid w:val="00C6352C"/>
    <w:rsid w:val="00C67019"/>
    <w:rsid w:val="00C76FC2"/>
    <w:rsid w:val="00C82AA1"/>
    <w:rsid w:val="00C84F9D"/>
    <w:rsid w:val="00C85D6F"/>
    <w:rsid w:val="00C86E94"/>
    <w:rsid w:val="00C9702D"/>
    <w:rsid w:val="00CA0129"/>
    <w:rsid w:val="00CA221F"/>
    <w:rsid w:val="00CA3961"/>
    <w:rsid w:val="00CA578B"/>
    <w:rsid w:val="00CA7A72"/>
    <w:rsid w:val="00CB0B17"/>
    <w:rsid w:val="00CB27B8"/>
    <w:rsid w:val="00CB5BFD"/>
    <w:rsid w:val="00CB7391"/>
    <w:rsid w:val="00CB780D"/>
    <w:rsid w:val="00CC41AD"/>
    <w:rsid w:val="00CC4FEB"/>
    <w:rsid w:val="00CC6ED3"/>
    <w:rsid w:val="00CD67E8"/>
    <w:rsid w:val="00CE04B0"/>
    <w:rsid w:val="00CE04BD"/>
    <w:rsid w:val="00CE4E33"/>
    <w:rsid w:val="00CE546D"/>
    <w:rsid w:val="00CE6AA6"/>
    <w:rsid w:val="00D14DE6"/>
    <w:rsid w:val="00D220CE"/>
    <w:rsid w:val="00D2552E"/>
    <w:rsid w:val="00D3049D"/>
    <w:rsid w:val="00D337BC"/>
    <w:rsid w:val="00D41533"/>
    <w:rsid w:val="00D4251A"/>
    <w:rsid w:val="00D4487C"/>
    <w:rsid w:val="00D45937"/>
    <w:rsid w:val="00D52D39"/>
    <w:rsid w:val="00D609A2"/>
    <w:rsid w:val="00D65BB8"/>
    <w:rsid w:val="00D67E7E"/>
    <w:rsid w:val="00D70C85"/>
    <w:rsid w:val="00D774FE"/>
    <w:rsid w:val="00D86473"/>
    <w:rsid w:val="00D9225F"/>
    <w:rsid w:val="00DB4500"/>
    <w:rsid w:val="00DC462B"/>
    <w:rsid w:val="00DC4DE5"/>
    <w:rsid w:val="00DD67CB"/>
    <w:rsid w:val="00DF0CF3"/>
    <w:rsid w:val="00DF205E"/>
    <w:rsid w:val="00DF6431"/>
    <w:rsid w:val="00E06721"/>
    <w:rsid w:val="00E1165F"/>
    <w:rsid w:val="00E15AC7"/>
    <w:rsid w:val="00E21129"/>
    <w:rsid w:val="00E23504"/>
    <w:rsid w:val="00E41A91"/>
    <w:rsid w:val="00E5235F"/>
    <w:rsid w:val="00E52657"/>
    <w:rsid w:val="00E53C97"/>
    <w:rsid w:val="00E5466B"/>
    <w:rsid w:val="00E5670D"/>
    <w:rsid w:val="00E63786"/>
    <w:rsid w:val="00E66667"/>
    <w:rsid w:val="00E70347"/>
    <w:rsid w:val="00E73AF3"/>
    <w:rsid w:val="00E75BDE"/>
    <w:rsid w:val="00E81CCA"/>
    <w:rsid w:val="00E838A5"/>
    <w:rsid w:val="00E907F6"/>
    <w:rsid w:val="00E95920"/>
    <w:rsid w:val="00E96A4E"/>
    <w:rsid w:val="00EA0311"/>
    <w:rsid w:val="00EA2282"/>
    <w:rsid w:val="00EA336B"/>
    <w:rsid w:val="00EB6735"/>
    <w:rsid w:val="00EC195B"/>
    <w:rsid w:val="00EC4512"/>
    <w:rsid w:val="00ED1CE3"/>
    <w:rsid w:val="00ED5901"/>
    <w:rsid w:val="00ED60AE"/>
    <w:rsid w:val="00EE4A1E"/>
    <w:rsid w:val="00EE783E"/>
    <w:rsid w:val="00EF15D8"/>
    <w:rsid w:val="00EF2DC2"/>
    <w:rsid w:val="00EF6D8B"/>
    <w:rsid w:val="00F0163A"/>
    <w:rsid w:val="00F10556"/>
    <w:rsid w:val="00F1415C"/>
    <w:rsid w:val="00F16896"/>
    <w:rsid w:val="00F21933"/>
    <w:rsid w:val="00F35A21"/>
    <w:rsid w:val="00F41033"/>
    <w:rsid w:val="00F51ED9"/>
    <w:rsid w:val="00F63297"/>
    <w:rsid w:val="00F65336"/>
    <w:rsid w:val="00F65E23"/>
    <w:rsid w:val="00F74594"/>
    <w:rsid w:val="00F8180C"/>
    <w:rsid w:val="00F81F3C"/>
    <w:rsid w:val="00F87E92"/>
    <w:rsid w:val="00F92C63"/>
    <w:rsid w:val="00F96D31"/>
    <w:rsid w:val="00FA376A"/>
    <w:rsid w:val="00FA5261"/>
    <w:rsid w:val="00FA70DE"/>
    <w:rsid w:val="00FB0ECA"/>
    <w:rsid w:val="00FB4802"/>
    <w:rsid w:val="00FB4B40"/>
    <w:rsid w:val="00FB4F65"/>
    <w:rsid w:val="00FB5537"/>
    <w:rsid w:val="00FB70C4"/>
    <w:rsid w:val="00FC08D3"/>
    <w:rsid w:val="00FC3AC7"/>
    <w:rsid w:val="00FC44B0"/>
    <w:rsid w:val="00FD062A"/>
    <w:rsid w:val="00FD0BBC"/>
    <w:rsid w:val="00FD10CE"/>
    <w:rsid w:val="00FD2DF0"/>
    <w:rsid w:val="00FE5583"/>
    <w:rsid w:val="00FE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A3839C-CE17-45A1-B381-2A3885A8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105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spacing w:before="2" w:line="251" w:lineRule="exact"/>
      <w:ind w:left="744" w:hanging="360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58" w:hanging="543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8B728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locked/>
    <w:rsid w:val="00302820"/>
    <w:rPr>
      <w:rFonts w:ascii="Times New Roman" w:eastAsia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5059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9F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059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9FE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3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3DD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D101A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rsid w:val="00BF4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CEE2C-06AA-45B1-BE13-F14CD7CD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8722</Words>
  <Characters>49719</Characters>
  <Application>Microsoft Office Word</Application>
  <DocSecurity>0</DocSecurity>
  <Lines>414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Accofil, INN filgrastim</vt:lpstr>
    </vt:vector>
  </TitlesOfParts>
  <Company/>
  <LinksUpToDate>false</LinksUpToDate>
  <CharactersWithSpaces>58325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Accofil, INN filgrastim</dc:title>
  <dc:subject>EPAR</dc:subject>
  <dc:creator>CHMP</dc:creator>
  <cp:keywords>Accofil, INN filgrastim</cp:keywords>
  <cp:lastModifiedBy>Aleksandra Ljumović</cp:lastModifiedBy>
  <cp:revision>2</cp:revision>
  <cp:lastPrinted>2019-09-24T10:37:00Z</cp:lastPrinted>
  <dcterms:created xsi:type="dcterms:W3CDTF">2023-05-25T06:32:00Z</dcterms:created>
  <dcterms:modified xsi:type="dcterms:W3CDTF">2023-05-25T06:32:00Z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2019-08-30T00:00:00Z</vt:filetime>
  </property>
</Properties>
</file>