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B0BC6" w14:textId="77777777" w:rsidR="001A5518" w:rsidRPr="00BA3E97" w:rsidRDefault="001A5518" w:rsidP="00A83DDF">
      <w:pPr>
        <w:jc w:val="both"/>
        <w:rPr>
          <w:b/>
          <w:bCs/>
          <w:i/>
          <w:iCs/>
          <w:sz w:val="22"/>
          <w:szCs w:val="22"/>
          <w:u w:val="single"/>
          <w:lang w:val="sr-Latn-ME"/>
        </w:rPr>
      </w:pPr>
    </w:p>
    <w:p w14:paraId="178B0BC7" w14:textId="77777777" w:rsidR="00F91C7B" w:rsidRPr="00BA3E97" w:rsidRDefault="00F91C7B" w:rsidP="00A83DDF">
      <w:pPr>
        <w:jc w:val="both"/>
        <w:rPr>
          <w:b/>
          <w:bCs/>
          <w:i/>
          <w:iCs/>
          <w:sz w:val="22"/>
          <w:szCs w:val="22"/>
          <w:u w:val="single"/>
          <w:lang w:val="sr-Latn-ME"/>
        </w:rPr>
      </w:pPr>
    </w:p>
    <w:p w14:paraId="178B0BC8" w14:textId="572BDDA6" w:rsidR="002510A5" w:rsidRPr="00BA3E97" w:rsidRDefault="002510A5" w:rsidP="00E40FBE">
      <w:pPr>
        <w:jc w:val="center"/>
        <w:rPr>
          <w:b/>
          <w:bCs/>
          <w:iCs/>
          <w:sz w:val="22"/>
          <w:szCs w:val="22"/>
          <w:u w:val="single"/>
          <w:lang w:val="sr-Latn-ME"/>
        </w:rPr>
      </w:pPr>
      <w:r w:rsidRPr="00BA3E97">
        <w:rPr>
          <w:b/>
          <w:bCs/>
          <w:iCs/>
          <w:sz w:val="22"/>
          <w:szCs w:val="22"/>
          <w:u w:val="single"/>
          <w:lang w:val="sr-Latn-ME"/>
        </w:rPr>
        <w:t>SAŽETAK KARAKTERISTIKA LIJEKA</w:t>
      </w:r>
    </w:p>
    <w:p w14:paraId="178B0BC9" w14:textId="77777777" w:rsidR="002510A5" w:rsidRPr="00BA3E97" w:rsidRDefault="002510A5" w:rsidP="00E40FBE">
      <w:pPr>
        <w:jc w:val="center"/>
        <w:rPr>
          <w:b/>
          <w:bCs/>
          <w:i/>
          <w:iCs/>
          <w:sz w:val="22"/>
          <w:szCs w:val="22"/>
          <w:u w:val="single"/>
          <w:lang w:val="sr-Latn-ME"/>
        </w:rPr>
      </w:pPr>
    </w:p>
    <w:p w14:paraId="178B0BCC" w14:textId="77777777" w:rsidR="003C17AB" w:rsidRPr="00BA3E97" w:rsidRDefault="003C17AB" w:rsidP="00A83DDF">
      <w:pPr>
        <w:tabs>
          <w:tab w:val="left" w:pos="540"/>
          <w:tab w:val="left" w:pos="569"/>
        </w:tabs>
        <w:jc w:val="both"/>
        <w:rPr>
          <w:noProof/>
          <w:sz w:val="22"/>
          <w:szCs w:val="22"/>
          <w:lang w:val="sr-Latn-ME"/>
        </w:rPr>
      </w:pPr>
    </w:p>
    <w:p w14:paraId="178B0BCD" w14:textId="77777777" w:rsidR="00C37FD7" w:rsidRPr="00BA3E97" w:rsidRDefault="00C37FD7" w:rsidP="00A83DDF">
      <w:pPr>
        <w:tabs>
          <w:tab w:val="left" w:pos="540"/>
          <w:tab w:val="left" w:pos="569"/>
        </w:tabs>
        <w:jc w:val="both"/>
        <w:rPr>
          <w:bCs/>
          <w:sz w:val="22"/>
          <w:szCs w:val="22"/>
          <w:lang w:val="sr-Latn-ME"/>
        </w:rPr>
      </w:pPr>
    </w:p>
    <w:p w14:paraId="178B0BCE" w14:textId="77777777" w:rsidR="00411B4B" w:rsidRPr="00BA3E97" w:rsidRDefault="00411B4B" w:rsidP="00A83DDF">
      <w:pPr>
        <w:tabs>
          <w:tab w:val="left" w:pos="540"/>
          <w:tab w:val="left" w:pos="569"/>
        </w:tabs>
        <w:jc w:val="both"/>
        <w:rPr>
          <w:b/>
          <w:bCs/>
          <w:sz w:val="22"/>
          <w:szCs w:val="22"/>
          <w:lang w:val="sr-Latn-ME"/>
        </w:rPr>
      </w:pPr>
      <w:r w:rsidRPr="00BA3E97">
        <w:rPr>
          <w:b/>
          <w:bCs/>
          <w:sz w:val="22"/>
          <w:szCs w:val="22"/>
          <w:lang w:val="sr-Latn-ME"/>
        </w:rPr>
        <w:t>1.</w:t>
      </w:r>
      <w:r w:rsidR="00F5167F" w:rsidRPr="00BA3E97">
        <w:rPr>
          <w:b/>
          <w:bCs/>
          <w:sz w:val="22"/>
          <w:szCs w:val="22"/>
          <w:lang w:val="sr-Latn-ME"/>
        </w:rPr>
        <w:tab/>
      </w:r>
      <w:r w:rsidR="002846DB" w:rsidRPr="00BA3E97">
        <w:rPr>
          <w:b/>
          <w:bCs/>
          <w:sz w:val="22"/>
          <w:szCs w:val="22"/>
          <w:lang w:val="sr-Latn-ME"/>
        </w:rPr>
        <w:t xml:space="preserve">NAZIV </w:t>
      </w:r>
      <w:r w:rsidRPr="00BA3E97">
        <w:rPr>
          <w:b/>
          <w:bCs/>
          <w:sz w:val="22"/>
          <w:szCs w:val="22"/>
          <w:lang w:val="sr-Latn-ME"/>
        </w:rPr>
        <w:t>LIJEKA</w:t>
      </w:r>
    </w:p>
    <w:p w14:paraId="178B0BCF" w14:textId="77777777" w:rsidR="00EC2532" w:rsidRPr="00BA3E97" w:rsidRDefault="00EC2532" w:rsidP="00A83DDF">
      <w:pPr>
        <w:jc w:val="both"/>
        <w:rPr>
          <w:sz w:val="22"/>
          <w:szCs w:val="22"/>
          <w:lang w:val="sr-Latn-ME"/>
        </w:rPr>
      </w:pPr>
    </w:p>
    <w:p w14:paraId="5CACF6FA" w14:textId="3BBF8348" w:rsidR="0094754D" w:rsidRPr="00BA3E97" w:rsidRDefault="0094754D" w:rsidP="00A83DDF">
      <w:pPr>
        <w:jc w:val="both"/>
        <w:rPr>
          <w:sz w:val="22"/>
          <w:szCs w:val="22"/>
          <w:lang w:val="sr-Latn-ME"/>
        </w:rPr>
      </w:pPr>
      <w:r w:rsidRPr="00BA3E97">
        <w:rPr>
          <w:sz w:val="22"/>
          <w:szCs w:val="22"/>
          <w:lang w:val="sr-Latn-ME"/>
        </w:rPr>
        <w:t>Criteo</w:t>
      </w:r>
      <w:r w:rsidRPr="00BA3E97">
        <w:rPr>
          <w:sz w:val="22"/>
          <w:szCs w:val="22"/>
          <w:vertAlign w:val="superscript"/>
          <w:lang w:val="sr-Latn-ME"/>
        </w:rPr>
        <w:t>®</w:t>
      </w:r>
      <w:r w:rsidRPr="00BA3E97">
        <w:rPr>
          <w:sz w:val="22"/>
          <w:szCs w:val="22"/>
          <w:lang w:val="sr-Latn-ME"/>
        </w:rPr>
        <w:t>, 50 mg, tablet</w:t>
      </w:r>
      <w:r w:rsidR="00E40FBE" w:rsidRPr="00BA3E97">
        <w:rPr>
          <w:sz w:val="22"/>
          <w:szCs w:val="22"/>
          <w:lang w:val="sr-Latn-ME"/>
        </w:rPr>
        <w:t>a</w:t>
      </w:r>
    </w:p>
    <w:p w14:paraId="178B0BD2" w14:textId="35007467" w:rsidR="006D20A5" w:rsidRPr="00BA3E97" w:rsidRDefault="006D20A5" w:rsidP="00A83DDF">
      <w:pPr>
        <w:jc w:val="both"/>
        <w:rPr>
          <w:sz w:val="22"/>
          <w:szCs w:val="22"/>
          <w:lang w:val="sr-Latn-ME"/>
        </w:rPr>
      </w:pPr>
      <w:r w:rsidRPr="00BA3E97">
        <w:rPr>
          <w:sz w:val="22"/>
          <w:szCs w:val="22"/>
          <w:lang w:val="sr-Latn-ME"/>
        </w:rPr>
        <w:t>INN:</w:t>
      </w:r>
      <w:r w:rsidR="0094754D" w:rsidRPr="00BA3E97">
        <w:rPr>
          <w:sz w:val="22"/>
          <w:szCs w:val="22"/>
          <w:lang w:val="sr-Latn-ME"/>
        </w:rPr>
        <w:t xml:space="preserve"> vildagliptin</w:t>
      </w:r>
    </w:p>
    <w:p w14:paraId="178B0BD3" w14:textId="77777777" w:rsidR="006D20A5" w:rsidRPr="00BA3E97" w:rsidRDefault="006D20A5" w:rsidP="00A83DDF">
      <w:pPr>
        <w:jc w:val="both"/>
        <w:rPr>
          <w:bCs/>
          <w:sz w:val="22"/>
          <w:szCs w:val="22"/>
          <w:lang w:val="sr-Latn-ME"/>
        </w:rPr>
      </w:pPr>
    </w:p>
    <w:p w14:paraId="178B0BD4" w14:textId="77777777" w:rsidR="00530BD7" w:rsidRPr="00BA3E97" w:rsidRDefault="00530BD7" w:rsidP="00A83DDF">
      <w:pPr>
        <w:jc w:val="both"/>
        <w:rPr>
          <w:bCs/>
          <w:sz w:val="22"/>
          <w:szCs w:val="22"/>
          <w:lang w:val="sr-Latn-ME"/>
        </w:rPr>
      </w:pPr>
    </w:p>
    <w:p w14:paraId="178B0BD5" w14:textId="77777777" w:rsidR="00411B4B" w:rsidRPr="00BA3E97" w:rsidRDefault="00411B4B" w:rsidP="00A83DDF">
      <w:pPr>
        <w:tabs>
          <w:tab w:val="left" w:pos="540"/>
          <w:tab w:val="left" w:pos="569"/>
        </w:tabs>
        <w:jc w:val="both"/>
        <w:rPr>
          <w:b/>
          <w:bCs/>
          <w:sz w:val="22"/>
          <w:szCs w:val="22"/>
          <w:lang w:val="sr-Latn-ME"/>
        </w:rPr>
      </w:pPr>
      <w:r w:rsidRPr="00BA3E97">
        <w:rPr>
          <w:b/>
          <w:bCs/>
          <w:sz w:val="22"/>
          <w:szCs w:val="22"/>
          <w:lang w:val="sr-Latn-ME"/>
        </w:rPr>
        <w:t xml:space="preserve">2. </w:t>
      </w:r>
      <w:r w:rsidR="00F5167F" w:rsidRPr="00BA3E97">
        <w:rPr>
          <w:b/>
          <w:bCs/>
          <w:sz w:val="22"/>
          <w:szCs w:val="22"/>
          <w:lang w:val="sr-Latn-ME"/>
        </w:rPr>
        <w:tab/>
      </w:r>
      <w:r w:rsidRPr="00BA3E97">
        <w:rPr>
          <w:b/>
          <w:bCs/>
          <w:sz w:val="22"/>
          <w:szCs w:val="22"/>
          <w:lang w:val="sr-Latn-ME"/>
        </w:rPr>
        <w:t>KVALITATIVNI I KVANTITATIVNI SASTAV</w:t>
      </w:r>
    </w:p>
    <w:p w14:paraId="178B0BD6" w14:textId="77777777" w:rsidR="005A0B2E" w:rsidRPr="00BA3E97" w:rsidRDefault="005A0B2E" w:rsidP="00A83DDF">
      <w:pPr>
        <w:jc w:val="both"/>
        <w:rPr>
          <w:sz w:val="22"/>
          <w:szCs w:val="22"/>
          <w:lang w:val="sr-Latn-ME"/>
        </w:rPr>
      </w:pPr>
    </w:p>
    <w:p w14:paraId="4B85A633" w14:textId="7CDF9386" w:rsidR="002B4EBE" w:rsidRPr="00BA3E97" w:rsidRDefault="002B4EBE" w:rsidP="00A83DDF">
      <w:pPr>
        <w:jc w:val="both"/>
        <w:rPr>
          <w:sz w:val="22"/>
          <w:szCs w:val="22"/>
          <w:lang w:val="sr-Latn-ME"/>
        </w:rPr>
      </w:pPr>
      <w:r w:rsidRPr="00BA3E97">
        <w:rPr>
          <w:sz w:val="22"/>
          <w:szCs w:val="22"/>
          <w:lang w:val="sr-Latn-ME"/>
        </w:rPr>
        <w:t>Jedna tableta sadrži:</w:t>
      </w:r>
      <w:r w:rsidR="00591157" w:rsidRPr="00BA3E97">
        <w:rPr>
          <w:sz w:val="22"/>
          <w:szCs w:val="22"/>
          <w:lang w:val="sr-Latn-ME"/>
        </w:rPr>
        <w:t xml:space="preserve"> </w:t>
      </w:r>
      <w:r w:rsidRPr="00BA3E97">
        <w:rPr>
          <w:sz w:val="22"/>
          <w:szCs w:val="22"/>
          <w:lang w:val="sr-Latn-ME"/>
        </w:rPr>
        <w:t>vildagliptin 50 mg</w:t>
      </w:r>
      <w:r w:rsidR="0002165B" w:rsidRPr="00BA3E97">
        <w:rPr>
          <w:sz w:val="22"/>
          <w:szCs w:val="22"/>
          <w:lang w:val="sr-Latn-ME"/>
        </w:rPr>
        <w:t>.</w:t>
      </w:r>
    </w:p>
    <w:p w14:paraId="4E229F4B" w14:textId="282B7969" w:rsidR="002B4EBE" w:rsidRPr="00BA3E97" w:rsidRDefault="002B4EBE" w:rsidP="00A83DDF">
      <w:pPr>
        <w:jc w:val="both"/>
        <w:rPr>
          <w:i/>
          <w:sz w:val="22"/>
          <w:szCs w:val="22"/>
          <w:lang w:val="sr-Latn-ME"/>
        </w:rPr>
      </w:pPr>
      <w:r w:rsidRPr="00BA3E97">
        <w:rPr>
          <w:i/>
          <w:sz w:val="22"/>
          <w:szCs w:val="22"/>
          <w:lang w:val="sr-Latn-ME"/>
        </w:rPr>
        <w:t xml:space="preserve">Pomoćna supstanca sa potvrđenim dejstvom: </w:t>
      </w:r>
      <w:r w:rsidRPr="00BA3E97">
        <w:rPr>
          <w:sz w:val="22"/>
          <w:szCs w:val="22"/>
          <w:lang w:val="sr-Latn-ME"/>
        </w:rPr>
        <w:t>laktoza, monohidrat 47,82 mg</w:t>
      </w:r>
    </w:p>
    <w:p w14:paraId="2145E2DB" w14:textId="77777777" w:rsidR="002B4EBE" w:rsidRPr="00BA3E97" w:rsidRDefault="002B4EBE" w:rsidP="00A83DDF">
      <w:pPr>
        <w:jc w:val="both"/>
        <w:rPr>
          <w:sz w:val="22"/>
          <w:szCs w:val="22"/>
          <w:lang w:val="sr-Latn-ME"/>
        </w:rPr>
      </w:pPr>
    </w:p>
    <w:p w14:paraId="178B0BD7" w14:textId="77777777" w:rsidR="0003793F" w:rsidRPr="00BA3E97" w:rsidRDefault="0003793F" w:rsidP="00A83DDF">
      <w:pPr>
        <w:jc w:val="both"/>
        <w:rPr>
          <w:sz w:val="22"/>
          <w:szCs w:val="22"/>
          <w:lang w:val="sr-Latn-ME"/>
        </w:rPr>
      </w:pPr>
      <w:r w:rsidRPr="00BA3E97">
        <w:rPr>
          <w:sz w:val="22"/>
          <w:szCs w:val="22"/>
          <w:lang w:val="sr-Latn-ME"/>
        </w:rPr>
        <w:t>Za spisak svih ekscipijenasa, pogledati dio 6.1.</w:t>
      </w:r>
    </w:p>
    <w:p w14:paraId="178B0BD8" w14:textId="77777777" w:rsidR="0003793F" w:rsidRPr="00BA3E97" w:rsidRDefault="0003793F" w:rsidP="00A83DDF">
      <w:pPr>
        <w:jc w:val="both"/>
        <w:rPr>
          <w:sz w:val="22"/>
          <w:szCs w:val="22"/>
          <w:lang w:val="sr-Latn-ME"/>
        </w:rPr>
      </w:pPr>
    </w:p>
    <w:p w14:paraId="178B0BD9" w14:textId="77777777" w:rsidR="00C37FD7" w:rsidRPr="00BA3E97" w:rsidRDefault="00C37FD7" w:rsidP="00A83DDF">
      <w:pPr>
        <w:jc w:val="both"/>
        <w:rPr>
          <w:sz w:val="22"/>
          <w:szCs w:val="22"/>
          <w:lang w:val="sr-Latn-ME"/>
        </w:rPr>
      </w:pPr>
    </w:p>
    <w:p w14:paraId="178B0BDA" w14:textId="77777777" w:rsidR="00411B4B" w:rsidRPr="00BA3E97" w:rsidRDefault="00411B4B" w:rsidP="00A83DDF">
      <w:pPr>
        <w:tabs>
          <w:tab w:val="left" w:pos="540"/>
          <w:tab w:val="left" w:pos="569"/>
        </w:tabs>
        <w:jc w:val="both"/>
        <w:rPr>
          <w:b/>
          <w:bCs/>
          <w:sz w:val="22"/>
          <w:szCs w:val="22"/>
          <w:lang w:val="sr-Latn-ME"/>
        </w:rPr>
      </w:pPr>
      <w:r w:rsidRPr="00BA3E97">
        <w:rPr>
          <w:b/>
          <w:bCs/>
          <w:sz w:val="22"/>
          <w:szCs w:val="22"/>
          <w:lang w:val="sr-Latn-ME"/>
        </w:rPr>
        <w:t xml:space="preserve">3. </w:t>
      </w:r>
      <w:r w:rsidR="00F5167F" w:rsidRPr="00BA3E97">
        <w:rPr>
          <w:b/>
          <w:bCs/>
          <w:sz w:val="22"/>
          <w:szCs w:val="22"/>
          <w:lang w:val="sr-Latn-ME"/>
        </w:rPr>
        <w:tab/>
      </w:r>
      <w:r w:rsidRPr="00BA3E97">
        <w:rPr>
          <w:b/>
          <w:bCs/>
          <w:sz w:val="22"/>
          <w:szCs w:val="22"/>
          <w:lang w:val="sr-Latn-ME"/>
        </w:rPr>
        <w:t>FARMACEUTSKI OBLIK</w:t>
      </w:r>
      <w:r w:rsidR="009F2D23" w:rsidRPr="00BA3E97">
        <w:rPr>
          <w:b/>
          <w:bCs/>
          <w:sz w:val="22"/>
          <w:szCs w:val="22"/>
          <w:lang w:val="sr-Latn-ME"/>
        </w:rPr>
        <w:t xml:space="preserve"> </w:t>
      </w:r>
    </w:p>
    <w:p w14:paraId="178B0BDB" w14:textId="77777777" w:rsidR="00411B4B" w:rsidRPr="00BA3E97" w:rsidRDefault="00411B4B" w:rsidP="00A83DDF">
      <w:pPr>
        <w:jc w:val="both"/>
        <w:rPr>
          <w:bCs/>
          <w:sz w:val="22"/>
          <w:szCs w:val="22"/>
          <w:lang w:val="sr-Latn-ME"/>
        </w:rPr>
      </w:pPr>
    </w:p>
    <w:p w14:paraId="02F07764" w14:textId="77777777" w:rsidR="00B1197C" w:rsidRPr="00BA3E97" w:rsidRDefault="00B1197C" w:rsidP="00A83DDF">
      <w:pPr>
        <w:jc w:val="both"/>
        <w:rPr>
          <w:sz w:val="22"/>
          <w:szCs w:val="22"/>
          <w:lang w:val="sr-Latn-ME"/>
        </w:rPr>
      </w:pPr>
      <w:r w:rsidRPr="00BA3E97">
        <w:rPr>
          <w:sz w:val="22"/>
          <w:szCs w:val="22"/>
          <w:lang w:val="sr-Latn-ME"/>
        </w:rPr>
        <w:t>Tableta.</w:t>
      </w:r>
    </w:p>
    <w:p w14:paraId="3F4CDE14" w14:textId="2311402C" w:rsidR="00B1197C" w:rsidRPr="00BA3E97" w:rsidRDefault="00B1197C" w:rsidP="00A83DDF">
      <w:pPr>
        <w:jc w:val="both"/>
        <w:rPr>
          <w:sz w:val="22"/>
          <w:szCs w:val="22"/>
          <w:lang w:val="sr-Latn-ME"/>
        </w:rPr>
      </w:pPr>
      <w:r w:rsidRPr="00BA3E97">
        <w:rPr>
          <w:sz w:val="22"/>
          <w:szCs w:val="22"/>
          <w:lang w:val="sr-Latn-ME"/>
        </w:rPr>
        <w:t>Bijele do svijetložućkaste, okrugle ravne tablete, sa kosom ivicom.</w:t>
      </w:r>
    </w:p>
    <w:p w14:paraId="178B0BDC" w14:textId="0A83BFD5" w:rsidR="00EC2532" w:rsidRPr="00BA3E97" w:rsidRDefault="00EC2532" w:rsidP="00A83DDF">
      <w:pPr>
        <w:jc w:val="both"/>
        <w:rPr>
          <w:bCs/>
          <w:sz w:val="22"/>
          <w:szCs w:val="22"/>
          <w:lang w:val="sr-Latn-ME"/>
        </w:rPr>
      </w:pPr>
    </w:p>
    <w:p w14:paraId="7B62F869" w14:textId="77777777" w:rsidR="00E40FBE" w:rsidRPr="00BA3E97" w:rsidRDefault="00E40FBE" w:rsidP="00A83DDF">
      <w:pPr>
        <w:jc w:val="both"/>
        <w:rPr>
          <w:bCs/>
          <w:sz w:val="22"/>
          <w:szCs w:val="22"/>
          <w:lang w:val="sr-Latn-ME"/>
        </w:rPr>
      </w:pPr>
    </w:p>
    <w:p w14:paraId="178B0BDD" w14:textId="77777777" w:rsidR="00411B4B" w:rsidRPr="00BA3E97" w:rsidRDefault="00411B4B" w:rsidP="00A83DDF">
      <w:pPr>
        <w:tabs>
          <w:tab w:val="left" w:pos="540"/>
          <w:tab w:val="left" w:pos="569"/>
        </w:tabs>
        <w:jc w:val="both"/>
        <w:rPr>
          <w:b/>
          <w:bCs/>
          <w:sz w:val="22"/>
          <w:szCs w:val="22"/>
          <w:lang w:val="sr-Latn-ME"/>
        </w:rPr>
      </w:pPr>
      <w:r w:rsidRPr="00BA3E97">
        <w:rPr>
          <w:b/>
          <w:bCs/>
          <w:sz w:val="22"/>
          <w:szCs w:val="22"/>
          <w:lang w:val="sr-Latn-ME"/>
        </w:rPr>
        <w:t xml:space="preserve">4. </w:t>
      </w:r>
      <w:r w:rsidR="00480FB1" w:rsidRPr="00BA3E97">
        <w:rPr>
          <w:b/>
          <w:bCs/>
          <w:sz w:val="22"/>
          <w:szCs w:val="22"/>
          <w:lang w:val="sr-Latn-ME"/>
        </w:rPr>
        <w:tab/>
      </w:r>
      <w:r w:rsidRPr="00BA3E97">
        <w:rPr>
          <w:b/>
          <w:bCs/>
          <w:sz w:val="22"/>
          <w:szCs w:val="22"/>
          <w:lang w:val="sr-Latn-ME"/>
        </w:rPr>
        <w:t>KLINIČKI PODACI</w:t>
      </w:r>
    </w:p>
    <w:p w14:paraId="178B0BDE" w14:textId="77777777" w:rsidR="00CD6F02" w:rsidRPr="00BA3E97" w:rsidRDefault="00CD6F02" w:rsidP="00A83DDF">
      <w:pPr>
        <w:tabs>
          <w:tab w:val="left" w:pos="540"/>
          <w:tab w:val="left" w:pos="569"/>
        </w:tabs>
        <w:jc w:val="both"/>
        <w:rPr>
          <w:bCs/>
          <w:sz w:val="22"/>
          <w:szCs w:val="22"/>
          <w:lang w:val="sr-Latn-ME"/>
        </w:rPr>
      </w:pPr>
    </w:p>
    <w:p w14:paraId="178B0BDF" w14:textId="77777777" w:rsidR="00411B4B" w:rsidRPr="00BA3E97" w:rsidRDefault="00411B4B" w:rsidP="00A83DDF">
      <w:pPr>
        <w:tabs>
          <w:tab w:val="left" w:pos="540"/>
          <w:tab w:val="left" w:pos="569"/>
        </w:tabs>
        <w:jc w:val="both"/>
        <w:rPr>
          <w:b/>
          <w:bCs/>
          <w:sz w:val="22"/>
          <w:szCs w:val="22"/>
          <w:lang w:val="sr-Latn-ME"/>
        </w:rPr>
      </w:pPr>
      <w:r w:rsidRPr="00BA3E97">
        <w:rPr>
          <w:b/>
          <w:bCs/>
          <w:sz w:val="22"/>
          <w:szCs w:val="22"/>
          <w:lang w:val="sr-Latn-ME"/>
        </w:rPr>
        <w:t xml:space="preserve">4.1. </w:t>
      </w:r>
      <w:r w:rsidR="00480FB1" w:rsidRPr="00BA3E97">
        <w:rPr>
          <w:b/>
          <w:bCs/>
          <w:sz w:val="22"/>
          <w:szCs w:val="22"/>
          <w:lang w:val="sr-Latn-ME"/>
        </w:rPr>
        <w:tab/>
      </w:r>
      <w:r w:rsidRPr="00BA3E97">
        <w:rPr>
          <w:b/>
          <w:bCs/>
          <w:sz w:val="22"/>
          <w:szCs w:val="22"/>
          <w:lang w:val="sr-Latn-ME"/>
        </w:rPr>
        <w:t>Terapijske indikacije</w:t>
      </w:r>
    </w:p>
    <w:p w14:paraId="4B230CBC" w14:textId="77777777" w:rsidR="0002154C" w:rsidRPr="00BA3E97" w:rsidRDefault="0002154C" w:rsidP="00A83DDF">
      <w:pPr>
        <w:tabs>
          <w:tab w:val="left" w:pos="540"/>
          <w:tab w:val="left" w:pos="569"/>
        </w:tabs>
        <w:jc w:val="both"/>
        <w:rPr>
          <w:b/>
          <w:bCs/>
          <w:sz w:val="22"/>
          <w:szCs w:val="22"/>
          <w:lang w:val="sr-Latn-ME"/>
        </w:rPr>
      </w:pPr>
    </w:p>
    <w:p w14:paraId="7BD8FA7E" w14:textId="77777777" w:rsidR="00351678" w:rsidRPr="00BA3E97" w:rsidRDefault="00351678" w:rsidP="00A83DDF">
      <w:pPr>
        <w:jc w:val="both"/>
        <w:rPr>
          <w:sz w:val="22"/>
          <w:szCs w:val="22"/>
          <w:lang w:val="sr-Latn-ME"/>
        </w:rPr>
      </w:pPr>
      <w:r w:rsidRPr="00BA3E97">
        <w:rPr>
          <w:sz w:val="22"/>
          <w:szCs w:val="22"/>
          <w:lang w:val="sr-Latn-ME"/>
        </w:rPr>
        <w:t>Vildagliptin je indikovan za kontrolu glikemije kod odraslih pacijenata sa dijabetes melitusom tipa 2, kao dodatak dijeti i fizičkoj aktivnosti:</w:t>
      </w:r>
    </w:p>
    <w:p w14:paraId="4E0EB579" w14:textId="77777777" w:rsidR="00351678" w:rsidRPr="00BA3E97" w:rsidRDefault="00351678" w:rsidP="00A83DDF">
      <w:pPr>
        <w:jc w:val="both"/>
        <w:rPr>
          <w:sz w:val="22"/>
          <w:szCs w:val="22"/>
          <w:lang w:val="sr-Latn-ME"/>
        </w:rPr>
      </w:pPr>
    </w:p>
    <w:p w14:paraId="2554CCFC" w14:textId="77777777" w:rsidR="00351678" w:rsidRPr="00BA3E97" w:rsidRDefault="00351678" w:rsidP="005C53F0">
      <w:pPr>
        <w:pStyle w:val="ListParagraph"/>
        <w:numPr>
          <w:ilvl w:val="0"/>
          <w:numId w:val="13"/>
        </w:numPr>
        <w:rPr>
          <w:szCs w:val="22"/>
          <w:lang w:val="sr-Latn-ME"/>
        </w:rPr>
      </w:pPr>
      <w:r w:rsidRPr="00BA3E97">
        <w:rPr>
          <w:szCs w:val="22"/>
          <w:lang w:val="sr-Latn-ME"/>
        </w:rPr>
        <w:t>kao monoterapija kod pacijenata kod kojih se metformin ne može upotrebljavati zbog kontraindikacija ili netolerancije.</w:t>
      </w:r>
    </w:p>
    <w:p w14:paraId="414893D9" w14:textId="43E30A55" w:rsidR="00351678" w:rsidRPr="00BA3E97" w:rsidRDefault="00351678">
      <w:pPr>
        <w:pStyle w:val="ListParagraph"/>
        <w:numPr>
          <w:ilvl w:val="0"/>
          <w:numId w:val="13"/>
        </w:numPr>
        <w:rPr>
          <w:i/>
          <w:iCs/>
          <w:szCs w:val="22"/>
          <w:lang w:val="sr-Latn-ME"/>
        </w:rPr>
      </w:pPr>
      <w:r w:rsidRPr="00BA3E97">
        <w:rPr>
          <w:szCs w:val="22"/>
          <w:lang w:val="sr-Latn-ME"/>
        </w:rPr>
        <w:t>u kombinaciji sa drugim l</w:t>
      </w:r>
      <w:r w:rsidR="00802240" w:rsidRPr="00BA3E97">
        <w:rPr>
          <w:szCs w:val="22"/>
          <w:lang w:val="sr-Latn-ME"/>
        </w:rPr>
        <w:t>j</w:t>
      </w:r>
      <w:r w:rsidRPr="00BA3E97">
        <w:rPr>
          <w:szCs w:val="22"/>
          <w:lang w:val="sr-Latn-ME"/>
        </w:rPr>
        <w:t>ekovima za terapiju dijabetesa, uključujući i insulin, a kada se datim l</w:t>
      </w:r>
      <w:r w:rsidR="001750DC" w:rsidRPr="00BA3E97">
        <w:rPr>
          <w:szCs w:val="22"/>
          <w:lang w:val="sr-Latn-ME"/>
        </w:rPr>
        <w:t>j</w:t>
      </w:r>
      <w:r w:rsidRPr="00BA3E97">
        <w:rPr>
          <w:szCs w:val="22"/>
          <w:lang w:val="sr-Latn-ME"/>
        </w:rPr>
        <w:t xml:space="preserve">ekovima ne postiže adekvatna kontrola glikemije </w:t>
      </w:r>
      <w:r w:rsidRPr="00BA3E97">
        <w:rPr>
          <w:i/>
          <w:iCs/>
          <w:szCs w:val="22"/>
          <w:lang w:val="sr-Latn-ME"/>
        </w:rPr>
        <w:t>(</w:t>
      </w:r>
      <w:r w:rsidR="001750DC" w:rsidRPr="00BA3E97">
        <w:rPr>
          <w:i/>
          <w:iCs/>
          <w:szCs w:val="22"/>
          <w:lang w:val="sr-Latn-ME"/>
        </w:rPr>
        <w:t>pogledati dio</w:t>
      </w:r>
      <w:r w:rsidRPr="00BA3E97">
        <w:rPr>
          <w:i/>
          <w:iCs/>
          <w:szCs w:val="22"/>
          <w:lang w:val="sr-Latn-ME"/>
        </w:rPr>
        <w:t xml:space="preserve"> 4.4, 4.5 i 5.1 za dostupne podatke prilikom upotrebe različitih kombinacija l</w:t>
      </w:r>
      <w:r w:rsidR="00802240" w:rsidRPr="00BA3E97">
        <w:rPr>
          <w:i/>
          <w:iCs/>
          <w:szCs w:val="22"/>
          <w:lang w:val="sr-Latn-ME"/>
        </w:rPr>
        <w:t>j</w:t>
      </w:r>
      <w:r w:rsidRPr="00BA3E97">
        <w:rPr>
          <w:i/>
          <w:iCs/>
          <w:szCs w:val="22"/>
          <w:lang w:val="sr-Latn-ME"/>
        </w:rPr>
        <w:t>ekova).</w:t>
      </w:r>
    </w:p>
    <w:p w14:paraId="60F03963" w14:textId="7902CF55" w:rsidR="0002154C" w:rsidRPr="00BA3E97" w:rsidRDefault="0002154C" w:rsidP="00A83DDF">
      <w:pPr>
        <w:jc w:val="both"/>
        <w:rPr>
          <w:sz w:val="22"/>
          <w:szCs w:val="22"/>
          <w:lang w:val="sr-Latn-ME"/>
        </w:rPr>
      </w:pPr>
    </w:p>
    <w:p w14:paraId="178B0BE1" w14:textId="77777777" w:rsidR="00411B4B" w:rsidRPr="00BA3E97" w:rsidRDefault="00411B4B" w:rsidP="00A83DDF">
      <w:pPr>
        <w:tabs>
          <w:tab w:val="left" w:pos="540"/>
          <w:tab w:val="left" w:pos="569"/>
        </w:tabs>
        <w:jc w:val="both"/>
        <w:rPr>
          <w:b/>
          <w:bCs/>
          <w:sz w:val="22"/>
          <w:szCs w:val="22"/>
          <w:lang w:val="sr-Latn-ME"/>
        </w:rPr>
      </w:pPr>
      <w:r w:rsidRPr="00BA3E97">
        <w:rPr>
          <w:b/>
          <w:bCs/>
          <w:sz w:val="22"/>
          <w:szCs w:val="22"/>
          <w:lang w:val="sr-Latn-ME"/>
        </w:rPr>
        <w:t xml:space="preserve">4.2. </w:t>
      </w:r>
      <w:r w:rsidR="00480FB1" w:rsidRPr="00BA3E97">
        <w:rPr>
          <w:b/>
          <w:bCs/>
          <w:sz w:val="22"/>
          <w:szCs w:val="22"/>
          <w:lang w:val="sr-Latn-ME"/>
        </w:rPr>
        <w:tab/>
      </w:r>
      <w:r w:rsidRPr="00BA3E97">
        <w:rPr>
          <w:b/>
          <w:bCs/>
          <w:sz w:val="22"/>
          <w:szCs w:val="22"/>
          <w:lang w:val="sr-Latn-ME"/>
        </w:rPr>
        <w:t>Doziranje i način primjene</w:t>
      </w:r>
    </w:p>
    <w:p w14:paraId="178B0BE2" w14:textId="77777777" w:rsidR="0072020E" w:rsidRPr="00BA3E97" w:rsidRDefault="0072020E" w:rsidP="00A83DDF">
      <w:pPr>
        <w:tabs>
          <w:tab w:val="left" w:pos="540"/>
          <w:tab w:val="left" w:pos="569"/>
        </w:tabs>
        <w:jc w:val="both"/>
        <w:rPr>
          <w:bCs/>
          <w:sz w:val="22"/>
          <w:szCs w:val="22"/>
          <w:lang w:val="sr-Latn-ME"/>
        </w:rPr>
      </w:pPr>
    </w:p>
    <w:p w14:paraId="1307967B" w14:textId="77777777" w:rsidR="001A6681" w:rsidRPr="00BA3E97" w:rsidRDefault="001A6681" w:rsidP="00A83DDF">
      <w:pPr>
        <w:jc w:val="both"/>
        <w:rPr>
          <w:sz w:val="22"/>
          <w:szCs w:val="22"/>
          <w:u w:val="single"/>
          <w:lang w:val="sr-Latn-ME"/>
        </w:rPr>
      </w:pPr>
      <w:r w:rsidRPr="00BA3E97">
        <w:rPr>
          <w:sz w:val="22"/>
          <w:szCs w:val="22"/>
          <w:u w:val="single"/>
          <w:lang w:val="sr-Latn-ME"/>
        </w:rPr>
        <w:t>Doziranje</w:t>
      </w:r>
    </w:p>
    <w:p w14:paraId="2524A0C3" w14:textId="77777777" w:rsidR="001A6681" w:rsidRPr="00BA3E97" w:rsidRDefault="001A6681" w:rsidP="00A83DDF">
      <w:pPr>
        <w:jc w:val="both"/>
        <w:rPr>
          <w:i/>
          <w:sz w:val="22"/>
          <w:szCs w:val="22"/>
          <w:lang w:val="sr-Latn-ME"/>
        </w:rPr>
      </w:pPr>
      <w:r w:rsidRPr="00BA3E97">
        <w:rPr>
          <w:i/>
          <w:sz w:val="22"/>
          <w:szCs w:val="22"/>
          <w:lang w:val="sr-Latn-ME"/>
        </w:rPr>
        <w:t>Odrasli</w:t>
      </w:r>
    </w:p>
    <w:p w14:paraId="09381589" w14:textId="77777777" w:rsidR="001A6681" w:rsidRPr="00BA3E97" w:rsidRDefault="001A6681" w:rsidP="00A83DDF">
      <w:pPr>
        <w:jc w:val="both"/>
        <w:rPr>
          <w:sz w:val="22"/>
          <w:szCs w:val="22"/>
          <w:lang w:val="sr-Latn-ME"/>
        </w:rPr>
      </w:pPr>
      <w:r w:rsidRPr="00BA3E97">
        <w:rPr>
          <w:sz w:val="22"/>
          <w:szCs w:val="22"/>
          <w:lang w:val="sr-Latn-ME"/>
        </w:rPr>
        <w:t>Kada se upotrebljava kao monoterapija, u kombinaciji sa metforminom, u kombinaciji sa tiazolidinedionom, u kombinaciji sa metforminom i derivatima sulfoniluree, ili u kombinaciji sa insulinom (sa ili bez metformina), preporučena dnevna doza vildagliptina je 100 mg, koja se daje kao jedna doza od 50 mg ujutru i jedna doza od 50 mg uveče.</w:t>
      </w:r>
    </w:p>
    <w:p w14:paraId="479EE131" w14:textId="77777777" w:rsidR="001A6681" w:rsidRPr="00BA3E97" w:rsidRDefault="001A6681" w:rsidP="00A83DDF">
      <w:pPr>
        <w:jc w:val="both"/>
        <w:rPr>
          <w:sz w:val="22"/>
          <w:szCs w:val="22"/>
          <w:lang w:val="sr-Latn-ME"/>
        </w:rPr>
      </w:pPr>
    </w:p>
    <w:p w14:paraId="3531E606" w14:textId="77777777" w:rsidR="001A6681" w:rsidRPr="00BA3E97" w:rsidRDefault="001A6681" w:rsidP="00A83DDF">
      <w:pPr>
        <w:jc w:val="both"/>
        <w:rPr>
          <w:sz w:val="22"/>
          <w:szCs w:val="22"/>
          <w:lang w:val="sr-Latn-ME"/>
        </w:rPr>
      </w:pPr>
      <w:r w:rsidRPr="00BA3E97">
        <w:rPr>
          <w:sz w:val="22"/>
          <w:szCs w:val="22"/>
          <w:lang w:val="sr-Latn-ME"/>
        </w:rPr>
        <w:t>Kada se koristi u dvojnoj kombinaciji sa derivatima sulfoniluree, preporučena doza vildagliptina je 50 mg jednom dnevno koja se uzima ujutru. U ovoj populaciji pacijenata, vildagliptin 100 mg dnevno nije imao bolji efekat od 50 mg vildagliptina jednom dnevno.</w:t>
      </w:r>
    </w:p>
    <w:p w14:paraId="56524A1F" w14:textId="77777777" w:rsidR="001A6681" w:rsidRPr="00BA3E97" w:rsidRDefault="001A6681" w:rsidP="00A83DDF">
      <w:pPr>
        <w:jc w:val="both"/>
        <w:rPr>
          <w:sz w:val="22"/>
          <w:szCs w:val="22"/>
          <w:lang w:val="sr-Latn-ME"/>
        </w:rPr>
      </w:pPr>
    </w:p>
    <w:p w14:paraId="2DF26E37" w14:textId="77777777" w:rsidR="001A6681" w:rsidRPr="00BA3E97" w:rsidRDefault="001A6681" w:rsidP="00A83DDF">
      <w:pPr>
        <w:jc w:val="both"/>
        <w:rPr>
          <w:sz w:val="22"/>
          <w:szCs w:val="22"/>
          <w:lang w:val="sr-Latn-ME"/>
        </w:rPr>
      </w:pPr>
      <w:r w:rsidRPr="00BA3E97">
        <w:rPr>
          <w:sz w:val="22"/>
          <w:szCs w:val="22"/>
          <w:lang w:val="sr-Latn-ME"/>
        </w:rPr>
        <w:t>Kada se primjenjuje u kombinaciji sa derivatima sulfoniluree, može se razmotriti niža doza derivata sulfoniluree kako bi se smanjio rizik od hipoglikemije.</w:t>
      </w:r>
    </w:p>
    <w:p w14:paraId="487AFD7C" w14:textId="77777777" w:rsidR="001A6681" w:rsidRPr="00BA3E97" w:rsidRDefault="001A6681" w:rsidP="00A83DDF">
      <w:pPr>
        <w:jc w:val="both"/>
        <w:rPr>
          <w:sz w:val="22"/>
          <w:szCs w:val="22"/>
          <w:lang w:val="sr-Latn-ME"/>
        </w:rPr>
      </w:pPr>
    </w:p>
    <w:p w14:paraId="315B5F28" w14:textId="77777777" w:rsidR="001A6681" w:rsidRPr="00BA3E97" w:rsidRDefault="001A6681" w:rsidP="00A83DDF">
      <w:pPr>
        <w:jc w:val="both"/>
        <w:rPr>
          <w:sz w:val="22"/>
          <w:szCs w:val="22"/>
          <w:lang w:val="sr-Latn-ME"/>
        </w:rPr>
      </w:pPr>
      <w:r w:rsidRPr="00BA3E97">
        <w:rPr>
          <w:sz w:val="22"/>
          <w:szCs w:val="22"/>
          <w:lang w:val="sr-Latn-ME"/>
        </w:rPr>
        <w:t>Ne preporučuju se doze veće od 100 mg.</w:t>
      </w:r>
    </w:p>
    <w:p w14:paraId="195E4498" w14:textId="77777777" w:rsidR="001A6681" w:rsidRPr="00BA3E97" w:rsidRDefault="001A6681" w:rsidP="00A83DDF">
      <w:pPr>
        <w:jc w:val="both"/>
        <w:rPr>
          <w:sz w:val="22"/>
          <w:szCs w:val="22"/>
          <w:lang w:val="sr-Latn-ME"/>
        </w:rPr>
      </w:pPr>
    </w:p>
    <w:p w14:paraId="507A447F" w14:textId="77777777" w:rsidR="001A6681" w:rsidRPr="00BA3E97" w:rsidRDefault="001A6681" w:rsidP="00A83DDF">
      <w:pPr>
        <w:jc w:val="both"/>
        <w:rPr>
          <w:sz w:val="22"/>
          <w:szCs w:val="22"/>
          <w:lang w:val="sr-Latn-ME"/>
        </w:rPr>
      </w:pPr>
      <w:r w:rsidRPr="00BA3E97">
        <w:rPr>
          <w:sz w:val="22"/>
          <w:szCs w:val="22"/>
          <w:lang w:val="sr-Latn-ME"/>
        </w:rPr>
        <w:lastRenderedPageBreak/>
        <w:t>Ako se propusti doza lijeka Criteo, pacijent treba da je uzme čim se sjeti. U toku jednog dana ne uzimati duplu dozu.</w:t>
      </w:r>
    </w:p>
    <w:p w14:paraId="7DA2AEB3" w14:textId="77777777" w:rsidR="001A6681" w:rsidRPr="00BA3E97" w:rsidRDefault="001A6681" w:rsidP="00A83DDF">
      <w:pPr>
        <w:jc w:val="both"/>
        <w:rPr>
          <w:sz w:val="22"/>
          <w:szCs w:val="22"/>
          <w:lang w:val="sr-Latn-ME"/>
        </w:rPr>
      </w:pPr>
    </w:p>
    <w:p w14:paraId="6514FED0" w14:textId="77777777" w:rsidR="001A6681" w:rsidRPr="00BA3E97" w:rsidRDefault="001A6681" w:rsidP="00A83DDF">
      <w:pPr>
        <w:jc w:val="both"/>
        <w:rPr>
          <w:sz w:val="22"/>
          <w:szCs w:val="22"/>
          <w:lang w:val="sr-Latn-ME"/>
        </w:rPr>
      </w:pPr>
      <w:r w:rsidRPr="00BA3E97">
        <w:rPr>
          <w:sz w:val="22"/>
          <w:szCs w:val="22"/>
          <w:lang w:val="sr-Latn-ME"/>
        </w:rPr>
        <w:t>Bezbjednost i efikasnost vildagliptina kao trojne oralne terapije u kombinaciji sa metforminom i tiazolidinedionom nije utvrđena.</w:t>
      </w:r>
    </w:p>
    <w:p w14:paraId="71806014" w14:textId="77777777" w:rsidR="001A6681" w:rsidRPr="00BA3E97" w:rsidRDefault="001A6681" w:rsidP="00A83DDF">
      <w:pPr>
        <w:jc w:val="both"/>
        <w:rPr>
          <w:sz w:val="22"/>
          <w:szCs w:val="22"/>
          <w:lang w:val="sr-Latn-ME"/>
        </w:rPr>
      </w:pPr>
    </w:p>
    <w:p w14:paraId="64F2DC65" w14:textId="77777777" w:rsidR="001A6681" w:rsidRPr="00BA3E97" w:rsidRDefault="001A6681" w:rsidP="00A83DDF">
      <w:pPr>
        <w:jc w:val="both"/>
        <w:rPr>
          <w:i/>
          <w:sz w:val="22"/>
          <w:szCs w:val="22"/>
          <w:u w:val="single"/>
          <w:lang w:val="sr-Latn-ME"/>
        </w:rPr>
      </w:pPr>
      <w:r w:rsidRPr="00BA3E97">
        <w:rPr>
          <w:i/>
          <w:sz w:val="22"/>
          <w:szCs w:val="22"/>
          <w:u w:val="single"/>
          <w:lang w:val="sr-Latn-ME"/>
        </w:rPr>
        <w:t>Dodatne informacije kod posebnih populacija</w:t>
      </w:r>
    </w:p>
    <w:p w14:paraId="53FDF5B8" w14:textId="77777777" w:rsidR="001A6681" w:rsidRPr="00BA3E97" w:rsidRDefault="001A6681" w:rsidP="00A83DDF">
      <w:pPr>
        <w:jc w:val="both"/>
        <w:rPr>
          <w:i/>
          <w:sz w:val="22"/>
          <w:szCs w:val="22"/>
          <w:lang w:val="sr-Latn-ME"/>
        </w:rPr>
      </w:pPr>
    </w:p>
    <w:p w14:paraId="50C86451" w14:textId="77777777" w:rsidR="001A6681" w:rsidRPr="00BA3E97" w:rsidRDefault="001A6681" w:rsidP="00A83DDF">
      <w:pPr>
        <w:jc w:val="both"/>
        <w:rPr>
          <w:i/>
          <w:sz w:val="22"/>
          <w:szCs w:val="22"/>
          <w:lang w:val="sr-Latn-ME"/>
        </w:rPr>
      </w:pPr>
      <w:r w:rsidRPr="00BA3E97">
        <w:rPr>
          <w:i/>
          <w:sz w:val="22"/>
          <w:szCs w:val="22"/>
          <w:lang w:val="sr-Latn-ME"/>
        </w:rPr>
        <w:t>Starije osobe (≥ 65 godina)</w:t>
      </w:r>
    </w:p>
    <w:p w14:paraId="32BD546A" w14:textId="52B9FBF8" w:rsidR="001A6681" w:rsidRPr="00BA3E97" w:rsidRDefault="001A6681" w:rsidP="00A83DDF">
      <w:pPr>
        <w:jc w:val="both"/>
        <w:rPr>
          <w:sz w:val="22"/>
          <w:szCs w:val="22"/>
          <w:lang w:val="sr-Latn-ME"/>
        </w:rPr>
      </w:pPr>
      <w:r w:rsidRPr="00BA3E97">
        <w:rPr>
          <w:sz w:val="22"/>
          <w:szCs w:val="22"/>
          <w:lang w:val="sr-Latn-ME"/>
        </w:rPr>
        <w:t>Nije potrebno podešavanje doze kod starijih pacijenata (</w:t>
      </w:r>
      <w:r w:rsidR="009A3B0C" w:rsidRPr="00BA3E97">
        <w:rPr>
          <w:i/>
          <w:sz w:val="22"/>
          <w:szCs w:val="22"/>
          <w:lang w:val="sr-Latn-ME"/>
        </w:rPr>
        <w:t>pogledati dio</w:t>
      </w:r>
      <w:r w:rsidRPr="00BA3E97">
        <w:rPr>
          <w:i/>
          <w:sz w:val="22"/>
          <w:szCs w:val="22"/>
          <w:lang w:val="sr-Latn-ME"/>
        </w:rPr>
        <w:t xml:space="preserve"> 5.1 i 5.2</w:t>
      </w:r>
      <w:r w:rsidRPr="00BA3E97">
        <w:rPr>
          <w:sz w:val="22"/>
          <w:szCs w:val="22"/>
          <w:lang w:val="sr-Latn-ME"/>
        </w:rPr>
        <w:t>).</w:t>
      </w:r>
    </w:p>
    <w:p w14:paraId="245C29F2" w14:textId="77777777" w:rsidR="001A6681" w:rsidRPr="00BA3E97" w:rsidRDefault="001A6681" w:rsidP="00A83DDF">
      <w:pPr>
        <w:jc w:val="both"/>
        <w:rPr>
          <w:sz w:val="22"/>
          <w:szCs w:val="22"/>
          <w:lang w:val="sr-Latn-ME"/>
        </w:rPr>
      </w:pPr>
    </w:p>
    <w:p w14:paraId="7EC1EEAB" w14:textId="77777777" w:rsidR="001A6681" w:rsidRPr="00BA3E97" w:rsidRDefault="001A6681" w:rsidP="00A83DDF">
      <w:pPr>
        <w:jc w:val="both"/>
        <w:rPr>
          <w:i/>
          <w:sz w:val="22"/>
          <w:szCs w:val="22"/>
          <w:lang w:val="sr-Latn-ME"/>
        </w:rPr>
      </w:pPr>
      <w:r w:rsidRPr="00BA3E97">
        <w:rPr>
          <w:i/>
          <w:sz w:val="22"/>
          <w:szCs w:val="22"/>
          <w:lang w:val="sr-Latn-ME"/>
        </w:rPr>
        <w:t>Oštećenje bubrežne funkcije</w:t>
      </w:r>
    </w:p>
    <w:p w14:paraId="70EE1A71" w14:textId="77777777" w:rsidR="001A6681" w:rsidRPr="00BA3E97" w:rsidRDefault="001A6681" w:rsidP="00A83DDF">
      <w:pPr>
        <w:jc w:val="both"/>
        <w:rPr>
          <w:sz w:val="22"/>
          <w:szCs w:val="22"/>
          <w:lang w:val="sr-Latn-ME"/>
        </w:rPr>
      </w:pPr>
      <w:r w:rsidRPr="00BA3E97">
        <w:rPr>
          <w:sz w:val="22"/>
          <w:szCs w:val="22"/>
          <w:lang w:val="sr-Latn-ME"/>
        </w:rPr>
        <w:t>Nije potrebno podešavanje doze kod pacijenata sa blagim oštećenjem bubrežne funkcije (klirens kreatinina</w:t>
      </w:r>
    </w:p>
    <w:p w14:paraId="797958DC" w14:textId="7022BBB0" w:rsidR="001A6681" w:rsidRPr="00BA3E97" w:rsidRDefault="001A6681" w:rsidP="00A83DDF">
      <w:pPr>
        <w:jc w:val="both"/>
        <w:rPr>
          <w:sz w:val="22"/>
          <w:szCs w:val="22"/>
          <w:lang w:val="sr-Latn-ME"/>
        </w:rPr>
      </w:pPr>
      <w:r w:rsidRPr="00BA3E97">
        <w:rPr>
          <w:sz w:val="22"/>
          <w:szCs w:val="22"/>
          <w:lang w:val="sr-Latn-ME"/>
        </w:rPr>
        <w:t xml:space="preserve">≥50 </w:t>
      </w:r>
      <w:r w:rsidR="00802240" w:rsidRPr="00BA3E97">
        <w:rPr>
          <w:sz w:val="22"/>
          <w:szCs w:val="22"/>
          <w:lang w:val="sr-Latn-ME"/>
        </w:rPr>
        <w:t>ml</w:t>
      </w:r>
      <w:r w:rsidRPr="00BA3E97">
        <w:rPr>
          <w:sz w:val="22"/>
          <w:szCs w:val="22"/>
          <w:lang w:val="sr-Latn-ME"/>
        </w:rPr>
        <w:t xml:space="preserve">/min). Kod pacijenata sa umjerenim ili teškim oštećenjem bubrežne funkcije ili u terminalnom stadijumu bubrežne bolesti, preporučena doza lijeka Criteo je 50 mg jednom dnevno </w:t>
      </w:r>
      <w:r w:rsidR="009A3B0C" w:rsidRPr="00BA3E97">
        <w:rPr>
          <w:sz w:val="22"/>
          <w:szCs w:val="22"/>
          <w:lang w:val="sr-Latn-ME"/>
        </w:rPr>
        <w:t xml:space="preserve">pogledati takođe dio </w:t>
      </w:r>
      <w:r w:rsidRPr="00BA3E97">
        <w:rPr>
          <w:i/>
          <w:sz w:val="22"/>
          <w:szCs w:val="22"/>
          <w:lang w:val="sr-Latn-ME"/>
        </w:rPr>
        <w:t>4.4, 5.1. i 5.2</w:t>
      </w:r>
      <w:r w:rsidRPr="00BA3E97">
        <w:rPr>
          <w:sz w:val="22"/>
          <w:szCs w:val="22"/>
          <w:lang w:val="sr-Latn-ME"/>
        </w:rPr>
        <w:t>).</w:t>
      </w:r>
    </w:p>
    <w:p w14:paraId="3F52DAD8" w14:textId="77777777" w:rsidR="001A6681" w:rsidRPr="00BA3E97" w:rsidRDefault="001A6681" w:rsidP="00A83DDF">
      <w:pPr>
        <w:jc w:val="both"/>
        <w:rPr>
          <w:sz w:val="22"/>
          <w:szCs w:val="22"/>
          <w:lang w:val="sr-Latn-ME"/>
        </w:rPr>
      </w:pPr>
    </w:p>
    <w:p w14:paraId="68A27219" w14:textId="77777777" w:rsidR="001A6681" w:rsidRPr="00BA3E97" w:rsidRDefault="001A6681" w:rsidP="00A83DDF">
      <w:pPr>
        <w:jc w:val="both"/>
        <w:rPr>
          <w:i/>
          <w:sz w:val="22"/>
          <w:szCs w:val="22"/>
          <w:lang w:val="sr-Latn-ME"/>
        </w:rPr>
      </w:pPr>
      <w:r w:rsidRPr="00BA3E97">
        <w:rPr>
          <w:i/>
          <w:sz w:val="22"/>
          <w:szCs w:val="22"/>
          <w:lang w:val="sr-Latn-ME"/>
        </w:rPr>
        <w:t>Oštećenje funkcije jetre</w:t>
      </w:r>
    </w:p>
    <w:p w14:paraId="3B001CEC" w14:textId="26DD8331" w:rsidR="001A6681" w:rsidRPr="00BA3E97" w:rsidRDefault="001A6681" w:rsidP="00A83DDF">
      <w:pPr>
        <w:jc w:val="both"/>
        <w:rPr>
          <w:sz w:val="22"/>
          <w:szCs w:val="22"/>
          <w:lang w:val="sr-Latn-ME"/>
        </w:rPr>
      </w:pPr>
      <w:r w:rsidRPr="00BA3E97">
        <w:rPr>
          <w:sz w:val="22"/>
          <w:szCs w:val="22"/>
          <w:lang w:val="sr-Latn-ME"/>
        </w:rPr>
        <w:t xml:space="preserve">Lijek Criteo ne treba upotrebljavati kod pacijenata sa oštećenjem funkcije jetre, uključujući pacijente koji su prije započinjanja terapije imali povišene vrijednosti alanin aminotransferaze (ALT) ili aspartat aminotransferaze (AST) ≥ 3 puta viših od gornje granice normalnih vrijednosti </w:t>
      </w:r>
      <w:r w:rsidR="009A3B0C" w:rsidRPr="00BA3E97">
        <w:rPr>
          <w:sz w:val="22"/>
          <w:szCs w:val="22"/>
          <w:lang w:val="sr-Latn-ME"/>
        </w:rPr>
        <w:t>pogledati dio</w:t>
      </w:r>
      <w:r w:rsidRPr="00BA3E97">
        <w:rPr>
          <w:i/>
          <w:sz w:val="22"/>
          <w:szCs w:val="22"/>
          <w:lang w:val="sr-Latn-ME"/>
        </w:rPr>
        <w:t>4.4 i 5.2</w:t>
      </w:r>
      <w:r w:rsidRPr="00BA3E97">
        <w:rPr>
          <w:sz w:val="22"/>
          <w:szCs w:val="22"/>
          <w:lang w:val="sr-Latn-ME"/>
        </w:rPr>
        <w:t>).</w:t>
      </w:r>
    </w:p>
    <w:p w14:paraId="0E625C89" w14:textId="77777777" w:rsidR="001A6681" w:rsidRPr="00BA3E97" w:rsidRDefault="001A6681" w:rsidP="00A83DDF">
      <w:pPr>
        <w:jc w:val="both"/>
        <w:rPr>
          <w:sz w:val="22"/>
          <w:szCs w:val="22"/>
          <w:lang w:val="sr-Latn-ME"/>
        </w:rPr>
      </w:pPr>
    </w:p>
    <w:p w14:paraId="6E849C3A" w14:textId="77777777" w:rsidR="001A6681" w:rsidRPr="00BA3E97" w:rsidRDefault="001A6681" w:rsidP="00A83DDF">
      <w:pPr>
        <w:jc w:val="both"/>
        <w:rPr>
          <w:i/>
          <w:sz w:val="22"/>
          <w:szCs w:val="22"/>
          <w:lang w:val="sr-Latn-ME"/>
        </w:rPr>
      </w:pPr>
      <w:r w:rsidRPr="00BA3E97">
        <w:rPr>
          <w:i/>
          <w:sz w:val="22"/>
          <w:szCs w:val="22"/>
          <w:lang w:val="sr-Latn-ME"/>
        </w:rPr>
        <w:t>Pedijatrijska populacija</w:t>
      </w:r>
    </w:p>
    <w:p w14:paraId="706A6091" w14:textId="1AFEC4AC" w:rsidR="001A6681" w:rsidRPr="00BA3E97" w:rsidRDefault="001A6681" w:rsidP="00A83DDF">
      <w:pPr>
        <w:jc w:val="both"/>
        <w:rPr>
          <w:sz w:val="22"/>
          <w:szCs w:val="22"/>
          <w:lang w:val="sr-Latn-ME"/>
        </w:rPr>
      </w:pPr>
      <w:r w:rsidRPr="00BA3E97">
        <w:rPr>
          <w:sz w:val="22"/>
          <w:szCs w:val="22"/>
          <w:lang w:val="sr-Latn-ME"/>
        </w:rPr>
        <w:t>Lijek Criteo se ne preporučuje kod djece i adolescenata (&lt;18 godina). Bezbjednost i efikasnost lijeka Criteo kod djece i adolescenata (&lt;18 godina) nije još potvrđena. Nema dostupnih podataka (</w:t>
      </w:r>
      <w:r w:rsidR="009A3B0C" w:rsidRPr="00BA3E97">
        <w:rPr>
          <w:i/>
          <w:sz w:val="22"/>
          <w:szCs w:val="22"/>
          <w:lang w:val="sr-Latn-ME"/>
        </w:rPr>
        <w:t>pogledati dio</w:t>
      </w:r>
      <w:r w:rsidRPr="00BA3E97">
        <w:rPr>
          <w:i/>
          <w:sz w:val="22"/>
          <w:szCs w:val="22"/>
          <w:lang w:val="sr-Latn-ME"/>
        </w:rPr>
        <w:t xml:space="preserve"> 5.1</w:t>
      </w:r>
      <w:r w:rsidRPr="00BA3E97">
        <w:rPr>
          <w:sz w:val="22"/>
          <w:szCs w:val="22"/>
          <w:lang w:val="sr-Latn-ME"/>
        </w:rPr>
        <w:t>).</w:t>
      </w:r>
    </w:p>
    <w:p w14:paraId="3C07927D" w14:textId="77777777" w:rsidR="001A6681" w:rsidRPr="00BA3E97" w:rsidRDefault="001A6681" w:rsidP="00A83DDF">
      <w:pPr>
        <w:jc w:val="both"/>
        <w:rPr>
          <w:sz w:val="22"/>
          <w:szCs w:val="22"/>
          <w:lang w:val="sr-Latn-ME"/>
        </w:rPr>
      </w:pPr>
    </w:p>
    <w:p w14:paraId="098B89F9" w14:textId="77777777" w:rsidR="001A6681" w:rsidRPr="00BA3E97" w:rsidRDefault="001A6681" w:rsidP="00A83DDF">
      <w:pPr>
        <w:jc w:val="both"/>
        <w:rPr>
          <w:sz w:val="22"/>
          <w:szCs w:val="22"/>
          <w:u w:val="single"/>
          <w:lang w:val="sr-Latn-ME"/>
        </w:rPr>
      </w:pPr>
      <w:r w:rsidRPr="00BA3E97">
        <w:rPr>
          <w:sz w:val="22"/>
          <w:szCs w:val="22"/>
          <w:u w:val="single"/>
          <w:lang w:val="sr-Latn-ME"/>
        </w:rPr>
        <w:t>Način primjene</w:t>
      </w:r>
    </w:p>
    <w:p w14:paraId="4938D0A6" w14:textId="77777777" w:rsidR="001A6681" w:rsidRPr="00BA3E97" w:rsidRDefault="001A6681" w:rsidP="00A83DDF">
      <w:pPr>
        <w:jc w:val="both"/>
        <w:rPr>
          <w:sz w:val="22"/>
          <w:szCs w:val="22"/>
          <w:lang w:val="sr-Latn-ME"/>
        </w:rPr>
      </w:pPr>
      <w:r w:rsidRPr="00BA3E97">
        <w:rPr>
          <w:sz w:val="22"/>
          <w:szCs w:val="22"/>
          <w:lang w:val="sr-Latn-ME"/>
        </w:rPr>
        <w:t>Oralna primjena.</w:t>
      </w:r>
    </w:p>
    <w:p w14:paraId="23A95D2D" w14:textId="3ACBB41B" w:rsidR="001A6681" w:rsidRPr="00BA3E97" w:rsidRDefault="001A6681" w:rsidP="00A83DDF">
      <w:pPr>
        <w:jc w:val="both"/>
        <w:rPr>
          <w:sz w:val="22"/>
          <w:szCs w:val="22"/>
          <w:lang w:val="sr-Latn-ME"/>
        </w:rPr>
      </w:pPr>
      <w:r w:rsidRPr="00BA3E97">
        <w:rPr>
          <w:sz w:val="22"/>
          <w:szCs w:val="22"/>
          <w:lang w:val="sr-Latn-ME"/>
        </w:rPr>
        <w:t>Lijek Criteo se može uzimati sa hranom ili bez nje (</w:t>
      </w:r>
      <w:r w:rsidR="009A3B0C" w:rsidRPr="00BA3E97">
        <w:rPr>
          <w:i/>
          <w:sz w:val="22"/>
          <w:szCs w:val="22"/>
          <w:lang w:val="sr-Latn-ME"/>
        </w:rPr>
        <w:t>pogledati dio</w:t>
      </w:r>
      <w:r w:rsidRPr="00BA3E97">
        <w:rPr>
          <w:i/>
          <w:sz w:val="22"/>
          <w:szCs w:val="22"/>
          <w:lang w:val="sr-Latn-ME"/>
        </w:rPr>
        <w:t xml:space="preserve"> 5.2</w:t>
      </w:r>
      <w:r w:rsidRPr="00BA3E97">
        <w:rPr>
          <w:sz w:val="22"/>
          <w:szCs w:val="22"/>
          <w:lang w:val="sr-Latn-ME"/>
        </w:rPr>
        <w:t>).</w:t>
      </w:r>
    </w:p>
    <w:p w14:paraId="178B0BE6" w14:textId="77777777" w:rsidR="00452E9D" w:rsidRPr="00BA3E97" w:rsidRDefault="00452E9D" w:rsidP="00A83DDF">
      <w:pPr>
        <w:tabs>
          <w:tab w:val="left" w:pos="540"/>
          <w:tab w:val="left" w:pos="569"/>
        </w:tabs>
        <w:jc w:val="both"/>
        <w:rPr>
          <w:bCs/>
          <w:sz w:val="22"/>
          <w:szCs w:val="22"/>
          <w:lang w:val="sr-Latn-ME"/>
        </w:rPr>
      </w:pPr>
    </w:p>
    <w:p w14:paraId="178B0BE7" w14:textId="77777777" w:rsidR="00411B4B" w:rsidRPr="00BA3E97" w:rsidRDefault="00411B4B" w:rsidP="00A83DDF">
      <w:pPr>
        <w:tabs>
          <w:tab w:val="left" w:pos="540"/>
          <w:tab w:val="left" w:pos="569"/>
        </w:tabs>
        <w:jc w:val="both"/>
        <w:rPr>
          <w:b/>
          <w:bCs/>
          <w:sz w:val="22"/>
          <w:szCs w:val="22"/>
          <w:lang w:val="sr-Latn-ME"/>
        </w:rPr>
      </w:pPr>
      <w:r w:rsidRPr="00BA3E97">
        <w:rPr>
          <w:b/>
          <w:bCs/>
          <w:sz w:val="22"/>
          <w:szCs w:val="22"/>
          <w:lang w:val="sr-Latn-ME"/>
        </w:rPr>
        <w:t xml:space="preserve">4.3. </w:t>
      </w:r>
      <w:r w:rsidR="00480FB1" w:rsidRPr="00BA3E97">
        <w:rPr>
          <w:b/>
          <w:bCs/>
          <w:sz w:val="22"/>
          <w:szCs w:val="22"/>
          <w:lang w:val="sr-Latn-ME"/>
        </w:rPr>
        <w:tab/>
      </w:r>
      <w:r w:rsidRPr="00BA3E97">
        <w:rPr>
          <w:b/>
          <w:bCs/>
          <w:sz w:val="22"/>
          <w:szCs w:val="22"/>
          <w:lang w:val="sr-Latn-ME"/>
        </w:rPr>
        <w:t>Kontraindikacije</w:t>
      </w:r>
    </w:p>
    <w:p w14:paraId="36672C73" w14:textId="77777777" w:rsidR="001A6681" w:rsidRPr="00BA3E97" w:rsidRDefault="001A6681" w:rsidP="00A83DDF">
      <w:pPr>
        <w:tabs>
          <w:tab w:val="left" w:pos="540"/>
          <w:tab w:val="left" w:pos="569"/>
        </w:tabs>
        <w:jc w:val="both"/>
        <w:rPr>
          <w:b/>
          <w:bCs/>
          <w:sz w:val="22"/>
          <w:szCs w:val="22"/>
          <w:lang w:val="sr-Latn-ME"/>
        </w:rPr>
      </w:pPr>
    </w:p>
    <w:p w14:paraId="1E9D1AE3" w14:textId="4EF72C5B" w:rsidR="001A6681" w:rsidRPr="00BA3E97" w:rsidRDefault="00921A2E" w:rsidP="00A83DDF">
      <w:pPr>
        <w:jc w:val="both"/>
        <w:rPr>
          <w:sz w:val="22"/>
          <w:szCs w:val="22"/>
          <w:lang w:val="sr-Latn-ME"/>
        </w:rPr>
      </w:pPr>
      <w:r w:rsidRPr="00BA3E97">
        <w:rPr>
          <w:sz w:val="22"/>
          <w:szCs w:val="22"/>
          <w:lang w:val="sr-Latn-ME"/>
        </w:rPr>
        <w:t xml:space="preserve">Preosjetljivost na aktivnu supstancu ili na bilo koju pomoćnu supstancu navedenu u </w:t>
      </w:r>
      <w:r w:rsidR="009A3B0C" w:rsidRPr="00BA3E97">
        <w:rPr>
          <w:sz w:val="22"/>
          <w:szCs w:val="22"/>
          <w:lang w:val="sr-Latn-ME"/>
        </w:rPr>
        <w:t xml:space="preserve">dijelu </w:t>
      </w:r>
      <w:r w:rsidRPr="00BA3E97">
        <w:rPr>
          <w:sz w:val="22"/>
          <w:szCs w:val="22"/>
          <w:lang w:val="sr-Latn-ME"/>
        </w:rPr>
        <w:t xml:space="preserve"> 6.1.</w:t>
      </w:r>
    </w:p>
    <w:p w14:paraId="178B0BE8" w14:textId="77777777" w:rsidR="0072020E" w:rsidRPr="00BA3E97" w:rsidRDefault="0072020E" w:rsidP="00A83DDF">
      <w:pPr>
        <w:tabs>
          <w:tab w:val="left" w:pos="540"/>
          <w:tab w:val="left" w:pos="569"/>
        </w:tabs>
        <w:jc w:val="both"/>
        <w:rPr>
          <w:bCs/>
          <w:sz w:val="22"/>
          <w:szCs w:val="22"/>
          <w:lang w:val="sr-Latn-ME"/>
        </w:rPr>
      </w:pPr>
    </w:p>
    <w:p w14:paraId="178B0BE9" w14:textId="77777777" w:rsidR="00411B4B" w:rsidRPr="00BA3E97" w:rsidRDefault="00411B4B" w:rsidP="00A83DDF">
      <w:pPr>
        <w:tabs>
          <w:tab w:val="left" w:pos="540"/>
          <w:tab w:val="left" w:pos="569"/>
        </w:tabs>
        <w:jc w:val="both"/>
        <w:rPr>
          <w:b/>
          <w:bCs/>
          <w:sz w:val="22"/>
          <w:szCs w:val="22"/>
          <w:lang w:val="sr-Latn-ME"/>
        </w:rPr>
      </w:pPr>
      <w:r w:rsidRPr="00BA3E97">
        <w:rPr>
          <w:b/>
          <w:bCs/>
          <w:sz w:val="22"/>
          <w:szCs w:val="22"/>
          <w:lang w:val="sr-Latn-ME"/>
        </w:rPr>
        <w:t xml:space="preserve">4.4. </w:t>
      </w:r>
      <w:r w:rsidR="00480FB1" w:rsidRPr="00BA3E97">
        <w:rPr>
          <w:b/>
          <w:bCs/>
          <w:sz w:val="22"/>
          <w:szCs w:val="22"/>
          <w:lang w:val="sr-Latn-ME"/>
        </w:rPr>
        <w:tab/>
      </w:r>
      <w:r w:rsidRPr="00BA3E97">
        <w:rPr>
          <w:b/>
          <w:bCs/>
          <w:sz w:val="22"/>
          <w:szCs w:val="22"/>
          <w:lang w:val="sr-Latn-ME"/>
        </w:rPr>
        <w:t>Posebna upozorenja i mjere opreza pri upotrebi lijeka</w:t>
      </w:r>
    </w:p>
    <w:p w14:paraId="178B0BEA" w14:textId="77777777" w:rsidR="0072020E" w:rsidRPr="00BA3E97" w:rsidRDefault="0072020E" w:rsidP="00A83DDF">
      <w:pPr>
        <w:tabs>
          <w:tab w:val="left" w:pos="540"/>
          <w:tab w:val="left" w:pos="569"/>
        </w:tabs>
        <w:jc w:val="both"/>
        <w:rPr>
          <w:bCs/>
          <w:sz w:val="22"/>
          <w:szCs w:val="22"/>
          <w:lang w:val="sr-Latn-ME"/>
        </w:rPr>
      </w:pPr>
    </w:p>
    <w:p w14:paraId="09EF609D" w14:textId="77777777" w:rsidR="002535E7" w:rsidRPr="00BA3E97" w:rsidRDefault="002535E7" w:rsidP="00A83DDF">
      <w:pPr>
        <w:jc w:val="both"/>
        <w:rPr>
          <w:sz w:val="22"/>
          <w:szCs w:val="22"/>
          <w:u w:val="single"/>
          <w:lang w:val="sr-Latn-ME"/>
        </w:rPr>
      </w:pPr>
      <w:r w:rsidRPr="00BA3E97">
        <w:rPr>
          <w:sz w:val="22"/>
          <w:szCs w:val="22"/>
          <w:u w:val="single"/>
          <w:lang w:val="sr-Latn-ME"/>
        </w:rPr>
        <w:t>Opšta</w:t>
      </w:r>
    </w:p>
    <w:p w14:paraId="3F5A15B7" w14:textId="77777777" w:rsidR="002535E7" w:rsidRPr="00BA3E97" w:rsidRDefault="002535E7" w:rsidP="00A83DDF">
      <w:pPr>
        <w:jc w:val="both"/>
        <w:rPr>
          <w:sz w:val="22"/>
          <w:szCs w:val="22"/>
          <w:lang w:val="sr-Latn-ME"/>
        </w:rPr>
      </w:pPr>
      <w:r w:rsidRPr="00BA3E97">
        <w:rPr>
          <w:sz w:val="22"/>
          <w:szCs w:val="22"/>
          <w:lang w:val="sr-Latn-ME"/>
        </w:rPr>
        <w:t>Lijek Criteo nije zamjena za insulin kod pacijenata kojima je neophodan insulin. Lijek Criteo ne treba koristiti kod pacijenata sa diabetesom tip 1 ili za terapiju dijabetesne ketoacidoze.</w:t>
      </w:r>
    </w:p>
    <w:p w14:paraId="7DFFED89" w14:textId="77777777" w:rsidR="002535E7" w:rsidRPr="00BA3E97" w:rsidRDefault="002535E7" w:rsidP="00A83DDF">
      <w:pPr>
        <w:jc w:val="both"/>
        <w:rPr>
          <w:sz w:val="22"/>
          <w:szCs w:val="22"/>
          <w:lang w:val="sr-Latn-ME"/>
        </w:rPr>
      </w:pPr>
    </w:p>
    <w:p w14:paraId="5E489BBA" w14:textId="77777777" w:rsidR="002535E7" w:rsidRPr="00BA3E97" w:rsidRDefault="002535E7" w:rsidP="00A83DDF">
      <w:pPr>
        <w:jc w:val="both"/>
        <w:rPr>
          <w:sz w:val="22"/>
          <w:szCs w:val="22"/>
          <w:u w:val="single"/>
          <w:lang w:val="sr-Latn-ME"/>
        </w:rPr>
      </w:pPr>
      <w:r w:rsidRPr="00BA3E97">
        <w:rPr>
          <w:sz w:val="22"/>
          <w:szCs w:val="22"/>
          <w:u w:val="single"/>
          <w:lang w:val="sr-Latn-ME"/>
        </w:rPr>
        <w:t>Oštećenje bubrežne funkcije</w:t>
      </w:r>
    </w:p>
    <w:p w14:paraId="228B0B42" w14:textId="33C93D6F" w:rsidR="002535E7" w:rsidRPr="00BA3E97" w:rsidRDefault="002535E7" w:rsidP="00A83DDF">
      <w:pPr>
        <w:jc w:val="both"/>
        <w:rPr>
          <w:sz w:val="22"/>
          <w:szCs w:val="22"/>
          <w:lang w:val="sr-Latn-ME"/>
        </w:rPr>
      </w:pPr>
      <w:r w:rsidRPr="00BA3E97">
        <w:rPr>
          <w:sz w:val="22"/>
          <w:szCs w:val="22"/>
          <w:lang w:val="sr-Latn-ME"/>
        </w:rPr>
        <w:t xml:space="preserve">Postoji ograničeno iskustvo kod pacijenata sa terminalnim stadijumom bubrežne bolesti koji su na hemodijalizi. Zbog toga se preporučuje oprez prilikom upotrebe lijeka Criteo kod ovih pacijenata </w:t>
      </w:r>
      <w:r w:rsidR="009A3B0C" w:rsidRPr="00BA3E97">
        <w:rPr>
          <w:sz w:val="22"/>
          <w:szCs w:val="22"/>
          <w:lang w:val="sr-Latn-ME"/>
        </w:rPr>
        <w:t>pogledati dio</w:t>
      </w:r>
      <w:r w:rsidR="005C53F0" w:rsidRPr="00BA3E97">
        <w:rPr>
          <w:sz w:val="22"/>
          <w:szCs w:val="22"/>
          <w:lang w:val="sr-Latn-ME"/>
        </w:rPr>
        <w:t xml:space="preserve"> </w:t>
      </w:r>
      <w:r w:rsidRPr="00BA3E97">
        <w:rPr>
          <w:i/>
          <w:sz w:val="22"/>
          <w:szCs w:val="22"/>
          <w:lang w:val="sr-Latn-ME"/>
        </w:rPr>
        <w:t>4.2, 5.1 i 5.2</w:t>
      </w:r>
      <w:r w:rsidRPr="00BA3E97">
        <w:rPr>
          <w:sz w:val="22"/>
          <w:szCs w:val="22"/>
          <w:lang w:val="sr-Latn-ME"/>
        </w:rPr>
        <w:t>).</w:t>
      </w:r>
    </w:p>
    <w:p w14:paraId="4B3BB0E7" w14:textId="77777777" w:rsidR="002535E7" w:rsidRPr="00BA3E97" w:rsidRDefault="002535E7" w:rsidP="00A83DDF">
      <w:pPr>
        <w:jc w:val="both"/>
        <w:rPr>
          <w:sz w:val="22"/>
          <w:szCs w:val="22"/>
          <w:lang w:val="sr-Latn-ME"/>
        </w:rPr>
      </w:pPr>
    </w:p>
    <w:p w14:paraId="4BFE6429" w14:textId="77777777" w:rsidR="002535E7" w:rsidRPr="00BA3E97" w:rsidRDefault="002535E7" w:rsidP="00A83DDF">
      <w:pPr>
        <w:jc w:val="both"/>
        <w:rPr>
          <w:sz w:val="22"/>
          <w:szCs w:val="22"/>
          <w:u w:val="single"/>
          <w:lang w:val="sr-Latn-ME"/>
        </w:rPr>
      </w:pPr>
      <w:r w:rsidRPr="00BA3E97">
        <w:rPr>
          <w:sz w:val="22"/>
          <w:szCs w:val="22"/>
          <w:u w:val="single"/>
          <w:lang w:val="sr-Latn-ME"/>
        </w:rPr>
        <w:t>Oštećenje funkcije jetre</w:t>
      </w:r>
    </w:p>
    <w:p w14:paraId="7955555A" w14:textId="4A46AC0E" w:rsidR="002535E7" w:rsidRPr="00BA3E97" w:rsidRDefault="002535E7" w:rsidP="00A83DDF">
      <w:pPr>
        <w:jc w:val="both"/>
        <w:rPr>
          <w:i/>
          <w:sz w:val="22"/>
          <w:szCs w:val="22"/>
          <w:lang w:val="sr-Latn-ME"/>
        </w:rPr>
      </w:pPr>
      <w:r w:rsidRPr="00BA3E97">
        <w:rPr>
          <w:sz w:val="22"/>
          <w:szCs w:val="22"/>
          <w:lang w:val="sr-Latn-ME"/>
        </w:rPr>
        <w:t xml:space="preserve">Lijek Criteo ne treba upotrebljavati kod pacijenata sa oštećenjem funkcije jetre, uključujući pacijente koji su prije započinjanja terapije imali povišene vrijednosti alanin aminotransferaze (ALT) ili aspartat aminotransferaze (AST) ≥ 3 puta viših od gornje granice normalnih vrijednosti </w:t>
      </w:r>
      <w:r w:rsidR="009A3B0C" w:rsidRPr="00BA3E97">
        <w:rPr>
          <w:i/>
          <w:sz w:val="22"/>
          <w:szCs w:val="22"/>
          <w:lang w:val="sr-Latn-ME"/>
        </w:rPr>
        <w:t>pogledati dio</w:t>
      </w:r>
      <w:r w:rsidR="005C53F0" w:rsidRPr="00BA3E97">
        <w:rPr>
          <w:i/>
          <w:sz w:val="22"/>
          <w:szCs w:val="22"/>
          <w:lang w:val="sr-Latn-ME"/>
        </w:rPr>
        <w:t xml:space="preserve"> </w:t>
      </w:r>
      <w:r w:rsidRPr="00BA3E97">
        <w:rPr>
          <w:i/>
          <w:sz w:val="22"/>
          <w:szCs w:val="22"/>
          <w:lang w:val="sr-Latn-ME"/>
        </w:rPr>
        <w:t>4.2 i 5.2).</w:t>
      </w:r>
    </w:p>
    <w:p w14:paraId="59B86371" w14:textId="77777777" w:rsidR="002535E7" w:rsidRPr="00BA3E97" w:rsidRDefault="002535E7" w:rsidP="00A83DDF">
      <w:pPr>
        <w:jc w:val="both"/>
        <w:rPr>
          <w:sz w:val="22"/>
          <w:szCs w:val="22"/>
          <w:lang w:val="sr-Latn-ME"/>
        </w:rPr>
      </w:pPr>
    </w:p>
    <w:p w14:paraId="11CBC8BC" w14:textId="77777777" w:rsidR="002535E7" w:rsidRPr="00BA3E97" w:rsidRDefault="002535E7" w:rsidP="00A83DDF">
      <w:pPr>
        <w:jc w:val="both"/>
        <w:rPr>
          <w:sz w:val="22"/>
          <w:szCs w:val="22"/>
          <w:u w:val="single"/>
          <w:lang w:val="sr-Latn-ME"/>
        </w:rPr>
      </w:pPr>
      <w:r w:rsidRPr="00BA3E97">
        <w:rPr>
          <w:sz w:val="22"/>
          <w:szCs w:val="22"/>
          <w:u w:val="single"/>
          <w:lang w:val="sr-Latn-ME"/>
        </w:rPr>
        <w:t>Praćenje enzima jetre</w:t>
      </w:r>
    </w:p>
    <w:p w14:paraId="51E0903D" w14:textId="77777777" w:rsidR="002535E7" w:rsidRPr="00BA3E97" w:rsidRDefault="002535E7" w:rsidP="00A83DDF">
      <w:pPr>
        <w:jc w:val="both"/>
        <w:rPr>
          <w:sz w:val="22"/>
          <w:szCs w:val="22"/>
          <w:lang w:val="sr-Latn-ME"/>
        </w:rPr>
      </w:pPr>
      <w:r w:rsidRPr="00BA3E97">
        <w:rPr>
          <w:sz w:val="22"/>
          <w:szCs w:val="22"/>
          <w:lang w:val="sr-Latn-ME"/>
        </w:rPr>
        <w:t xml:space="preserve">Prijavljeni su rijetki slučajevi disfunkcije jetre (uključujući hepatitis). U ovim slučajevima, pacijenti su bili uglavnom asimptomatski bez kliničkih posledica i testovi funkcije jetre su se vraćali na normalne vrijednosti poslije prekida terapije. Testove funkcije jetre trebalo bi uraditi prije početka terapije lijekom Criteo da bi se utvrdile početne vrijednosti kod pacijenta. Testove funkcije jetre bi trebalo pratiti tokom terapije lijekom Criteo u intervalu od 3 mjeseca tokom prve godine terapije, a nakon toga povremeno. Pacijenate kod kojih se javi povišenje vrijednosti transaminaza treba pratiti i uraditi drugu procjenu funkcije jetre, da bi se potvrdio </w:t>
      </w:r>
      <w:r w:rsidRPr="00BA3E97">
        <w:rPr>
          <w:sz w:val="22"/>
          <w:szCs w:val="22"/>
          <w:lang w:val="sr-Latn-ME"/>
        </w:rPr>
        <w:lastRenderedPageBreak/>
        <w:t>nalaz, i nakon toga treba češće raditi funkcionalne testove jetre dok se vrednosti enzima jetre ne vrate u okvir normalnih vrijednosti. Ukoliko se povišene vrijednosti AST ili ALT trostruko više od gornje granice normalnih vrijednosti, ili više, održavaju, preporučuje se prekid terapije lijekom Criteo.</w:t>
      </w:r>
    </w:p>
    <w:p w14:paraId="2F0A59FD" w14:textId="77777777" w:rsidR="002535E7" w:rsidRPr="00BA3E97" w:rsidRDefault="002535E7" w:rsidP="00A83DDF">
      <w:pPr>
        <w:jc w:val="both"/>
        <w:rPr>
          <w:sz w:val="22"/>
          <w:szCs w:val="22"/>
          <w:lang w:val="sr-Latn-ME"/>
        </w:rPr>
      </w:pPr>
      <w:r w:rsidRPr="00BA3E97">
        <w:rPr>
          <w:sz w:val="22"/>
          <w:szCs w:val="22"/>
          <w:lang w:val="sr-Latn-ME"/>
        </w:rPr>
        <w:t>Pacijenti kod kojih se javi žutica ili drugi znaci koji ukazuju na poremećaj funkcije jetre treba da prekinu terapiju lijekom Criteo.</w:t>
      </w:r>
    </w:p>
    <w:p w14:paraId="3B2B12FB" w14:textId="77777777" w:rsidR="002535E7" w:rsidRPr="00BA3E97" w:rsidRDefault="002535E7" w:rsidP="00A83DDF">
      <w:pPr>
        <w:jc w:val="both"/>
        <w:rPr>
          <w:sz w:val="22"/>
          <w:szCs w:val="22"/>
          <w:lang w:val="sr-Latn-ME"/>
        </w:rPr>
      </w:pPr>
      <w:r w:rsidRPr="00BA3E97">
        <w:rPr>
          <w:sz w:val="22"/>
          <w:szCs w:val="22"/>
          <w:lang w:val="sr-Latn-ME"/>
        </w:rPr>
        <w:t>Nakon obustavljanja terapije lijekom Criteo i normalizacije funkcionalnih testova jetre, terapiju lijekom Criteo ne treba ponovo započinjati.</w:t>
      </w:r>
    </w:p>
    <w:p w14:paraId="7E83F960" w14:textId="77777777" w:rsidR="002535E7" w:rsidRPr="00BA3E97" w:rsidRDefault="002535E7" w:rsidP="00A83DDF">
      <w:pPr>
        <w:jc w:val="both"/>
        <w:rPr>
          <w:sz w:val="22"/>
          <w:szCs w:val="22"/>
          <w:lang w:val="sr-Latn-ME"/>
        </w:rPr>
      </w:pPr>
    </w:p>
    <w:p w14:paraId="2802E20B" w14:textId="77777777" w:rsidR="002535E7" w:rsidRPr="00BA3E97" w:rsidRDefault="002535E7" w:rsidP="00A83DDF">
      <w:pPr>
        <w:jc w:val="both"/>
        <w:rPr>
          <w:sz w:val="22"/>
          <w:szCs w:val="22"/>
          <w:u w:val="single"/>
          <w:lang w:val="sr-Latn-ME"/>
        </w:rPr>
      </w:pPr>
      <w:r w:rsidRPr="00BA3E97">
        <w:rPr>
          <w:sz w:val="22"/>
          <w:szCs w:val="22"/>
          <w:u w:val="single"/>
          <w:lang w:val="sr-Latn-ME"/>
        </w:rPr>
        <w:t>Srčana insuficijencija</w:t>
      </w:r>
    </w:p>
    <w:p w14:paraId="11A697BE" w14:textId="45F656BB" w:rsidR="002535E7" w:rsidRPr="00BA3E97" w:rsidRDefault="002535E7" w:rsidP="00A83DDF">
      <w:pPr>
        <w:jc w:val="both"/>
        <w:rPr>
          <w:sz w:val="22"/>
          <w:szCs w:val="22"/>
          <w:lang w:val="sr-Latn-ME"/>
        </w:rPr>
      </w:pPr>
      <w:r w:rsidRPr="00BA3E97">
        <w:rPr>
          <w:sz w:val="22"/>
          <w:szCs w:val="22"/>
          <w:lang w:val="sr-Latn-ME"/>
        </w:rPr>
        <w:t>Klinička studija sa vildagliptinom kod pacijenata sa NYHA funkcionalnom klasom I-III pokazala je da liječenje vildagliptinom nije udruženo sa promjenom u funkciji lijeve komore ili pogoršanjem već postojeće kongestivne srčane insuficijencije, u poređenju sa placebom. Klinička iskustva kod pacijenata sa NYHA funkcionalnom klasom III lečenih vildagliptinom još uvek su ograničena te se na temelju tih rezultata ne mogu donositi zaključci (</w:t>
      </w:r>
      <w:r w:rsidR="0000113F" w:rsidRPr="00BA3E97">
        <w:rPr>
          <w:i/>
          <w:sz w:val="22"/>
          <w:szCs w:val="22"/>
          <w:lang w:val="sr-Latn-ME"/>
        </w:rPr>
        <w:t>pogledati dio</w:t>
      </w:r>
      <w:r w:rsidRPr="00BA3E97">
        <w:rPr>
          <w:i/>
          <w:sz w:val="22"/>
          <w:szCs w:val="22"/>
          <w:lang w:val="sr-Latn-ME"/>
        </w:rPr>
        <w:t xml:space="preserve"> 5.1</w:t>
      </w:r>
      <w:r w:rsidRPr="00BA3E97">
        <w:rPr>
          <w:sz w:val="22"/>
          <w:szCs w:val="22"/>
          <w:lang w:val="sr-Latn-ME"/>
        </w:rPr>
        <w:t>).</w:t>
      </w:r>
    </w:p>
    <w:p w14:paraId="3F17FC09" w14:textId="77777777" w:rsidR="002535E7" w:rsidRPr="00BA3E97" w:rsidRDefault="002535E7" w:rsidP="00A83DDF">
      <w:pPr>
        <w:jc w:val="both"/>
        <w:rPr>
          <w:sz w:val="22"/>
          <w:szCs w:val="22"/>
          <w:lang w:val="sr-Latn-ME"/>
        </w:rPr>
      </w:pPr>
    </w:p>
    <w:p w14:paraId="4DA6A71A" w14:textId="17307BD2" w:rsidR="002535E7" w:rsidRPr="00BA3E97" w:rsidRDefault="002535E7" w:rsidP="00A83DDF">
      <w:pPr>
        <w:jc w:val="both"/>
        <w:rPr>
          <w:sz w:val="22"/>
          <w:szCs w:val="22"/>
          <w:lang w:val="sr-Latn-ME"/>
        </w:rPr>
      </w:pPr>
      <w:r w:rsidRPr="00BA3E97">
        <w:rPr>
          <w:sz w:val="22"/>
          <w:szCs w:val="22"/>
          <w:lang w:val="sr-Latn-ME"/>
        </w:rPr>
        <w:t>Nema iskustva sa primjenom vildagliptina u kliničkim studijama sa pacijentima NYHA funkcionalne klase</w:t>
      </w:r>
      <w:r w:rsidR="002B232F" w:rsidRPr="00BA3E97">
        <w:rPr>
          <w:sz w:val="22"/>
          <w:szCs w:val="22"/>
          <w:lang w:val="sr-Latn-ME"/>
        </w:rPr>
        <w:t xml:space="preserve"> </w:t>
      </w:r>
      <w:r w:rsidRPr="00BA3E97">
        <w:rPr>
          <w:sz w:val="22"/>
          <w:szCs w:val="22"/>
          <w:lang w:val="sr-Latn-ME"/>
        </w:rPr>
        <w:t>IV i zbog toga se primena vildagliptina kod ovih pacijenata ne preporučuje.</w:t>
      </w:r>
    </w:p>
    <w:p w14:paraId="0D657215" w14:textId="77777777" w:rsidR="002535E7" w:rsidRPr="00BA3E97" w:rsidRDefault="002535E7" w:rsidP="00A83DDF">
      <w:pPr>
        <w:jc w:val="both"/>
        <w:rPr>
          <w:sz w:val="22"/>
          <w:szCs w:val="22"/>
          <w:lang w:val="sr-Latn-ME"/>
        </w:rPr>
      </w:pPr>
    </w:p>
    <w:p w14:paraId="07D636BF" w14:textId="77777777" w:rsidR="002535E7" w:rsidRPr="00BA3E97" w:rsidRDefault="002535E7" w:rsidP="00A83DDF">
      <w:pPr>
        <w:jc w:val="both"/>
        <w:rPr>
          <w:sz w:val="22"/>
          <w:szCs w:val="22"/>
          <w:u w:val="single"/>
          <w:lang w:val="sr-Latn-ME"/>
        </w:rPr>
      </w:pPr>
      <w:r w:rsidRPr="00BA3E97">
        <w:rPr>
          <w:sz w:val="22"/>
          <w:szCs w:val="22"/>
          <w:u w:val="single"/>
          <w:lang w:val="sr-Latn-ME"/>
        </w:rPr>
        <w:t>Poremećaji kože</w:t>
      </w:r>
    </w:p>
    <w:p w14:paraId="3FFEE9D2" w14:textId="57C9DC67" w:rsidR="002535E7" w:rsidRPr="00BA3E97" w:rsidRDefault="002535E7" w:rsidP="00A83DDF">
      <w:pPr>
        <w:jc w:val="both"/>
        <w:rPr>
          <w:sz w:val="22"/>
          <w:szCs w:val="22"/>
          <w:lang w:val="sr-Latn-ME"/>
        </w:rPr>
      </w:pPr>
      <w:r w:rsidRPr="00BA3E97">
        <w:rPr>
          <w:sz w:val="22"/>
          <w:szCs w:val="22"/>
          <w:lang w:val="sr-Latn-ME"/>
        </w:rPr>
        <w:t>U pretkliničkim studijama su se na ekstremitetima majmuna javljale kožne lezije, uključujući plikove i ulceracije (</w:t>
      </w:r>
      <w:r w:rsidR="0000113F" w:rsidRPr="00BA3E97">
        <w:rPr>
          <w:i/>
          <w:sz w:val="22"/>
          <w:szCs w:val="22"/>
          <w:lang w:val="sr-Latn-ME"/>
        </w:rPr>
        <w:t>pogledati dio</w:t>
      </w:r>
      <w:r w:rsidRPr="00BA3E97">
        <w:rPr>
          <w:i/>
          <w:sz w:val="22"/>
          <w:szCs w:val="22"/>
          <w:lang w:val="sr-Latn-ME"/>
        </w:rPr>
        <w:t xml:space="preserve"> 5.3</w:t>
      </w:r>
      <w:r w:rsidRPr="00BA3E97">
        <w:rPr>
          <w:sz w:val="22"/>
          <w:szCs w:val="22"/>
          <w:lang w:val="sr-Latn-ME"/>
        </w:rPr>
        <w:t>). Iako se kožne lezije nisu javljale sa povišenom incidencom u kliničkim studijama, postoje ograničena iskustva kod pacijenata sa dijabetesnim komplikacijama na koži. Dodatno, nakon stavljanja lijeka u promet prijavljeni su slučajevi buloznih i eksfolijativnih lezija na koži. Zbog toga, u sklopu održavanja rutinske nege pacijenata sa dijabetesom, preporučuje se praćenje kožnih poremećaja kao što su plikovi i ulceracije.</w:t>
      </w:r>
    </w:p>
    <w:p w14:paraId="315CEC1D" w14:textId="77777777" w:rsidR="002535E7" w:rsidRPr="00BA3E97" w:rsidRDefault="002535E7" w:rsidP="00A83DDF">
      <w:pPr>
        <w:jc w:val="both"/>
        <w:rPr>
          <w:sz w:val="22"/>
          <w:szCs w:val="22"/>
          <w:u w:val="single"/>
          <w:lang w:val="sr-Latn-ME"/>
        </w:rPr>
      </w:pPr>
    </w:p>
    <w:p w14:paraId="54DAF1AC" w14:textId="77777777" w:rsidR="002535E7" w:rsidRPr="00BA3E97" w:rsidRDefault="002535E7" w:rsidP="00A83DDF">
      <w:pPr>
        <w:jc w:val="both"/>
        <w:rPr>
          <w:sz w:val="22"/>
          <w:szCs w:val="22"/>
          <w:u w:val="single"/>
          <w:lang w:val="sr-Latn-ME"/>
        </w:rPr>
      </w:pPr>
      <w:r w:rsidRPr="00BA3E97">
        <w:rPr>
          <w:sz w:val="22"/>
          <w:szCs w:val="22"/>
          <w:u w:val="single"/>
          <w:lang w:val="sr-Latn-ME"/>
        </w:rPr>
        <w:t>Akutni pankreatitis</w:t>
      </w:r>
    </w:p>
    <w:p w14:paraId="6E7624DB" w14:textId="77777777" w:rsidR="002535E7" w:rsidRPr="00BA3E97" w:rsidRDefault="002535E7" w:rsidP="00A83DDF">
      <w:pPr>
        <w:jc w:val="both"/>
        <w:rPr>
          <w:sz w:val="22"/>
          <w:szCs w:val="22"/>
          <w:lang w:val="sr-Latn-ME"/>
        </w:rPr>
      </w:pPr>
      <w:r w:rsidRPr="00BA3E97">
        <w:rPr>
          <w:sz w:val="22"/>
          <w:szCs w:val="22"/>
          <w:lang w:val="sr-Latn-ME"/>
        </w:rPr>
        <w:t>Primjena vildagliptina je bila povezana sa rizikom od pojave akutnog pankreatitisa. Pacijente treba informisati o karakterističnim simptomima akutnog pankreatitisa.</w:t>
      </w:r>
    </w:p>
    <w:p w14:paraId="4570C970" w14:textId="77777777" w:rsidR="002535E7" w:rsidRPr="00BA3E97" w:rsidRDefault="002535E7" w:rsidP="00A83DDF">
      <w:pPr>
        <w:jc w:val="both"/>
        <w:rPr>
          <w:sz w:val="22"/>
          <w:szCs w:val="22"/>
          <w:lang w:val="sr-Latn-ME"/>
        </w:rPr>
      </w:pPr>
      <w:r w:rsidRPr="00BA3E97">
        <w:rPr>
          <w:sz w:val="22"/>
          <w:szCs w:val="22"/>
          <w:lang w:val="sr-Latn-ME"/>
        </w:rPr>
        <w:t>Ako se sumnja na pankreatits, uzimanje vildagliptina treba obustaviti; ako je potvrđeno stanje akutnog pankreatitisa, ne treba započinjati sa ponovnom primjenom vildagliptina. Potreban je oprez kod pacijenata koji u anamnezi imaju akutni pankreatitis.</w:t>
      </w:r>
    </w:p>
    <w:p w14:paraId="12ECAC7A" w14:textId="77777777" w:rsidR="002535E7" w:rsidRPr="00BA3E97" w:rsidRDefault="002535E7" w:rsidP="00A83DDF">
      <w:pPr>
        <w:jc w:val="both"/>
        <w:rPr>
          <w:sz w:val="22"/>
          <w:szCs w:val="22"/>
          <w:lang w:val="sr-Latn-ME"/>
        </w:rPr>
      </w:pPr>
    </w:p>
    <w:p w14:paraId="1CA16F2F" w14:textId="77777777" w:rsidR="002535E7" w:rsidRPr="00BA3E97" w:rsidRDefault="002535E7" w:rsidP="00A83DDF">
      <w:pPr>
        <w:jc w:val="both"/>
        <w:rPr>
          <w:sz w:val="22"/>
          <w:szCs w:val="22"/>
          <w:u w:val="single"/>
          <w:lang w:val="sr-Latn-ME"/>
        </w:rPr>
      </w:pPr>
      <w:r w:rsidRPr="00BA3E97">
        <w:rPr>
          <w:sz w:val="22"/>
          <w:szCs w:val="22"/>
          <w:u w:val="single"/>
          <w:lang w:val="sr-Latn-ME"/>
        </w:rPr>
        <w:t>Hipoglikemija</w:t>
      </w:r>
    </w:p>
    <w:p w14:paraId="5CC7EB6A" w14:textId="6238A082" w:rsidR="002535E7" w:rsidRPr="00BA3E97" w:rsidRDefault="002535E7" w:rsidP="00A83DDF">
      <w:pPr>
        <w:jc w:val="both"/>
        <w:rPr>
          <w:sz w:val="22"/>
          <w:szCs w:val="22"/>
          <w:lang w:val="sr-Latn-ME"/>
        </w:rPr>
      </w:pPr>
      <w:r w:rsidRPr="00BA3E97">
        <w:rPr>
          <w:sz w:val="22"/>
          <w:szCs w:val="22"/>
          <w:lang w:val="sr-Latn-ME"/>
        </w:rPr>
        <w:t>Poznato je da derivati sulfoniluree izazivaju hipoglikemiju. Pacijenti koji primaju vildagliptin u kombinaciji</w:t>
      </w:r>
      <w:r w:rsidR="0005292A" w:rsidRPr="00BA3E97">
        <w:rPr>
          <w:sz w:val="22"/>
          <w:szCs w:val="22"/>
          <w:lang w:val="sr-Latn-ME"/>
        </w:rPr>
        <w:t xml:space="preserve"> </w:t>
      </w:r>
      <w:r w:rsidRPr="00BA3E97">
        <w:rPr>
          <w:sz w:val="22"/>
          <w:szCs w:val="22"/>
          <w:lang w:val="sr-Latn-ME"/>
        </w:rPr>
        <w:t>sa derivatima sulfoniluree mogu biti u riziku od razvoja hipoglikemije. Iz tog razloga se može razmotriti niža</w:t>
      </w:r>
      <w:r w:rsidR="0005292A" w:rsidRPr="00BA3E97">
        <w:rPr>
          <w:sz w:val="22"/>
          <w:szCs w:val="22"/>
          <w:lang w:val="sr-Latn-ME"/>
        </w:rPr>
        <w:t xml:space="preserve"> </w:t>
      </w:r>
      <w:r w:rsidRPr="00BA3E97">
        <w:rPr>
          <w:sz w:val="22"/>
          <w:szCs w:val="22"/>
          <w:lang w:val="sr-Latn-ME"/>
        </w:rPr>
        <w:t>doza derivata sulfoniluree kako bi se smanjio rizik od hipoglikemije.</w:t>
      </w:r>
    </w:p>
    <w:p w14:paraId="7C9F308C" w14:textId="77777777" w:rsidR="002535E7" w:rsidRPr="00BA3E97" w:rsidRDefault="002535E7" w:rsidP="00A83DDF">
      <w:pPr>
        <w:jc w:val="both"/>
        <w:rPr>
          <w:sz w:val="22"/>
          <w:szCs w:val="22"/>
          <w:lang w:val="sr-Latn-ME"/>
        </w:rPr>
      </w:pPr>
    </w:p>
    <w:p w14:paraId="02167269" w14:textId="77777777" w:rsidR="002535E7" w:rsidRPr="00BA3E97" w:rsidRDefault="002535E7" w:rsidP="00A83DDF">
      <w:pPr>
        <w:jc w:val="both"/>
        <w:rPr>
          <w:sz w:val="22"/>
          <w:szCs w:val="22"/>
          <w:u w:val="single"/>
          <w:lang w:val="sr-Latn-ME"/>
        </w:rPr>
      </w:pPr>
      <w:r w:rsidRPr="00BA3E97">
        <w:rPr>
          <w:sz w:val="22"/>
          <w:szCs w:val="22"/>
          <w:u w:val="single"/>
          <w:lang w:val="sr-Latn-ME"/>
        </w:rPr>
        <w:t>Pomoćne supstance</w:t>
      </w:r>
    </w:p>
    <w:p w14:paraId="322FC9E3" w14:textId="77777777" w:rsidR="002535E7" w:rsidRPr="00BA3E97" w:rsidRDefault="002535E7" w:rsidP="00A83DDF">
      <w:pPr>
        <w:jc w:val="both"/>
        <w:rPr>
          <w:sz w:val="22"/>
          <w:szCs w:val="22"/>
          <w:lang w:val="sr-Latn-ME"/>
        </w:rPr>
      </w:pPr>
      <w:r w:rsidRPr="00BA3E97">
        <w:rPr>
          <w:sz w:val="22"/>
          <w:szCs w:val="22"/>
          <w:lang w:val="sr-Latn-ME"/>
        </w:rPr>
        <w:t>Lijek Criteo sadrži laktozu, monohidrat. Pacijenti sa retkim naslednim oboljenjem intolerancije na galaktozu, nedostatkom laktaze ili glukozno-galaktoznom malapsorpcijom, ne smiju koristiti ovaj lijek.</w:t>
      </w:r>
    </w:p>
    <w:p w14:paraId="178B0BEC" w14:textId="77777777" w:rsidR="00057E35" w:rsidRPr="00BA3E97" w:rsidRDefault="00057E35" w:rsidP="00A83DDF">
      <w:pPr>
        <w:tabs>
          <w:tab w:val="left" w:pos="540"/>
          <w:tab w:val="left" w:pos="569"/>
        </w:tabs>
        <w:jc w:val="both"/>
        <w:rPr>
          <w:bCs/>
          <w:sz w:val="22"/>
          <w:szCs w:val="22"/>
          <w:lang w:val="sr-Latn-ME"/>
        </w:rPr>
      </w:pPr>
    </w:p>
    <w:p w14:paraId="178B0BED" w14:textId="77777777" w:rsidR="00411B4B" w:rsidRPr="00BA3E97" w:rsidRDefault="00411B4B" w:rsidP="00A83DDF">
      <w:pPr>
        <w:tabs>
          <w:tab w:val="left" w:pos="540"/>
          <w:tab w:val="left" w:pos="569"/>
        </w:tabs>
        <w:jc w:val="both"/>
        <w:rPr>
          <w:b/>
          <w:bCs/>
          <w:sz w:val="22"/>
          <w:szCs w:val="22"/>
          <w:lang w:val="sr-Latn-ME"/>
        </w:rPr>
      </w:pPr>
      <w:r w:rsidRPr="00BA3E97">
        <w:rPr>
          <w:b/>
          <w:bCs/>
          <w:sz w:val="22"/>
          <w:szCs w:val="22"/>
          <w:lang w:val="sr-Latn-ME"/>
        </w:rPr>
        <w:t>4.5.</w:t>
      </w:r>
      <w:r w:rsidR="000D60CC" w:rsidRPr="00BA3E97">
        <w:rPr>
          <w:b/>
          <w:bCs/>
          <w:sz w:val="22"/>
          <w:szCs w:val="22"/>
          <w:lang w:val="sr-Latn-ME"/>
        </w:rPr>
        <w:tab/>
      </w:r>
      <w:r w:rsidRPr="00BA3E97">
        <w:rPr>
          <w:b/>
          <w:bCs/>
          <w:sz w:val="22"/>
          <w:szCs w:val="22"/>
          <w:lang w:val="sr-Latn-ME"/>
        </w:rPr>
        <w:t>Interakcije sa drugim ljekovima i druge vrste interakcija</w:t>
      </w:r>
    </w:p>
    <w:p w14:paraId="792C99E1" w14:textId="77777777" w:rsidR="00E73331" w:rsidRPr="00BA3E97" w:rsidRDefault="00E73331" w:rsidP="00A83DDF">
      <w:pPr>
        <w:tabs>
          <w:tab w:val="left" w:pos="540"/>
          <w:tab w:val="left" w:pos="569"/>
        </w:tabs>
        <w:jc w:val="both"/>
        <w:rPr>
          <w:b/>
          <w:bCs/>
          <w:sz w:val="22"/>
          <w:szCs w:val="22"/>
          <w:lang w:val="sr-Latn-ME"/>
        </w:rPr>
      </w:pPr>
    </w:p>
    <w:p w14:paraId="13430A72" w14:textId="77777777" w:rsidR="00E73331" w:rsidRPr="00BA3E97" w:rsidRDefault="00E73331" w:rsidP="00A83DDF">
      <w:pPr>
        <w:jc w:val="both"/>
        <w:rPr>
          <w:sz w:val="22"/>
          <w:szCs w:val="22"/>
          <w:lang w:val="sr-Latn-ME"/>
        </w:rPr>
      </w:pPr>
      <w:r w:rsidRPr="00BA3E97">
        <w:rPr>
          <w:sz w:val="22"/>
          <w:szCs w:val="22"/>
          <w:lang w:val="sr-Latn-ME"/>
        </w:rPr>
        <w:t>Vildagliptin ima nizak potencijal za interakcije sa istovremeno primjenjenim ljekovima. S obzirom da  vildagliptin nije supstrat za citohrom P (CYP) 450 enzime, ne ihibira niti indukuje CYP 450 enzime, nije vjerovatno da će stupiti u interakciju sa aktivnim supstancama koje su supstrati, inhibitori ili induktori ovih enzima.</w:t>
      </w:r>
    </w:p>
    <w:p w14:paraId="0DF46772" w14:textId="77777777" w:rsidR="00E73331" w:rsidRPr="00BA3E97" w:rsidRDefault="00E73331" w:rsidP="00A83DDF">
      <w:pPr>
        <w:jc w:val="both"/>
        <w:rPr>
          <w:sz w:val="22"/>
          <w:szCs w:val="22"/>
          <w:lang w:val="sr-Latn-ME"/>
        </w:rPr>
      </w:pPr>
    </w:p>
    <w:p w14:paraId="74314472" w14:textId="77777777" w:rsidR="00E73331" w:rsidRPr="00BA3E97" w:rsidRDefault="00E73331" w:rsidP="00A83DDF">
      <w:pPr>
        <w:jc w:val="both"/>
        <w:rPr>
          <w:sz w:val="22"/>
          <w:szCs w:val="22"/>
          <w:u w:val="single"/>
          <w:lang w:val="sr-Latn-ME"/>
        </w:rPr>
      </w:pPr>
      <w:r w:rsidRPr="00BA3E97">
        <w:rPr>
          <w:sz w:val="22"/>
          <w:szCs w:val="22"/>
          <w:u w:val="single"/>
          <w:lang w:val="sr-Latn-ME"/>
        </w:rPr>
        <w:t>Kombinacija sa pioglitazonom, metforminom i gliburidom</w:t>
      </w:r>
    </w:p>
    <w:p w14:paraId="211BC6EC" w14:textId="77777777" w:rsidR="00E73331" w:rsidRPr="00BA3E97" w:rsidRDefault="00E73331" w:rsidP="00A83DDF">
      <w:pPr>
        <w:jc w:val="both"/>
        <w:rPr>
          <w:sz w:val="22"/>
          <w:szCs w:val="22"/>
          <w:lang w:val="sr-Latn-ME"/>
        </w:rPr>
      </w:pPr>
      <w:r w:rsidRPr="00BA3E97">
        <w:rPr>
          <w:sz w:val="22"/>
          <w:szCs w:val="22"/>
          <w:lang w:val="sr-Latn-ME"/>
        </w:rPr>
        <w:t>Rezultati studija sprovedenih sa ovim oralnim antidijabeticima nisu pokazali klinički značajne farmakokinetičke interakcije.</w:t>
      </w:r>
    </w:p>
    <w:p w14:paraId="41AB08CD" w14:textId="77777777" w:rsidR="00E73331" w:rsidRPr="00BA3E97" w:rsidRDefault="00E73331" w:rsidP="00A83DDF">
      <w:pPr>
        <w:jc w:val="both"/>
        <w:rPr>
          <w:sz w:val="22"/>
          <w:szCs w:val="22"/>
          <w:u w:val="single"/>
          <w:lang w:val="sr-Latn-ME"/>
        </w:rPr>
      </w:pPr>
    </w:p>
    <w:p w14:paraId="597D7BBC" w14:textId="1B5B48D5" w:rsidR="00E73331" w:rsidRPr="00BA3E97" w:rsidRDefault="00E73331" w:rsidP="00A83DDF">
      <w:pPr>
        <w:jc w:val="both"/>
        <w:rPr>
          <w:sz w:val="22"/>
          <w:szCs w:val="22"/>
          <w:u w:val="single"/>
          <w:lang w:val="sr-Latn-ME"/>
        </w:rPr>
      </w:pPr>
      <w:r w:rsidRPr="00BA3E97">
        <w:rPr>
          <w:sz w:val="22"/>
          <w:szCs w:val="22"/>
          <w:u w:val="single"/>
          <w:lang w:val="sr-Latn-ME"/>
        </w:rPr>
        <w:t>Digoksin (supstrat Pgp-a), varfarin (supstrat CYP2C9)</w:t>
      </w:r>
    </w:p>
    <w:p w14:paraId="3E00BE47" w14:textId="77777777" w:rsidR="00E73331" w:rsidRPr="00BA3E97" w:rsidRDefault="00E73331" w:rsidP="00A83DDF">
      <w:pPr>
        <w:jc w:val="both"/>
        <w:rPr>
          <w:sz w:val="22"/>
          <w:szCs w:val="22"/>
          <w:lang w:val="sr-Latn-ME"/>
        </w:rPr>
      </w:pPr>
      <w:r w:rsidRPr="00BA3E97">
        <w:rPr>
          <w:sz w:val="22"/>
          <w:szCs w:val="22"/>
          <w:lang w:val="sr-Latn-ME"/>
        </w:rPr>
        <w:t>Kliničke studije sprovedene kod zdravih ispitanika nisu pokazale klinički značajne farmakokinetičke interakcije. Ipak ovo nije potvrđeno u ciljnoj populaciji.</w:t>
      </w:r>
    </w:p>
    <w:p w14:paraId="3D90819C" w14:textId="77777777" w:rsidR="00E73331" w:rsidRPr="00BA3E97" w:rsidRDefault="00E73331" w:rsidP="00A83DDF">
      <w:pPr>
        <w:jc w:val="both"/>
        <w:rPr>
          <w:sz w:val="22"/>
          <w:szCs w:val="22"/>
          <w:lang w:val="sr-Latn-ME"/>
        </w:rPr>
      </w:pPr>
    </w:p>
    <w:p w14:paraId="6BC91303" w14:textId="78AC2ED4" w:rsidR="00E73331" w:rsidRPr="00BA3E97" w:rsidRDefault="00E73331" w:rsidP="00A83DDF">
      <w:pPr>
        <w:jc w:val="both"/>
        <w:rPr>
          <w:sz w:val="22"/>
          <w:szCs w:val="22"/>
          <w:u w:val="single"/>
          <w:lang w:val="sr-Latn-ME"/>
        </w:rPr>
      </w:pPr>
      <w:r w:rsidRPr="00BA3E97">
        <w:rPr>
          <w:sz w:val="22"/>
          <w:szCs w:val="22"/>
          <w:u w:val="single"/>
          <w:lang w:val="sr-Latn-ME"/>
        </w:rPr>
        <w:lastRenderedPageBreak/>
        <w:t>Kombinacija sa a</w:t>
      </w:r>
      <w:r w:rsidR="00802240" w:rsidRPr="00BA3E97">
        <w:rPr>
          <w:sz w:val="22"/>
          <w:szCs w:val="22"/>
          <w:u w:val="single"/>
          <w:lang w:val="sr-Latn-ME"/>
        </w:rPr>
        <w:t>ml</w:t>
      </w:r>
      <w:r w:rsidRPr="00BA3E97">
        <w:rPr>
          <w:sz w:val="22"/>
          <w:szCs w:val="22"/>
          <w:u w:val="single"/>
          <w:lang w:val="sr-Latn-ME"/>
        </w:rPr>
        <w:t>odipinom, ramiprilom, valsartanom ili simvastatinom</w:t>
      </w:r>
    </w:p>
    <w:p w14:paraId="1BEB5606" w14:textId="502CD489" w:rsidR="00E73331" w:rsidRPr="00BA3E97" w:rsidRDefault="00E73331" w:rsidP="00A83DDF">
      <w:pPr>
        <w:jc w:val="both"/>
        <w:rPr>
          <w:sz w:val="22"/>
          <w:szCs w:val="22"/>
          <w:lang w:val="sr-Latn-ME"/>
        </w:rPr>
      </w:pPr>
      <w:r w:rsidRPr="00BA3E97">
        <w:rPr>
          <w:sz w:val="22"/>
          <w:szCs w:val="22"/>
          <w:lang w:val="sr-Latn-ME"/>
        </w:rPr>
        <w:t>Studije interakcije sa drugim ljekovima kod zdravih dobrovoljaca su sprovedene sa a</w:t>
      </w:r>
      <w:r w:rsidR="00802240" w:rsidRPr="00BA3E97">
        <w:rPr>
          <w:sz w:val="22"/>
          <w:szCs w:val="22"/>
          <w:lang w:val="sr-Latn-ME"/>
        </w:rPr>
        <w:t>ml</w:t>
      </w:r>
      <w:r w:rsidRPr="00BA3E97">
        <w:rPr>
          <w:sz w:val="22"/>
          <w:szCs w:val="22"/>
          <w:lang w:val="sr-Latn-ME"/>
        </w:rPr>
        <w:t>odipinom, ramiprilom, valsartanom i simvastatinom. U ovim studijama, nisu zapažene klinički značajne farmakokinetičke interakcije nakon istovremene primjene sa vildagliptinom.</w:t>
      </w:r>
    </w:p>
    <w:p w14:paraId="2E4FE871" w14:textId="77777777" w:rsidR="00E73331" w:rsidRPr="00BA3E97" w:rsidRDefault="00E73331" w:rsidP="00A83DDF">
      <w:pPr>
        <w:jc w:val="both"/>
        <w:rPr>
          <w:sz w:val="22"/>
          <w:szCs w:val="22"/>
          <w:u w:val="single"/>
          <w:lang w:val="sr-Latn-ME"/>
        </w:rPr>
      </w:pPr>
    </w:p>
    <w:p w14:paraId="4A94FCBC" w14:textId="77777777" w:rsidR="00E73331" w:rsidRPr="00BA3E97" w:rsidRDefault="00E73331" w:rsidP="00A83DDF">
      <w:pPr>
        <w:jc w:val="both"/>
        <w:rPr>
          <w:sz w:val="22"/>
          <w:szCs w:val="22"/>
          <w:u w:val="single"/>
          <w:lang w:val="sr-Latn-ME"/>
        </w:rPr>
      </w:pPr>
      <w:r w:rsidRPr="00BA3E97">
        <w:rPr>
          <w:sz w:val="22"/>
          <w:szCs w:val="22"/>
          <w:u w:val="single"/>
          <w:lang w:val="sr-Latn-ME"/>
        </w:rPr>
        <w:t>Kombinacija sa ACE inhibitorima</w:t>
      </w:r>
    </w:p>
    <w:p w14:paraId="50B08F4A" w14:textId="3EE6849E" w:rsidR="00E73331" w:rsidRPr="00BA3E97" w:rsidRDefault="00E73331" w:rsidP="00A83DDF">
      <w:pPr>
        <w:jc w:val="both"/>
        <w:rPr>
          <w:sz w:val="22"/>
          <w:szCs w:val="22"/>
          <w:lang w:val="sr-Latn-ME"/>
        </w:rPr>
      </w:pPr>
      <w:r w:rsidRPr="00BA3E97">
        <w:rPr>
          <w:sz w:val="22"/>
          <w:szCs w:val="22"/>
          <w:lang w:val="sr-Latn-ME"/>
        </w:rPr>
        <w:t>Može postojati povećani rizik od angioedema kod pacijenata koji istovremeno uzimaju ACE inhibitore (</w:t>
      </w:r>
      <w:r w:rsidR="0000113F" w:rsidRPr="00BA3E97">
        <w:rPr>
          <w:i/>
          <w:sz w:val="22"/>
          <w:szCs w:val="22"/>
          <w:lang w:val="sr-Latn-ME"/>
        </w:rPr>
        <w:t>pogledati dio</w:t>
      </w:r>
      <w:r w:rsidRPr="00BA3E97">
        <w:rPr>
          <w:i/>
          <w:sz w:val="22"/>
          <w:szCs w:val="22"/>
          <w:lang w:val="sr-Latn-ME"/>
        </w:rPr>
        <w:t xml:space="preserve"> 4.8</w:t>
      </w:r>
      <w:r w:rsidRPr="00BA3E97">
        <w:rPr>
          <w:sz w:val="22"/>
          <w:szCs w:val="22"/>
          <w:lang w:val="sr-Latn-ME"/>
        </w:rPr>
        <w:t>).</w:t>
      </w:r>
    </w:p>
    <w:p w14:paraId="2075DF4E" w14:textId="77777777" w:rsidR="00E73331" w:rsidRPr="00BA3E97" w:rsidRDefault="00E73331" w:rsidP="00A83DDF">
      <w:pPr>
        <w:jc w:val="both"/>
        <w:rPr>
          <w:sz w:val="22"/>
          <w:szCs w:val="22"/>
          <w:lang w:val="sr-Latn-ME"/>
        </w:rPr>
      </w:pPr>
    </w:p>
    <w:p w14:paraId="207DC032" w14:textId="09EBAD67" w:rsidR="00E73331" w:rsidRPr="00BA3E97" w:rsidRDefault="00E73331" w:rsidP="00A83DDF">
      <w:pPr>
        <w:jc w:val="both"/>
        <w:rPr>
          <w:sz w:val="22"/>
          <w:szCs w:val="22"/>
          <w:lang w:val="sr-Latn-ME"/>
        </w:rPr>
      </w:pPr>
      <w:r w:rsidRPr="00BA3E97">
        <w:rPr>
          <w:sz w:val="22"/>
          <w:szCs w:val="22"/>
          <w:lang w:val="sr-Latn-ME"/>
        </w:rPr>
        <w:t>Kao i kod drugih oralnih antidijabetika, hipoglikemijski efekat vildagliptina može biti umanjen izvjesnim aktivnim supstancama, uključujući tiazide, kortikosteroide, tireoidne ljekove i simpatomimetike.</w:t>
      </w:r>
    </w:p>
    <w:p w14:paraId="178B0BEE" w14:textId="77777777" w:rsidR="0072020E" w:rsidRPr="00BA3E97" w:rsidRDefault="0072020E" w:rsidP="00A83DDF">
      <w:pPr>
        <w:tabs>
          <w:tab w:val="left" w:pos="540"/>
          <w:tab w:val="left" w:pos="569"/>
        </w:tabs>
        <w:jc w:val="both"/>
        <w:rPr>
          <w:bCs/>
          <w:sz w:val="22"/>
          <w:szCs w:val="22"/>
          <w:lang w:val="sr-Latn-ME"/>
        </w:rPr>
      </w:pPr>
    </w:p>
    <w:p w14:paraId="178B0BEF" w14:textId="77777777" w:rsidR="0072020E" w:rsidRPr="00BA3E97" w:rsidRDefault="0072020E" w:rsidP="00A83DDF">
      <w:pPr>
        <w:tabs>
          <w:tab w:val="left" w:pos="540"/>
          <w:tab w:val="left" w:pos="569"/>
        </w:tabs>
        <w:jc w:val="both"/>
        <w:rPr>
          <w:b/>
          <w:sz w:val="22"/>
          <w:szCs w:val="22"/>
          <w:lang w:val="sr-Latn-ME"/>
        </w:rPr>
      </w:pPr>
      <w:r w:rsidRPr="00BA3E97">
        <w:rPr>
          <w:b/>
          <w:bCs/>
          <w:sz w:val="22"/>
          <w:szCs w:val="22"/>
          <w:lang w:val="sr-Latn-ME"/>
        </w:rPr>
        <w:t xml:space="preserve">4.6. </w:t>
      </w:r>
      <w:r w:rsidR="00480FB1" w:rsidRPr="00BA3E97">
        <w:rPr>
          <w:b/>
          <w:bCs/>
          <w:sz w:val="22"/>
          <w:szCs w:val="22"/>
          <w:lang w:val="sr-Latn-ME"/>
        </w:rPr>
        <w:tab/>
      </w:r>
      <w:r w:rsidR="006D20A5" w:rsidRPr="00BA3E97">
        <w:rPr>
          <w:b/>
          <w:sz w:val="22"/>
          <w:szCs w:val="22"/>
          <w:lang w:val="sr-Latn-ME"/>
        </w:rPr>
        <w:t>Plodnost, trudnoća i dojenje</w:t>
      </w:r>
    </w:p>
    <w:p w14:paraId="178B0BF0" w14:textId="77777777" w:rsidR="002031B3" w:rsidRPr="00BA3E97" w:rsidRDefault="002031B3" w:rsidP="00A83DDF">
      <w:pPr>
        <w:tabs>
          <w:tab w:val="left" w:pos="540"/>
          <w:tab w:val="left" w:pos="569"/>
        </w:tabs>
        <w:jc w:val="both"/>
        <w:rPr>
          <w:sz w:val="22"/>
          <w:szCs w:val="22"/>
          <w:u w:val="single"/>
          <w:lang w:val="sr-Latn-ME"/>
        </w:rPr>
      </w:pPr>
    </w:p>
    <w:p w14:paraId="5343F582" w14:textId="77777777" w:rsidR="001F4F44" w:rsidRPr="00BA3E97" w:rsidRDefault="001F4F44" w:rsidP="00A83DDF">
      <w:pPr>
        <w:jc w:val="both"/>
        <w:rPr>
          <w:sz w:val="22"/>
          <w:szCs w:val="22"/>
          <w:u w:val="single"/>
          <w:lang w:val="sr-Latn-ME"/>
        </w:rPr>
      </w:pPr>
      <w:r w:rsidRPr="00BA3E97">
        <w:rPr>
          <w:sz w:val="22"/>
          <w:szCs w:val="22"/>
          <w:u w:val="single"/>
          <w:lang w:val="sr-Latn-ME"/>
        </w:rPr>
        <w:t>Plodnost</w:t>
      </w:r>
    </w:p>
    <w:p w14:paraId="712E674C" w14:textId="6F80BFBB" w:rsidR="001F4F44" w:rsidRPr="00BA3E97" w:rsidRDefault="001F4F44" w:rsidP="00A83DDF">
      <w:pPr>
        <w:jc w:val="both"/>
        <w:rPr>
          <w:sz w:val="22"/>
          <w:szCs w:val="22"/>
          <w:lang w:val="sr-Latn-ME"/>
        </w:rPr>
      </w:pPr>
      <w:r w:rsidRPr="00BA3E97">
        <w:rPr>
          <w:sz w:val="22"/>
          <w:szCs w:val="22"/>
          <w:lang w:val="sr-Latn-ME"/>
        </w:rPr>
        <w:t>Nisu sprovedene studije o uticaju lijeka vildagliptin na plodnost kod ljudi (</w:t>
      </w:r>
      <w:r w:rsidR="0000113F" w:rsidRPr="00BA3E97">
        <w:rPr>
          <w:i/>
          <w:sz w:val="22"/>
          <w:szCs w:val="22"/>
          <w:lang w:val="sr-Latn-ME"/>
        </w:rPr>
        <w:t>pogledati dio</w:t>
      </w:r>
      <w:r w:rsidRPr="00BA3E97">
        <w:rPr>
          <w:i/>
          <w:sz w:val="22"/>
          <w:szCs w:val="22"/>
          <w:lang w:val="sr-Latn-ME"/>
        </w:rPr>
        <w:t xml:space="preserve"> 5.3</w:t>
      </w:r>
      <w:r w:rsidRPr="00BA3E97">
        <w:rPr>
          <w:sz w:val="22"/>
          <w:szCs w:val="22"/>
          <w:lang w:val="sr-Latn-ME"/>
        </w:rPr>
        <w:t>).</w:t>
      </w:r>
    </w:p>
    <w:p w14:paraId="08E43B4E" w14:textId="77777777" w:rsidR="001F4F44" w:rsidRPr="00BA3E97" w:rsidRDefault="001F4F44" w:rsidP="00A83DDF">
      <w:pPr>
        <w:jc w:val="both"/>
        <w:rPr>
          <w:sz w:val="22"/>
          <w:szCs w:val="22"/>
          <w:u w:val="single"/>
          <w:lang w:val="sr-Latn-ME"/>
        </w:rPr>
      </w:pPr>
    </w:p>
    <w:p w14:paraId="3D9EAAEC" w14:textId="02EAE873" w:rsidR="001F4F44" w:rsidRPr="00BA3E97" w:rsidRDefault="001F4F44" w:rsidP="00A83DDF">
      <w:pPr>
        <w:jc w:val="both"/>
        <w:rPr>
          <w:sz w:val="22"/>
          <w:szCs w:val="22"/>
          <w:u w:val="single"/>
          <w:lang w:val="sr-Latn-ME"/>
        </w:rPr>
      </w:pPr>
      <w:r w:rsidRPr="00BA3E97">
        <w:rPr>
          <w:sz w:val="22"/>
          <w:szCs w:val="22"/>
          <w:u w:val="single"/>
          <w:lang w:val="sr-Latn-ME"/>
        </w:rPr>
        <w:t>Trudnoća</w:t>
      </w:r>
    </w:p>
    <w:p w14:paraId="0B1005DD" w14:textId="261F21B1" w:rsidR="001F4F44" w:rsidRPr="00BA3E97" w:rsidRDefault="001F4F44" w:rsidP="00A83DDF">
      <w:pPr>
        <w:jc w:val="both"/>
        <w:rPr>
          <w:sz w:val="22"/>
          <w:szCs w:val="22"/>
          <w:lang w:val="sr-Latn-ME"/>
        </w:rPr>
      </w:pPr>
      <w:r w:rsidRPr="00BA3E97">
        <w:rPr>
          <w:sz w:val="22"/>
          <w:szCs w:val="22"/>
          <w:lang w:val="sr-Latn-ME"/>
        </w:rPr>
        <w:t>Ne postoje adekvatni podaci o upotrebi vildagliptina kod trudnica. Studije na životinjama su pokazale reproduktivnu toksičnost pri visokim dozama (</w:t>
      </w:r>
      <w:r w:rsidR="0000113F" w:rsidRPr="00BA3E97">
        <w:rPr>
          <w:i/>
          <w:sz w:val="22"/>
          <w:szCs w:val="22"/>
          <w:lang w:val="sr-Latn-ME"/>
        </w:rPr>
        <w:t>pogledati dio</w:t>
      </w:r>
      <w:r w:rsidRPr="00BA3E97">
        <w:rPr>
          <w:i/>
          <w:sz w:val="22"/>
          <w:szCs w:val="22"/>
          <w:lang w:val="sr-Latn-ME"/>
        </w:rPr>
        <w:t xml:space="preserve"> 5.3</w:t>
      </w:r>
      <w:r w:rsidRPr="00BA3E97">
        <w:rPr>
          <w:sz w:val="22"/>
          <w:szCs w:val="22"/>
          <w:lang w:val="sr-Latn-ME"/>
        </w:rPr>
        <w:t>). Potencijalni rizik za ljude je nepoznat. Zbog nedovoljno podataka o primjeni lijeka kod ljudi, lijek Criteo ne treba uzimati tokom trudnoće.</w:t>
      </w:r>
    </w:p>
    <w:p w14:paraId="00BDB8DE" w14:textId="77777777" w:rsidR="001F4F44" w:rsidRPr="00BA3E97" w:rsidRDefault="001F4F44" w:rsidP="00A83DDF">
      <w:pPr>
        <w:jc w:val="both"/>
        <w:rPr>
          <w:sz w:val="22"/>
          <w:szCs w:val="22"/>
          <w:lang w:val="sr-Latn-ME"/>
        </w:rPr>
      </w:pPr>
    </w:p>
    <w:p w14:paraId="0969DE5D" w14:textId="77777777" w:rsidR="001F4F44" w:rsidRPr="00BA3E97" w:rsidRDefault="001F4F44" w:rsidP="00A83DDF">
      <w:pPr>
        <w:jc w:val="both"/>
        <w:rPr>
          <w:sz w:val="22"/>
          <w:szCs w:val="22"/>
          <w:u w:val="single"/>
          <w:lang w:val="sr-Latn-ME"/>
        </w:rPr>
      </w:pPr>
      <w:r w:rsidRPr="00BA3E97">
        <w:rPr>
          <w:sz w:val="22"/>
          <w:szCs w:val="22"/>
          <w:u w:val="single"/>
          <w:lang w:val="sr-Latn-ME"/>
        </w:rPr>
        <w:t>Dojenje</w:t>
      </w:r>
    </w:p>
    <w:p w14:paraId="0C3416ED" w14:textId="60BBBC83" w:rsidR="001F4F44" w:rsidRPr="00BA3E97" w:rsidRDefault="001F4F44" w:rsidP="00A83DDF">
      <w:pPr>
        <w:jc w:val="both"/>
        <w:rPr>
          <w:sz w:val="22"/>
          <w:szCs w:val="22"/>
          <w:lang w:val="sr-Latn-ME"/>
        </w:rPr>
      </w:pPr>
      <w:r w:rsidRPr="00BA3E97">
        <w:rPr>
          <w:sz w:val="22"/>
          <w:szCs w:val="22"/>
          <w:lang w:val="sr-Latn-ME"/>
        </w:rPr>
        <w:t xml:space="preserve">Nije poznato da li se vildagliptin izlučuje u majčino </w:t>
      </w:r>
      <w:r w:rsidR="00802240" w:rsidRPr="00BA3E97">
        <w:rPr>
          <w:sz w:val="22"/>
          <w:szCs w:val="22"/>
          <w:lang w:val="sr-Latn-ME"/>
        </w:rPr>
        <w:t>ml</w:t>
      </w:r>
      <w:r w:rsidRPr="00BA3E97">
        <w:rPr>
          <w:sz w:val="22"/>
          <w:szCs w:val="22"/>
          <w:lang w:val="sr-Latn-ME"/>
        </w:rPr>
        <w:t xml:space="preserve">ijeko. Studije na životinjama su pokazale da se vildagliptin izlučuje u </w:t>
      </w:r>
      <w:r w:rsidR="00802240" w:rsidRPr="00BA3E97">
        <w:rPr>
          <w:sz w:val="22"/>
          <w:szCs w:val="22"/>
          <w:lang w:val="sr-Latn-ME"/>
        </w:rPr>
        <w:t>ml</w:t>
      </w:r>
      <w:r w:rsidRPr="00BA3E97">
        <w:rPr>
          <w:sz w:val="22"/>
          <w:szCs w:val="22"/>
          <w:lang w:val="sr-Latn-ME"/>
        </w:rPr>
        <w:t>ijeko. Lijek Criteo ne treba upotrebljavati tokom dojenja.</w:t>
      </w:r>
    </w:p>
    <w:p w14:paraId="178B0BF6" w14:textId="77777777" w:rsidR="00227BDB" w:rsidRPr="00BA3E97" w:rsidRDefault="00227BDB" w:rsidP="00A83DDF">
      <w:pPr>
        <w:tabs>
          <w:tab w:val="left" w:pos="540"/>
          <w:tab w:val="left" w:pos="569"/>
        </w:tabs>
        <w:ind w:left="540" w:hanging="540"/>
        <w:jc w:val="both"/>
        <w:rPr>
          <w:b/>
          <w:bCs/>
          <w:sz w:val="22"/>
          <w:szCs w:val="22"/>
          <w:lang w:val="sr-Latn-ME"/>
        </w:rPr>
      </w:pPr>
    </w:p>
    <w:p w14:paraId="178B0BF7" w14:textId="77777777" w:rsidR="0072020E" w:rsidRPr="00BA3E97" w:rsidRDefault="0072020E" w:rsidP="00A83DDF">
      <w:pPr>
        <w:tabs>
          <w:tab w:val="left" w:pos="540"/>
          <w:tab w:val="left" w:pos="569"/>
        </w:tabs>
        <w:ind w:left="540" w:hanging="540"/>
        <w:jc w:val="both"/>
        <w:rPr>
          <w:b/>
          <w:bCs/>
          <w:sz w:val="22"/>
          <w:szCs w:val="22"/>
          <w:lang w:val="sr-Latn-ME"/>
        </w:rPr>
      </w:pPr>
      <w:r w:rsidRPr="00BA3E97">
        <w:rPr>
          <w:b/>
          <w:bCs/>
          <w:sz w:val="22"/>
          <w:szCs w:val="22"/>
          <w:lang w:val="sr-Latn-ME"/>
        </w:rPr>
        <w:t xml:space="preserve">4.7. </w:t>
      </w:r>
      <w:r w:rsidR="00480FB1" w:rsidRPr="00BA3E97">
        <w:rPr>
          <w:b/>
          <w:bCs/>
          <w:sz w:val="22"/>
          <w:szCs w:val="22"/>
          <w:lang w:val="sr-Latn-ME"/>
        </w:rPr>
        <w:tab/>
      </w:r>
      <w:r w:rsidRPr="00BA3E97">
        <w:rPr>
          <w:b/>
          <w:bCs/>
          <w:sz w:val="22"/>
          <w:szCs w:val="22"/>
          <w:lang w:val="sr-Latn-ME"/>
        </w:rPr>
        <w:t xml:space="preserve">Uticaj na </w:t>
      </w:r>
      <w:r w:rsidR="002031B3" w:rsidRPr="00BA3E97">
        <w:rPr>
          <w:b/>
          <w:bCs/>
          <w:sz w:val="22"/>
          <w:szCs w:val="22"/>
          <w:lang w:val="sr-Latn-ME"/>
        </w:rPr>
        <w:t xml:space="preserve">sposobnost </w:t>
      </w:r>
      <w:r w:rsidR="00F34554" w:rsidRPr="00BA3E97">
        <w:rPr>
          <w:b/>
          <w:bCs/>
          <w:sz w:val="22"/>
          <w:szCs w:val="22"/>
          <w:lang w:val="sr-Latn-ME"/>
        </w:rPr>
        <w:t>upravljanja vozili</w:t>
      </w:r>
      <w:r w:rsidRPr="00BA3E97">
        <w:rPr>
          <w:b/>
          <w:bCs/>
          <w:sz w:val="22"/>
          <w:szCs w:val="22"/>
          <w:lang w:val="sr-Latn-ME"/>
        </w:rPr>
        <w:t>m</w:t>
      </w:r>
      <w:r w:rsidR="00F34554" w:rsidRPr="00BA3E97">
        <w:rPr>
          <w:b/>
          <w:bCs/>
          <w:sz w:val="22"/>
          <w:szCs w:val="22"/>
          <w:lang w:val="sr-Latn-ME"/>
        </w:rPr>
        <w:t>a</w:t>
      </w:r>
      <w:r w:rsidRPr="00BA3E97">
        <w:rPr>
          <w:b/>
          <w:bCs/>
          <w:sz w:val="22"/>
          <w:szCs w:val="22"/>
          <w:lang w:val="sr-Latn-ME"/>
        </w:rPr>
        <w:t xml:space="preserve"> i </w:t>
      </w:r>
      <w:r w:rsidR="000D3449" w:rsidRPr="00BA3E97">
        <w:rPr>
          <w:b/>
          <w:bCs/>
          <w:sz w:val="22"/>
          <w:szCs w:val="22"/>
          <w:lang w:val="sr-Latn-ME"/>
        </w:rPr>
        <w:t xml:space="preserve">rukovanje </w:t>
      </w:r>
      <w:r w:rsidRPr="00BA3E97">
        <w:rPr>
          <w:b/>
          <w:bCs/>
          <w:sz w:val="22"/>
          <w:szCs w:val="22"/>
          <w:lang w:val="sr-Latn-ME"/>
        </w:rPr>
        <w:t>mašinama</w:t>
      </w:r>
    </w:p>
    <w:p w14:paraId="10FC31AF" w14:textId="77777777" w:rsidR="00242C34" w:rsidRPr="00BA3E97" w:rsidRDefault="00242C34" w:rsidP="00A83DDF">
      <w:pPr>
        <w:tabs>
          <w:tab w:val="left" w:pos="540"/>
          <w:tab w:val="left" w:pos="569"/>
        </w:tabs>
        <w:ind w:left="540" w:hanging="540"/>
        <w:jc w:val="both"/>
        <w:rPr>
          <w:b/>
          <w:bCs/>
          <w:sz w:val="22"/>
          <w:szCs w:val="22"/>
          <w:lang w:val="sr-Latn-ME"/>
        </w:rPr>
      </w:pPr>
    </w:p>
    <w:p w14:paraId="53E6BE06" w14:textId="3C960079" w:rsidR="00242C34" w:rsidRPr="00BA3E97" w:rsidRDefault="00242C34" w:rsidP="00A83DDF">
      <w:pPr>
        <w:jc w:val="both"/>
        <w:rPr>
          <w:sz w:val="22"/>
          <w:szCs w:val="22"/>
          <w:lang w:val="sr-Latn-ME"/>
        </w:rPr>
      </w:pPr>
      <w:r w:rsidRPr="00BA3E97">
        <w:rPr>
          <w:sz w:val="22"/>
          <w:szCs w:val="22"/>
          <w:lang w:val="sr-Latn-ME"/>
        </w:rPr>
        <w:t>Nisu sprovođene studije o uticaju vildagliptina na sposobnost upravljanja vozilom i rukovanja mašinama. Pacijenti kod kojih se javi vrtoglavica kao neželjena reakcija, treba da izbjegavaju upravljanje vozilima ili rukovanje mašinama.</w:t>
      </w:r>
    </w:p>
    <w:p w14:paraId="178B0BF8" w14:textId="77777777" w:rsidR="0072020E" w:rsidRPr="00BA3E97" w:rsidRDefault="0072020E" w:rsidP="00A83DDF">
      <w:pPr>
        <w:tabs>
          <w:tab w:val="left" w:pos="540"/>
          <w:tab w:val="left" w:pos="569"/>
        </w:tabs>
        <w:jc w:val="both"/>
        <w:rPr>
          <w:b/>
          <w:bCs/>
          <w:sz w:val="22"/>
          <w:szCs w:val="22"/>
          <w:lang w:val="sr-Latn-ME"/>
        </w:rPr>
      </w:pPr>
    </w:p>
    <w:p w14:paraId="178B0BF9"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4.8. </w:t>
      </w:r>
      <w:r w:rsidR="00480FB1" w:rsidRPr="00BA3E97">
        <w:rPr>
          <w:b/>
          <w:bCs/>
          <w:sz w:val="22"/>
          <w:szCs w:val="22"/>
          <w:lang w:val="sr-Latn-ME"/>
        </w:rPr>
        <w:tab/>
      </w:r>
      <w:r w:rsidRPr="00BA3E97">
        <w:rPr>
          <w:b/>
          <w:bCs/>
          <w:sz w:val="22"/>
          <w:szCs w:val="22"/>
          <w:lang w:val="sr-Latn-ME"/>
        </w:rPr>
        <w:t>Neželjena dejstva</w:t>
      </w:r>
    </w:p>
    <w:p w14:paraId="178B0BFA" w14:textId="77777777" w:rsidR="004E70AD" w:rsidRPr="00BA3E97" w:rsidRDefault="004E70AD" w:rsidP="00A83DDF">
      <w:pPr>
        <w:tabs>
          <w:tab w:val="left" w:pos="540"/>
          <w:tab w:val="left" w:pos="569"/>
        </w:tabs>
        <w:jc w:val="both"/>
        <w:rPr>
          <w:b/>
          <w:bCs/>
          <w:sz w:val="22"/>
          <w:szCs w:val="22"/>
          <w:lang w:val="sr-Latn-ME"/>
        </w:rPr>
      </w:pPr>
    </w:p>
    <w:p w14:paraId="24813DC9" w14:textId="77777777" w:rsidR="00AE3023" w:rsidRPr="00BA3E97" w:rsidRDefault="00AE3023" w:rsidP="00A83DDF">
      <w:pPr>
        <w:jc w:val="both"/>
        <w:rPr>
          <w:noProof/>
          <w:sz w:val="22"/>
          <w:szCs w:val="22"/>
          <w:u w:val="single"/>
          <w:lang w:val="sr-Latn-ME"/>
        </w:rPr>
      </w:pPr>
      <w:r w:rsidRPr="00BA3E97">
        <w:rPr>
          <w:noProof/>
          <w:sz w:val="22"/>
          <w:szCs w:val="22"/>
          <w:u w:val="single"/>
          <w:lang w:val="sr-Latn-ME"/>
        </w:rPr>
        <w:t>Sažetak bezbjednosnog profila</w:t>
      </w:r>
    </w:p>
    <w:p w14:paraId="0D2BFB59" w14:textId="77777777" w:rsidR="00AE3023" w:rsidRPr="00BA3E97" w:rsidRDefault="00AE3023" w:rsidP="00A83DDF">
      <w:pPr>
        <w:jc w:val="both"/>
        <w:rPr>
          <w:noProof/>
          <w:sz w:val="22"/>
          <w:szCs w:val="22"/>
          <w:lang w:val="sr-Latn-ME"/>
        </w:rPr>
      </w:pPr>
    </w:p>
    <w:p w14:paraId="1B93978B" w14:textId="69394043" w:rsidR="00AE3023" w:rsidRPr="00BA3E97" w:rsidRDefault="006735A5" w:rsidP="00A83DDF">
      <w:pPr>
        <w:jc w:val="both"/>
        <w:rPr>
          <w:sz w:val="22"/>
          <w:szCs w:val="22"/>
          <w:lang w:val="sr-Latn-ME"/>
        </w:rPr>
      </w:pPr>
      <w:r w:rsidRPr="00BA3E97">
        <w:rPr>
          <w:sz w:val="22"/>
          <w:szCs w:val="22"/>
          <w:lang w:val="sr-Latn-ME"/>
        </w:rPr>
        <w:t xml:space="preserve">Podaci o sigurnosti dobiveni su na ukupno 5451 </w:t>
      </w:r>
      <w:r w:rsidR="00586BDE" w:rsidRPr="00BA3E97">
        <w:rPr>
          <w:sz w:val="22"/>
          <w:szCs w:val="22"/>
          <w:lang w:val="sr-Latn-ME"/>
        </w:rPr>
        <w:t>pacijenata</w:t>
      </w:r>
      <w:r w:rsidRPr="00BA3E97">
        <w:rPr>
          <w:sz w:val="22"/>
          <w:szCs w:val="22"/>
          <w:lang w:val="sr-Latn-ME"/>
        </w:rPr>
        <w:t xml:space="preserve"> koji su bili izloženi vildagliptinu u dnevnoj dozi od 100 mg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na dan) u randomiz</w:t>
      </w:r>
      <w:r w:rsidR="00586BDE" w:rsidRPr="00BA3E97">
        <w:rPr>
          <w:sz w:val="22"/>
          <w:szCs w:val="22"/>
          <w:lang w:val="sr-Latn-ME"/>
        </w:rPr>
        <w:t>ovanim</w:t>
      </w:r>
      <w:r w:rsidRPr="00BA3E97">
        <w:rPr>
          <w:sz w:val="22"/>
          <w:szCs w:val="22"/>
          <w:lang w:val="sr-Latn-ME"/>
        </w:rPr>
        <w:t xml:space="preserve"> dvostruko slijepim placebom kontroli</w:t>
      </w:r>
      <w:r w:rsidR="00586BDE" w:rsidRPr="00BA3E97">
        <w:rPr>
          <w:sz w:val="22"/>
          <w:szCs w:val="22"/>
          <w:lang w:val="sr-Latn-ME"/>
        </w:rPr>
        <w:t>s</w:t>
      </w:r>
      <w:r w:rsidRPr="00BA3E97">
        <w:rPr>
          <w:sz w:val="22"/>
          <w:szCs w:val="22"/>
          <w:lang w:val="sr-Latn-ME"/>
        </w:rPr>
        <w:t xml:space="preserve">anim ispitivanjima koja su trajala najmanje 12 </w:t>
      </w:r>
      <w:r w:rsidR="004867CE" w:rsidRPr="00BA3E97">
        <w:rPr>
          <w:sz w:val="22"/>
          <w:szCs w:val="22"/>
          <w:lang w:val="sr-Latn-ME"/>
        </w:rPr>
        <w:t>nedelja</w:t>
      </w:r>
      <w:r w:rsidRPr="00BA3E97">
        <w:rPr>
          <w:sz w:val="22"/>
          <w:szCs w:val="22"/>
          <w:lang w:val="sr-Latn-ME"/>
        </w:rPr>
        <w:t xml:space="preserve">. Od tih je </w:t>
      </w:r>
      <w:r w:rsidR="004867CE" w:rsidRPr="00BA3E97">
        <w:rPr>
          <w:sz w:val="22"/>
          <w:szCs w:val="22"/>
          <w:lang w:val="sr-Latn-ME"/>
        </w:rPr>
        <w:t>pacijenata</w:t>
      </w:r>
      <w:r w:rsidRPr="00BA3E97">
        <w:rPr>
          <w:sz w:val="22"/>
          <w:szCs w:val="22"/>
          <w:lang w:val="sr-Latn-ME"/>
        </w:rPr>
        <w:t xml:space="preserve"> njih 4622 primalo vildagliptin kao monoterapiju, a 829 </w:t>
      </w:r>
      <w:r w:rsidR="004867CE" w:rsidRPr="00BA3E97">
        <w:rPr>
          <w:sz w:val="22"/>
          <w:szCs w:val="22"/>
          <w:lang w:val="sr-Latn-ME"/>
        </w:rPr>
        <w:t>pacijenata</w:t>
      </w:r>
      <w:r w:rsidRPr="00BA3E97">
        <w:rPr>
          <w:sz w:val="22"/>
          <w:szCs w:val="22"/>
          <w:lang w:val="sr-Latn-ME"/>
        </w:rPr>
        <w:t xml:space="preserve"> je primalo placebo. U ovim je ispitivanjima većina n</w:t>
      </w:r>
      <w:r w:rsidR="004867CE" w:rsidRPr="00BA3E97">
        <w:rPr>
          <w:sz w:val="22"/>
          <w:szCs w:val="22"/>
          <w:lang w:val="sr-Latn-ME"/>
        </w:rPr>
        <w:t>eželjenih dejstava</w:t>
      </w:r>
      <w:r w:rsidRPr="00BA3E97">
        <w:rPr>
          <w:sz w:val="22"/>
          <w:szCs w:val="22"/>
          <w:lang w:val="sr-Latn-ME"/>
        </w:rPr>
        <w:t xml:space="preserve"> bila blaga i prolazna te nije bilo potrebno prekidati liječenje. Nije utvrđena povezanost između nuspojava i dobi, etničke pripadnosti, trajanja izloženosti ili dnevne doze. Zabilježena je hipoglikemija </w:t>
      </w:r>
      <w:r w:rsidR="00CB786E" w:rsidRPr="00BA3E97">
        <w:rPr>
          <w:sz w:val="22"/>
          <w:szCs w:val="22"/>
          <w:lang w:val="sr-Latn-ME"/>
        </w:rPr>
        <w:t>kod pacijenata</w:t>
      </w:r>
      <w:r w:rsidRPr="00BA3E97">
        <w:rPr>
          <w:sz w:val="22"/>
          <w:szCs w:val="22"/>
          <w:lang w:val="sr-Latn-ME"/>
        </w:rPr>
        <w:t xml:space="preserve"> koji su primali vildagliptin istovremeno sa sulfonilurejom i in</w:t>
      </w:r>
      <w:r w:rsidR="00CB786E" w:rsidRPr="00BA3E97">
        <w:rPr>
          <w:sz w:val="22"/>
          <w:szCs w:val="22"/>
          <w:lang w:val="sr-Latn-ME"/>
        </w:rPr>
        <w:t>s</w:t>
      </w:r>
      <w:r w:rsidRPr="00BA3E97">
        <w:rPr>
          <w:sz w:val="22"/>
          <w:szCs w:val="22"/>
          <w:lang w:val="sr-Latn-ME"/>
        </w:rPr>
        <w:t>ulinom. Zabilježen je rizik od razvoja akutnog pankreatitisa kod primjene vildagliptina (</w:t>
      </w:r>
      <w:r w:rsidR="0000113F" w:rsidRPr="00BA3E97">
        <w:rPr>
          <w:sz w:val="22"/>
          <w:szCs w:val="22"/>
          <w:lang w:val="sr-Latn-ME"/>
        </w:rPr>
        <w:t>pogledati dio</w:t>
      </w:r>
      <w:r w:rsidRPr="00BA3E97">
        <w:rPr>
          <w:sz w:val="22"/>
          <w:szCs w:val="22"/>
          <w:lang w:val="sr-Latn-ME"/>
        </w:rPr>
        <w:t xml:space="preserve"> 4.4).</w:t>
      </w:r>
    </w:p>
    <w:p w14:paraId="7C4DCACC" w14:textId="77777777" w:rsidR="006735A5" w:rsidRPr="00BA3E97" w:rsidRDefault="006735A5" w:rsidP="00A83DDF">
      <w:pPr>
        <w:jc w:val="both"/>
        <w:rPr>
          <w:noProof/>
          <w:sz w:val="22"/>
          <w:szCs w:val="22"/>
          <w:u w:val="single"/>
          <w:lang w:val="sr-Latn-ME"/>
        </w:rPr>
      </w:pPr>
    </w:p>
    <w:p w14:paraId="08297D5A" w14:textId="77777777" w:rsidR="00AE3023" w:rsidRPr="00BA3E97" w:rsidRDefault="00AE3023" w:rsidP="00A83DDF">
      <w:pPr>
        <w:jc w:val="both"/>
        <w:rPr>
          <w:noProof/>
          <w:sz w:val="22"/>
          <w:szCs w:val="22"/>
          <w:u w:val="single"/>
          <w:lang w:val="sr-Latn-ME"/>
        </w:rPr>
      </w:pPr>
      <w:r w:rsidRPr="00BA3E97">
        <w:rPr>
          <w:noProof/>
          <w:sz w:val="22"/>
          <w:szCs w:val="22"/>
          <w:u w:val="single"/>
          <w:lang w:val="sr-Latn-ME"/>
        </w:rPr>
        <w:t>Tabelarni prikaz neželjenih reakcija</w:t>
      </w:r>
    </w:p>
    <w:p w14:paraId="3ABA8E9B" w14:textId="77777777" w:rsidR="00AE3023" w:rsidRPr="00BA3E97" w:rsidRDefault="00AE3023" w:rsidP="00A83DDF">
      <w:pPr>
        <w:jc w:val="both"/>
        <w:rPr>
          <w:noProof/>
          <w:sz w:val="22"/>
          <w:szCs w:val="22"/>
          <w:lang w:val="sr-Latn-ME"/>
        </w:rPr>
      </w:pPr>
      <w:r w:rsidRPr="00BA3E97">
        <w:rPr>
          <w:noProof/>
          <w:sz w:val="22"/>
          <w:szCs w:val="22"/>
          <w:lang w:val="sr-Latn-ME"/>
        </w:rPr>
        <w:t>Neželjene reakcije prijavljene kod pacijenata koji su u duplo-slepim studijama uzimali lijek vildagliptin kao monoterapiju i kao dodatnu terapiju navedene su ispod za svaku indikaciju prema klasi sistema organa i apsolutnoj učestalosti. Učestalosti su definisane kao: veoma često (≥1/10), često (≥1/100 do &lt;1/10), povremeno (≥1/1 000 do &lt;1/100), rijetko (≥1/10000 do &lt;1/1000), veoma rijetko (&lt;1/10000), nepoznato (ne može se procjeniti na osnovu dostupnih podataka). U svakoj grupi učestalosti, neželjene reakcije su po ozbiljnosti prikazane od ozbiljnijih ka manje ozbiljnim.</w:t>
      </w:r>
    </w:p>
    <w:p w14:paraId="21FDB0E5" w14:textId="77777777" w:rsidR="00AE3023" w:rsidRPr="00BA3E97" w:rsidRDefault="00AE3023" w:rsidP="00A83DDF">
      <w:pPr>
        <w:jc w:val="both"/>
        <w:rPr>
          <w:noProof/>
          <w:sz w:val="22"/>
          <w:szCs w:val="22"/>
          <w:lang w:val="sr-Latn-ME"/>
        </w:rPr>
      </w:pPr>
    </w:p>
    <w:p w14:paraId="59493137" w14:textId="77777777" w:rsidR="00AE3023" w:rsidRPr="00BA3E97" w:rsidRDefault="00AE3023" w:rsidP="00A83DDF">
      <w:pPr>
        <w:jc w:val="both"/>
        <w:rPr>
          <w:noProof/>
          <w:sz w:val="22"/>
          <w:szCs w:val="22"/>
          <w:lang w:val="sr-Latn-ME"/>
        </w:rPr>
      </w:pPr>
    </w:p>
    <w:p w14:paraId="3FDD1065" w14:textId="71EA231F" w:rsidR="00493105" w:rsidRPr="00BA3E97" w:rsidRDefault="00493105" w:rsidP="00A83DDF">
      <w:pPr>
        <w:pStyle w:val="Heading2"/>
        <w:tabs>
          <w:tab w:val="left" w:pos="1351"/>
        </w:tabs>
        <w:spacing w:before="70"/>
        <w:ind w:left="1351" w:right="501" w:hanging="1133"/>
        <w:jc w:val="both"/>
        <w:rPr>
          <w:rFonts w:ascii="Times New Roman" w:hAnsi="Times New Roman" w:cs="Times New Roman"/>
          <w:b/>
          <w:bCs/>
          <w:i w:val="0"/>
          <w:iCs w:val="0"/>
          <w:color w:val="auto"/>
          <w:sz w:val="22"/>
          <w:szCs w:val="22"/>
          <w:lang w:val="sr-Latn-ME"/>
        </w:rPr>
      </w:pPr>
      <w:r w:rsidRPr="00BA3E97">
        <w:rPr>
          <w:rFonts w:ascii="Times New Roman" w:hAnsi="Times New Roman" w:cs="Times New Roman"/>
          <w:b/>
          <w:bCs/>
          <w:i w:val="0"/>
          <w:iCs w:val="0"/>
          <w:color w:val="auto"/>
          <w:sz w:val="22"/>
          <w:szCs w:val="22"/>
          <w:lang w:val="sr-Latn-ME"/>
        </w:rPr>
        <w:lastRenderedPageBreak/>
        <w:t>Tablica 1</w:t>
      </w:r>
      <w:r w:rsidRPr="00BA3E97">
        <w:rPr>
          <w:rFonts w:ascii="Times New Roman" w:hAnsi="Times New Roman" w:cs="Times New Roman"/>
          <w:b/>
          <w:bCs/>
          <w:i w:val="0"/>
          <w:iCs w:val="0"/>
          <w:color w:val="auto"/>
          <w:sz w:val="22"/>
          <w:szCs w:val="22"/>
          <w:lang w:val="sr-Latn-ME"/>
        </w:rPr>
        <w:tab/>
        <w:t>N</w:t>
      </w:r>
      <w:r w:rsidR="00E54681" w:rsidRPr="00BA3E97">
        <w:rPr>
          <w:rFonts w:ascii="Times New Roman" w:hAnsi="Times New Roman" w:cs="Times New Roman"/>
          <w:b/>
          <w:bCs/>
          <w:i w:val="0"/>
          <w:iCs w:val="0"/>
          <w:color w:val="auto"/>
          <w:sz w:val="22"/>
          <w:szCs w:val="22"/>
          <w:lang w:val="sr-Latn-ME"/>
        </w:rPr>
        <w:t>eželjena dejstva</w:t>
      </w:r>
      <w:r w:rsidRPr="00BA3E97">
        <w:rPr>
          <w:rFonts w:ascii="Times New Roman" w:hAnsi="Times New Roman" w:cs="Times New Roman"/>
          <w:b/>
          <w:bCs/>
          <w:i w:val="0"/>
          <w:iCs w:val="0"/>
          <w:color w:val="auto"/>
          <w:spacing w:val="-5"/>
          <w:sz w:val="22"/>
          <w:szCs w:val="22"/>
          <w:lang w:val="sr-Latn-ME"/>
        </w:rPr>
        <w:t xml:space="preserve"> </w:t>
      </w:r>
      <w:r w:rsidRPr="00BA3E97">
        <w:rPr>
          <w:rFonts w:ascii="Times New Roman" w:hAnsi="Times New Roman" w:cs="Times New Roman"/>
          <w:b/>
          <w:bCs/>
          <w:i w:val="0"/>
          <w:iCs w:val="0"/>
          <w:color w:val="auto"/>
          <w:sz w:val="22"/>
          <w:szCs w:val="22"/>
          <w:lang w:val="sr-Latn-ME"/>
        </w:rPr>
        <w:t>zabilježen</w:t>
      </w:r>
      <w:r w:rsidR="000B32C6" w:rsidRPr="00BA3E97">
        <w:rPr>
          <w:rFonts w:ascii="Times New Roman" w:hAnsi="Times New Roman" w:cs="Times New Roman"/>
          <w:b/>
          <w:bCs/>
          <w:i w:val="0"/>
          <w:iCs w:val="0"/>
          <w:color w:val="auto"/>
          <w:sz w:val="22"/>
          <w:szCs w:val="22"/>
          <w:lang w:val="sr-Latn-ME"/>
        </w:rPr>
        <w:t>a</w:t>
      </w:r>
      <w:r w:rsidRPr="00BA3E97">
        <w:rPr>
          <w:rFonts w:ascii="Times New Roman" w:hAnsi="Times New Roman" w:cs="Times New Roman"/>
          <w:b/>
          <w:bCs/>
          <w:i w:val="0"/>
          <w:iCs w:val="0"/>
          <w:color w:val="auto"/>
          <w:spacing w:val="-2"/>
          <w:sz w:val="22"/>
          <w:szCs w:val="22"/>
          <w:lang w:val="sr-Latn-ME"/>
        </w:rPr>
        <w:t xml:space="preserve"> </w:t>
      </w:r>
      <w:r w:rsidR="000B32C6" w:rsidRPr="00BA3E97">
        <w:rPr>
          <w:rFonts w:ascii="Times New Roman" w:hAnsi="Times New Roman" w:cs="Times New Roman"/>
          <w:b/>
          <w:bCs/>
          <w:i w:val="0"/>
          <w:iCs w:val="0"/>
          <w:color w:val="auto"/>
          <w:sz w:val="22"/>
          <w:szCs w:val="22"/>
          <w:lang w:val="sr-Latn-ME"/>
        </w:rPr>
        <w:t>kod pacijenata</w:t>
      </w:r>
      <w:r w:rsidRPr="00BA3E97">
        <w:rPr>
          <w:rFonts w:ascii="Times New Roman" w:hAnsi="Times New Roman" w:cs="Times New Roman"/>
          <w:b/>
          <w:bCs/>
          <w:i w:val="0"/>
          <w:iCs w:val="0"/>
          <w:color w:val="auto"/>
          <w:spacing w:val="-3"/>
          <w:sz w:val="22"/>
          <w:szCs w:val="22"/>
          <w:lang w:val="sr-Latn-ME"/>
        </w:rPr>
        <w:t xml:space="preserve"> </w:t>
      </w:r>
      <w:r w:rsidRPr="00BA3E97">
        <w:rPr>
          <w:rFonts w:ascii="Times New Roman" w:hAnsi="Times New Roman" w:cs="Times New Roman"/>
          <w:b/>
          <w:bCs/>
          <w:i w:val="0"/>
          <w:iCs w:val="0"/>
          <w:color w:val="auto"/>
          <w:sz w:val="22"/>
          <w:szCs w:val="22"/>
          <w:lang w:val="sr-Latn-ME"/>
        </w:rPr>
        <w:t>koji</w:t>
      </w:r>
      <w:r w:rsidRPr="00BA3E97">
        <w:rPr>
          <w:rFonts w:ascii="Times New Roman" w:hAnsi="Times New Roman" w:cs="Times New Roman"/>
          <w:b/>
          <w:bCs/>
          <w:i w:val="0"/>
          <w:iCs w:val="0"/>
          <w:color w:val="auto"/>
          <w:spacing w:val="-5"/>
          <w:sz w:val="22"/>
          <w:szCs w:val="22"/>
          <w:lang w:val="sr-Latn-ME"/>
        </w:rPr>
        <w:t xml:space="preserve"> </w:t>
      </w:r>
      <w:r w:rsidRPr="00BA3E97">
        <w:rPr>
          <w:rFonts w:ascii="Times New Roman" w:hAnsi="Times New Roman" w:cs="Times New Roman"/>
          <w:b/>
          <w:bCs/>
          <w:i w:val="0"/>
          <w:iCs w:val="0"/>
          <w:color w:val="auto"/>
          <w:sz w:val="22"/>
          <w:szCs w:val="22"/>
          <w:lang w:val="sr-Latn-ME"/>
        </w:rPr>
        <w:t>su</w:t>
      </w:r>
      <w:r w:rsidRPr="00BA3E97">
        <w:rPr>
          <w:rFonts w:ascii="Times New Roman" w:hAnsi="Times New Roman" w:cs="Times New Roman"/>
          <w:b/>
          <w:bCs/>
          <w:i w:val="0"/>
          <w:iCs w:val="0"/>
          <w:color w:val="auto"/>
          <w:spacing w:val="-3"/>
          <w:sz w:val="22"/>
          <w:szCs w:val="22"/>
          <w:lang w:val="sr-Latn-ME"/>
        </w:rPr>
        <w:t xml:space="preserve"> </w:t>
      </w:r>
      <w:r w:rsidRPr="00BA3E97">
        <w:rPr>
          <w:rFonts w:ascii="Times New Roman" w:hAnsi="Times New Roman" w:cs="Times New Roman"/>
          <w:b/>
          <w:bCs/>
          <w:i w:val="0"/>
          <w:iCs w:val="0"/>
          <w:color w:val="auto"/>
          <w:sz w:val="22"/>
          <w:szCs w:val="22"/>
          <w:lang w:val="sr-Latn-ME"/>
        </w:rPr>
        <w:t>primali</w:t>
      </w:r>
      <w:r w:rsidRPr="00BA3E97">
        <w:rPr>
          <w:rFonts w:ascii="Times New Roman" w:hAnsi="Times New Roman" w:cs="Times New Roman"/>
          <w:b/>
          <w:bCs/>
          <w:i w:val="0"/>
          <w:iCs w:val="0"/>
          <w:color w:val="auto"/>
          <w:spacing w:val="-2"/>
          <w:sz w:val="22"/>
          <w:szCs w:val="22"/>
          <w:lang w:val="sr-Latn-ME"/>
        </w:rPr>
        <w:t xml:space="preserve"> </w:t>
      </w:r>
      <w:r w:rsidRPr="00BA3E97">
        <w:rPr>
          <w:rFonts w:ascii="Times New Roman" w:hAnsi="Times New Roman" w:cs="Times New Roman"/>
          <w:b/>
          <w:bCs/>
          <w:i w:val="0"/>
          <w:iCs w:val="0"/>
          <w:color w:val="auto"/>
          <w:sz w:val="22"/>
          <w:szCs w:val="22"/>
          <w:lang w:val="sr-Latn-ME"/>
        </w:rPr>
        <w:t>vildagliptin</w:t>
      </w:r>
      <w:r w:rsidRPr="00BA3E97">
        <w:rPr>
          <w:rFonts w:ascii="Times New Roman" w:hAnsi="Times New Roman" w:cs="Times New Roman"/>
          <w:b/>
          <w:bCs/>
          <w:i w:val="0"/>
          <w:iCs w:val="0"/>
          <w:color w:val="auto"/>
          <w:spacing w:val="-3"/>
          <w:sz w:val="22"/>
          <w:szCs w:val="22"/>
          <w:lang w:val="sr-Latn-ME"/>
        </w:rPr>
        <w:t xml:space="preserve"> </w:t>
      </w:r>
      <w:r w:rsidRPr="00BA3E97">
        <w:rPr>
          <w:rFonts w:ascii="Times New Roman" w:hAnsi="Times New Roman" w:cs="Times New Roman"/>
          <w:b/>
          <w:bCs/>
          <w:i w:val="0"/>
          <w:iCs w:val="0"/>
          <w:color w:val="auto"/>
          <w:sz w:val="22"/>
          <w:szCs w:val="22"/>
          <w:lang w:val="sr-Latn-ME"/>
        </w:rPr>
        <w:t>kao</w:t>
      </w:r>
      <w:r w:rsidRPr="00BA3E97">
        <w:rPr>
          <w:rFonts w:ascii="Times New Roman" w:hAnsi="Times New Roman" w:cs="Times New Roman"/>
          <w:b/>
          <w:bCs/>
          <w:i w:val="0"/>
          <w:iCs w:val="0"/>
          <w:color w:val="auto"/>
          <w:spacing w:val="-6"/>
          <w:sz w:val="22"/>
          <w:szCs w:val="22"/>
          <w:lang w:val="sr-Latn-ME"/>
        </w:rPr>
        <w:t xml:space="preserve"> </w:t>
      </w:r>
      <w:r w:rsidRPr="00BA3E97">
        <w:rPr>
          <w:rFonts w:ascii="Times New Roman" w:hAnsi="Times New Roman" w:cs="Times New Roman"/>
          <w:b/>
          <w:bCs/>
          <w:i w:val="0"/>
          <w:iCs w:val="0"/>
          <w:color w:val="auto"/>
          <w:sz w:val="22"/>
          <w:szCs w:val="22"/>
          <w:lang w:val="sr-Latn-ME"/>
        </w:rPr>
        <w:t>monoterapiju</w:t>
      </w:r>
      <w:r w:rsidRPr="00BA3E97">
        <w:rPr>
          <w:rFonts w:ascii="Times New Roman" w:hAnsi="Times New Roman" w:cs="Times New Roman"/>
          <w:b/>
          <w:bCs/>
          <w:i w:val="0"/>
          <w:iCs w:val="0"/>
          <w:color w:val="auto"/>
          <w:spacing w:val="-3"/>
          <w:sz w:val="22"/>
          <w:szCs w:val="22"/>
          <w:lang w:val="sr-Latn-ME"/>
        </w:rPr>
        <w:t xml:space="preserve"> </w:t>
      </w:r>
      <w:r w:rsidRPr="00BA3E97">
        <w:rPr>
          <w:rFonts w:ascii="Times New Roman" w:hAnsi="Times New Roman" w:cs="Times New Roman"/>
          <w:b/>
          <w:bCs/>
          <w:i w:val="0"/>
          <w:iCs w:val="0"/>
          <w:color w:val="auto"/>
          <w:sz w:val="22"/>
          <w:szCs w:val="22"/>
          <w:lang w:val="sr-Latn-ME"/>
        </w:rPr>
        <w:t>ili dodatnu terapiju u kontroli</w:t>
      </w:r>
      <w:r w:rsidR="001D15D3" w:rsidRPr="00BA3E97">
        <w:rPr>
          <w:rFonts w:ascii="Times New Roman" w:hAnsi="Times New Roman" w:cs="Times New Roman"/>
          <w:b/>
          <w:bCs/>
          <w:i w:val="0"/>
          <w:iCs w:val="0"/>
          <w:color w:val="auto"/>
          <w:sz w:val="22"/>
          <w:szCs w:val="22"/>
          <w:lang w:val="sr-Latn-ME"/>
        </w:rPr>
        <w:t>s</w:t>
      </w:r>
      <w:r w:rsidRPr="00BA3E97">
        <w:rPr>
          <w:rFonts w:ascii="Times New Roman" w:hAnsi="Times New Roman" w:cs="Times New Roman"/>
          <w:b/>
          <w:bCs/>
          <w:i w:val="0"/>
          <w:iCs w:val="0"/>
          <w:color w:val="auto"/>
          <w:sz w:val="22"/>
          <w:szCs w:val="22"/>
          <w:lang w:val="sr-Latn-ME"/>
        </w:rPr>
        <w:t>anim kliničkim ispitivanjima i iz iskustva nakon stavljanja lijeka u promet</w:t>
      </w:r>
    </w:p>
    <w:p w14:paraId="1ECAD1C7" w14:textId="77777777" w:rsidR="00493105" w:rsidRPr="00BA3E97" w:rsidRDefault="00493105" w:rsidP="00A83DDF">
      <w:pPr>
        <w:pStyle w:val="BodyText"/>
        <w:spacing w:before="3"/>
        <w:jc w:val="both"/>
        <w:rPr>
          <w:b/>
          <w:lang w:val="sr-Latn-ME"/>
        </w:rPr>
      </w:pPr>
    </w:p>
    <w:tbl>
      <w:tblPr>
        <w:tblW w:w="0" w:type="auto"/>
        <w:tblInd w:w="2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255"/>
        <w:gridCol w:w="3024"/>
      </w:tblGrid>
      <w:tr w:rsidR="00493105" w:rsidRPr="00BA3E97" w14:paraId="3AE36873"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65DE8606" w14:textId="7CE04ACA" w:rsidR="00493105" w:rsidRPr="00BA3E97" w:rsidRDefault="00493105" w:rsidP="00A83DDF">
            <w:pPr>
              <w:pStyle w:val="TableParagraph"/>
              <w:spacing w:line="234" w:lineRule="exact"/>
              <w:jc w:val="both"/>
              <w:rPr>
                <w:b/>
                <w:lang w:val="sr-Latn-ME"/>
              </w:rPr>
            </w:pPr>
            <w:r w:rsidRPr="00BA3E97">
              <w:rPr>
                <w:b/>
                <w:spacing w:val="-2"/>
                <w:lang w:val="sr-Latn-ME"/>
              </w:rPr>
              <w:t>Klasifikacija</w:t>
            </w:r>
            <w:r w:rsidRPr="00BA3E97">
              <w:rPr>
                <w:b/>
                <w:spacing w:val="1"/>
                <w:lang w:val="sr-Latn-ME"/>
              </w:rPr>
              <w:t xml:space="preserve"> </w:t>
            </w:r>
            <w:r w:rsidRPr="00BA3E97">
              <w:rPr>
                <w:b/>
                <w:spacing w:val="-2"/>
                <w:lang w:val="sr-Latn-ME"/>
              </w:rPr>
              <w:t>organskih</w:t>
            </w:r>
            <w:r w:rsidRPr="00BA3E97">
              <w:rPr>
                <w:b/>
                <w:spacing w:val="-1"/>
                <w:lang w:val="sr-Latn-ME"/>
              </w:rPr>
              <w:t xml:space="preserve"> </w:t>
            </w:r>
            <w:r w:rsidR="005C53F0" w:rsidRPr="00BA3E97">
              <w:rPr>
                <w:b/>
                <w:spacing w:val="1"/>
                <w:lang w:val="sr-Latn-ME"/>
              </w:rPr>
              <w:t xml:space="preserve">sistema </w:t>
            </w:r>
          </w:p>
        </w:tc>
        <w:tc>
          <w:tcPr>
            <w:tcW w:w="3024" w:type="dxa"/>
            <w:tcBorders>
              <w:top w:val="single" w:sz="2" w:space="0" w:color="000000"/>
              <w:left w:val="single" w:sz="2" w:space="0" w:color="000000"/>
              <w:bottom w:val="single" w:sz="2" w:space="0" w:color="000000"/>
              <w:right w:val="single" w:sz="2" w:space="0" w:color="000000"/>
            </w:tcBorders>
            <w:hideMark/>
          </w:tcPr>
          <w:p w14:paraId="24C88001" w14:textId="77777777" w:rsidR="00493105" w:rsidRPr="00BA3E97" w:rsidRDefault="00493105" w:rsidP="00A83DDF">
            <w:pPr>
              <w:pStyle w:val="TableParagraph"/>
              <w:spacing w:line="234" w:lineRule="exact"/>
              <w:ind w:left="108"/>
              <w:jc w:val="both"/>
              <w:rPr>
                <w:b/>
                <w:lang w:val="sr-Latn-ME"/>
              </w:rPr>
            </w:pPr>
            <w:r w:rsidRPr="00BA3E97">
              <w:rPr>
                <w:b/>
                <w:spacing w:val="-2"/>
                <w:lang w:val="sr-Latn-ME"/>
              </w:rPr>
              <w:t>Učestalost</w:t>
            </w:r>
          </w:p>
        </w:tc>
      </w:tr>
      <w:tr w:rsidR="00493105" w:rsidRPr="00BA3E97" w14:paraId="25B57A5D" w14:textId="77777777" w:rsidTr="00493105">
        <w:trPr>
          <w:trHeight w:val="251"/>
        </w:trPr>
        <w:tc>
          <w:tcPr>
            <w:tcW w:w="9279" w:type="dxa"/>
            <w:gridSpan w:val="2"/>
            <w:tcBorders>
              <w:top w:val="single" w:sz="2" w:space="0" w:color="000000"/>
              <w:left w:val="single" w:sz="2" w:space="0" w:color="000000"/>
              <w:bottom w:val="single" w:sz="2" w:space="0" w:color="000000"/>
              <w:right w:val="single" w:sz="2" w:space="0" w:color="000000"/>
            </w:tcBorders>
            <w:hideMark/>
          </w:tcPr>
          <w:p w14:paraId="412AE58F" w14:textId="77777777" w:rsidR="00493105" w:rsidRPr="00BA3E97" w:rsidRDefault="00493105" w:rsidP="00A83DDF">
            <w:pPr>
              <w:pStyle w:val="TableParagraph"/>
              <w:spacing w:line="232" w:lineRule="exact"/>
              <w:jc w:val="both"/>
              <w:rPr>
                <w:b/>
                <w:lang w:val="sr-Latn-ME"/>
              </w:rPr>
            </w:pPr>
            <w:r w:rsidRPr="00BA3E97">
              <w:rPr>
                <w:b/>
                <w:lang w:val="sr-Latn-ME"/>
              </w:rPr>
              <w:t>Infekcije</w:t>
            </w:r>
            <w:r w:rsidRPr="00BA3E97">
              <w:rPr>
                <w:b/>
                <w:spacing w:val="-9"/>
                <w:lang w:val="sr-Latn-ME"/>
              </w:rPr>
              <w:t xml:space="preserve"> </w:t>
            </w:r>
            <w:r w:rsidRPr="00BA3E97">
              <w:rPr>
                <w:b/>
                <w:lang w:val="sr-Latn-ME"/>
              </w:rPr>
              <w:t>i</w:t>
            </w:r>
            <w:r w:rsidRPr="00BA3E97">
              <w:rPr>
                <w:b/>
                <w:spacing w:val="-9"/>
                <w:lang w:val="sr-Latn-ME"/>
              </w:rPr>
              <w:t xml:space="preserve"> </w:t>
            </w:r>
            <w:r w:rsidRPr="00BA3E97">
              <w:rPr>
                <w:b/>
                <w:spacing w:val="-2"/>
                <w:lang w:val="sr-Latn-ME"/>
              </w:rPr>
              <w:t>infestacije</w:t>
            </w:r>
          </w:p>
        </w:tc>
      </w:tr>
      <w:tr w:rsidR="00493105" w:rsidRPr="00BA3E97" w14:paraId="24D6FBCE"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3E240C57" w14:textId="77777777" w:rsidR="00493105" w:rsidRPr="00BA3E97" w:rsidRDefault="00493105" w:rsidP="00A83DDF">
            <w:pPr>
              <w:pStyle w:val="TableParagraph"/>
              <w:spacing w:line="234" w:lineRule="exact"/>
              <w:jc w:val="both"/>
              <w:rPr>
                <w:lang w:val="sr-Latn-ME"/>
              </w:rPr>
            </w:pPr>
            <w:r w:rsidRPr="00BA3E97">
              <w:rPr>
                <w:spacing w:val="-2"/>
                <w:lang w:val="sr-Latn-ME"/>
              </w:rPr>
              <w:t>Nazofaringitis</w:t>
            </w:r>
          </w:p>
        </w:tc>
        <w:tc>
          <w:tcPr>
            <w:tcW w:w="3024" w:type="dxa"/>
            <w:tcBorders>
              <w:top w:val="single" w:sz="2" w:space="0" w:color="000000"/>
              <w:left w:val="single" w:sz="2" w:space="0" w:color="000000"/>
              <w:bottom w:val="single" w:sz="2" w:space="0" w:color="000000"/>
              <w:right w:val="single" w:sz="2" w:space="0" w:color="000000"/>
            </w:tcBorders>
            <w:hideMark/>
          </w:tcPr>
          <w:p w14:paraId="07FA352F" w14:textId="77777777" w:rsidR="00493105" w:rsidRPr="00BA3E97" w:rsidRDefault="00493105" w:rsidP="00A83DDF">
            <w:pPr>
              <w:pStyle w:val="TableParagraph"/>
              <w:spacing w:line="234" w:lineRule="exact"/>
              <w:ind w:left="108"/>
              <w:jc w:val="both"/>
              <w:rPr>
                <w:lang w:val="sr-Latn-ME"/>
              </w:rPr>
            </w:pPr>
            <w:r w:rsidRPr="00BA3E97">
              <w:rPr>
                <w:lang w:val="sr-Latn-ME"/>
              </w:rPr>
              <w:t>Vrlo</w:t>
            </w:r>
            <w:r w:rsidRPr="00BA3E97">
              <w:rPr>
                <w:spacing w:val="-2"/>
                <w:lang w:val="sr-Latn-ME"/>
              </w:rPr>
              <w:t xml:space="preserve"> često</w:t>
            </w:r>
          </w:p>
        </w:tc>
      </w:tr>
      <w:tr w:rsidR="00493105" w:rsidRPr="00BA3E97" w14:paraId="1E55B738"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6686DC5C" w14:textId="3C8271EF" w:rsidR="00493105" w:rsidRPr="00BA3E97" w:rsidRDefault="00493105" w:rsidP="00A83DDF">
            <w:pPr>
              <w:pStyle w:val="TableParagraph"/>
              <w:spacing w:line="232" w:lineRule="exact"/>
              <w:jc w:val="both"/>
              <w:rPr>
                <w:lang w:val="sr-Latn-ME"/>
              </w:rPr>
            </w:pPr>
            <w:r w:rsidRPr="00BA3E97">
              <w:rPr>
                <w:lang w:val="sr-Latn-ME"/>
              </w:rPr>
              <w:t>Infekcija</w:t>
            </w:r>
            <w:r w:rsidRPr="00BA3E97">
              <w:rPr>
                <w:spacing w:val="-6"/>
                <w:lang w:val="sr-Latn-ME"/>
              </w:rPr>
              <w:t xml:space="preserve"> </w:t>
            </w:r>
            <w:r w:rsidRPr="00BA3E97">
              <w:rPr>
                <w:lang w:val="sr-Latn-ME"/>
              </w:rPr>
              <w:t>gornjih</w:t>
            </w:r>
            <w:r w:rsidRPr="00BA3E97">
              <w:rPr>
                <w:spacing w:val="-4"/>
                <w:lang w:val="sr-Latn-ME"/>
              </w:rPr>
              <w:t xml:space="preserve"> </w:t>
            </w:r>
            <w:r w:rsidR="005C53F0" w:rsidRPr="00BA3E97">
              <w:rPr>
                <w:spacing w:val="-6"/>
                <w:lang w:val="sr-Latn-ME"/>
              </w:rPr>
              <w:t xml:space="preserve">disajnih </w:t>
            </w:r>
            <w:r w:rsidRPr="00BA3E97">
              <w:rPr>
                <w:spacing w:val="-2"/>
                <w:lang w:val="sr-Latn-ME"/>
              </w:rPr>
              <w:t>puteva</w:t>
            </w:r>
          </w:p>
        </w:tc>
        <w:tc>
          <w:tcPr>
            <w:tcW w:w="3024" w:type="dxa"/>
            <w:tcBorders>
              <w:top w:val="single" w:sz="2" w:space="0" w:color="000000"/>
              <w:left w:val="single" w:sz="2" w:space="0" w:color="000000"/>
              <w:bottom w:val="single" w:sz="2" w:space="0" w:color="000000"/>
              <w:right w:val="single" w:sz="2" w:space="0" w:color="000000"/>
            </w:tcBorders>
            <w:hideMark/>
          </w:tcPr>
          <w:p w14:paraId="5EC09D0C"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36EF0538" w14:textId="77777777" w:rsidTr="00493105">
        <w:trPr>
          <w:trHeight w:val="254"/>
        </w:trPr>
        <w:tc>
          <w:tcPr>
            <w:tcW w:w="9279" w:type="dxa"/>
            <w:gridSpan w:val="2"/>
            <w:tcBorders>
              <w:top w:val="single" w:sz="2" w:space="0" w:color="000000"/>
              <w:left w:val="single" w:sz="2" w:space="0" w:color="000000"/>
              <w:bottom w:val="single" w:sz="2" w:space="0" w:color="000000"/>
              <w:right w:val="single" w:sz="2" w:space="0" w:color="000000"/>
            </w:tcBorders>
            <w:hideMark/>
          </w:tcPr>
          <w:p w14:paraId="59629B5C" w14:textId="681190BB" w:rsidR="00493105" w:rsidRPr="00BA3E97" w:rsidRDefault="00493105" w:rsidP="00A83DDF">
            <w:pPr>
              <w:pStyle w:val="TableParagraph"/>
              <w:spacing w:line="234" w:lineRule="exact"/>
              <w:jc w:val="both"/>
              <w:rPr>
                <w:b/>
                <w:lang w:val="sr-Latn-ME"/>
              </w:rPr>
            </w:pPr>
            <w:r w:rsidRPr="00BA3E97">
              <w:rPr>
                <w:b/>
                <w:lang w:val="sr-Latn-ME"/>
              </w:rPr>
              <w:t>Poremećaji</w:t>
            </w:r>
            <w:r w:rsidRPr="00BA3E97">
              <w:rPr>
                <w:b/>
                <w:spacing w:val="-14"/>
                <w:lang w:val="sr-Latn-ME"/>
              </w:rPr>
              <w:t xml:space="preserve"> </w:t>
            </w:r>
            <w:r w:rsidRPr="00BA3E97">
              <w:rPr>
                <w:b/>
                <w:lang w:val="sr-Latn-ME"/>
              </w:rPr>
              <w:t>metabolizma</w:t>
            </w:r>
            <w:r w:rsidRPr="00BA3E97">
              <w:rPr>
                <w:b/>
                <w:spacing w:val="-14"/>
                <w:lang w:val="sr-Latn-ME"/>
              </w:rPr>
              <w:t xml:space="preserve"> </w:t>
            </w:r>
            <w:r w:rsidRPr="00BA3E97">
              <w:rPr>
                <w:b/>
                <w:lang w:val="sr-Latn-ME"/>
              </w:rPr>
              <w:t>i</w:t>
            </w:r>
            <w:r w:rsidRPr="00BA3E97">
              <w:rPr>
                <w:b/>
                <w:spacing w:val="-13"/>
                <w:lang w:val="sr-Latn-ME"/>
              </w:rPr>
              <w:t xml:space="preserve"> </w:t>
            </w:r>
            <w:r w:rsidR="001D15D3" w:rsidRPr="00BA3E97">
              <w:rPr>
                <w:b/>
                <w:spacing w:val="-2"/>
                <w:lang w:val="sr-Latn-ME"/>
              </w:rPr>
              <w:t>is</w:t>
            </w:r>
            <w:r w:rsidRPr="00BA3E97">
              <w:rPr>
                <w:b/>
                <w:spacing w:val="-2"/>
                <w:lang w:val="sr-Latn-ME"/>
              </w:rPr>
              <w:t>hrane</w:t>
            </w:r>
          </w:p>
        </w:tc>
      </w:tr>
      <w:tr w:rsidR="00493105" w:rsidRPr="00BA3E97" w14:paraId="29C09236"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0AA8054C" w14:textId="77777777" w:rsidR="00493105" w:rsidRPr="00BA3E97" w:rsidRDefault="00493105" w:rsidP="00A83DDF">
            <w:pPr>
              <w:pStyle w:val="TableParagraph"/>
              <w:spacing w:line="232" w:lineRule="exact"/>
              <w:jc w:val="both"/>
              <w:rPr>
                <w:lang w:val="sr-Latn-ME"/>
              </w:rPr>
            </w:pPr>
            <w:r w:rsidRPr="00BA3E97">
              <w:rPr>
                <w:spacing w:val="-2"/>
                <w:lang w:val="sr-Latn-ME"/>
              </w:rPr>
              <w:t>Hipoglikemija</w:t>
            </w:r>
          </w:p>
        </w:tc>
        <w:tc>
          <w:tcPr>
            <w:tcW w:w="3024" w:type="dxa"/>
            <w:tcBorders>
              <w:top w:val="single" w:sz="2" w:space="0" w:color="000000"/>
              <w:left w:val="single" w:sz="2" w:space="0" w:color="000000"/>
              <w:bottom w:val="single" w:sz="2" w:space="0" w:color="000000"/>
              <w:right w:val="single" w:sz="2" w:space="0" w:color="000000"/>
            </w:tcBorders>
            <w:hideMark/>
          </w:tcPr>
          <w:p w14:paraId="6ADFE0D1" w14:textId="77777777" w:rsidR="00493105" w:rsidRPr="00BA3E97" w:rsidRDefault="00493105" w:rsidP="00A83DDF">
            <w:pPr>
              <w:pStyle w:val="TableParagraph"/>
              <w:spacing w:line="232" w:lineRule="exact"/>
              <w:ind w:left="108"/>
              <w:jc w:val="both"/>
              <w:rPr>
                <w:lang w:val="sr-Latn-ME"/>
              </w:rPr>
            </w:pPr>
            <w:r w:rsidRPr="00BA3E97">
              <w:rPr>
                <w:lang w:val="sr-Latn-ME"/>
              </w:rPr>
              <w:t>Manje</w:t>
            </w:r>
            <w:r w:rsidRPr="00BA3E97">
              <w:rPr>
                <w:spacing w:val="-9"/>
                <w:lang w:val="sr-Latn-ME"/>
              </w:rPr>
              <w:t xml:space="preserve"> </w:t>
            </w:r>
            <w:r w:rsidRPr="00BA3E97">
              <w:rPr>
                <w:spacing w:val="-2"/>
                <w:lang w:val="sr-Latn-ME"/>
              </w:rPr>
              <w:t>često</w:t>
            </w:r>
          </w:p>
        </w:tc>
      </w:tr>
      <w:tr w:rsidR="00493105" w:rsidRPr="00BA3E97" w14:paraId="6C18703B" w14:textId="77777777" w:rsidTr="00493105">
        <w:trPr>
          <w:trHeight w:val="254"/>
        </w:trPr>
        <w:tc>
          <w:tcPr>
            <w:tcW w:w="9279" w:type="dxa"/>
            <w:gridSpan w:val="2"/>
            <w:tcBorders>
              <w:top w:val="single" w:sz="2" w:space="0" w:color="000000"/>
              <w:left w:val="single" w:sz="2" w:space="0" w:color="000000"/>
              <w:bottom w:val="single" w:sz="2" w:space="0" w:color="000000"/>
              <w:right w:val="single" w:sz="2" w:space="0" w:color="000000"/>
            </w:tcBorders>
            <w:hideMark/>
          </w:tcPr>
          <w:p w14:paraId="5BB5E4D4" w14:textId="1115C7A6" w:rsidR="00493105" w:rsidRPr="00BA3E97" w:rsidRDefault="00493105" w:rsidP="00A83DDF">
            <w:pPr>
              <w:pStyle w:val="TableParagraph"/>
              <w:spacing w:line="234" w:lineRule="exact"/>
              <w:jc w:val="both"/>
              <w:rPr>
                <w:b/>
                <w:lang w:val="sr-Latn-ME"/>
              </w:rPr>
            </w:pPr>
            <w:r w:rsidRPr="00BA3E97">
              <w:rPr>
                <w:b/>
                <w:spacing w:val="-2"/>
                <w:lang w:val="sr-Latn-ME"/>
              </w:rPr>
              <w:t>Poremećaji</w:t>
            </w:r>
            <w:r w:rsidRPr="00BA3E97">
              <w:rPr>
                <w:b/>
                <w:spacing w:val="1"/>
                <w:lang w:val="sr-Latn-ME"/>
              </w:rPr>
              <w:t xml:space="preserve"> </w:t>
            </w:r>
            <w:r w:rsidR="001D15D3" w:rsidRPr="00BA3E97">
              <w:rPr>
                <w:b/>
                <w:spacing w:val="-2"/>
                <w:lang w:val="sr-Latn-ME"/>
              </w:rPr>
              <w:t>nervnog</w:t>
            </w:r>
            <w:r w:rsidRPr="00BA3E97">
              <w:rPr>
                <w:b/>
                <w:spacing w:val="4"/>
                <w:lang w:val="sr-Latn-ME"/>
              </w:rPr>
              <w:t xml:space="preserve"> </w:t>
            </w:r>
            <w:r w:rsidRPr="00BA3E97">
              <w:rPr>
                <w:b/>
                <w:spacing w:val="-2"/>
                <w:lang w:val="sr-Latn-ME"/>
              </w:rPr>
              <w:t>s</w:t>
            </w:r>
            <w:r w:rsidR="00341496" w:rsidRPr="00BA3E97">
              <w:rPr>
                <w:b/>
                <w:spacing w:val="-2"/>
                <w:lang w:val="sr-Latn-ME"/>
              </w:rPr>
              <w:t>istema</w:t>
            </w:r>
          </w:p>
        </w:tc>
      </w:tr>
      <w:tr w:rsidR="00493105" w:rsidRPr="00BA3E97" w14:paraId="07777AA8"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009671C3" w14:textId="7359C047" w:rsidR="00493105" w:rsidRPr="00BA3E97" w:rsidRDefault="005C53F0" w:rsidP="00A83DDF">
            <w:pPr>
              <w:pStyle w:val="TableParagraph"/>
              <w:spacing w:line="232" w:lineRule="exact"/>
              <w:jc w:val="both"/>
              <w:rPr>
                <w:lang w:val="sr-Latn-ME"/>
              </w:rPr>
            </w:pPr>
            <w:r w:rsidRPr="00BA3E97">
              <w:rPr>
                <w:spacing w:val="-2"/>
                <w:lang w:val="sr-Latn-ME"/>
              </w:rPr>
              <w:t xml:space="preserve">Vrtoglavica </w:t>
            </w:r>
          </w:p>
        </w:tc>
        <w:tc>
          <w:tcPr>
            <w:tcW w:w="3024" w:type="dxa"/>
            <w:tcBorders>
              <w:top w:val="single" w:sz="2" w:space="0" w:color="000000"/>
              <w:left w:val="single" w:sz="2" w:space="0" w:color="000000"/>
              <w:bottom w:val="single" w:sz="2" w:space="0" w:color="000000"/>
              <w:right w:val="single" w:sz="2" w:space="0" w:color="000000"/>
            </w:tcBorders>
            <w:hideMark/>
          </w:tcPr>
          <w:p w14:paraId="2696EFBA"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19523FD1"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0DA933F9" w14:textId="77777777" w:rsidR="00493105" w:rsidRPr="00BA3E97" w:rsidRDefault="00493105" w:rsidP="00A83DDF">
            <w:pPr>
              <w:pStyle w:val="TableParagraph"/>
              <w:spacing w:line="234" w:lineRule="exact"/>
              <w:jc w:val="both"/>
              <w:rPr>
                <w:lang w:val="sr-Latn-ME"/>
              </w:rPr>
            </w:pPr>
            <w:r w:rsidRPr="00BA3E97">
              <w:rPr>
                <w:spacing w:val="-2"/>
                <w:lang w:val="sr-Latn-ME"/>
              </w:rPr>
              <w:t>Glavobolja</w:t>
            </w:r>
          </w:p>
        </w:tc>
        <w:tc>
          <w:tcPr>
            <w:tcW w:w="3024" w:type="dxa"/>
            <w:tcBorders>
              <w:top w:val="single" w:sz="2" w:space="0" w:color="000000"/>
              <w:left w:val="single" w:sz="2" w:space="0" w:color="000000"/>
              <w:bottom w:val="single" w:sz="2" w:space="0" w:color="000000"/>
              <w:right w:val="single" w:sz="2" w:space="0" w:color="000000"/>
            </w:tcBorders>
            <w:hideMark/>
          </w:tcPr>
          <w:p w14:paraId="2F3B8461" w14:textId="77777777" w:rsidR="00493105" w:rsidRPr="00BA3E97" w:rsidRDefault="00493105" w:rsidP="00A83DDF">
            <w:pPr>
              <w:pStyle w:val="TableParagraph"/>
              <w:spacing w:line="234" w:lineRule="exact"/>
              <w:ind w:left="108"/>
              <w:jc w:val="both"/>
              <w:rPr>
                <w:lang w:val="sr-Latn-ME"/>
              </w:rPr>
            </w:pPr>
            <w:r w:rsidRPr="00BA3E97">
              <w:rPr>
                <w:spacing w:val="-2"/>
                <w:lang w:val="sr-Latn-ME"/>
              </w:rPr>
              <w:t>Često</w:t>
            </w:r>
          </w:p>
        </w:tc>
      </w:tr>
      <w:tr w:rsidR="00493105" w:rsidRPr="00BA3E97" w14:paraId="1E3D4809" w14:textId="77777777" w:rsidTr="00493105">
        <w:trPr>
          <w:trHeight w:val="252"/>
        </w:trPr>
        <w:tc>
          <w:tcPr>
            <w:tcW w:w="6255" w:type="dxa"/>
            <w:tcBorders>
              <w:top w:val="single" w:sz="2" w:space="0" w:color="000000"/>
              <w:left w:val="single" w:sz="2" w:space="0" w:color="000000"/>
              <w:bottom w:val="single" w:sz="2" w:space="0" w:color="000000"/>
              <w:right w:val="single" w:sz="2" w:space="0" w:color="000000"/>
            </w:tcBorders>
            <w:hideMark/>
          </w:tcPr>
          <w:p w14:paraId="0366E419" w14:textId="77777777" w:rsidR="00493105" w:rsidRPr="00BA3E97" w:rsidRDefault="00493105" w:rsidP="00A83DDF">
            <w:pPr>
              <w:pStyle w:val="TableParagraph"/>
              <w:spacing w:line="232" w:lineRule="exact"/>
              <w:jc w:val="both"/>
              <w:rPr>
                <w:lang w:val="sr-Latn-ME"/>
              </w:rPr>
            </w:pPr>
            <w:r w:rsidRPr="00BA3E97">
              <w:rPr>
                <w:spacing w:val="-2"/>
                <w:lang w:val="sr-Latn-ME"/>
              </w:rPr>
              <w:t>Tremor</w:t>
            </w:r>
          </w:p>
        </w:tc>
        <w:tc>
          <w:tcPr>
            <w:tcW w:w="3024" w:type="dxa"/>
            <w:tcBorders>
              <w:top w:val="single" w:sz="2" w:space="0" w:color="000000"/>
              <w:left w:val="single" w:sz="2" w:space="0" w:color="000000"/>
              <w:bottom w:val="single" w:sz="2" w:space="0" w:color="000000"/>
              <w:right w:val="single" w:sz="2" w:space="0" w:color="000000"/>
            </w:tcBorders>
            <w:hideMark/>
          </w:tcPr>
          <w:p w14:paraId="1D494087"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3A191C12" w14:textId="77777777" w:rsidTr="00493105">
        <w:trPr>
          <w:trHeight w:val="254"/>
        </w:trPr>
        <w:tc>
          <w:tcPr>
            <w:tcW w:w="9279" w:type="dxa"/>
            <w:gridSpan w:val="2"/>
            <w:tcBorders>
              <w:top w:val="single" w:sz="2" w:space="0" w:color="000000"/>
              <w:left w:val="single" w:sz="2" w:space="0" w:color="000000"/>
              <w:bottom w:val="single" w:sz="2" w:space="0" w:color="000000"/>
              <w:right w:val="single" w:sz="2" w:space="0" w:color="000000"/>
            </w:tcBorders>
            <w:hideMark/>
          </w:tcPr>
          <w:p w14:paraId="300139F4" w14:textId="77777777" w:rsidR="00493105" w:rsidRPr="00BA3E97" w:rsidRDefault="00493105" w:rsidP="00A83DDF">
            <w:pPr>
              <w:pStyle w:val="TableParagraph"/>
              <w:spacing w:line="234" w:lineRule="exact"/>
              <w:jc w:val="both"/>
              <w:rPr>
                <w:b/>
                <w:lang w:val="sr-Latn-ME"/>
              </w:rPr>
            </w:pPr>
            <w:r w:rsidRPr="00BA3E97">
              <w:rPr>
                <w:b/>
                <w:lang w:val="sr-Latn-ME"/>
              </w:rPr>
              <w:t>Poremećaji</w:t>
            </w:r>
            <w:r w:rsidRPr="00BA3E97">
              <w:rPr>
                <w:b/>
                <w:spacing w:val="-4"/>
                <w:lang w:val="sr-Latn-ME"/>
              </w:rPr>
              <w:t xml:space="preserve"> </w:t>
            </w:r>
            <w:r w:rsidRPr="00BA3E97">
              <w:rPr>
                <w:b/>
                <w:spacing w:val="-5"/>
                <w:lang w:val="sr-Latn-ME"/>
              </w:rPr>
              <w:t>oka</w:t>
            </w:r>
          </w:p>
        </w:tc>
      </w:tr>
      <w:tr w:rsidR="00493105" w:rsidRPr="00BA3E97" w14:paraId="79951FB5"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7056B93D" w14:textId="77777777" w:rsidR="00493105" w:rsidRPr="00BA3E97" w:rsidRDefault="00493105" w:rsidP="00A83DDF">
            <w:pPr>
              <w:pStyle w:val="TableParagraph"/>
              <w:spacing w:line="232" w:lineRule="exact"/>
              <w:jc w:val="both"/>
              <w:rPr>
                <w:lang w:val="sr-Latn-ME"/>
              </w:rPr>
            </w:pPr>
            <w:r w:rsidRPr="00BA3E97">
              <w:rPr>
                <w:lang w:val="sr-Latn-ME"/>
              </w:rPr>
              <w:t>Zamagljen</w:t>
            </w:r>
            <w:r w:rsidRPr="00BA3E97">
              <w:rPr>
                <w:spacing w:val="-4"/>
                <w:lang w:val="sr-Latn-ME"/>
              </w:rPr>
              <w:t xml:space="preserve"> </w:t>
            </w:r>
            <w:r w:rsidRPr="00BA3E97">
              <w:rPr>
                <w:spacing w:val="-5"/>
                <w:lang w:val="sr-Latn-ME"/>
              </w:rPr>
              <w:t>vid</w:t>
            </w:r>
          </w:p>
        </w:tc>
        <w:tc>
          <w:tcPr>
            <w:tcW w:w="3024" w:type="dxa"/>
            <w:tcBorders>
              <w:top w:val="single" w:sz="2" w:space="0" w:color="000000"/>
              <w:left w:val="single" w:sz="2" w:space="0" w:color="000000"/>
              <w:bottom w:val="single" w:sz="2" w:space="0" w:color="000000"/>
              <w:right w:val="single" w:sz="2" w:space="0" w:color="000000"/>
            </w:tcBorders>
            <w:hideMark/>
          </w:tcPr>
          <w:p w14:paraId="4A0D4176"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1DCFB1E3" w14:textId="77777777" w:rsidTr="00493105">
        <w:trPr>
          <w:trHeight w:val="254"/>
        </w:trPr>
        <w:tc>
          <w:tcPr>
            <w:tcW w:w="9279" w:type="dxa"/>
            <w:gridSpan w:val="2"/>
            <w:tcBorders>
              <w:top w:val="single" w:sz="2" w:space="0" w:color="000000"/>
              <w:left w:val="single" w:sz="2" w:space="0" w:color="000000"/>
              <w:bottom w:val="single" w:sz="2" w:space="0" w:color="000000"/>
              <w:right w:val="single" w:sz="2" w:space="0" w:color="000000"/>
            </w:tcBorders>
            <w:hideMark/>
          </w:tcPr>
          <w:p w14:paraId="68EE6CC5" w14:textId="75F9E9A0" w:rsidR="00493105" w:rsidRPr="00BA3E97" w:rsidRDefault="00493105" w:rsidP="00A83DDF">
            <w:pPr>
              <w:pStyle w:val="TableParagraph"/>
              <w:spacing w:line="234" w:lineRule="exact"/>
              <w:jc w:val="both"/>
              <w:rPr>
                <w:b/>
                <w:lang w:val="sr-Latn-ME"/>
              </w:rPr>
            </w:pPr>
            <w:r w:rsidRPr="00BA3E97">
              <w:rPr>
                <w:b/>
                <w:spacing w:val="-2"/>
                <w:lang w:val="sr-Latn-ME"/>
              </w:rPr>
              <w:t>Poremećaji</w:t>
            </w:r>
            <w:r w:rsidRPr="00BA3E97">
              <w:rPr>
                <w:b/>
                <w:spacing w:val="3"/>
                <w:lang w:val="sr-Latn-ME"/>
              </w:rPr>
              <w:t xml:space="preserve"> </w:t>
            </w:r>
            <w:r w:rsidR="00033F09" w:rsidRPr="00BA3E97">
              <w:rPr>
                <w:b/>
                <w:spacing w:val="-2"/>
                <w:lang w:val="sr-Latn-ME"/>
              </w:rPr>
              <w:t>gastrointestinalnog sistema</w:t>
            </w:r>
          </w:p>
        </w:tc>
      </w:tr>
      <w:tr w:rsidR="00493105" w:rsidRPr="00BA3E97" w14:paraId="70CA8175"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43E80FA8" w14:textId="77777777" w:rsidR="00493105" w:rsidRPr="00BA3E97" w:rsidRDefault="00493105" w:rsidP="00A83DDF">
            <w:pPr>
              <w:pStyle w:val="TableParagraph"/>
              <w:spacing w:line="232" w:lineRule="exact"/>
              <w:jc w:val="both"/>
              <w:rPr>
                <w:lang w:val="sr-Latn-ME"/>
              </w:rPr>
            </w:pPr>
            <w:r w:rsidRPr="00BA3E97">
              <w:rPr>
                <w:spacing w:val="-2"/>
                <w:lang w:val="sr-Latn-ME"/>
              </w:rPr>
              <w:t>Konstipacija</w:t>
            </w:r>
          </w:p>
        </w:tc>
        <w:tc>
          <w:tcPr>
            <w:tcW w:w="3024" w:type="dxa"/>
            <w:tcBorders>
              <w:top w:val="single" w:sz="2" w:space="0" w:color="000000"/>
              <w:left w:val="single" w:sz="2" w:space="0" w:color="000000"/>
              <w:bottom w:val="single" w:sz="2" w:space="0" w:color="000000"/>
              <w:right w:val="single" w:sz="2" w:space="0" w:color="000000"/>
            </w:tcBorders>
            <w:hideMark/>
          </w:tcPr>
          <w:p w14:paraId="38AD70BB"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1CB9C39D"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23D5694E" w14:textId="77777777" w:rsidR="00493105" w:rsidRPr="00BA3E97" w:rsidRDefault="00493105" w:rsidP="00A83DDF">
            <w:pPr>
              <w:pStyle w:val="TableParagraph"/>
              <w:spacing w:line="232" w:lineRule="exact"/>
              <w:jc w:val="both"/>
              <w:rPr>
                <w:lang w:val="sr-Latn-ME"/>
              </w:rPr>
            </w:pPr>
            <w:r w:rsidRPr="00BA3E97">
              <w:rPr>
                <w:spacing w:val="-2"/>
                <w:lang w:val="sr-Latn-ME"/>
              </w:rPr>
              <w:t>Mučnina</w:t>
            </w:r>
          </w:p>
        </w:tc>
        <w:tc>
          <w:tcPr>
            <w:tcW w:w="3024" w:type="dxa"/>
            <w:tcBorders>
              <w:top w:val="single" w:sz="2" w:space="0" w:color="000000"/>
              <w:left w:val="single" w:sz="2" w:space="0" w:color="000000"/>
              <w:bottom w:val="single" w:sz="2" w:space="0" w:color="000000"/>
              <w:right w:val="single" w:sz="2" w:space="0" w:color="000000"/>
            </w:tcBorders>
            <w:hideMark/>
          </w:tcPr>
          <w:p w14:paraId="4D359C4B"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706F6C72"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1D9213C3" w14:textId="77777777" w:rsidR="00493105" w:rsidRPr="00BA3E97" w:rsidRDefault="00493105" w:rsidP="00A83DDF">
            <w:pPr>
              <w:pStyle w:val="TableParagraph"/>
              <w:spacing w:before="1" w:line="233" w:lineRule="exact"/>
              <w:jc w:val="both"/>
              <w:rPr>
                <w:lang w:val="sr-Latn-ME"/>
              </w:rPr>
            </w:pPr>
            <w:r w:rsidRPr="00BA3E97">
              <w:rPr>
                <w:lang w:val="sr-Latn-ME"/>
              </w:rPr>
              <w:t>Gastroezofagealna</w:t>
            </w:r>
            <w:r w:rsidRPr="00BA3E97">
              <w:rPr>
                <w:spacing w:val="-11"/>
                <w:lang w:val="sr-Latn-ME"/>
              </w:rPr>
              <w:t xml:space="preserve"> </w:t>
            </w:r>
            <w:r w:rsidRPr="00BA3E97">
              <w:rPr>
                <w:lang w:val="sr-Latn-ME"/>
              </w:rPr>
              <w:t>refluksna</w:t>
            </w:r>
            <w:r w:rsidRPr="00BA3E97">
              <w:rPr>
                <w:spacing w:val="-9"/>
                <w:lang w:val="sr-Latn-ME"/>
              </w:rPr>
              <w:t xml:space="preserve"> </w:t>
            </w:r>
            <w:r w:rsidRPr="00BA3E97">
              <w:rPr>
                <w:spacing w:val="-2"/>
                <w:lang w:val="sr-Latn-ME"/>
              </w:rPr>
              <w:t>bolest</w:t>
            </w:r>
          </w:p>
        </w:tc>
        <w:tc>
          <w:tcPr>
            <w:tcW w:w="3024" w:type="dxa"/>
            <w:tcBorders>
              <w:top w:val="single" w:sz="2" w:space="0" w:color="000000"/>
              <w:left w:val="single" w:sz="2" w:space="0" w:color="000000"/>
              <w:bottom w:val="single" w:sz="2" w:space="0" w:color="000000"/>
              <w:right w:val="single" w:sz="2" w:space="0" w:color="000000"/>
            </w:tcBorders>
            <w:hideMark/>
          </w:tcPr>
          <w:p w14:paraId="080CDC63" w14:textId="77777777" w:rsidR="00493105" w:rsidRPr="00BA3E97" w:rsidRDefault="00493105" w:rsidP="00A83DDF">
            <w:pPr>
              <w:pStyle w:val="TableParagraph"/>
              <w:spacing w:before="1" w:line="233" w:lineRule="exact"/>
              <w:ind w:left="108"/>
              <w:jc w:val="both"/>
              <w:rPr>
                <w:lang w:val="sr-Latn-ME"/>
              </w:rPr>
            </w:pPr>
            <w:r w:rsidRPr="00BA3E97">
              <w:rPr>
                <w:spacing w:val="-2"/>
                <w:lang w:val="sr-Latn-ME"/>
              </w:rPr>
              <w:t>Često</w:t>
            </w:r>
          </w:p>
        </w:tc>
      </w:tr>
      <w:tr w:rsidR="00493105" w:rsidRPr="00BA3E97" w14:paraId="287DF64B"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7DA0513D" w14:textId="0334EAEB" w:rsidR="00493105" w:rsidRPr="00BA3E97" w:rsidRDefault="00493105" w:rsidP="00A83DDF">
            <w:pPr>
              <w:pStyle w:val="TableParagraph"/>
              <w:spacing w:line="232" w:lineRule="exact"/>
              <w:jc w:val="both"/>
              <w:rPr>
                <w:lang w:val="sr-Latn-ME"/>
              </w:rPr>
            </w:pPr>
            <w:r w:rsidRPr="00BA3E97">
              <w:rPr>
                <w:spacing w:val="-2"/>
                <w:lang w:val="sr-Latn-ME"/>
              </w:rPr>
              <w:t>Prol</w:t>
            </w:r>
            <w:r w:rsidR="00FE084E" w:rsidRPr="00BA3E97">
              <w:rPr>
                <w:spacing w:val="-2"/>
                <w:lang w:val="sr-Latn-ME"/>
              </w:rPr>
              <w:t>i</w:t>
            </w:r>
            <w:r w:rsidRPr="00BA3E97">
              <w:rPr>
                <w:spacing w:val="-2"/>
                <w:lang w:val="sr-Latn-ME"/>
              </w:rPr>
              <w:t>v</w:t>
            </w:r>
          </w:p>
        </w:tc>
        <w:tc>
          <w:tcPr>
            <w:tcW w:w="3024" w:type="dxa"/>
            <w:tcBorders>
              <w:top w:val="single" w:sz="2" w:space="0" w:color="000000"/>
              <w:left w:val="single" w:sz="2" w:space="0" w:color="000000"/>
              <w:bottom w:val="single" w:sz="2" w:space="0" w:color="000000"/>
              <w:right w:val="single" w:sz="2" w:space="0" w:color="000000"/>
            </w:tcBorders>
            <w:hideMark/>
          </w:tcPr>
          <w:p w14:paraId="0A598CDF"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24AA3CB0"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035E6654" w14:textId="77777777" w:rsidR="00493105" w:rsidRPr="00BA3E97" w:rsidRDefault="00493105" w:rsidP="00A83DDF">
            <w:pPr>
              <w:pStyle w:val="TableParagraph"/>
              <w:spacing w:before="1" w:line="233" w:lineRule="exact"/>
              <w:jc w:val="both"/>
              <w:rPr>
                <w:lang w:val="sr-Latn-ME"/>
              </w:rPr>
            </w:pPr>
            <w:r w:rsidRPr="00BA3E97">
              <w:rPr>
                <w:lang w:val="sr-Latn-ME"/>
              </w:rPr>
              <w:t>Bol</w:t>
            </w:r>
            <w:r w:rsidRPr="00BA3E97">
              <w:rPr>
                <w:spacing w:val="-4"/>
                <w:lang w:val="sr-Latn-ME"/>
              </w:rPr>
              <w:t xml:space="preserve"> </w:t>
            </w:r>
            <w:r w:rsidRPr="00BA3E97">
              <w:rPr>
                <w:lang w:val="sr-Latn-ME"/>
              </w:rPr>
              <w:t>u</w:t>
            </w:r>
            <w:r w:rsidRPr="00BA3E97">
              <w:rPr>
                <w:spacing w:val="-3"/>
                <w:lang w:val="sr-Latn-ME"/>
              </w:rPr>
              <w:t xml:space="preserve"> </w:t>
            </w:r>
            <w:r w:rsidRPr="00BA3E97">
              <w:rPr>
                <w:lang w:val="sr-Latn-ME"/>
              </w:rPr>
              <w:t>abdomenu,</w:t>
            </w:r>
            <w:r w:rsidRPr="00BA3E97">
              <w:rPr>
                <w:spacing w:val="-4"/>
                <w:lang w:val="sr-Latn-ME"/>
              </w:rPr>
              <w:t xml:space="preserve"> </w:t>
            </w:r>
            <w:r w:rsidRPr="00BA3E97">
              <w:rPr>
                <w:lang w:val="sr-Latn-ME"/>
              </w:rPr>
              <w:t>uključujući</w:t>
            </w:r>
            <w:r w:rsidRPr="00BA3E97">
              <w:rPr>
                <w:spacing w:val="-3"/>
                <w:lang w:val="sr-Latn-ME"/>
              </w:rPr>
              <w:t xml:space="preserve"> </w:t>
            </w:r>
            <w:r w:rsidRPr="00BA3E97">
              <w:rPr>
                <w:lang w:val="sr-Latn-ME"/>
              </w:rPr>
              <w:t>gornji</w:t>
            </w:r>
            <w:r w:rsidRPr="00BA3E97">
              <w:rPr>
                <w:spacing w:val="-3"/>
                <w:lang w:val="sr-Latn-ME"/>
              </w:rPr>
              <w:t xml:space="preserve"> </w:t>
            </w:r>
            <w:r w:rsidRPr="00BA3E97">
              <w:rPr>
                <w:spacing w:val="-5"/>
                <w:lang w:val="sr-Latn-ME"/>
              </w:rPr>
              <w:t>dio</w:t>
            </w:r>
          </w:p>
        </w:tc>
        <w:tc>
          <w:tcPr>
            <w:tcW w:w="3024" w:type="dxa"/>
            <w:tcBorders>
              <w:top w:val="single" w:sz="2" w:space="0" w:color="000000"/>
              <w:left w:val="single" w:sz="2" w:space="0" w:color="000000"/>
              <w:bottom w:val="single" w:sz="2" w:space="0" w:color="000000"/>
              <w:right w:val="single" w:sz="2" w:space="0" w:color="000000"/>
            </w:tcBorders>
            <w:hideMark/>
          </w:tcPr>
          <w:p w14:paraId="57885824" w14:textId="77777777" w:rsidR="00493105" w:rsidRPr="00BA3E97" w:rsidRDefault="00493105" w:rsidP="00A83DDF">
            <w:pPr>
              <w:pStyle w:val="TableParagraph"/>
              <w:spacing w:before="1" w:line="233" w:lineRule="exact"/>
              <w:ind w:left="108"/>
              <w:jc w:val="both"/>
              <w:rPr>
                <w:lang w:val="sr-Latn-ME"/>
              </w:rPr>
            </w:pPr>
            <w:r w:rsidRPr="00BA3E97">
              <w:rPr>
                <w:spacing w:val="-2"/>
                <w:lang w:val="sr-Latn-ME"/>
              </w:rPr>
              <w:t>Često</w:t>
            </w:r>
          </w:p>
        </w:tc>
      </w:tr>
      <w:tr w:rsidR="00493105" w:rsidRPr="00BA3E97" w14:paraId="4E0D05CD"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31E6FD16" w14:textId="77777777" w:rsidR="00493105" w:rsidRPr="00BA3E97" w:rsidRDefault="00493105" w:rsidP="00A83DDF">
            <w:pPr>
              <w:pStyle w:val="TableParagraph"/>
              <w:spacing w:line="232" w:lineRule="exact"/>
              <w:jc w:val="both"/>
              <w:rPr>
                <w:lang w:val="sr-Latn-ME"/>
              </w:rPr>
            </w:pPr>
            <w:r w:rsidRPr="00BA3E97">
              <w:rPr>
                <w:spacing w:val="-2"/>
                <w:lang w:val="sr-Latn-ME"/>
              </w:rPr>
              <w:t>Povraćanje</w:t>
            </w:r>
          </w:p>
        </w:tc>
        <w:tc>
          <w:tcPr>
            <w:tcW w:w="3024" w:type="dxa"/>
            <w:tcBorders>
              <w:top w:val="single" w:sz="2" w:space="0" w:color="000000"/>
              <w:left w:val="single" w:sz="2" w:space="0" w:color="000000"/>
              <w:bottom w:val="single" w:sz="2" w:space="0" w:color="000000"/>
              <w:right w:val="single" w:sz="2" w:space="0" w:color="000000"/>
            </w:tcBorders>
            <w:hideMark/>
          </w:tcPr>
          <w:p w14:paraId="058803F8"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5E662116"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64A478F7" w14:textId="77777777" w:rsidR="00493105" w:rsidRPr="00BA3E97" w:rsidRDefault="00493105" w:rsidP="00A83DDF">
            <w:pPr>
              <w:pStyle w:val="TableParagraph"/>
              <w:spacing w:before="1" w:line="233" w:lineRule="exact"/>
              <w:jc w:val="both"/>
              <w:rPr>
                <w:lang w:val="sr-Latn-ME"/>
              </w:rPr>
            </w:pPr>
            <w:r w:rsidRPr="00BA3E97">
              <w:rPr>
                <w:spacing w:val="-2"/>
                <w:lang w:val="sr-Latn-ME"/>
              </w:rPr>
              <w:t>Flatulencija</w:t>
            </w:r>
          </w:p>
        </w:tc>
        <w:tc>
          <w:tcPr>
            <w:tcW w:w="3024" w:type="dxa"/>
            <w:tcBorders>
              <w:top w:val="single" w:sz="2" w:space="0" w:color="000000"/>
              <w:left w:val="single" w:sz="2" w:space="0" w:color="000000"/>
              <w:bottom w:val="single" w:sz="2" w:space="0" w:color="000000"/>
              <w:right w:val="single" w:sz="2" w:space="0" w:color="000000"/>
            </w:tcBorders>
            <w:hideMark/>
          </w:tcPr>
          <w:p w14:paraId="14C1805D" w14:textId="77777777" w:rsidR="00493105" w:rsidRPr="00BA3E97" w:rsidRDefault="00493105" w:rsidP="00A83DDF">
            <w:pPr>
              <w:pStyle w:val="TableParagraph"/>
              <w:spacing w:before="1" w:line="233" w:lineRule="exact"/>
              <w:ind w:left="108"/>
              <w:jc w:val="both"/>
              <w:rPr>
                <w:lang w:val="sr-Latn-ME"/>
              </w:rPr>
            </w:pPr>
            <w:r w:rsidRPr="00BA3E97">
              <w:rPr>
                <w:lang w:val="sr-Latn-ME"/>
              </w:rPr>
              <w:t>Manje</w:t>
            </w:r>
            <w:r w:rsidRPr="00BA3E97">
              <w:rPr>
                <w:spacing w:val="-9"/>
                <w:lang w:val="sr-Latn-ME"/>
              </w:rPr>
              <w:t xml:space="preserve"> </w:t>
            </w:r>
            <w:r w:rsidRPr="00BA3E97">
              <w:rPr>
                <w:spacing w:val="-2"/>
                <w:lang w:val="sr-Latn-ME"/>
              </w:rPr>
              <w:t>često</w:t>
            </w:r>
          </w:p>
        </w:tc>
      </w:tr>
      <w:tr w:rsidR="00493105" w:rsidRPr="00BA3E97" w14:paraId="4E4C2E07"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0F1036C4" w14:textId="77777777" w:rsidR="00493105" w:rsidRPr="00BA3E97" w:rsidRDefault="00493105" w:rsidP="00A83DDF">
            <w:pPr>
              <w:pStyle w:val="TableParagraph"/>
              <w:spacing w:line="232" w:lineRule="exact"/>
              <w:jc w:val="both"/>
              <w:rPr>
                <w:lang w:val="sr-Latn-ME"/>
              </w:rPr>
            </w:pPr>
            <w:r w:rsidRPr="00BA3E97">
              <w:rPr>
                <w:spacing w:val="-2"/>
                <w:lang w:val="sr-Latn-ME"/>
              </w:rPr>
              <w:t>Pankreatitis</w:t>
            </w:r>
          </w:p>
        </w:tc>
        <w:tc>
          <w:tcPr>
            <w:tcW w:w="3024" w:type="dxa"/>
            <w:tcBorders>
              <w:top w:val="single" w:sz="2" w:space="0" w:color="000000"/>
              <w:left w:val="single" w:sz="2" w:space="0" w:color="000000"/>
              <w:bottom w:val="single" w:sz="2" w:space="0" w:color="000000"/>
              <w:right w:val="single" w:sz="2" w:space="0" w:color="000000"/>
            </w:tcBorders>
            <w:hideMark/>
          </w:tcPr>
          <w:p w14:paraId="7C11B4A6"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Rijetko</w:t>
            </w:r>
          </w:p>
        </w:tc>
      </w:tr>
      <w:tr w:rsidR="00493105" w:rsidRPr="00BA3E97" w14:paraId="0AC7199F" w14:textId="77777777" w:rsidTr="00493105">
        <w:trPr>
          <w:trHeight w:val="254"/>
        </w:trPr>
        <w:tc>
          <w:tcPr>
            <w:tcW w:w="9279" w:type="dxa"/>
            <w:gridSpan w:val="2"/>
            <w:tcBorders>
              <w:top w:val="single" w:sz="2" w:space="0" w:color="000000"/>
              <w:left w:val="single" w:sz="2" w:space="0" w:color="000000"/>
              <w:bottom w:val="single" w:sz="2" w:space="0" w:color="000000"/>
              <w:right w:val="single" w:sz="2" w:space="0" w:color="000000"/>
            </w:tcBorders>
            <w:hideMark/>
          </w:tcPr>
          <w:p w14:paraId="5B8EA7C5" w14:textId="77777777" w:rsidR="00493105" w:rsidRPr="00BA3E97" w:rsidRDefault="00493105" w:rsidP="00A83DDF">
            <w:pPr>
              <w:pStyle w:val="TableParagraph"/>
              <w:spacing w:before="1" w:line="233" w:lineRule="exact"/>
              <w:jc w:val="both"/>
              <w:rPr>
                <w:b/>
                <w:lang w:val="sr-Latn-ME"/>
              </w:rPr>
            </w:pPr>
            <w:r w:rsidRPr="00BA3E97">
              <w:rPr>
                <w:b/>
                <w:lang w:val="sr-Latn-ME"/>
              </w:rPr>
              <w:t>Poremećaji</w:t>
            </w:r>
            <w:r w:rsidRPr="00BA3E97">
              <w:rPr>
                <w:b/>
                <w:spacing w:val="-13"/>
                <w:lang w:val="sr-Latn-ME"/>
              </w:rPr>
              <w:t xml:space="preserve"> </w:t>
            </w:r>
            <w:r w:rsidRPr="00BA3E97">
              <w:rPr>
                <w:b/>
                <w:lang w:val="sr-Latn-ME"/>
              </w:rPr>
              <w:t>jetre</w:t>
            </w:r>
            <w:r w:rsidRPr="00BA3E97">
              <w:rPr>
                <w:b/>
                <w:spacing w:val="-8"/>
                <w:lang w:val="sr-Latn-ME"/>
              </w:rPr>
              <w:t xml:space="preserve"> </w:t>
            </w:r>
            <w:r w:rsidRPr="00BA3E97">
              <w:rPr>
                <w:b/>
                <w:lang w:val="sr-Latn-ME"/>
              </w:rPr>
              <w:t>i</w:t>
            </w:r>
            <w:r w:rsidRPr="00BA3E97">
              <w:rPr>
                <w:b/>
                <w:spacing w:val="-10"/>
                <w:lang w:val="sr-Latn-ME"/>
              </w:rPr>
              <w:t xml:space="preserve"> </w:t>
            </w:r>
            <w:r w:rsidRPr="00BA3E97">
              <w:rPr>
                <w:b/>
                <w:spacing w:val="-4"/>
                <w:lang w:val="sr-Latn-ME"/>
              </w:rPr>
              <w:t>žuči</w:t>
            </w:r>
          </w:p>
        </w:tc>
      </w:tr>
      <w:tr w:rsidR="00493105" w:rsidRPr="00BA3E97" w14:paraId="1D6D48CC"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132E8F34" w14:textId="77777777" w:rsidR="00493105" w:rsidRPr="00BA3E97" w:rsidRDefault="00493105" w:rsidP="00A83DDF">
            <w:pPr>
              <w:pStyle w:val="TableParagraph"/>
              <w:spacing w:line="232" w:lineRule="exact"/>
              <w:jc w:val="both"/>
              <w:rPr>
                <w:lang w:val="sr-Latn-ME"/>
              </w:rPr>
            </w:pPr>
            <w:r w:rsidRPr="00BA3E97">
              <w:rPr>
                <w:spacing w:val="-2"/>
                <w:lang w:val="sr-Latn-ME"/>
              </w:rPr>
              <w:t>Hepatitis</w:t>
            </w:r>
          </w:p>
        </w:tc>
        <w:tc>
          <w:tcPr>
            <w:tcW w:w="3024" w:type="dxa"/>
            <w:tcBorders>
              <w:top w:val="single" w:sz="2" w:space="0" w:color="000000"/>
              <w:left w:val="single" w:sz="2" w:space="0" w:color="000000"/>
              <w:bottom w:val="single" w:sz="2" w:space="0" w:color="000000"/>
              <w:right w:val="single" w:sz="2" w:space="0" w:color="000000"/>
            </w:tcBorders>
            <w:hideMark/>
          </w:tcPr>
          <w:p w14:paraId="7C387855"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Nepoznato*</w:t>
            </w:r>
          </w:p>
        </w:tc>
      </w:tr>
      <w:tr w:rsidR="00493105" w:rsidRPr="00BA3E97" w14:paraId="670EE529" w14:textId="77777777" w:rsidTr="00493105">
        <w:trPr>
          <w:trHeight w:val="254"/>
        </w:trPr>
        <w:tc>
          <w:tcPr>
            <w:tcW w:w="9279" w:type="dxa"/>
            <w:gridSpan w:val="2"/>
            <w:tcBorders>
              <w:top w:val="single" w:sz="2" w:space="0" w:color="000000"/>
              <w:left w:val="single" w:sz="2" w:space="0" w:color="000000"/>
              <w:bottom w:val="single" w:sz="2" w:space="0" w:color="000000"/>
              <w:right w:val="single" w:sz="2" w:space="0" w:color="000000"/>
            </w:tcBorders>
            <w:hideMark/>
          </w:tcPr>
          <w:p w14:paraId="048E6D97" w14:textId="77777777" w:rsidR="00493105" w:rsidRPr="00BA3E97" w:rsidRDefault="00493105" w:rsidP="00A83DDF">
            <w:pPr>
              <w:pStyle w:val="TableParagraph"/>
              <w:spacing w:before="1" w:line="233" w:lineRule="exact"/>
              <w:jc w:val="both"/>
              <w:rPr>
                <w:b/>
                <w:lang w:val="sr-Latn-ME"/>
              </w:rPr>
            </w:pPr>
            <w:r w:rsidRPr="00BA3E97">
              <w:rPr>
                <w:b/>
                <w:lang w:val="sr-Latn-ME"/>
              </w:rPr>
              <w:t>Poremećaji</w:t>
            </w:r>
            <w:r w:rsidRPr="00BA3E97">
              <w:rPr>
                <w:b/>
                <w:spacing w:val="-11"/>
                <w:lang w:val="sr-Latn-ME"/>
              </w:rPr>
              <w:t xml:space="preserve"> </w:t>
            </w:r>
            <w:r w:rsidRPr="00BA3E97">
              <w:rPr>
                <w:b/>
                <w:lang w:val="sr-Latn-ME"/>
              </w:rPr>
              <w:t>kože</w:t>
            </w:r>
            <w:r w:rsidRPr="00BA3E97">
              <w:rPr>
                <w:b/>
                <w:spacing w:val="-12"/>
                <w:lang w:val="sr-Latn-ME"/>
              </w:rPr>
              <w:t xml:space="preserve"> </w:t>
            </w:r>
            <w:r w:rsidRPr="00BA3E97">
              <w:rPr>
                <w:b/>
                <w:lang w:val="sr-Latn-ME"/>
              </w:rPr>
              <w:t>i</w:t>
            </w:r>
            <w:r w:rsidRPr="00BA3E97">
              <w:rPr>
                <w:b/>
                <w:spacing w:val="-10"/>
                <w:lang w:val="sr-Latn-ME"/>
              </w:rPr>
              <w:t xml:space="preserve"> </w:t>
            </w:r>
            <w:r w:rsidRPr="00BA3E97">
              <w:rPr>
                <w:b/>
                <w:lang w:val="sr-Latn-ME"/>
              </w:rPr>
              <w:t>potkožnog</w:t>
            </w:r>
            <w:r w:rsidRPr="00BA3E97">
              <w:rPr>
                <w:b/>
                <w:spacing w:val="-12"/>
                <w:lang w:val="sr-Latn-ME"/>
              </w:rPr>
              <w:t xml:space="preserve"> </w:t>
            </w:r>
            <w:r w:rsidRPr="00BA3E97">
              <w:rPr>
                <w:b/>
                <w:spacing w:val="-4"/>
                <w:lang w:val="sr-Latn-ME"/>
              </w:rPr>
              <w:t>tkiva</w:t>
            </w:r>
          </w:p>
        </w:tc>
      </w:tr>
      <w:tr w:rsidR="00493105" w:rsidRPr="00BA3E97" w14:paraId="34732029"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417A55A6" w14:textId="77777777" w:rsidR="00493105" w:rsidRPr="00BA3E97" w:rsidRDefault="00493105" w:rsidP="00A83DDF">
            <w:pPr>
              <w:pStyle w:val="TableParagraph"/>
              <w:spacing w:line="232" w:lineRule="exact"/>
              <w:jc w:val="both"/>
              <w:rPr>
                <w:lang w:val="sr-Latn-ME"/>
              </w:rPr>
            </w:pPr>
            <w:r w:rsidRPr="00BA3E97">
              <w:rPr>
                <w:spacing w:val="-2"/>
                <w:lang w:val="sr-Latn-ME"/>
              </w:rPr>
              <w:t>Hiperhidroza</w:t>
            </w:r>
          </w:p>
        </w:tc>
        <w:tc>
          <w:tcPr>
            <w:tcW w:w="3024" w:type="dxa"/>
            <w:tcBorders>
              <w:top w:val="single" w:sz="2" w:space="0" w:color="000000"/>
              <w:left w:val="single" w:sz="2" w:space="0" w:color="000000"/>
              <w:bottom w:val="single" w:sz="2" w:space="0" w:color="000000"/>
              <w:right w:val="single" w:sz="2" w:space="0" w:color="000000"/>
            </w:tcBorders>
            <w:hideMark/>
          </w:tcPr>
          <w:p w14:paraId="0D348F89"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7E7074B5"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3FA590DF" w14:textId="77777777" w:rsidR="00493105" w:rsidRPr="00BA3E97" w:rsidRDefault="00493105" w:rsidP="00A83DDF">
            <w:pPr>
              <w:pStyle w:val="TableParagraph"/>
              <w:spacing w:line="234" w:lineRule="exact"/>
              <w:jc w:val="both"/>
              <w:rPr>
                <w:lang w:val="sr-Latn-ME"/>
              </w:rPr>
            </w:pPr>
            <w:r w:rsidRPr="00BA3E97">
              <w:rPr>
                <w:spacing w:val="-4"/>
                <w:lang w:val="sr-Latn-ME"/>
              </w:rPr>
              <w:t>Osip</w:t>
            </w:r>
          </w:p>
        </w:tc>
        <w:tc>
          <w:tcPr>
            <w:tcW w:w="3024" w:type="dxa"/>
            <w:tcBorders>
              <w:top w:val="single" w:sz="2" w:space="0" w:color="000000"/>
              <w:left w:val="single" w:sz="2" w:space="0" w:color="000000"/>
              <w:bottom w:val="single" w:sz="2" w:space="0" w:color="000000"/>
              <w:right w:val="single" w:sz="2" w:space="0" w:color="000000"/>
            </w:tcBorders>
            <w:hideMark/>
          </w:tcPr>
          <w:p w14:paraId="4DB39BE5" w14:textId="77777777" w:rsidR="00493105" w:rsidRPr="00BA3E97" w:rsidRDefault="00493105" w:rsidP="00A83DDF">
            <w:pPr>
              <w:pStyle w:val="TableParagraph"/>
              <w:spacing w:line="234" w:lineRule="exact"/>
              <w:ind w:left="108"/>
              <w:jc w:val="both"/>
              <w:rPr>
                <w:lang w:val="sr-Latn-ME"/>
              </w:rPr>
            </w:pPr>
            <w:r w:rsidRPr="00BA3E97">
              <w:rPr>
                <w:spacing w:val="-2"/>
                <w:lang w:val="sr-Latn-ME"/>
              </w:rPr>
              <w:t>Često</w:t>
            </w:r>
          </w:p>
        </w:tc>
      </w:tr>
      <w:tr w:rsidR="00493105" w:rsidRPr="00BA3E97" w14:paraId="38267F3B"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3B3A3FC3" w14:textId="3633FB1A" w:rsidR="00493105" w:rsidRPr="00BA3E97" w:rsidRDefault="00493105" w:rsidP="00A83DDF">
            <w:pPr>
              <w:pStyle w:val="TableParagraph"/>
              <w:spacing w:line="232" w:lineRule="exact"/>
              <w:jc w:val="both"/>
              <w:rPr>
                <w:lang w:val="sr-Latn-ME"/>
              </w:rPr>
            </w:pPr>
            <w:r w:rsidRPr="00BA3E97">
              <w:rPr>
                <w:spacing w:val="-2"/>
                <w:lang w:val="sr-Latn-ME"/>
              </w:rPr>
              <w:t>Sv</w:t>
            </w:r>
            <w:r w:rsidR="00FE084E" w:rsidRPr="00BA3E97">
              <w:rPr>
                <w:spacing w:val="-2"/>
                <w:lang w:val="sr-Latn-ME"/>
              </w:rPr>
              <w:t>rab</w:t>
            </w:r>
          </w:p>
        </w:tc>
        <w:tc>
          <w:tcPr>
            <w:tcW w:w="3024" w:type="dxa"/>
            <w:tcBorders>
              <w:top w:val="single" w:sz="2" w:space="0" w:color="000000"/>
              <w:left w:val="single" w:sz="2" w:space="0" w:color="000000"/>
              <w:bottom w:val="single" w:sz="2" w:space="0" w:color="000000"/>
              <w:right w:val="single" w:sz="2" w:space="0" w:color="000000"/>
            </w:tcBorders>
            <w:hideMark/>
          </w:tcPr>
          <w:p w14:paraId="44ACE6FE"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11FCFF6F"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37EBD5EC" w14:textId="77777777" w:rsidR="00493105" w:rsidRPr="00BA3E97" w:rsidRDefault="00493105" w:rsidP="00A83DDF">
            <w:pPr>
              <w:pStyle w:val="TableParagraph"/>
              <w:spacing w:line="234" w:lineRule="exact"/>
              <w:jc w:val="both"/>
              <w:rPr>
                <w:lang w:val="sr-Latn-ME"/>
              </w:rPr>
            </w:pPr>
            <w:r w:rsidRPr="00BA3E97">
              <w:rPr>
                <w:spacing w:val="-2"/>
                <w:lang w:val="sr-Latn-ME"/>
              </w:rPr>
              <w:t>Dermatitis</w:t>
            </w:r>
          </w:p>
        </w:tc>
        <w:tc>
          <w:tcPr>
            <w:tcW w:w="3024" w:type="dxa"/>
            <w:tcBorders>
              <w:top w:val="single" w:sz="2" w:space="0" w:color="000000"/>
              <w:left w:val="single" w:sz="2" w:space="0" w:color="000000"/>
              <w:bottom w:val="single" w:sz="2" w:space="0" w:color="000000"/>
              <w:right w:val="single" w:sz="2" w:space="0" w:color="000000"/>
            </w:tcBorders>
            <w:hideMark/>
          </w:tcPr>
          <w:p w14:paraId="6D7A9041" w14:textId="77777777" w:rsidR="00493105" w:rsidRPr="00BA3E97" w:rsidRDefault="00493105" w:rsidP="00A83DDF">
            <w:pPr>
              <w:pStyle w:val="TableParagraph"/>
              <w:spacing w:line="234" w:lineRule="exact"/>
              <w:ind w:left="108"/>
              <w:jc w:val="both"/>
              <w:rPr>
                <w:lang w:val="sr-Latn-ME"/>
              </w:rPr>
            </w:pPr>
            <w:r w:rsidRPr="00BA3E97">
              <w:rPr>
                <w:spacing w:val="-2"/>
                <w:lang w:val="sr-Latn-ME"/>
              </w:rPr>
              <w:t>Često</w:t>
            </w:r>
          </w:p>
        </w:tc>
      </w:tr>
      <w:tr w:rsidR="00493105" w:rsidRPr="00BA3E97" w14:paraId="07370BA5"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31DFF581" w14:textId="77777777" w:rsidR="00493105" w:rsidRPr="00BA3E97" w:rsidRDefault="00493105" w:rsidP="00A83DDF">
            <w:pPr>
              <w:pStyle w:val="TableParagraph"/>
              <w:spacing w:line="232" w:lineRule="exact"/>
              <w:jc w:val="both"/>
              <w:rPr>
                <w:lang w:val="sr-Latn-ME"/>
              </w:rPr>
            </w:pPr>
            <w:r w:rsidRPr="00BA3E97">
              <w:rPr>
                <w:spacing w:val="-2"/>
                <w:lang w:val="sr-Latn-ME"/>
              </w:rPr>
              <w:t>Urtikarija</w:t>
            </w:r>
          </w:p>
        </w:tc>
        <w:tc>
          <w:tcPr>
            <w:tcW w:w="3024" w:type="dxa"/>
            <w:tcBorders>
              <w:top w:val="single" w:sz="2" w:space="0" w:color="000000"/>
              <w:left w:val="single" w:sz="2" w:space="0" w:color="000000"/>
              <w:bottom w:val="single" w:sz="2" w:space="0" w:color="000000"/>
              <w:right w:val="single" w:sz="2" w:space="0" w:color="000000"/>
            </w:tcBorders>
            <w:hideMark/>
          </w:tcPr>
          <w:p w14:paraId="77DA27D5" w14:textId="77777777" w:rsidR="00493105" w:rsidRPr="00BA3E97" w:rsidRDefault="00493105" w:rsidP="00A83DDF">
            <w:pPr>
              <w:pStyle w:val="TableParagraph"/>
              <w:spacing w:line="232" w:lineRule="exact"/>
              <w:ind w:left="108"/>
              <w:jc w:val="both"/>
              <w:rPr>
                <w:lang w:val="sr-Latn-ME"/>
              </w:rPr>
            </w:pPr>
            <w:r w:rsidRPr="00BA3E97">
              <w:rPr>
                <w:lang w:val="sr-Latn-ME"/>
              </w:rPr>
              <w:t>Manje</w:t>
            </w:r>
            <w:r w:rsidRPr="00BA3E97">
              <w:rPr>
                <w:spacing w:val="-9"/>
                <w:lang w:val="sr-Latn-ME"/>
              </w:rPr>
              <w:t xml:space="preserve"> </w:t>
            </w:r>
            <w:r w:rsidRPr="00BA3E97">
              <w:rPr>
                <w:spacing w:val="-2"/>
                <w:lang w:val="sr-Latn-ME"/>
              </w:rPr>
              <w:t>često</w:t>
            </w:r>
          </w:p>
        </w:tc>
      </w:tr>
      <w:tr w:rsidR="00493105" w:rsidRPr="00BA3E97" w14:paraId="2974C0CC"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65C676C1" w14:textId="77777777" w:rsidR="00493105" w:rsidRPr="00BA3E97" w:rsidRDefault="00493105" w:rsidP="00A83DDF">
            <w:pPr>
              <w:pStyle w:val="TableParagraph"/>
              <w:spacing w:line="234" w:lineRule="exact"/>
              <w:jc w:val="both"/>
              <w:rPr>
                <w:lang w:val="sr-Latn-ME"/>
              </w:rPr>
            </w:pPr>
            <w:r w:rsidRPr="00BA3E97">
              <w:rPr>
                <w:lang w:val="sr-Latn-ME"/>
              </w:rPr>
              <w:t>Eksfolijativne</w:t>
            </w:r>
            <w:r w:rsidRPr="00BA3E97">
              <w:rPr>
                <w:spacing w:val="-8"/>
                <w:lang w:val="sr-Latn-ME"/>
              </w:rPr>
              <w:t xml:space="preserve"> </w:t>
            </w:r>
            <w:r w:rsidRPr="00BA3E97">
              <w:rPr>
                <w:lang w:val="sr-Latn-ME"/>
              </w:rPr>
              <w:t>i</w:t>
            </w:r>
            <w:r w:rsidRPr="00BA3E97">
              <w:rPr>
                <w:spacing w:val="-7"/>
                <w:lang w:val="sr-Latn-ME"/>
              </w:rPr>
              <w:t xml:space="preserve"> </w:t>
            </w:r>
            <w:r w:rsidRPr="00BA3E97">
              <w:rPr>
                <w:lang w:val="sr-Latn-ME"/>
              </w:rPr>
              <w:t>bulozne</w:t>
            </w:r>
            <w:r w:rsidRPr="00BA3E97">
              <w:rPr>
                <w:spacing w:val="-5"/>
                <w:lang w:val="sr-Latn-ME"/>
              </w:rPr>
              <w:t xml:space="preserve"> </w:t>
            </w:r>
            <w:r w:rsidRPr="00BA3E97">
              <w:rPr>
                <w:lang w:val="sr-Latn-ME"/>
              </w:rPr>
              <w:t>kožne</w:t>
            </w:r>
            <w:r w:rsidRPr="00BA3E97">
              <w:rPr>
                <w:spacing w:val="-5"/>
                <w:lang w:val="sr-Latn-ME"/>
              </w:rPr>
              <w:t xml:space="preserve"> </w:t>
            </w:r>
            <w:r w:rsidRPr="00BA3E97">
              <w:rPr>
                <w:lang w:val="sr-Latn-ME"/>
              </w:rPr>
              <w:t>lezije,</w:t>
            </w:r>
            <w:r w:rsidRPr="00BA3E97">
              <w:rPr>
                <w:spacing w:val="-7"/>
                <w:lang w:val="sr-Latn-ME"/>
              </w:rPr>
              <w:t xml:space="preserve"> </w:t>
            </w:r>
            <w:r w:rsidRPr="00BA3E97">
              <w:rPr>
                <w:lang w:val="sr-Latn-ME"/>
              </w:rPr>
              <w:t>uključujući</w:t>
            </w:r>
            <w:r w:rsidRPr="00BA3E97">
              <w:rPr>
                <w:spacing w:val="-4"/>
                <w:lang w:val="sr-Latn-ME"/>
              </w:rPr>
              <w:t xml:space="preserve"> </w:t>
            </w:r>
            <w:r w:rsidRPr="00BA3E97">
              <w:rPr>
                <w:lang w:val="sr-Latn-ME"/>
              </w:rPr>
              <w:t>bulozni</w:t>
            </w:r>
            <w:r w:rsidRPr="00BA3E97">
              <w:rPr>
                <w:spacing w:val="-4"/>
                <w:lang w:val="sr-Latn-ME"/>
              </w:rPr>
              <w:t xml:space="preserve"> </w:t>
            </w:r>
            <w:r w:rsidRPr="00BA3E97">
              <w:rPr>
                <w:spacing w:val="-2"/>
                <w:lang w:val="sr-Latn-ME"/>
              </w:rPr>
              <w:t>pemfigoid</w:t>
            </w:r>
          </w:p>
        </w:tc>
        <w:tc>
          <w:tcPr>
            <w:tcW w:w="3024" w:type="dxa"/>
            <w:tcBorders>
              <w:top w:val="single" w:sz="2" w:space="0" w:color="000000"/>
              <w:left w:val="single" w:sz="2" w:space="0" w:color="000000"/>
              <w:bottom w:val="single" w:sz="2" w:space="0" w:color="000000"/>
              <w:right w:val="single" w:sz="2" w:space="0" w:color="000000"/>
            </w:tcBorders>
            <w:hideMark/>
          </w:tcPr>
          <w:p w14:paraId="09C6C4B3" w14:textId="77777777" w:rsidR="00493105" w:rsidRPr="00BA3E97" w:rsidRDefault="00493105" w:rsidP="00A83DDF">
            <w:pPr>
              <w:pStyle w:val="TableParagraph"/>
              <w:spacing w:line="234" w:lineRule="exact"/>
              <w:ind w:left="108"/>
              <w:jc w:val="both"/>
              <w:rPr>
                <w:lang w:val="sr-Latn-ME"/>
              </w:rPr>
            </w:pPr>
            <w:r w:rsidRPr="00BA3E97">
              <w:rPr>
                <w:spacing w:val="-2"/>
                <w:lang w:val="sr-Latn-ME"/>
              </w:rPr>
              <w:t>Nepoznato*</w:t>
            </w:r>
          </w:p>
        </w:tc>
      </w:tr>
      <w:tr w:rsidR="00493105" w:rsidRPr="00BA3E97" w14:paraId="3086F93A"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7F152DAB" w14:textId="77777777" w:rsidR="00493105" w:rsidRPr="00BA3E97" w:rsidRDefault="00493105" w:rsidP="00A83DDF">
            <w:pPr>
              <w:pStyle w:val="TableParagraph"/>
              <w:spacing w:line="232" w:lineRule="exact"/>
              <w:jc w:val="both"/>
              <w:rPr>
                <w:lang w:val="sr-Latn-ME"/>
              </w:rPr>
            </w:pPr>
            <w:r w:rsidRPr="00BA3E97">
              <w:rPr>
                <w:lang w:val="sr-Latn-ME"/>
              </w:rPr>
              <w:t>Kožni</w:t>
            </w:r>
            <w:r w:rsidRPr="00BA3E97">
              <w:rPr>
                <w:spacing w:val="-1"/>
                <w:lang w:val="sr-Latn-ME"/>
              </w:rPr>
              <w:t xml:space="preserve"> </w:t>
            </w:r>
            <w:r w:rsidRPr="00BA3E97">
              <w:rPr>
                <w:spacing w:val="-2"/>
                <w:lang w:val="sr-Latn-ME"/>
              </w:rPr>
              <w:t>vaskulitis</w:t>
            </w:r>
          </w:p>
        </w:tc>
        <w:tc>
          <w:tcPr>
            <w:tcW w:w="3024" w:type="dxa"/>
            <w:tcBorders>
              <w:top w:val="single" w:sz="2" w:space="0" w:color="000000"/>
              <w:left w:val="single" w:sz="2" w:space="0" w:color="000000"/>
              <w:bottom w:val="single" w:sz="2" w:space="0" w:color="000000"/>
              <w:right w:val="single" w:sz="2" w:space="0" w:color="000000"/>
            </w:tcBorders>
            <w:hideMark/>
          </w:tcPr>
          <w:p w14:paraId="6A85F7F9"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Nepoznato*</w:t>
            </w:r>
          </w:p>
        </w:tc>
      </w:tr>
      <w:tr w:rsidR="00493105" w:rsidRPr="00BA3E97" w14:paraId="2BE5B877" w14:textId="77777777" w:rsidTr="00493105">
        <w:trPr>
          <w:trHeight w:val="254"/>
        </w:trPr>
        <w:tc>
          <w:tcPr>
            <w:tcW w:w="9279" w:type="dxa"/>
            <w:gridSpan w:val="2"/>
            <w:tcBorders>
              <w:top w:val="single" w:sz="2" w:space="0" w:color="000000"/>
              <w:left w:val="single" w:sz="2" w:space="0" w:color="000000"/>
              <w:bottom w:val="single" w:sz="2" w:space="0" w:color="000000"/>
              <w:right w:val="single" w:sz="2" w:space="0" w:color="000000"/>
            </w:tcBorders>
            <w:hideMark/>
          </w:tcPr>
          <w:p w14:paraId="451403E1" w14:textId="6C9E26DD" w:rsidR="00493105" w:rsidRPr="00BA3E97" w:rsidRDefault="00493105" w:rsidP="00A83DDF">
            <w:pPr>
              <w:pStyle w:val="TableParagraph"/>
              <w:spacing w:line="234" w:lineRule="exact"/>
              <w:jc w:val="both"/>
              <w:rPr>
                <w:b/>
                <w:lang w:val="sr-Latn-ME"/>
              </w:rPr>
            </w:pPr>
            <w:r w:rsidRPr="00BA3E97">
              <w:rPr>
                <w:b/>
                <w:spacing w:val="-2"/>
                <w:lang w:val="sr-Latn-ME"/>
              </w:rPr>
              <w:t>Poremećaji mišićno-koštanog</w:t>
            </w:r>
            <w:r w:rsidRPr="00BA3E97">
              <w:rPr>
                <w:b/>
                <w:lang w:val="sr-Latn-ME"/>
              </w:rPr>
              <w:t xml:space="preserve"> </w:t>
            </w:r>
            <w:r w:rsidRPr="00BA3E97">
              <w:rPr>
                <w:b/>
                <w:spacing w:val="-2"/>
                <w:lang w:val="sr-Latn-ME"/>
              </w:rPr>
              <w:t>s</w:t>
            </w:r>
            <w:r w:rsidR="00066FCA" w:rsidRPr="00BA3E97">
              <w:rPr>
                <w:b/>
                <w:spacing w:val="-2"/>
                <w:lang w:val="sr-Latn-ME"/>
              </w:rPr>
              <w:t>istema</w:t>
            </w:r>
            <w:r w:rsidRPr="00BA3E97">
              <w:rPr>
                <w:b/>
                <w:lang w:val="sr-Latn-ME"/>
              </w:rPr>
              <w:t xml:space="preserve"> </w:t>
            </w:r>
            <w:r w:rsidRPr="00BA3E97">
              <w:rPr>
                <w:b/>
                <w:spacing w:val="-2"/>
                <w:lang w:val="sr-Latn-ME"/>
              </w:rPr>
              <w:t>i</w:t>
            </w:r>
            <w:r w:rsidRPr="00BA3E97">
              <w:rPr>
                <w:b/>
                <w:spacing w:val="2"/>
                <w:lang w:val="sr-Latn-ME"/>
              </w:rPr>
              <w:t xml:space="preserve"> </w:t>
            </w:r>
            <w:r w:rsidRPr="00BA3E97">
              <w:rPr>
                <w:b/>
                <w:spacing w:val="-2"/>
                <w:lang w:val="sr-Latn-ME"/>
              </w:rPr>
              <w:t>vezivnog</w:t>
            </w:r>
            <w:r w:rsidRPr="00BA3E97">
              <w:rPr>
                <w:b/>
                <w:lang w:val="sr-Latn-ME"/>
              </w:rPr>
              <w:t xml:space="preserve"> </w:t>
            </w:r>
            <w:r w:rsidRPr="00BA3E97">
              <w:rPr>
                <w:b/>
                <w:spacing w:val="-2"/>
                <w:lang w:val="sr-Latn-ME"/>
              </w:rPr>
              <w:t>tkiva</w:t>
            </w:r>
          </w:p>
        </w:tc>
      </w:tr>
      <w:tr w:rsidR="00493105" w:rsidRPr="00BA3E97" w14:paraId="3A8B917A"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26E26C06" w14:textId="77777777" w:rsidR="00493105" w:rsidRPr="00BA3E97" w:rsidRDefault="00493105" w:rsidP="00A83DDF">
            <w:pPr>
              <w:pStyle w:val="TableParagraph"/>
              <w:spacing w:line="232" w:lineRule="exact"/>
              <w:jc w:val="both"/>
              <w:rPr>
                <w:lang w:val="sr-Latn-ME"/>
              </w:rPr>
            </w:pPr>
            <w:r w:rsidRPr="00BA3E97">
              <w:rPr>
                <w:spacing w:val="-2"/>
                <w:lang w:val="sr-Latn-ME"/>
              </w:rPr>
              <w:t>Artralgija</w:t>
            </w:r>
          </w:p>
        </w:tc>
        <w:tc>
          <w:tcPr>
            <w:tcW w:w="3024" w:type="dxa"/>
            <w:tcBorders>
              <w:top w:val="single" w:sz="2" w:space="0" w:color="000000"/>
              <w:left w:val="single" w:sz="2" w:space="0" w:color="000000"/>
              <w:bottom w:val="single" w:sz="2" w:space="0" w:color="000000"/>
              <w:right w:val="single" w:sz="2" w:space="0" w:color="000000"/>
            </w:tcBorders>
            <w:hideMark/>
          </w:tcPr>
          <w:p w14:paraId="5756DDE5"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004BDF73"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1758D5C1" w14:textId="77777777" w:rsidR="00493105" w:rsidRPr="00BA3E97" w:rsidRDefault="00493105" w:rsidP="00A83DDF">
            <w:pPr>
              <w:pStyle w:val="TableParagraph"/>
              <w:spacing w:line="235" w:lineRule="exact"/>
              <w:jc w:val="both"/>
              <w:rPr>
                <w:lang w:val="sr-Latn-ME"/>
              </w:rPr>
            </w:pPr>
            <w:r w:rsidRPr="00BA3E97">
              <w:rPr>
                <w:spacing w:val="-2"/>
                <w:lang w:val="sr-Latn-ME"/>
              </w:rPr>
              <w:t>Mijalgija</w:t>
            </w:r>
          </w:p>
        </w:tc>
        <w:tc>
          <w:tcPr>
            <w:tcW w:w="3024" w:type="dxa"/>
            <w:tcBorders>
              <w:top w:val="single" w:sz="2" w:space="0" w:color="000000"/>
              <w:left w:val="single" w:sz="2" w:space="0" w:color="000000"/>
              <w:bottom w:val="single" w:sz="2" w:space="0" w:color="000000"/>
              <w:right w:val="single" w:sz="2" w:space="0" w:color="000000"/>
            </w:tcBorders>
            <w:hideMark/>
          </w:tcPr>
          <w:p w14:paraId="460D1E30" w14:textId="77777777" w:rsidR="00493105" w:rsidRPr="00BA3E97" w:rsidRDefault="00493105" w:rsidP="00A83DDF">
            <w:pPr>
              <w:pStyle w:val="TableParagraph"/>
              <w:spacing w:line="235" w:lineRule="exact"/>
              <w:ind w:left="108"/>
              <w:jc w:val="both"/>
              <w:rPr>
                <w:lang w:val="sr-Latn-ME"/>
              </w:rPr>
            </w:pPr>
            <w:r w:rsidRPr="00BA3E97">
              <w:rPr>
                <w:spacing w:val="-2"/>
                <w:lang w:val="sr-Latn-ME"/>
              </w:rPr>
              <w:t>Često</w:t>
            </w:r>
          </w:p>
        </w:tc>
      </w:tr>
      <w:tr w:rsidR="00493105" w:rsidRPr="00BA3E97" w14:paraId="0418F6A6" w14:textId="77777777" w:rsidTr="00493105">
        <w:trPr>
          <w:trHeight w:val="251"/>
        </w:trPr>
        <w:tc>
          <w:tcPr>
            <w:tcW w:w="9279" w:type="dxa"/>
            <w:gridSpan w:val="2"/>
            <w:tcBorders>
              <w:top w:val="single" w:sz="2" w:space="0" w:color="000000"/>
              <w:left w:val="single" w:sz="2" w:space="0" w:color="000000"/>
              <w:bottom w:val="single" w:sz="2" w:space="0" w:color="000000"/>
              <w:right w:val="single" w:sz="2" w:space="0" w:color="000000"/>
            </w:tcBorders>
            <w:hideMark/>
          </w:tcPr>
          <w:p w14:paraId="79C7E13E" w14:textId="78AE82F3" w:rsidR="00493105" w:rsidRPr="00BA3E97" w:rsidRDefault="00493105" w:rsidP="00A83DDF">
            <w:pPr>
              <w:pStyle w:val="TableParagraph"/>
              <w:spacing w:line="232" w:lineRule="exact"/>
              <w:jc w:val="both"/>
              <w:rPr>
                <w:b/>
                <w:lang w:val="sr-Latn-ME"/>
              </w:rPr>
            </w:pPr>
            <w:r w:rsidRPr="00BA3E97">
              <w:rPr>
                <w:b/>
                <w:spacing w:val="-2"/>
                <w:lang w:val="sr-Latn-ME"/>
              </w:rPr>
              <w:t>Poremećaji</w:t>
            </w:r>
            <w:r w:rsidRPr="00BA3E97">
              <w:rPr>
                <w:b/>
                <w:lang w:val="sr-Latn-ME"/>
              </w:rPr>
              <w:t xml:space="preserve"> </w:t>
            </w:r>
            <w:r w:rsidRPr="00BA3E97">
              <w:rPr>
                <w:b/>
                <w:spacing w:val="-2"/>
                <w:lang w:val="sr-Latn-ME"/>
              </w:rPr>
              <w:t>reproduktivnog</w:t>
            </w:r>
            <w:r w:rsidRPr="00BA3E97">
              <w:rPr>
                <w:b/>
                <w:spacing w:val="2"/>
                <w:lang w:val="sr-Latn-ME"/>
              </w:rPr>
              <w:t xml:space="preserve"> </w:t>
            </w:r>
            <w:r w:rsidRPr="00BA3E97">
              <w:rPr>
                <w:b/>
                <w:spacing w:val="-2"/>
                <w:lang w:val="sr-Latn-ME"/>
              </w:rPr>
              <w:t>s</w:t>
            </w:r>
            <w:r w:rsidR="00066FCA" w:rsidRPr="00BA3E97">
              <w:rPr>
                <w:b/>
                <w:spacing w:val="-2"/>
                <w:lang w:val="sr-Latn-ME"/>
              </w:rPr>
              <w:t>istema</w:t>
            </w:r>
            <w:r w:rsidRPr="00BA3E97">
              <w:rPr>
                <w:b/>
                <w:spacing w:val="-1"/>
                <w:lang w:val="sr-Latn-ME"/>
              </w:rPr>
              <w:t xml:space="preserve"> </w:t>
            </w:r>
            <w:r w:rsidRPr="00BA3E97">
              <w:rPr>
                <w:b/>
                <w:spacing w:val="-2"/>
                <w:lang w:val="sr-Latn-ME"/>
              </w:rPr>
              <w:t>i</w:t>
            </w:r>
            <w:r w:rsidRPr="00BA3E97">
              <w:rPr>
                <w:b/>
                <w:spacing w:val="3"/>
                <w:lang w:val="sr-Latn-ME"/>
              </w:rPr>
              <w:t xml:space="preserve"> </w:t>
            </w:r>
            <w:r w:rsidRPr="00BA3E97">
              <w:rPr>
                <w:b/>
                <w:spacing w:val="-4"/>
                <w:lang w:val="sr-Latn-ME"/>
              </w:rPr>
              <w:t>dojki</w:t>
            </w:r>
          </w:p>
        </w:tc>
      </w:tr>
      <w:tr w:rsidR="00493105" w:rsidRPr="00BA3E97" w14:paraId="422018E6"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4CBAE830" w14:textId="77777777" w:rsidR="00493105" w:rsidRPr="00BA3E97" w:rsidRDefault="00493105" w:rsidP="00A83DDF">
            <w:pPr>
              <w:pStyle w:val="TableParagraph"/>
              <w:spacing w:line="234" w:lineRule="exact"/>
              <w:jc w:val="both"/>
              <w:rPr>
                <w:lang w:val="sr-Latn-ME"/>
              </w:rPr>
            </w:pPr>
            <w:r w:rsidRPr="00BA3E97">
              <w:rPr>
                <w:spacing w:val="-2"/>
                <w:lang w:val="sr-Latn-ME"/>
              </w:rPr>
              <w:t>Erektilna</w:t>
            </w:r>
            <w:r w:rsidRPr="00BA3E97">
              <w:rPr>
                <w:spacing w:val="2"/>
                <w:lang w:val="sr-Latn-ME"/>
              </w:rPr>
              <w:t xml:space="preserve"> </w:t>
            </w:r>
            <w:r w:rsidRPr="00BA3E97">
              <w:rPr>
                <w:spacing w:val="-2"/>
                <w:lang w:val="sr-Latn-ME"/>
              </w:rPr>
              <w:t>disfunkcija</w:t>
            </w:r>
          </w:p>
        </w:tc>
        <w:tc>
          <w:tcPr>
            <w:tcW w:w="3024" w:type="dxa"/>
            <w:tcBorders>
              <w:top w:val="single" w:sz="2" w:space="0" w:color="000000"/>
              <w:left w:val="single" w:sz="2" w:space="0" w:color="000000"/>
              <w:bottom w:val="single" w:sz="2" w:space="0" w:color="000000"/>
              <w:right w:val="single" w:sz="2" w:space="0" w:color="000000"/>
            </w:tcBorders>
            <w:hideMark/>
          </w:tcPr>
          <w:p w14:paraId="396A67E2" w14:textId="77777777" w:rsidR="00493105" w:rsidRPr="00BA3E97" w:rsidRDefault="00493105" w:rsidP="00A83DDF">
            <w:pPr>
              <w:pStyle w:val="TableParagraph"/>
              <w:spacing w:line="234" w:lineRule="exact"/>
              <w:ind w:left="108"/>
              <w:jc w:val="both"/>
              <w:rPr>
                <w:lang w:val="sr-Latn-ME"/>
              </w:rPr>
            </w:pPr>
            <w:r w:rsidRPr="00BA3E97">
              <w:rPr>
                <w:lang w:val="sr-Latn-ME"/>
              </w:rPr>
              <w:t>Manje</w:t>
            </w:r>
            <w:r w:rsidRPr="00BA3E97">
              <w:rPr>
                <w:spacing w:val="-5"/>
                <w:lang w:val="sr-Latn-ME"/>
              </w:rPr>
              <w:t xml:space="preserve"> </w:t>
            </w:r>
            <w:r w:rsidRPr="00BA3E97">
              <w:rPr>
                <w:spacing w:val="-2"/>
                <w:lang w:val="sr-Latn-ME"/>
              </w:rPr>
              <w:t>često</w:t>
            </w:r>
          </w:p>
        </w:tc>
      </w:tr>
      <w:tr w:rsidR="00493105" w:rsidRPr="00BA3E97" w14:paraId="08CF7BC0" w14:textId="77777777" w:rsidTr="00493105">
        <w:trPr>
          <w:trHeight w:val="251"/>
        </w:trPr>
        <w:tc>
          <w:tcPr>
            <w:tcW w:w="9279" w:type="dxa"/>
            <w:gridSpan w:val="2"/>
            <w:tcBorders>
              <w:top w:val="single" w:sz="2" w:space="0" w:color="000000"/>
              <w:left w:val="single" w:sz="2" w:space="0" w:color="000000"/>
              <w:bottom w:val="single" w:sz="2" w:space="0" w:color="000000"/>
              <w:right w:val="single" w:sz="2" w:space="0" w:color="000000"/>
            </w:tcBorders>
            <w:hideMark/>
          </w:tcPr>
          <w:p w14:paraId="64681A8D" w14:textId="0B1119BB" w:rsidR="00493105" w:rsidRPr="00BA3E97" w:rsidRDefault="00493105" w:rsidP="00A83DDF">
            <w:pPr>
              <w:pStyle w:val="TableParagraph"/>
              <w:spacing w:line="232" w:lineRule="exact"/>
              <w:jc w:val="both"/>
              <w:rPr>
                <w:b/>
                <w:lang w:val="sr-Latn-ME"/>
              </w:rPr>
            </w:pPr>
            <w:r w:rsidRPr="00BA3E97">
              <w:rPr>
                <w:b/>
                <w:lang w:val="sr-Latn-ME"/>
              </w:rPr>
              <w:t>Op</w:t>
            </w:r>
            <w:r w:rsidR="00066FCA" w:rsidRPr="00BA3E97">
              <w:rPr>
                <w:b/>
                <w:lang w:val="sr-Latn-ME"/>
              </w:rPr>
              <w:t>šti</w:t>
            </w:r>
            <w:r w:rsidRPr="00BA3E97">
              <w:rPr>
                <w:b/>
                <w:spacing w:val="-9"/>
                <w:lang w:val="sr-Latn-ME"/>
              </w:rPr>
              <w:t xml:space="preserve"> </w:t>
            </w:r>
            <w:r w:rsidRPr="00BA3E97">
              <w:rPr>
                <w:b/>
                <w:lang w:val="sr-Latn-ME"/>
              </w:rPr>
              <w:t>poremećaji</w:t>
            </w:r>
            <w:r w:rsidRPr="00BA3E97">
              <w:rPr>
                <w:b/>
                <w:spacing w:val="-11"/>
                <w:lang w:val="sr-Latn-ME"/>
              </w:rPr>
              <w:t xml:space="preserve"> </w:t>
            </w:r>
            <w:r w:rsidRPr="00BA3E97">
              <w:rPr>
                <w:b/>
                <w:lang w:val="sr-Latn-ME"/>
              </w:rPr>
              <w:t>i</w:t>
            </w:r>
            <w:r w:rsidRPr="00BA3E97">
              <w:rPr>
                <w:b/>
                <w:spacing w:val="-9"/>
                <w:lang w:val="sr-Latn-ME"/>
              </w:rPr>
              <w:t xml:space="preserve"> </w:t>
            </w:r>
            <w:r w:rsidRPr="00BA3E97">
              <w:rPr>
                <w:b/>
                <w:lang w:val="sr-Latn-ME"/>
              </w:rPr>
              <w:t>reakcije</w:t>
            </w:r>
            <w:r w:rsidRPr="00BA3E97">
              <w:rPr>
                <w:b/>
                <w:spacing w:val="-9"/>
                <w:lang w:val="sr-Latn-ME"/>
              </w:rPr>
              <w:t xml:space="preserve"> </w:t>
            </w:r>
            <w:r w:rsidRPr="00BA3E97">
              <w:rPr>
                <w:b/>
                <w:lang w:val="sr-Latn-ME"/>
              </w:rPr>
              <w:t>na</w:t>
            </w:r>
            <w:r w:rsidRPr="00BA3E97">
              <w:rPr>
                <w:b/>
                <w:spacing w:val="-13"/>
                <w:lang w:val="sr-Latn-ME"/>
              </w:rPr>
              <w:t xml:space="preserve"> </w:t>
            </w:r>
            <w:r w:rsidRPr="00BA3E97">
              <w:rPr>
                <w:b/>
                <w:lang w:val="sr-Latn-ME"/>
              </w:rPr>
              <w:t>mjestu</w:t>
            </w:r>
            <w:r w:rsidRPr="00BA3E97">
              <w:rPr>
                <w:b/>
                <w:spacing w:val="-9"/>
                <w:lang w:val="sr-Latn-ME"/>
              </w:rPr>
              <w:t xml:space="preserve"> </w:t>
            </w:r>
            <w:r w:rsidRPr="00BA3E97">
              <w:rPr>
                <w:b/>
                <w:spacing w:val="-2"/>
                <w:lang w:val="sr-Latn-ME"/>
              </w:rPr>
              <w:t>primjene</w:t>
            </w:r>
          </w:p>
        </w:tc>
      </w:tr>
      <w:tr w:rsidR="00493105" w:rsidRPr="00BA3E97" w14:paraId="3A0C44A8"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1ACB3724" w14:textId="77777777" w:rsidR="00493105" w:rsidRPr="00BA3E97" w:rsidRDefault="00493105" w:rsidP="00A83DDF">
            <w:pPr>
              <w:pStyle w:val="TableParagraph"/>
              <w:spacing w:line="234" w:lineRule="exact"/>
              <w:jc w:val="both"/>
              <w:rPr>
                <w:lang w:val="sr-Latn-ME"/>
              </w:rPr>
            </w:pPr>
            <w:r w:rsidRPr="00BA3E97">
              <w:rPr>
                <w:spacing w:val="-2"/>
                <w:lang w:val="sr-Latn-ME"/>
              </w:rPr>
              <w:t>Astenija</w:t>
            </w:r>
          </w:p>
        </w:tc>
        <w:tc>
          <w:tcPr>
            <w:tcW w:w="3024" w:type="dxa"/>
            <w:tcBorders>
              <w:top w:val="single" w:sz="2" w:space="0" w:color="000000"/>
              <w:left w:val="single" w:sz="2" w:space="0" w:color="000000"/>
              <w:bottom w:val="single" w:sz="2" w:space="0" w:color="000000"/>
              <w:right w:val="single" w:sz="2" w:space="0" w:color="000000"/>
            </w:tcBorders>
            <w:hideMark/>
          </w:tcPr>
          <w:p w14:paraId="010F1103" w14:textId="77777777" w:rsidR="00493105" w:rsidRPr="00BA3E97" w:rsidRDefault="00493105" w:rsidP="00A83DDF">
            <w:pPr>
              <w:pStyle w:val="TableParagraph"/>
              <w:spacing w:line="234" w:lineRule="exact"/>
              <w:ind w:left="108"/>
              <w:jc w:val="both"/>
              <w:rPr>
                <w:lang w:val="sr-Latn-ME"/>
              </w:rPr>
            </w:pPr>
            <w:r w:rsidRPr="00BA3E97">
              <w:rPr>
                <w:spacing w:val="-2"/>
                <w:lang w:val="sr-Latn-ME"/>
              </w:rPr>
              <w:t>Često</w:t>
            </w:r>
          </w:p>
        </w:tc>
      </w:tr>
      <w:tr w:rsidR="00493105" w:rsidRPr="00BA3E97" w14:paraId="379C994C"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03B2AD17" w14:textId="77777777" w:rsidR="00493105" w:rsidRPr="00BA3E97" w:rsidRDefault="00493105" w:rsidP="00A83DDF">
            <w:pPr>
              <w:pStyle w:val="TableParagraph"/>
              <w:spacing w:line="232" w:lineRule="exact"/>
              <w:jc w:val="both"/>
              <w:rPr>
                <w:lang w:val="sr-Latn-ME"/>
              </w:rPr>
            </w:pPr>
            <w:r w:rsidRPr="00BA3E97">
              <w:rPr>
                <w:spacing w:val="-2"/>
                <w:lang w:val="sr-Latn-ME"/>
              </w:rPr>
              <w:t>Periferni</w:t>
            </w:r>
            <w:r w:rsidRPr="00BA3E97">
              <w:rPr>
                <w:spacing w:val="2"/>
                <w:lang w:val="sr-Latn-ME"/>
              </w:rPr>
              <w:t xml:space="preserve"> </w:t>
            </w:r>
            <w:r w:rsidRPr="00BA3E97">
              <w:rPr>
                <w:spacing w:val="-4"/>
                <w:lang w:val="sr-Latn-ME"/>
              </w:rPr>
              <w:t>edem</w:t>
            </w:r>
          </w:p>
        </w:tc>
        <w:tc>
          <w:tcPr>
            <w:tcW w:w="3024" w:type="dxa"/>
            <w:tcBorders>
              <w:top w:val="single" w:sz="2" w:space="0" w:color="000000"/>
              <w:left w:val="single" w:sz="2" w:space="0" w:color="000000"/>
              <w:bottom w:val="single" w:sz="2" w:space="0" w:color="000000"/>
              <w:right w:val="single" w:sz="2" w:space="0" w:color="000000"/>
            </w:tcBorders>
            <w:hideMark/>
          </w:tcPr>
          <w:p w14:paraId="78A6F1F1" w14:textId="77777777" w:rsidR="00493105" w:rsidRPr="00BA3E97" w:rsidRDefault="00493105" w:rsidP="00A83DDF">
            <w:pPr>
              <w:pStyle w:val="TableParagraph"/>
              <w:spacing w:line="232" w:lineRule="exact"/>
              <w:ind w:left="108"/>
              <w:jc w:val="both"/>
              <w:rPr>
                <w:lang w:val="sr-Latn-ME"/>
              </w:rPr>
            </w:pPr>
            <w:r w:rsidRPr="00BA3E97">
              <w:rPr>
                <w:spacing w:val="-2"/>
                <w:lang w:val="sr-Latn-ME"/>
              </w:rPr>
              <w:t>Često</w:t>
            </w:r>
          </w:p>
        </w:tc>
      </w:tr>
      <w:tr w:rsidR="00493105" w:rsidRPr="00BA3E97" w14:paraId="76CE2DE7"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0DB1BE12" w14:textId="77777777" w:rsidR="00493105" w:rsidRPr="00BA3E97" w:rsidRDefault="00493105" w:rsidP="00A83DDF">
            <w:pPr>
              <w:pStyle w:val="TableParagraph"/>
              <w:spacing w:line="234" w:lineRule="exact"/>
              <w:jc w:val="both"/>
              <w:rPr>
                <w:lang w:val="sr-Latn-ME"/>
              </w:rPr>
            </w:pPr>
            <w:r w:rsidRPr="00BA3E97">
              <w:rPr>
                <w:spacing w:val="-4"/>
                <w:lang w:val="sr-Latn-ME"/>
              </w:rPr>
              <w:t>Umor</w:t>
            </w:r>
          </w:p>
        </w:tc>
        <w:tc>
          <w:tcPr>
            <w:tcW w:w="3024" w:type="dxa"/>
            <w:tcBorders>
              <w:top w:val="single" w:sz="2" w:space="0" w:color="000000"/>
              <w:left w:val="single" w:sz="2" w:space="0" w:color="000000"/>
              <w:bottom w:val="single" w:sz="2" w:space="0" w:color="000000"/>
              <w:right w:val="single" w:sz="2" w:space="0" w:color="000000"/>
            </w:tcBorders>
            <w:hideMark/>
          </w:tcPr>
          <w:p w14:paraId="76D57A9F" w14:textId="77777777" w:rsidR="00493105" w:rsidRPr="00BA3E97" w:rsidRDefault="00493105" w:rsidP="00A83DDF">
            <w:pPr>
              <w:pStyle w:val="TableParagraph"/>
              <w:spacing w:line="234" w:lineRule="exact"/>
              <w:ind w:left="108"/>
              <w:jc w:val="both"/>
              <w:rPr>
                <w:lang w:val="sr-Latn-ME"/>
              </w:rPr>
            </w:pPr>
            <w:r w:rsidRPr="00BA3E97">
              <w:rPr>
                <w:lang w:val="sr-Latn-ME"/>
              </w:rPr>
              <w:t>Manje</w:t>
            </w:r>
            <w:r w:rsidRPr="00BA3E97">
              <w:rPr>
                <w:spacing w:val="-5"/>
                <w:lang w:val="sr-Latn-ME"/>
              </w:rPr>
              <w:t xml:space="preserve"> </w:t>
            </w:r>
            <w:r w:rsidRPr="00BA3E97">
              <w:rPr>
                <w:spacing w:val="-2"/>
                <w:lang w:val="sr-Latn-ME"/>
              </w:rPr>
              <w:t>često</w:t>
            </w:r>
          </w:p>
        </w:tc>
      </w:tr>
      <w:tr w:rsidR="00493105" w:rsidRPr="00BA3E97" w14:paraId="605470AD"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5EC3F8C4" w14:textId="432E6680" w:rsidR="00493105" w:rsidRPr="00BA3E97" w:rsidRDefault="00134CAF" w:rsidP="00A83DDF">
            <w:pPr>
              <w:pStyle w:val="TableParagraph"/>
              <w:spacing w:line="232" w:lineRule="exact"/>
              <w:jc w:val="both"/>
              <w:rPr>
                <w:lang w:val="sr-Latn-ME"/>
              </w:rPr>
            </w:pPr>
            <w:r w:rsidRPr="00BA3E97">
              <w:rPr>
                <w:spacing w:val="-2"/>
                <w:lang w:val="sr-Latn-ME"/>
              </w:rPr>
              <w:t>Jeza</w:t>
            </w:r>
          </w:p>
        </w:tc>
        <w:tc>
          <w:tcPr>
            <w:tcW w:w="3024" w:type="dxa"/>
            <w:tcBorders>
              <w:top w:val="single" w:sz="2" w:space="0" w:color="000000"/>
              <w:left w:val="single" w:sz="2" w:space="0" w:color="000000"/>
              <w:bottom w:val="single" w:sz="2" w:space="0" w:color="000000"/>
              <w:right w:val="single" w:sz="2" w:space="0" w:color="000000"/>
            </w:tcBorders>
            <w:hideMark/>
          </w:tcPr>
          <w:p w14:paraId="1F2B6F2A" w14:textId="77777777" w:rsidR="00493105" w:rsidRPr="00BA3E97" w:rsidRDefault="00493105" w:rsidP="00A83DDF">
            <w:pPr>
              <w:pStyle w:val="TableParagraph"/>
              <w:spacing w:line="232" w:lineRule="exact"/>
              <w:ind w:left="108"/>
              <w:jc w:val="both"/>
              <w:rPr>
                <w:lang w:val="sr-Latn-ME"/>
              </w:rPr>
            </w:pPr>
            <w:r w:rsidRPr="00BA3E97">
              <w:rPr>
                <w:lang w:val="sr-Latn-ME"/>
              </w:rPr>
              <w:t>Manje</w:t>
            </w:r>
            <w:r w:rsidRPr="00BA3E97">
              <w:rPr>
                <w:spacing w:val="-5"/>
                <w:lang w:val="sr-Latn-ME"/>
              </w:rPr>
              <w:t xml:space="preserve"> </w:t>
            </w:r>
            <w:r w:rsidRPr="00BA3E97">
              <w:rPr>
                <w:spacing w:val="-2"/>
                <w:lang w:val="sr-Latn-ME"/>
              </w:rPr>
              <w:t>često</w:t>
            </w:r>
          </w:p>
        </w:tc>
      </w:tr>
      <w:tr w:rsidR="00493105" w:rsidRPr="00BA3E97" w14:paraId="473D5A54" w14:textId="77777777" w:rsidTr="00493105">
        <w:trPr>
          <w:trHeight w:val="254"/>
        </w:trPr>
        <w:tc>
          <w:tcPr>
            <w:tcW w:w="9279" w:type="dxa"/>
            <w:gridSpan w:val="2"/>
            <w:tcBorders>
              <w:top w:val="single" w:sz="2" w:space="0" w:color="000000"/>
              <w:left w:val="single" w:sz="2" w:space="0" w:color="000000"/>
              <w:bottom w:val="single" w:sz="2" w:space="0" w:color="000000"/>
              <w:right w:val="single" w:sz="2" w:space="0" w:color="000000"/>
            </w:tcBorders>
            <w:hideMark/>
          </w:tcPr>
          <w:p w14:paraId="2273958F" w14:textId="29CCDC21" w:rsidR="00493105" w:rsidRPr="00BA3E97" w:rsidRDefault="00134CAF" w:rsidP="00A83DDF">
            <w:pPr>
              <w:pStyle w:val="TableParagraph"/>
              <w:spacing w:line="234" w:lineRule="exact"/>
              <w:jc w:val="both"/>
              <w:rPr>
                <w:b/>
                <w:lang w:val="sr-Latn-ME"/>
              </w:rPr>
            </w:pPr>
            <w:r w:rsidRPr="00BA3E97">
              <w:rPr>
                <w:b/>
                <w:spacing w:val="-2"/>
                <w:lang w:val="sr-Latn-ME"/>
              </w:rPr>
              <w:t>Ispitivanja</w:t>
            </w:r>
          </w:p>
        </w:tc>
      </w:tr>
      <w:tr w:rsidR="00493105" w:rsidRPr="00BA3E97" w14:paraId="0E33A06A" w14:textId="77777777" w:rsidTr="00493105">
        <w:trPr>
          <w:trHeight w:val="251"/>
        </w:trPr>
        <w:tc>
          <w:tcPr>
            <w:tcW w:w="6255" w:type="dxa"/>
            <w:tcBorders>
              <w:top w:val="single" w:sz="2" w:space="0" w:color="000000"/>
              <w:left w:val="single" w:sz="2" w:space="0" w:color="000000"/>
              <w:bottom w:val="single" w:sz="2" w:space="0" w:color="000000"/>
              <w:right w:val="single" w:sz="2" w:space="0" w:color="000000"/>
            </w:tcBorders>
            <w:hideMark/>
          </w:tcPr>
          <w:p w14:paraId="17BF1804" w14:textId="77777777" w:rsidR="00493105" w:rsidRPr="00BA3E97" w:rsidRDefault="00493105" w:rsidP="00A83DDF">
            <w:pPr>
              <w:pStyle w:val="TableParagraph"/>
              <w:spacing w:line="232" w:lineRule="exact"/>
              <w:jc w:val="both"/>
              <w:rPr>
                <w:lang w:val="sr-Latn-ME"/>
              </w:rPr>
            </w:pPr>
            <w:r w:rsidRPr="00BA3E97">
              <w:rPr>
                <w:lang w:val="sr-Latn-ME"/>
              </w:rPr>
              <w:t>Poremećeni</w:t>
            </w:r>
            <w:r w:rsidRPr="00BA3E97">
              <w:rPr>
                <w:spacing w:val="-8"/>
                <w:lang w:val="sr-Latn-ME"/>
              </w:rPr>
              <w:t xml:space="preserve"> </w:t>
            </w:r>
            <w:r w:rsidRPr="00BA3E97">
              <w:rPr>
                <w:lang w:val="sr-Latn-ME"/>
              </w:rPr>
              <w:t>rezultati</w:t>
            </w:r>
            <w:r w:rsidRPr="00BA3E97">
              <w:rPr>
                <w:spacing w:val="-7"/>
                <w:lang w:val="sr-Latn-ME"/>
              </w:rPr>
              <w:t xml:space="preserve"> </w:t>
            </w:r>
            <w:r w:rsidRPr="00BA3E97">
              <w:rPr>
                <w:lang w:val="sr-Latn-ME"/>
              </w:rPr>
              <w:t>testova</w:t>
            </w:r>
            <w:r w:rsidRPr="00BA3E97">
              <w:rPr>
                <w:spacing w:val="-5"/>
                <w:lang w:val="sr-Latn-ME"/>
              </w:rPr>
              <w:t xml:space="preserve"> </w:t>
            </w:r>
            <w:r w:rsidRPr="00BA3E97">
              <w:rPr>
                <w:lang w:val="sr-Latn-ME"/>
              </w:rPr>
              <w:t>jetrene</w:t>
            </w:r>
            <w:r w:rsidRPr="00BA3E97">
              <w:rPr>
                <w:spacing w:val="-7"/>
                <w:lang w:val="sr-Latn-ME"/>
              </w:rPr>
              <w:t xml:space="preserve"> </w:t>
            </w:r>
            <w:r w:rsidRPr="00BA3E97">
              <w:rPr>
                <w:spacing w:val="-2"/>
                <w:lang w:val="sr-Latn-ME"/>
              </w:rPr>
              <w:t>funkcije</w:t>
            </w:r>
          </w:p>
        </w:tc>
        <w:tc>
          <w:tcPr>
            <w:tcW w:w="3024" w:type="dxa"/>
            <w:tcBorders>
              <w:top w:val="single" w:sz="2" w:space="0" w:color="000000"/>
              <w:left w:val="single" w:sz="2" w:space="0" w:color="000000"/>
              <w:bottom w:val="single" w:sz="2" w:space="0" w:color="000000"/>
              <w:right w:val="single" w:sz="2" w:space="0" w:color="000000"/>
            </w:tcBorders>
            <w:hideMark/>
          </w:tcPr>
          <w:p w14:paraId="19092095" w14:textId="77777777" w:rsidR="00493105" w:rsidRPr="00BA3E97" w:rsidRDefault="00493105" w:rsidP="00A83DDF">
            <w:pPr>
              <w:pStyle w:val="TableParagraph"/>
              <w:spacing w:line="232" w:lineRule="exact"/>
              <w:ind w:left="108"/>
              <w:jc w:val="both"/>
              <w:rPr>
                <w:lang w:val="sr-Latn-ME"/>
              </w:rPr>
            </w:pPr>
            <w:r w:rsidRPr="00BA3E97">
              <w:rPr>
                <w:lang w:val="sr-Latn-ME"/>
              </w:rPr>
              <w:t>Manje</w:t>
            </w:r>
            <w:r w:rsidRPr="00BA3E97">
              <w:rPr>
                <w:spacing w:val="-5"/>
                <w:lang w:val="sr-Latn-ME"/>
              </w:rPr>
              <w:t xml:space="preserve"> </w:t>
            </w:r>
            <w:r w:rsidRPr="00BA3E97">
              <w:rPr>
                <w:spacing w:val="-2"/>
                <w:lang w:val="sr-Latn-ME"/>
              </w:rPr>
              <w:t>često</w:t>
            </w:r>
          </w:p>
        </w:tc>
      </w:tr>
      <w:tr w:rsidR="00493105" w:rsidRPr="00BA3E97" w14:paraId="2443863D" w14:textId="77777777" w:rsidTr="00493105">
        <w:trPr>
          <w:trHeight w:val="254"/>
        </w:trPr>
        <w:tc>
          <w:tcPr>
            <w:tcW w:w="6255" w:type="dxa"/>
            <w:tcBorders>
              <w:top w:val="single" w:sz="2" w:space="0" w:color="000000"/>
              <w:left w:val="single" w:sz="2" w:space="0" w:color="000000"/>
              <w:bottom w:val="single" w:sz="2" w:space="0" w:color="000000"/>
              <w:right w:val="single" w:sz="2" w:space="0" w:color="000000"/>
            </w:tcBorders>
            <w:hideMark/>
          </w:tcPr>
          <w:p w14:paraId="6D9DC365" w14:textId="77777777" w:rsidR="00493105" w:rsidRPr="00BA3E97" w:rsidRDefault="00493105" w:rsidP="00A83DDF">
            <w:pPr>
              <w:pStyle w:val="TableParagraph"/>
              <w:spacing w:line="234" w:lineRule="exact"/>
              <w:jc w:val="both"/>
              <w:rPr>
                <w:lang w:val="sr-Latn-ME"/>
              </w:rPr>
            </w:pPr>
            <w:r w:rsidRPr="00BA3E97">
              <w:rPr>
                <w:lang w:val="sr-Latn-ME"/>
              </w:rPr>
              <w:t>Povećanje</w:t>
            </w:r>
            <w:r w:rsidRPr="00BA3E97">
              <w:rPr>
                <w:spacing w:val="-8"/>
                <w:lang w:val="sr-Latn-ME"/>
              </w:rPr>
              <w:t xml:space="preserve"> </w:t>
            </w:r>
            <w:r w:rsidRPr="00BA3E97">
              <w:rPr>
                <w:lang w:val="sr-Latn-ME"/>
              </w:rPr>
              <w:t>tjelesne</w:t>
            </w:r>
            <w:r w:rsidRPr="00BA3E97">
              <w:rPr>
                <w:spacing w:val="-8"/>
                <w:lang w:val="sr-Latn-ME"/>
              </w:rPr>
              <w:t xml:space="preserve"> </w:t>
            </w:r>
            <w:r w:rsidRPr="00BA3E97">
              <w:rPr>
                <w:spacing w:val="-2"/>
                <w:lang w:val="sr-Latn-ME"/>
              </w:rPr>
              <w:t>težine</w:t>
            </w:r>
          </w:p>
        </w:tc>
        <w:tc>
          <w:tcPr>
            <w:tcW w:w="3024" w:type="dxa"/>
            <w:tcBorders>
              <w:top w:val="single" w:sz="2" w:space="0" w:color="000000"/>
              <w:left w:val="single" w:sz="2" w:space="0" w:color="000000"/>
              <w:bottom w:val="single" w:sz="2" w:space="0" w:color="000000"/>
              <w:right w:val="single" w:sz="2" w:space="0" w:color="000000"/>
            </w:tcBorders>
            <w:hideMark/>
          </w:tcPr>
          <w:p w14:paraId="585DDF11" w14:textId="77777777" w:rsidR="00493105" w:rsidRPr="00BA3E97" w:rsidRDefault="00493105" w:rsidP="00A83DDF">
            <w:pPr>
              <w:pStyle w:val="TableParagraph"/>
              <w:spacing w:line="234" w:lineRule="exact"/>
              <w:ind w:left="108"/>
              <w:jc w:val="both"/>
              <w:rPr>
                <w:lang w:val="sr-Latn-ME"/>
              </w:rPr>
            </w:pPr>
            <w:r w:rsidRPr="00BA3E97">
              <w:rPr>
                <w:lang w:val="sr-Latn-ME"/>
              </w:rPr>
              <w:t>Manje</w:t>
            </w:r>
            <w:r w:rsidRPr="00BA3E97">
              <w:rPr>
                <w:spacing w:val="-5"/>
                <w:lang w:val="sr-Latn-ME"/>
              </w:rPr>
              <w:t xml:space="preserve"> </w:t>
            </w:r>
            <w:r w:rsidRPr="00BA3E97">
              <w:rPr>
                <w:spacing w:val="-2"/>
                <w:lang w:val="sr-Latn-ME"/>
              </w:rPr>
              <w:t>često</w:t>
            </w:r>
          </w:p>
        </w:tc>
      </w:tr>
      <w:tr w:rsidR="00493105" w:rsidRPr="00BA3E97" w14:paraId="008B4661" w14:textId="77777777" w:rsidTr="00493105">
        <w:trPr>
          <w:trHeight w:val="251"/>
        </w:trPr>
        <w:tc>
          <w:tcPr>
            <w:tcW w:w="9279" w:type="dxa"/>
            <w:gridSpan w:val="2"/>
            <w:tcBorders>
              <w:top w:val="single" w:sz="2" w:space="0" w:color="000000"/>
              <w:left w:val="single" w:sz="2" w:space="0" w:color="000000"/>
              <w:bottom w:val="single" w:sz="2" w:space="0" w:color="000000"/>
              <w:right w:val="single" w:sz="2" w:space="0" w:color="000000"/>
            </w:tcBorders>
            <w:hideMark/>
          </w:tcPr>
          <w:p w14:paraId="4D819DB0" w14:textId="0755D4DB" w:rsidR="00493105" w:rsidRPr="00BA3E97" w:rsidRDefault="00493105" w:rsidP="00A83DDF">
            <w:pPr>
              <w:pStyle w:val="TableParagraph"/>
              <w:tabs>
                <w:tab w:val="left" w:pos="678"/>
              </w:tabs>
              <w:spacing w:line="232" w:lineRule="exact"/>
              <w:jc w:val="both"/>
              <w:rPr>
                <w:lang w:val="sr-Latn-ME"/>
              </w:rPr>
            </w:pPr>
            <w:r w:rsidRPr="00BA3E97">
              <w:rPr>
                <w:spacing w:val="-10"/>
                <w:lang w:val="sr-Latn-ME"/>
              </w:rPr>
              <w:t>*</w:t>
            </w:r>
            <w:r w:rsidRPr="00BA3E97">
              <w:rPr>
                <w:lang w:val="sr-Latn-ME"/>
              </w:rPr>
              <w:tab/>
            </w:r>
            <w:r w:rsidR="005C53F0" w:rsidRPr="00BA3E97">
              <w:rPr>
                <w:spacing w:val="-6"/>
                <w:lang w:val="sr-Latn-ME"/>
              </w:rPr>
              <w:t xml:space="preserve">Na osnovu </w:t>
            </w:r>
            <w:r w:rsidRPr="00BA3E97">
              <w:rPr>
                <w:lang w:val="sr-Latn-ME"/>
              </w:rPr>
              <w:t>iskustva</w:t>
            </w:r>
            <w:r w:rsidRPr="00BA3E97">
              <w:rPr>
                <w:spacing w:val="-3"/>
                <w:lang w:val="sr-Latn-ME"/>
              </w:rPr>
              <w:t xml:space="preserve"> </w:t>
            </w:r>
            <w:r w:rsidRPr="00BA3E97">
              <w:rPr>
                <w:lang w:val="sr-Latn-ME"/>
              </w:rPr>
              <w:t>nakon</w:t>
            </w:r>
            <w:r w:rsidRPr="00BA3E97">
              <w:rPr>
                <w:spacing w:val="-3"/>
                <w:lang w:val="sr-Latn-ME"/>
              </w:rPr>
              <w:t xml:space="preserve"> </w:t>
            </w:r>
            <w:r w:rsidRPr="00BA3E97">
              <w:rPr>
                <w:lang w:val="sr-Latn-ME"/>
              </w:rPr>
              <w:t>stavljanja</w:t>
            </w:r>
            <w:r w:rsidRPr="00BA3E97">
              <w:rPr>
                <w:spacing w:val="-5"/>
                <w:lang w:val="sr-Latn-ME"/>
              </w:rPr>
              <w:t xml:space="preserve"> </w:t>
            </w:r>
            <w:r w:rsidRPr="00BA3E97">
              <w:rPr>
                <w:lang w:val="sr-Latn-ME"/>
              </w:rPr>
              <w:t>lijeka</w:t>
            </w:r>
            <w:r w:rsidRPr="00BA3E97">
              <w:rPr>
                <w:spacing w:val="-3"/>
                <w:lang w:val="sr-Latn-ME"/>
              </w:rPr>
              <w:t xml:space="preserve"> </w:t>
            </w:r>
            <w:r w:rsidRPr="00BA3E97">
              <w:rPr>
                <w:lang w:val="sr-Latn-ME"/>
              </w:rPr>
              <w:t>u</w:t>
            </w:r>
            <w:r w:rsidRPr="00BA3E97">
              <w:rPr>
                <w:spacing w:val="-3"/>
                <w:lang w:val="sr-Latn-ME"/>
              </w:rPr>
              <w:t xml:space="preserve"> </w:t>
            </w:r>
            <w:r w:rsidRPr="00BA3E97">
              <w:rPr>
                <w:spacing w:val="-2"/>
                <w:lang w:val="sr-Latn-ME"/>
              </w:rPr>
              <w:t>promet.</w:t>
            </w:r>
          </w:p>
        </w:tc>
      </w:tr>
    </w:tbl>
    <w:p w14:paraId="7A1797C1" w14:textId="77777777" w:rsidR="00493105" w:rsidRPr="00BA3E97" w:rsidRDefault="00493105" w:rsidP="00A83DDF">
      <w:pPr>
        <w:jc w:val="both"/>
        <w:rPr>
          <w:sz w:val="22"/>
          <w:szCs w:val="22"/>
          <w:lang w:val="sr-Latn-ME"/>
        </w:rPr>
        <w:sectPr w:rsidR="00493105" w:rsidRPr="00BA3E97">
          <w:footerReference w:type="default" r:id="rId10"/>
          <w:pgSz w:w="11910" w:h="16850"/>
          <w:pgMar w:top="1060" w:right="1100" w:bottom="900" w:left="1200" w:header="0" w:footer="714" w:gutter="0"/>
          <w:cols w:space="720"/>
        </w:sectPr>
      </w:pPr>
    </w:p>
    <w:p w14:paraId="7625C0DF" w14:textId="5ECBF72A" w:rsidR="00493105" w:rsidRPr="00BA3E97" w:rsidRDefault="00493105" w:rsidP="00A83DDF">
      <w:pPr>
        <w:pStyle w:val="BodyText"/>
        <w:spacing w:before="70"/>
        <w:jc w:val="both"/>
        <w:rPr>
          <w:lang w:val="sr-Latn-ME"/>
        </w:rPr>
      </w:pPr>
      <w:r w:rsidRPr="00BA3E97">
        <w:rPr>
          <w:u w:val="single"/>
          <w:lang w:val="sr-Latn-ME"/>
        </w:rPr>
        <w:lastRenderedPageBreak/>
        <w:t>Opis</w:t>
      </w:r>
      <w:r w:rsidRPr="00BA3E97">
        <w:rPr>
          <w:spacing w:val="-3"/>
          <w:u w:val="single"/>
          <w:lang w:val="sr-Latn-ME"/>
        </w:rPr>
        <w:t xml:space="preserve"> </w:t>
      </w:r>
      <w:r w:rsidRPr="00BA3E97">
        <w:rPr>
          <w:u w:val="single"/>
          <w:lang w:val="sr-Latn-ME"/>
        </w:rPr>
        <w:t>odabranih</w:t>
      </w:r>
      <w:r w:rsidRPr="00BA3E97">
        <w:rPr>
          <w:spacing w:val="-5"/>
          <w:u w:val="single"/>
          <w:lang w:val="sr-Latn-ME"/>
        </w:rPr>
        <w:t xml:space="preserve"> </w:t>
      </w:r>
      <w:r w:rsidRPr="00BA3E97">
        <w:rPr>
          <w:spacing w:val="-2"/>
          <w:u w:val="single"/>
          <w:lang w:val="sr-Latn-ME"/>
        </w:rPr>
        <w:t>n</w:t>
      </w:r>
      <w:r w:rsidR="00134CAF" w:rsidRPr="00BA3E97">
        <w:rPr>
          <w:spacing w:val="-2"/>
          <w:u w:val="single"/>
          <w:lang w:val="sr-Latn-ME"/>
        </w:rPr>
        <w:t>eželjenih dejstava</w:t>
      </w:r>
    </w:p>
    <w:p w14:paraId="216516D6" w14:textId="77777777" w:rsidR="00493105" w:rsidRPr="00BA3E97" w:rsidRDefault="00493105" w:rsidP="00A83DDF">
      <w:pPr>
        <w:pStyle w:val="BodyText"/>
        <w:spacing w:before="2"/>
        <w:jc w:val="both"/>
        <w:rPr>
          <w:lang w:val="sr-Latn-ME"/>
        </w:rPr>
      </w:pPr>
    </w:p>
    <w:p w14:paraId="3E29D1E8" w14:textId="77777777" w:rsidR="00493105" w:rsidRPr="00BA3E97" w:rsidRDefault="00493105" w:rsidP="00A83DDF">
      <w:pPr>
        <w:spacing w:before="91"/>
        <w:jc w:val="both"/>
        <w:rPr>
          <w:i/>
          <w:sz w:val="22"/>
          <w:szCs w:val="22"/>
          <w:lang w:val="sr-Latn-ME"/>
        </w:rPr>
      </w:pPr>
      <w:r w:rsidRPr="00BA3E97">
        <w:rPr>
          <w:i/>
          <w:sz w:val="22"/>
          <w:szCs w:val="22"/>
          <w:u w:val="single"/>
          <w:lang w:val="sr-Latn-ME"/>
        </w:rPr>
        <w:t>Oštećenje</w:t>
      </w:r>
      <w:r w:rsidRPr="00BA3E97">
        <w:rPr>
          <w:i/>
          <w:spacing w:val="-8"/>
          <w:sz w:val="22"/>
          <w:szCs w:val="22"/>
          <w:u w:val="single"/>
          <w:lang w:val="sr-Latn-ME"/>
        </w:rPr>
        <w:t xml:space="preserve"> </w:t>
      </w:r>
      <w:r w:rsidRPr="00BA3E97">
        <w:rPr>
          <w:i/>
          <w:sz w:val="22"/>
          <w:szCs w:val="22"/>
          <w:u w:val="single"/>
          <w:lang w:val="sr-Latn-ME"/>
        </w:rPr>
        <w:t>funkcije</w:t>
      </w:r>
      <w:r w:rsidRPr="00BA3E97">
        <w:rPr>
          <w:i/>
          <w:spacing w:val="-6"/>
          <w:sz w:val="22"/>
          <w:szCs w:val="22"/>
          <w:u w:val="single"/>
          <w:lang w:val="sr-Latn-ME"/>
        </w:rPr>
        <w:t xml:space="preserve"> </w:t>
      </w:r>
      <w:r w:rsidRPr="00BA3E97">
        <w:rPr>
          <w:i/>
          <w:spacing w:val="-4"/>
          <w:sz w:val="22"/>
          <w:szCs w:val="22"/>
          <w:u w:val="single"/>
          <w:lang w:val="sr-Latn-ME"/>
        </w:rPr>
        <w:t>jetre</w:t>
      </w:r>
    </w:p>
    <w:p w14:paraId="656673AA" w14:textId="083FCFD1" w:rsidR="00493105" w:rsidRPr="00BA3E97" w:rsidRDefault="00493105" w:rsidP="00A83DDF">
      <w:pPr>
        <w:pStyle w:val="BodyText"/>
        <w:spacing w:before="2"/>
        <w:ind w:right="339"/>
        <w:jc w:val="both"/>
        <w:rPr>
          <w:lang w:val="sr-Latn-ME"/>
        </w:rPr>
      </w:pPr>
      <w:r w:rsidRPr="00BA3E97">
        <w:rPr>
          <w:lang w:val="sr-Latn-ME"/>
        </w:rPr>
        <w:t xml:space="preserve">Zabilježeni su rijetki slučajevi poremećaja jetrene funkcije (uključujući hepatitis). U tim slučajevima, </w:t>
      </w:r>
      <w:r w:rsidR="00134CAF" w:rsidRPr="00BA3E97">
        <w:rPr>
          <w:lang w:val="sr-Latn-ME"/>
        </w:rPr>
        <w:t>pacijenti</w:t>
      </w:r>
      <w:r w:rsidRPr="00BA3E97">
        <w:rPr>
          <w:lang w:val="sr-Latn-ME"/>
        </w:rPr>
        <w:t xml:space="preserve"> su </w:t>
      </w:r>
      <w:r w:rsidR="00A16CCA" w:rsidRPr="00BA3E97">
        <w:rPr>
          <w:lang w:val="sr-Latn-ME"/>
        </w:rPr>
        <w:t>generalno</w:t>
      </w:r>
      <w:r w:rsidRPr="00BA3E97">
        <w:rPr>
          <w:lang w:val="sr-Latn-ME"/>
        </w:rPr>
        <w:t xml:space="preserve"> bili bez simptoma i kliničkih posljedica, a jetrena funkcija se vratila na normalu nakon prekida liječenja. U podacima iz kontroli</w:t>
      </w:r>
      <w:r w:rsidR="00A16CCA" w:rsidRPr="00BA3E97">
        <w:rPr>
          <w:lang w:val="sr-Latn-ME"/>
        </w:rPr>
        <w:t>s</w:t>
      </w:r>
      <w:r w:rsidRPr="00BA3E97">
        <w:rPr>
          <w:lang w:val="sr-Latn-ME"/>
        </w:rPr>
        <w:t xml:space="preserve">anih ispitivanja monoterapije i ispitivanja lijeka kao dodatne terapije u trajanju do 24 </w:t>
      </w:r>
      <w:r w:rsidR="00A16CCA" w:rsidRPr="00BA3E97">
        <w:rPr>
          <w:lang w:val="sr-Latn-ME"/>
        </w:rPr>
        <w:t>nedelje</w:t>
      </w:r>
      <w:r w:rsidRPr="00BA3E97">
        <w:rPr>
          <w:lang w:val="sr-Latn-ME"/>
        </w:rPr>
        <w:t>, incidenc</w:t>
      </w:r>
      <w:r w:rsidR="00A16CCA" w:rsidRPr="00BA3E97">
        <w:rPr>
          <w:lang w:val="sr-Latn-ME"/>
        </w:rPr>
        <w:t xml:space="preserve">a </w:t>
      </w:r>
      <w:r w:rsidRPr="00BA3E97">
        <w:rPr>
          <w:lang w:val="sr-Latn-ME"/>
        </w:rPr>
        <w:t xml:space="preserve">povećanja ALT-a ili AST-a ≥ 3x </w:t>
      </w:r>
      <w:r w:rsidR="004A4C3D" w:rsidRPr="00BA3E97">
        <w:rPr>
          <w:lang w:val="sr-Latn-ME"/>
        </w:rPr>
        <w:t>gornje granice normalnog nalaza</w:t>
      </w:r>
      <w:r w:rsidR="00F4738E" w:rsidRPr="00BA3E97">
        <w:rPr>
          <w:lang w:val="sr-Latn-ME"/>
        </w:rPr>
        <w:t xml:space="preserve"> (GGN)</w:t>
      </w:r>
      <w:r w:rsidRPr="00BA3E97">
        <w:rPr>
          <w:lang w:val="sr-Latn-ME"/>
        </w:rPr>
        <w:t xml:space="preserve"> (</w:t>
      </w:r>
      <w:r w:rsidR="005C53F0" w:rsidRPr="00BA3E97">
        <w:rPr>
          <w:lang w:val="sr-Latn-ME"/>
        </w:rPr>
        <w:t xml:space="preserve">klasifikovano </w:t>
      </w:r>
      <w:r w:rsidRPr="00BA3E97">
        <w:rPr>
          <w:lang w:val="sr-Latn-ME"/>
        </w:rPr>
        <w:t>kao prisutnost u najmanje 2 uzastopna mjerenja ili na završnoj posjeti t</w:t>
      </w:r>
      <w:r w:rsidR="00A16CCA" w:rsidRPr="00BA3E97">
        <w:rPr>
          <w:lang w:val="sr-Latn-ME"/>
        </w:rPr>
        <w:t>o</w:t>
      </w:r>
      <w:r w:rsidRPr="00BA3E97">
        <w:rPr>
          <w:lang w:val="sr-Latn-ME"/>
        </w:rPr>
        <w:t>kom liječenja) bila je 0,2 % za 50 mg vildagliptina jedanput dnevno, 0,3 % za 50 mg vildagliptina dva</w:t>
      </w:r>
      <w:r w:rsidR="005C53F0" w:rsidRPr="00BA3E97">
        <w:rPr>
          <w:lang w:val="sr-Latn-ME"/>
        </w:rPr>
        <w:t xml:space="preserve"> </w:t>
      </w:r>
      <w:r w:rsidRPr="00BA3E97">
        <w:rPr>
          <w:lang w:val="sr-Latn-ME"/>
        </w:rPr>
        <w:t>put</w:t>
      </w:r>
      <w:r w:rsidR="005C53F0" w:rsidRPr="00BA3E97">
        <w:rPr>
          <w:lang w:val="sr-Latn-ME"/>
        </w:rPr>
        <w:t>a</w:t>
      </w:r>
      <w:r w:rsidRPr="00BA3E97">
        <w:rPr>
          <w:lang w:val="sr-Latn-ME"/>
        </w:rPr>
        <w:t xml:space="preserve"> dnevno i 0,2</w:t>
      </w:r>
      <w:r w:rsidRPr="00BA3E97">
        <w:rPr>
          <w:spacing w:val="-2"/>
          <w:lang w:val="sr-Latn-ME"/>
        </w:rPr>
        <w:t xml:space="preserve"> </w:t>
      </w:r>
      <w:r w:rsidRPr="00BA3E97">
        <w:rPr>
          <w:lang w:val="sr-Latn-ME"/>
        </w:rPr>
        <w:t>%</w:t>
      </w:r>
      <w:r w:rsidRPr="00BA3E97">
        <w:rPr>
          <w:spacing w:val="-4"/>
          <w:lang w:val="sr-Latn-ME"/>
        </w:rPr>
        <w:t xml:space="preserve"> </w:t>
      </w:r>
      <w:r w:rsidRPr="00BA3E97">
        <w:rPr>
          <w:lang w:val="sr-Latn-ME"/>
        </w:rPr>
        <w:t>za</w:t>
      </w:r>
      <w:r w:rsidRPr="00BA3E97">
        <w:rPr>
          <w:spacing w:val="-2"/>
          <w:lang w:val="sr-Latn-ME"/>
        </w:rPr>
        <w:t xml:space="preserve"> </w:t>
      </w:r>
      <w:r w:rsidRPr="00BA3E97">
        <w:rPr>
          <w:lang w:val="sr-Latn-ME"/>
        </w:rPr>
        <w:t>sve</w:t>
      </w:r>
      <w:r w:rsidRPr="00BA3E97">
        <w:rPr>
          <w:spacing w:val="-1"/>
          <w:lang w:val="sr-Latn-ME"/>
        </w:rPr>
        <w:t xml:space="preserve"> </w:t>
      </w:r>
      <w:r w:rsidRPr="00BA3E97">
        <w:rPr>
          <w:lang w:val="sr-Latn-ME"/>
        </w:rPr>
        <w:t>komparatore.</w:t>
      </w:r>
      <w:r w:rsidRPr="00BA3E97">
        <w:rPr>
          <w:spacing w:val="-5"/>
          <w:lang w:val="sr-Latn-ME"/>
        </w:rPr>
        <w:t xml:space="preserve"> </w:t>
      </w:r>
      <w:r w:rsidRPr="00BA3E97">
        <w:rPr>
          <w:lang w:val="sr-Latn-ME"/>
        </w:rPr>
        <w:t>Ova</w:t>
      </w:r>
      <w:r w:rsidRPr="00BA3E97">
        <w:rPr>
          <w:spacing w:val="-2"/>
          <w:lang w:val="sr-Latn-ME"/>
        </w:rPr>
        <w:t xml:space="preserve"> </w:t>
      </w:r>
      <w:r w:rsidRPr="00BA3E97">
        <w:rPr>
          <w:lang w:val="sr-Latn-ME"/>
        </w:rPr>
        <w:t>povišenja</w:t>
      </w:r>
      <w:r w:rsidRPr="00BA3E97">
        <w:rPr>
          <w:spacing w:val="-4"/>
          <w:lang w:val="sr-Latn-ME"/>
        </w:rPr>
        <w:t xml:space="preserve"> </w:t>
      </w:r>
      <w:r w:rsidRPr="00BA3E97">
        <w:rPr>
          <w:lang w:val="sr-Latn-ME"/>
        </w:rPr>
        <w:t>transaminaza</w:t>
      </w:r>
      <w:r w:rsidRPr="00BA3E97">
        <w:rPr>
          <w:spacing w:val="-2"/>
          <w:lang w:val="sr-Latn-ME"/>
        </w:rPr>
        <w:t xml:space="preserve"> </w:t>
      </w:r>
      <w:r w:rsidRPr="00BA3E97">
        <w:rPr>
          <w:lang w:val="sr-Latn-ME"/>
        </w:rPr>
        <w:t>su</w:t>
      </w:r>
      <w:r w:rsidRPr="00BA3E97">
        <w:rPr>
          <w:spacing w:val="-2"/>
          <w:lang w:val="sr-Latn-ME"/>
        </w:rPr>
        <w:t xml:space="preserve"> </w:t>
      </w:r>
      <w:r w:rsidR="00F4738E" w:rsidRPr="00BA3E97">
        <w:rPr>
          <w:lang w:val="sr-Latn-ME"/>
        </w:rPr>
        <w:t>generalno</w:t>
      </w:r>
      <w:r w:rsidRPr="00BA3E97">
        <w:rPr>
          <w:spacing w:val="-5"/>
          <w:lang w:val="sr-Latn-ME"/>
        </w:rPr>
        <w:t xml:space="preserve"> </w:t>
      </w:r>
      <w:r w:rsidRPr="00BA3E97">
        <w:rPr>
          <w:lang w:val="sr-Latn-ME"/>
        </w:rPr>
        <w:t>bila</w:t>
      </w:r>
      <w:r w:rsidRPr="00BA3E97">
        <w:rPr>
          <w:spacing w:val="-2"/>
          <w:lang w:val="sr-Latn-ME"/>
        </w:rPr>
        <w:t xml:space="preserve"> </w:t>
      </w:r>
      <w:r w:rsidRPr="00BA3E97">
        <w:rPr>
          <w:lang w:val="sr-Latn-ME"/>
        </w:rPr>
        <w:t>asimptomatska,</w:t>
      </w:r>
      <w:r w:rsidRPr="00BA3E97">
        <w:rPr>
          <w:spacing w:val="-5"/>
          <w:lang w:val="sr-Latn-ME"/>
        </w:rPr>
        <w:t xml:space="preserve"> </w:t>
      </w:r>
      <w:r w:rsidRPr="00BA3E97">
        <w:rPr>
          <w:lang w:val="sr-Latn-ME"/>
        </w:rPr>
        <w:t>neprogresivna i nisu bila povezana s</w:t>
      </w:r>
      <w:r w:rsidR="00F4738E" w:rsidRPr="00BA3E97">
        <w:rPr>
          <w:lang w:val="sr-Latn-ME"/>
        </w:rPr>
        <w:t>a h</w:t>
      </w:r>
      <w:r w:rsidRPr="00BA3E97">
        <w:rPr>
          <w:lang w:val="sr-Latn-ME"/>
        </w:rPr>
        <w:t>olestazom ili žuticom.</w:t>
      </w:r>
    </w:p>
    <w:p w14:paraId="26703E6A" w14:textId="77777777" w:rsidR="00493105" w:rsidRPr="00BA3E97" w:rsidRDefault="00493105" w:rsidP="00A83DDF">
      <w:pPr>
        <w:pStyle w:val="BodyText"/>
        <w:spacing w:before="9"/>
        <w:jc w:val="both"/>
        <w:rPr>
          <w:lang w:val="sr-Latn-ME"/>
        </w:rPr>
      </w:pPr>
    </w:p>
    <w:p w14:paraId="3B173370" w14:textId="77777777" w:rsidR="00493105" w:rsidRPr="00BA3E97" w:rsidRDefault="00493105" w:rsidP="00A83DDF">
      <w:pPr>
        <w:jc w:val="both"/>
        <w:rPr>
          <w:i/>
          <w:sz w:val="22"/>
          <w:szCs w:val="22"/>
          <w:lang w:val="sr-Latn-ME"/>
        </w:rPr>
      </w:pPr>
      <w:r w:rsidRPr="00BA3E97">
        <w:rPr>
          <w:i/>
          <w:spacing w:val="-2"/>
          <w:sz w:val="22"/>
          <w:szCs w:val="22"/>
          <w:u w:val="single"/>
          <w:lang w:val="sr-Latn-ME"/>
        </w:rPr>
        <w:t>Angioedem</w:t>
      </w:r>
    </w:p>
    <w:p w14:paraId="041D1BBE" w14:textId="5993181C" w:rsidR="00493105" w:rsidRPr="00BA3E97" w:rsidRDefault="00F253D5" w:rsidP="00A83DDF">
      <w:pPr>
        <w:pStyle w:val="BodyText"/>
        <w:spacing w:before="2"/>
        <w:ind w:right="346"/>
        <w:jc w:val="both"/>
        <w:rPr>
          <w:lang w:val="sr-Latn-ME"/>
        </w:rPr>
      </w:pPr>
      <w:r w:rsidRPr="00BA3E97">
        <w:rPr>
          <w:lang w:val="sr-Latn-ME"/>
        </w:rPr>
        <w:t>Kod pacijenata</w:t>
      </w:r>
      <w:r w:rsidR="00493105" w:rsidRPr="00BA3E97">
        <w:rPr>
          <w:lang w:val="sr-Latn-ME"/>
        </w:rPr>
        <w:t xml:space="preserve"> liječenih vildagliptinom zabilježeni su rijetki slučajevi angioedema sa sličnom stopom učestalosti</w:t>
      </w:r>
      <w:r w:rsidR="00493105" w:rsidRPr="00BA3E97">
        <w:rPr>
          <w:spacing w:val="-2"/>
          <w:lang w:val="sr-Latn-ME"/>
        </w:rPr>
        <w:t xml:space="preserve"> </w:t>
      </w:r>
      <w:r w:rsidR="00493105" w:rsidRPr="00BA3E97">
        <w:rPr>
          <w:lang w:val="sr-Latn-ME"/>
        </w:rPr>
        <w:t>kao</w:t>
      </w:r>
      <w:r w:rsidR="00493105" w:rsidRPr="00BA3E97">
        <w:rPr>
          <w:spacing w:val="-3"/>
          <w:lang w:val="sr-Latn-ME"/>
        </w:rPr>
        <w:t xml:space="preserve"> </w:t>
      </w:r>
      <w:r w:rsidR="00493105" w:rsidRPr="00BA3E97">
        <w:rPr>
          <w:lang w:val="sr-Latn-ME"/>
        </w:rPr>
        <w:t>u</w:t>
      </w:r>
      <w:r w:rsidR="00493105" w:rsidRPr="00BA3E97">
        <w:rPr>
          <w:spacing w:val="-3"/>
          <w:lang w:val="sr-Latn-ME"/>
        </w:rPr>
        <w:t xml:space="preserve"> </w:t>
      </w:r>
      <w:r w:rsidR="00493105" w:rsidRPr="00BA3E97">
        <w:rPr>
          <w:lang w:val="sr-Latn-ME"/>
        </w:rPr>
        <w:t>kontrolnim</w:t>
      </w:r>
      <w:r w:rsidR="00493105" w:rsidRPr="00BA3E97">
        <w:rPr>
          <w:spacing w:val="-2"/>
          <w:lang w:val="sr-Latn-ME"/>
        </w:rPr>
        <w:t xml:space="preserve"> </w:t>
      </w:r>
      <w:r w:rsidRPr="00BA3E97">
        <w:rPr>
          <w:lang w:val="sr-Latn-ME"/>
        </w:rPr>
        <w:t>grupam</w:t>
      </w:r>
      <w:r w:rsidR="00493105" w:rsidRPr="00BA3E97">
        <w:rPr>
          <w:lang w:val="sr-Latn-ME"/>
        </w:rPr>
        <w:t>a.</w:t>
      </w:r>
      <w:r w:rsidR="00493105" w:rsidRPr="00BA3E97">
        <w:rPr>
          <w:spacing w:val="-3"/>
          <w:lang w:val="sr-Latn-ME"/>
        </w:rPr>
        <w:t xml:space="preserve"> </w:t>
      </w:r>
      <w:r w:rsidR="00493105" w:rsidRPr="00BA3E97">
        <w:rPr>
          <w:lang w:val="sr-Latn-ME"/>
        </w:rPr>
        <w:t>Veći</w:t>
      </w:r>
      <w:r w:rsidR="00493105" w:rsidRPr="00BA3E97">
        <w:rPr>
          <w:spacing w:val="-2"/>
          <w:lang w:val="sr-Latn-ME"/>
        </w:rPr>
        <w:t xml:space="preserve"> </w:t>
      </w:r>
      <w:r w:rsidR="00493105" w:rsidRPr="00BA3E97">
        <w:rPr>
          <w:lang w:val="sr-Latn-ME"/>
        </w:rPr>
        <w:t>udio</w:t>
      </w:r>
      <w:r w:rsidR="00493105" w:rsidRPr="00BA3E97">
        <w:rPr>
          <w:spacing w:val="-3"/>
          <w:lang w:val="sr-Latn-ME"/>
        </w:rPr>
        <w:t xml:space="preserve"> </w:t>
      </w:r>
      <w:r w:rsidR="00493105" w:rsidRPr="00BA3E97">
        <w:rPr>
          <w:lang w:val="sr-Latn-ME"/>
        </w:rPr>
        <w:t>slučajeva</w:t>
      </w:r>
      <w:r w:rsidR="00493105" w:rsidRPr="00BA3E97">
        <w:rPr>
          <w:spacing w:val="-5"/>
          <w:lang w:val="sr-Latn-ME"/>
        </w:rPr>
        <w:t xml:space="preserve"> </w:t>
      </w:r>
      <w:r w:rsidR="00493105" w:rsidRPr="00BA3E97">
        <w:rPr>
          <w:lang w:val="sr-Latn-ME"/>
        </w:rPr>
        <w:t>je</w:t>
      </w:r>
      <w:r w:rsidR="00493105" w:rsidRPr="00BA3E97">
        <w:rPr>
          <w:spacing w:val="-3"/>
          <w:lang w:val="sr-Latn-ME"/>
        </w:rPr>
        <w:t xml:space="preserve"> </w:t>
      </w:r>
      <w:r w:rsidR="00493105" w:rsidRPr="00BA3E97">
        <w:rPr>
          <w:lang w:val="sr-Latn-ME"/>
        </w:rPr>
        <w:t>zabilježen</w:t>
      </w:r>
      <w:r w:rsidR="00493105" w:rsidRPr="00BA3E97">
        <w:rPr>
          <w:spacing w:val="-3"/>
          <w:lang w:val="sr-Latn-ME"/>
        </w:rPr>
        <w:t xml:space="preserve"> </w:t>
      </w:r>
      <w:r w:rsidR="00493105" w:rsidRPr="00BA3E97">
        <w:rPr>
          <w:lang w:val="sr-Latn-ME"/>
        </w:rPr>
        <w:t>kada</w:t>
      </w:r>
      <w:r w:rsidR="00493105" w:rsidRPr="00BA3E97">
        <w:rPr>
          <w:spacing w:val="-3"/>
          <w:lang w:val="sr-Latn-ME"/>
        </w:rPr>
        <w:t xml:space="preserve"> </w:t>
      </w:r>
      <w:r w:rsidR="00493105" w:rsidRPr="00BA3E97">
        <w:rPr>
          <w:lang w:val="sr-Latn-ME"/>
        </w:rPr>
        <w:t>se</w:t>
      </w:r>
      <w:r w:rsidR="00493105" w:rsidRPr="00BA3E97">
        <w:rPr>
          <w:spacing w:val="-3"/>
          <w:lang w:val="sr-Latn-ME"/>
        </w:rPr>
        <w:t xml:space="preserve"> </w:t>
      </w:r>
      <w:r w:rsidR="00493105" w:rsidRPr="00BA3E97">
        <w:rPr>
          <w:lang w:val="sr-Latn-ME"/>
        </w:rPr>
        <w:t>vildagliptin</w:t>
      </w:r>
      <w:r w:rsidR="00493105" w:rsidRPr="00BA3E97">
        <w:rPr>
          <w:spacing w:val="-3"/>
          <w:lang w:val="sr-Latn-ME"/>
        </w:rPr>
        <w:t xml:space="preserve"> </w:t>
      </w:r>
      <w:r w:rsidR="00493105" w:rsidRPr="00BA3E97">
        <w:rPr>
          <w:lang w:val="sr-Latn-ME"/>
        </w:rPr>
        <w:t>davao</w:t>
      </w:r>
      <w:r w:rsidR="00493105" w:rsidRPr="00BA3E97">
        <w:rPr>
          <w:spacing w:val="-3"/>
          <w:lang w:val="sr-Latn-ME"/>
        </w:rPr>
        <w:t xml:space="preserve"> </w:t>
      </w:r>
      <w:r w:rsidR="00493105" w:rsidRPr="00BA3E97">
        <w:rPr>
          <w:lang w:val="sr-Latn-ME"/>
        </w:rPr>
        <w:t>u kombinaciji s</w:t>
      </w:r>
      <w:r w:rsidRPr="00BA3E97">
        <w:rPr>
          <w:lang w:val="sr-Latn-ME"/>
        </w:rPr>
        <w:t>a</w:t>
      </w:r>
      <w:r w:rsidR="00493105" w:rsidRPr="00BA3E97">
        <w:rPr>
          <w:lang w:val="sr-Latn-ME"/>
        </w:rPr>
        <w:t xml:space="preserve"> inhibitorom angiotenzin konvertirajućeg enzima (ACE inhibitor). Većina je događaja bila blagog intenziteta i povukla se t</w:t>
      </w:r>
      <w:r w:rsidRPr="00BA3E97">
        <w:rPr>
          <w:lang w:val="sr-Latn-ME"/>
        </w:rPr>
        <w:t>o</w:t>
      </w:r>
      <w:r w:rsidR="00493105" w:rsidRPr="00BA3E97">
        <w:rPr>
          <w:lang w:val="sr-Latn-ME"/>
        </w:rPr>
        <w:t>kom daljnjeg liječenja vildagliptinom.</w:t>
      </w:r>
    </w:p>
    <w:p w14:paraId="6BBE0982" w14:textId="77777777" w:rsidR="00493105" w:rsidRPr="00BA3E97" w:rsidRDefault="00493105" w:rsidP="00A83DDF">
      <w:pPr>
        <w:pStyle w:val="BodyText"/>
        <w:jc w:val="both"/>
        <w:rPr>
          <w:lang w:val="sr-Latn-ME"/>
        </w:rPr>
      </w:pPr>
    </w:p>
    <w:p w14:paraId="747FB6FC" w14:textId="77777777" w:rsidR="00493105" w:rsidRPr="00BA3E97" w:rsidRDefault="00493105" w:rsidP="00A83DDF">
      <w:pPr>
        <w:spacing w:line="252" w:lineRule="exact"/>
        <w:jc w:val="both"/>
        <w:rPr>
          <w:i/>
          <w:sz w:val="22"/>
          <w:szCs w:val="22"/>
          <w:lang w:val="sr-Latn-ME"/>
        </w:rPr>
      </w:pPr>
      <w:r w:rsidRPr="00BA3E97">
        <w:rPr>
          <w:i/>
          <w:spacing w:val="-2"/>
          <w:sz w:val="22"/>
          <w:szCs w:val="22"/>
          <w:u w:val="single"/>
          <w:lang w:val="sr-Latn-ME"/>
        </w:rPr>
        <w:t>Hipoglikemija</w:t>
      </w:r>
    </w:p>
    <w:p w14:paraId="629BDE00" w14:textId="14FB7145" w:rsidR="00493105" w:rsidRPr="00BA3E97" w:rsidRDefault="00493105" w:rsidP="00A83DDF">
      <w:pPr>
        <w:pStyle w:val="BodyText"/>
        <w:ind w:right="394"/>
        <w:jc w:val="both"/>
        <w:rPr>
          <w:lang w:val="sr-Latn-ME"/>
        </w:rPr>
      </w:pPr>
      <w:r w:rsidRPr="00BA3E97">
        <w:rPr>
          <w:lang w:val="sr-Latn-ME"/>
        </w:rPr>
        <w:t xml:space="preserve">Učestalost hipoglikemije je </w:t>
      </w:r>
      <w:r w:rsidR="005D2D9B" w:rsidRPr="00BA3E97">
        <w:rPr>
          <w:lang w:val="sr-Latn-ME"/>
        </w:rPr>
        <w:t>bila povremene učestalosti</w:t>
      </w:r>
      <w:r w:rsidRPr="00BA3E97">
        <w:rPr>
          <w:lang w:val="sr-Latn-ME"/>
        </w:rPr>
        <w:t xml:space="preserve"> kad se vildagliptin (0,4 %) koristio kao monoterapija u </w:t>
      </w:r>
      <w:r w:rsidR="00E91D67" w:rsidRPr="00BA3E97">
        <w:rPr>
          <w:lang w:val="sr-Latn-ME"/>
        </w:rPr>
        <w:t>poredbenim</w:t>
      </w:r>
      <w:r w:rsidRPr="00BA3E97">
        <w:rPr>
          <w:lang w:val="sr-Latn-ME"/>
        </w:rPr>
        <w:t xml:space="preserve"> kontroli</w:t>
      </w:r>
      <w:r w:rsidR="00E91D67" w:rsidRPr="00BA3E97">
        <w:rPr>
          <w:lang w:val="sr-Latn-ME"/>
        </w:rPr>
        <w:t>s</w:t>
      </w:r>
      <w:r w:rsidRPr="00BA3E97">
        <w:rPr>
          <w:lang w:val="sr-Latn-ME"/>
        </w:rPr>
        <w:t>anim</w:t>
      </w:r>
      <w:r w:rsidRPr="00BA3E97">
        <w:rPr>
          <w:spacing w:val="-3"/>
          <w:lang w:val="sr-Latn-ME"/>
        </w:rPr>
        <w:t xml:space="preserve"> </w:t>
      </w:r>
      <w:r w:rsidRPr="00BA3E97">
        <w:rPr>
          <w:lang w:val="sr-Latn-ME"/>
        </w:rPr>
        <w:t>ispitivanjima</w:t>
      </w:r>
      <w:r w:rsidRPr="00BA3E97">
        <w:rPr>
          <w:spacing w:val="-3"/>
          <w:lang w:val="sr-Latn-ME"/>
        </w:rPr>
        <w:t xml:space="preserve"> </w:t>
      </w:r>
      <w:r w:rsidRPr="00BA3E97">
        <w:rPr>
          <w:lang w:val="sr-Latn-ME"/>
        </w:rPr>
        <w:t>monoterapije</w:t>
      </w:r>
      <w:r w:rsidRPr="00BA3E97">
        <w:rPr>
          <w:spacing w:val="-3"/>
          <w:lang w:val="sr-Latn-ME"/>
        </w:rPr>
        <w:t xml:space="preserve"> </w:t>
      </w:r>
      <w:r w:rsidRPr="00BA3E97">
        <w:rPr>
          <w:lang w:val="sr-Latn-ME"/>
        </w:rPr>
        <w:t>s</w:t>
      </w:r>
      <w:r w:rsidR="00E91D67" w:rsidRPr="00BA3E97">
        <w:rPr>
          <w:spacing w:val="-3"/>
          <w:lang w:val="sr-Latn-ME"/>
        </w:rPr>
        <w:t xml:space="preserve">a </w:t>
      </w:r>
      <w:r w:rsidRPr="00BA3E97">
        <w:rPr>
          <w:lang w:val="sr-Latn-ME"/>
        </w:rPr>
        <w:t>aktivnim komparatorom ili</w:t>
      </w:r>
      <w:r w:rsidRPr="00BA3E97">
        <w:rPr>
          <w:spacing w:val="-3"/>
          <w:lang w:val="sr-Latn-ME"/>
        </w:rPr>
        <w:t xml:space="preserve"> </w:t>
      </w:r>
      <w:r w:rsidRPr="00BA3E97">
        <w:rPr>
          <w:lang w:val="sr-Latn-ME"/>
        </w:rPr>
        <w:t xml:space="preserve">placebom (0,2 %). Nisu zabilježeni teški ili ozbiljni događaji hipoglikemije. Kad se koristio kao dodatak metforminu, hipoglikemija se pojavila </w:t>
      </w:r>
      <w:r w:rsidR="00E91D67" w:rsidRPr="00BA3E97">
        <w:rPr>
          <w:lang w:val="sr-Latn-ME"/>
        </w:rPr>
        <w:t xml:space="preserve">kod </w:t>
      </w:r>
      <w:r w:rsidRPr="00BA3E97">
        <w:rPr>
          <w:lang w:val="sr-Latn-ME"/>
        </w:rPr>
        <w:t xml:space="preserve">1 % </w:t>
      </w:r>
      <w:r w:rsidR="00E91D67" w:rsidRPr="00BA3E97">
        <w:rPr>
          <w:lang w:val="sr-Latn-ME"/>
        </w:rPr>
        <w:t>pacijenata</w:t>
      </w:r>
      <w:r w:rsidRPr="00BA3E97">
        <w:rPr>
          <w:lang w:val="sr-Latn-ME"/>
        </w:rPr>
        <w:t xml:space="preserve"> liječenih vildagliptinom i </w:t>
      </w:r>
      <w:r w:rsidR="00B310F2" w:rsidRPr="00BA3E97">
        <w:rPr>
          <w:lang w:val="sr-Latn-ME"/>
        </w:rPr>
        <w:t>kod</w:t>
      </w:r>
      <w:r w:rsidRPr="00BA3E97">
        <w:rPr>
          <w:lang w:val="sr-Latn-ME"/>
        </w:rPr>
        <w:t xml:space="preserve"> 0,4 % </w:t>
      </w:r>
      <w:r w:rsidR="00B310F2" w:rsidRPr="00BA3E97">
        <w:rPr>
          <w:lang w:val="sr-Latn-ME"/>
        </w:rPr>
        <w:t>pa</w:t>
      </w:r>
      <w:r w:rsidR="005D16F8" w:rsidRPr="00BA3E97">
        <w:rPr>
          <w:lang w:val="sr-Latn-ME"/>
        </w:rPr>
        <w:t>cijenata</w:t>
      </w:r>
      <w:r w:rsidRPr="00BA3E97">
        <w:rPr>
          <w:lang w:val="sr-Latn-ME"/>
        </w:rPr>
        <w:t xml:space="preserve"> liječenih placebom. Kad je doda</w:t>
      </w:r>
      <w:r w:rsidR="005D16F8" w:rsidRPr="00BA3E97">
        <w:rPr>
          <w:lang w:val="sr-Latn-ME"/>
        </w:rPr>
        <w:t>t</w:t>
      </w:r>
      <w:r w:rsidRPr="00BA3E97">
        <w:rPr>
          <w:lang w:val="sr-Latn-ME"/>
        </w:rPr>
        <w:t xml:space="preserve"> pioglitazon, hipoglikemija se pojavila </w:t>
      </w:r>
      <w:r w:rsidR="005D16F8" w:rsidRPr="00BA3E97">
        <w:rPr>
          <w:lang w:val="sr-Latn-ME"/>
        </w:rPr>
        <w:t>kod</w:t>
      </w:r>
      <w:r w:rsidRPr="00BA3E97">
        <w:rPr>
          <w:lang w:val="sr-Latn-ME"/>
        </w:rPr>
        <w:t xml:space="preserve"> 0,6 % </w:t>
      </w:r>
      <w:r w:rsidR="005D16F8" w:rsidRPr="00BA3E97">
        <w:rPr>
          <w:lang w:val="sr-Latn-ME"/>
        </w:rPr>
        <w:t>pacijenata</w:t>
      </w:r>
      <w:r w:rsidRPr="00BA3E97">
        <w:rPr>
          <w:lang w:val="sr-Latn-ME"/>
        </w:rPr>
        <w:t xml:space="preserve"> liječenih vildagliptinom i </w:t>
      </w:r>
      <w:r w:rsidR="00A52F32" w:rsidRPr="00BA3E97">
        <w:rPr>
          <w:lang w:val="sr-Latn-ME"/>
        </w:rPr>
        <w:t>kod</w:t>
      </w:r>
      <w:r w:rsidRPr="00BA3E97">
        <w:rPr>
          <w:lang w:val="sr-Latn-ME"/>
        </w:rPr>
        <w:t xml:space="preserve"> 1,9 % </w:t>
      </w:r>
      <w:r w:rsidR="00A52F32" w:rsidRPr="00BA3E97">
        <w:rPr>
          <w:lang w:val="sr-Latn-ME"/>
        </w:rPr>
        <w:t>pacijenata</w:t>
      </w:r>
      <w:r w:rsidRPr="00BA3E97">
        <w:rPr>
          <w:lang w:val="sr-Latn-ME"/>
        </w:rPr>
        <w:t xml:space="preserve"> liječenih placebom. Kad je doda</w:t>
      </w:r>
      <w:r w:rsidR="00A52F32" w:rsidRPr="00BA3E97">
        <w:rPr>
          <w:lang w:val="sr-Latn-ME"/>
        </w:rPr>
        <w:t>t</w:t>
      </w:r>
      <w:r w:rsidRPr="00BA3E97">
        <w:rPr>
          <w:lang w:val="sr-Latn-ME"/>
        </w:rPr>
        <w:t xml:space="preserve">a sulfonilureja, hipoglikemija se pojavila </w:t>
      </w:r>
      <w:r w:rsidR="00A52F32" w:rsidRPr="00BA3E97">
        <w:rPr>
          <w:lang w:val="sr-Latn-ME"/>
        </w:rPr>
        <w:t>kod</w:t>
      </w:r>
      <w:r w:rsidRPr="00BA3E97">
        <w:rPr>
          <w:lang w:val="sr-Latn-ME"/>
        </w:rPr>
        <w:t xml:space="preserve"> 1,2 % </w:t>
      </w:r>
      <w:r w:rsidR="00A52F32" w:rsidRPr="00BA3E97">
        <w:rPr>
          <w:lang w:val="sr-Latn-ME"/>
        </w:rPr>
        <w:t xml:space="preserve">pacijenata </w:t>
      </w:r>
      <w:r w:rsidRPr="00BA3E97">
        <w:rPr>
          <w:lang w:val="sr-Latn-ME"/>
        </w:rPr>
        <w:t xml:space="preserve">liječenih vildagliptinom i </w:t>
      </w:r>
      <w:r w:rsidR="00A52F32" w:rsidRPr="00BA3E97">
        <w:rPr>
          <w:lang w:val="sr-Latn-ME"/>
        </w:rPr>
        <w:t>kod</w:t>
      </w:r>
      <w:r w:rsidRPr="00BA3E97">
        <w:rPr>
          <w:lang w:val="sr-Latn-ME"/>
        </w:rPr>
        <w:t xml:space="preserve"> 0,6 % </w:t>
      </w:r>
      <w:r w:rsidR="00A52F32" w:rsidRPr="00BA3E97">
        <w:rPr>
          <w:lang w:val="sr-Latn-ME"/>
        </w:rPr>
        <w:t>pacijenata</w:t>
      </w:r>
      <w:r w:rsidRPr="00BA3E97">
        <w:rPr>
          <w:lang w:val="sr-Latn-ME"/>
        </w:rPr>
        <w:t xml:space="preserve"> liječenih placebom. Kad su doda</w:t>
      </w:r>
      <w:r w:rsidR="00A52F32" w:rsidRPr="00BA3E97">
        <w:rPr>
          <w:lang w:val="sr-Latn-ME"/>
        </w:rPr>
        <w:t>ti</w:t>
      </w:r>
      <w:r w:rsidRPr="00BA3E97">
        <w:rPr>
          <w:spacing w:val="-4"/>
          <w:lang w:val="sr-Latn-ME"/>
        </w:rPr>
        <w:t xml:space="preserve"> </w:t>
      </w:r>
      <w:r w:rsidRPr="00BA3E97">
        <w:rPr>
          <w:lang w:val="sr-Latn-ME"/>
        </w:rPr>
        <w:t>sulfonilureja</w:t>
      </w:r>
      <w:r w:rsidRPr="00BA3E97">
        <w:rPr>
          <w:spacing w:val="-5"/>
          <w:lang w:val="sr-Latn-ME"/>
        </w:rPr>
        <w:t xml:space="preserve"> </w:t>
      </w:r>
      <w:r w:rsidRPr="00BA3E97">
        <w:rPr>
          <w:lang w:val="sr-Latn-ME"/>
        </w:rPr>
        <w:t>i</w:t>
      </w:r>
      <w:r w:rsidRPr="00BA3E97">
        <w:rPr>
          <w:spacing w:val="-5"/>
          <w:lang w:val="sr-Latn-ME"/>
        </w:rPr>
        <w:t xml:space="preserve"> </w:t>
      </w:r>
      <w:r w:rsidRPr="00BA3E97">
        <w:rPr>
          <w:lang w:val="sr-Latn-ME"/>
        </w:rPr>
        <w:t>metformin,</w:t>
      </w:r>
      <w:r w:rsidRPr="00BA3E97">
        <w:rPr>
          <w:spacing w:val="-3"/>
          <w:lang w:val="sr-Latn-ME"/>
        </w:rPr>
        <w:t xml:space="preserve"> </w:t>
      </w:r>
      <w:r w:rsidRPr="00BA3E97">
        <w:rPr>
          <w:lang w:val="sr-Latn-ME"/>
        </w:rPr>
        <w:t>hipoglikemija</w:t>
      </w:r>
      <w:r w:rsidRPr="00BA3E97">
        <w:rPr>
          <w:spacing w:val="-3"/>
          <w:lang w:val="sr-Latn-ME"/>
        </w:rPr>
        <w:t xml:space="preserve"> </w:t>
      </w:r>
      <w:r w:rsidRPr="00BA3E97">
        <w:rPr>
          <w:lang w:val="sr-Latn-ME"/>
        </w:rPr>
        <w:t>se</w:t>
      </w:r>
      <w:r w:rsidRPr="00BA3E97">
        <w:rPr>
          <w:spacing w:val="-3"/>
          <w:lang w:val="sr-Latn-ME"/>
        </w:rPr>
        <w:t xml:space="preserve"> </w:t>
      </w:r>
      <w:r w:rsidRPr="00BA3E97">
        <w:rPr>
          <w:lang w:val="sr-Latn-ME"/>
        </w:rPr>
        <w:t>pojavila</w:t>
      </w:r>
      <w:r w:rsidRPr="00BA3E97">
        <w:rPr>
          <w:spacing w:val="-3"/>
          <w:lang w:val="sr-Latn-ME"/>
        </w:rPr>
        <w:t xml:space="preserve"> </w:t>
      </w:r>
      <w:r w:rsidR="00A52F32" w:rsidRPr="00BA3E97">
        <w:rPr>
          <w:lang w:val="sr-Latn-ME"/>
        </w:rPr>
        <w:t>kod</w:t>
      </w:r>
      <w:r w:rsidRPr="00BA3E97">
        <w:rPr>
          <w:spacing w:val="-3"/>
          <w:lang w:val="sr-Latn-ME"/>
        </w:rPr>
        <w:t xml:space="preserve"> </w:t>
      </w:r>
      <w:r w:rsidRPr="00BA3E97">
        <w:rPr>
          <w:lang w:val="sr-Latn-ME"/>
        </w:rPr>
        <w:t>5,1</w:t>
      </w:r>
      <w:r w:rsidRPr="00BA3E97">
        <w:rPr>
          <w:spacing w:val="-1"/>
          <w:lang w:val="sr-Latn-ME"/>
        </w:rPr>
        <w:t xml:space="preserve"> </w:t>
      </w:r>
      <w:r w:rsidRPr="00BA3E97">
        <w:rPr>
          <w:lang w:val="sr-Latn-ME"/>
        </w:rPr>
        <w:t>%</w:t>
      </w:r>
      <w:r w:rsidRPr="00BA3E97">
        <w:rPr>
          <w:spacing w:val="-3"/>
          <w:lang w:val="sr-Latn-ME"/>
        </w:rPr>
        <w:t xml:space="preserve"> </w:t>
      </w:r>
      <w:r w:rsidR="00E33C64" w:rsidRPr="00BA3E97">
        <w:rPr>
          <w:lang w:val="sr-Latn-ME"/>
        </w:rPr>
        <w:t>pacijenata</w:t>
      </w:r>
      <w:r w:rsidRPr="00BA3E97">
        <w:rPr>
          <w:spacing w:val="-3"/>
          <w:lang w:val="sr-Latn-ME"/>
        </w:rPr>
        <w:t xml:space="preserve"> </w:t>
      </w:r>
      <w:r w:rsidRPr="00BA3E97">
        <w:rPr>
          <w:lang w:val="sr-Latn-ME"/>
        </w:rPr>
        <w:t>liječenih</w:t>
      </w:r>
      <w:r w:rsidRPr="00BA3E97">
        <w:rPr>
          <w:spacing w:val="-3"/>
          <w:lang w:val="sr-Latn-ME"/>
        </w:rPr>
        <w:t xml:space="preserve"> </w:t>
      </w:r>
      <w:r w:rsidRPr="00BA3E97">
        <w:rPr>
          <w:lang w:val="sr-Latn-ME"/>
        </w:rPr>
        <w:t xml:space="preserve">vildagliptinom i </w:t>
      </w:r>
      <w:r w:rsidR="00E33C64" w:rsidRPr="00BA3E97">
        <w:rPr>
          <w:lang w:val="sr-Latn-ME"/>
        </w:rPr>
        <w:t>kod</w:t>
      </w:r>
      <w:r w:rsidRPr="00BA3E97">
        <w:rPr>
          <w:lang w:val="sr-Latn-ME"/>
        </w:rPr>
        <w:t xml:space="preserve"> 1,9 % </w:t>
      </w:r>
      <w:r w:rsidR="00E33C64" w:rsidRPr="00BA3E97">
        <w:rPr>
          <w:lang w:val="sr-Latn-ME"/>
        </w:rPr>
        <w:t>pacijenata</w:t>
      </w:r>
      <w:r w:rsidRPr="00BA3E97">
        <w:rPr>
          <w:lang w:val="sr-Latn-ME"/>
        </w:rPr>
        <w:t xml:space="preserve"> liječenih placebom. </w:t>
      </w:r>
      <w:r w:rsidR="00E33C64" w:rsidRPr="00BA3E97">
        <w:rPr>
          <w:lang w:val="sr-Latn-ME"/>
        </w:rPr>
        <w:t>Kod pacijenata</w:t>
      </w:r>
      <w:r w:rsidRPr="00BA3E97">
        <w:rPr>
          <w:lang w:val="sr-Latn-ME"/>
        </w:rPr>
        <w:t xml:space="preserve"> koji su uzimali vildagliptin u kombinaciji s</w:t>
      </w:r>
      <w:r w:rsidR="00E33C64" w:rsidRPr="00BA3E97">
        <w:rPr>
          <w:lang w:val="sr-Latn-ME"/>
        </w:rPr>
        <w:t xml:space="preserve">a </w:t>
      </w:r>
      <w:r w:rsidRPr="00BA3E97">
        <w:rPr>
          <w:lang w:val="sr-Latn-ME"/>
        </w:rPr>
        <w:t>in</w:t>
      </w:r>
      <w:r w:rsidR="00E33C64" w:rsidRPr="00BA3E97">
        <w:rPr>
          <w:lang w:val="sr-Latn-ME"/>
        </w:rPr>
        <w:t>s</w:t>
      </w:r>
      <w:r w:rsidRPr="00BA3E97">
        <w:rPr>
          <w:lang w:val="sr-Latn-ME"/>
        </w:rPr>
        <w:t>ulinom, incidenca hipoglikemije je bila 14 % za vildagliptin i 16 % za placebo.</w:t>
      </w:r>
    </w:p>
    <w:p w14:paraId="309FD867" w14:textId="77777777" w:rsidR="00666045" w:rsidRPr="00BA3E97" w:rsidRDefault="00666045" w:rsidP="00A83DDF">
      <w:pPr>
        <w:jc w:val="both"/>
        <w:rPr>
          <w:rFonts w:eastAsia="Calibri"/>
          <w:sz w:val="22"/>
          <w:szCs w:val="22"/>
          <w:u w:val="single"/>
          <w:lang w:val="sr-Latn-ME"/>
        </w:rPr>
      </w:pPr>
    </w:p>
    <w:p w14:paraId="178B0BFB" w14:textId="6022C301" w:rsidR="005A23D2" w:rsidRPr="00BA3E97" w:rsidRDefault="005A23D2" w:rsidP="00A83DDF">
      <w:pPr>
        <w:jc w:val="both"/>
        <w:rPr>
          <w:rFonts w:eastAsia="Calibri"/>
          <w:sz w:val="22"/>
          <w:szCs w:val="22"/>
          <w:u w:val="single"/>
          <w:lang w:val="sr-Latn-ME"/>
        </w:rPr>
      </w:pPr>
      <w:r w:rsidRPr="00BA3E97">
        <w:rPr>
          <w:rFonts w:eastAsia="Calibri"/>
          <w:sz w:val="22"/>
          <w:szCs w:val="22"/>
          <w:u w:val="single"/>
          <w:lang w:val="sr-Latn-ME"/>
        </w:rPr>
        <w:t>Prijavljivanje sumnji na neželjena dejstva</w:t>
      </w:r>
    </w:p>
    <w:p w14:paraId="178B0BFC" w14:textId="60EF0216" w:rsidR="005A23D2" w:rsidRPr="00BA3E97" w:rsidRDefault="005A23D2" w:rsidP="005C53F0">
      <w:pPr>
        <w:spacing w:after="200"/>
        <w:jc w:val="both"/>
        <w:rPr>
          <w:rFonts w:eastAsia="Calibri"/>
          <w:sz w:val="22"/>
          <w:szCs w:val="22"/>
          <w:lang w:val="sr-Latn-ME"/>
        </w:rPr>
      </w:pPr>
      <w:r w:rsidRPr="00BA3E97">
        <w:rPr>
          <w:rFonts w:eastAsia="Calibri"/>
          <w:sz w:val="22"/>
          <w:szCs w:val="22"/>
          <w:lang w:val="sr-Latn-ME"/>
        </w:rPr>
        <w:t>Prijavljivanje neželjenih dejstava nakon dobijanja dozvole</w:t>
      </w:r>
      <w:r w:rsidR="003C0C0D" w:rsidRPr="00BA3E97">
        <w:rPr>
          <w:rFonts w:eastAsia="Calibri"/>
          <w:sz w:val="22"/>
          <w:szCs w:val="22"/>
          <w:lang w:val="sr-Latn-ME"/>
        </w:rPr>
        <w:t xml:space="preserve"> </w:t>
      </w:r>
      <w:r w:rsidR="005C53F0" w:rsidRPr="00BA3E97">
        <w:rPr>
          <w:rFonts w:eastAsia="Calibri"/>
          <w:sz w:val="22"/>
          <w:szCs w:val="22"/>
          <w:lang w:val="sr-Latn-ME"/>
        </w:rPr>
        <w:t xml:space="preserve">za lijek </w:t>
      </w:r>
      <w:r w:rsidRPr="00BA3E97">
        <w:rPr>
          <w:rFonts w:eastAsia="Calibri"/>
          <w:sz w:val="22"/>
          <w:szCs w:val="22"/>
          <w:lang w:val="sr-Latn-ME"/>
        </w:rPr>
        <w:t xml:space="preserve"> je od velikog značaja jer obezbjeđuje kont</w:t>
      </w:r>
      <w:r w:rsidR="00EA5765" w:rsidRPr="00BA3E97">
        <w:rPr>
          <w:rFonts w:eastAsia="Calibri"/>
          <w:sz w:val="22"/>
          <w:szCs w:val="22"/>
          <w:lang w:val="sr-Latn-ME"/>
        </w:rPr>
        <w:t>inuirano praćenje odnosa korist</w:t>
      </w:r>
      <w:r w:rsidRPr="00BA3E97">
        <w:rPr>
          <w:rFonts w:eastAsia="Calibri"/>
          <w:sz w:val="22"/>
          <w:szCs w:val="22"/>
          <w:lang w:val="sr-Latn-ME"/>
        </w:rPr>
        <w:t>/rizik primjene lijeka. Zdravstveni radnici treba da prijave svaku sumnju na neželjeno</w:t>
      </w:r>
      <w:r w:rsidR="009B062A" w:rsidRPr="00BA3E97">
        <w:rPr>
          <w:rFonts w:eastAsia="Calibri"/>
          <w:sz w:val="22"/>
          <w:szCs w:val="22"/>
          <w:lang w:val="sr-Latn-ME"/>
        </w:rPr>
        <w:t xml:space="preserve"> </w:t>
      </w:r>
      <w:r w:rsidRPr="00BA3E97">
        <w:rPr>
          <w:rFonts w:eastAsia="Calibri"/>
          <w:sz w:val="22"/>
          <w:szCs w:val="22"/>
          <w:lang w:val="sr-Latn-ME"/>
        </w:rPr>
        <w:t xml:space="preserve">dejstvo ovog lijeka </w:t>
      </w:r>
      <w:r w:rsidR="004E70AD" w:rsidRPr="00BA3E97">
        <w:rPr>
          <w:rFonts w:eastAsia="Calibri"/>
          <w:sz w:val="22"/>
          <w:szCs w:val="22"/>
          <w:lang w:val="sr-Latn-ME"/>
        </w:rPr>
        <w:t>Institutu</w:t>
      </w:r>
      <w:r w:rsidRPr="00BA3E97">
        <w:rPr>
          <w:rFonts w:eastAsia="Calibri"/>
          <w:sz w:val="22"/>
          <w:szCs w:val="22"/>
          <w:lang w:val="sr-Latn-ME"/>
        </w:rPr>
        <w:t xml:space="preserve"> za ljekove i medicinska sredstva</w:t>
      </w:r>
      <w:r w:rsidR="004E70AD" w:rsidRPr="00BA3E97">
        <w:rPr>
          <w:rFonts w:eastAsia="Calibri"/>
          <w:sz w:val="22"/>
          <w:szCs w:val="22"/>
          <w:lang w:val="sr-Latn-ME"/>
        </w:rPr>
        <w:t xml:space="preserve"> </w:t>
      </w:r>
      <w:r w:rsidRPr="00BA3E97">
        <w:rPr>
          <w:rFonts w:eastAsia="Calibri"/>
          <w:sz w:val="22"/>
          <w:szCs w:val="22"/>
          <w:lang w:val="sr-Latn-ME"/>
        </w:rPr>
        <w:t>(</w:t>
      </w:r>
      <w:r w:rsidR="004E70AD" w:rsidRPr="00BA3E97">
        <w:rPr>
          <w:rFonts w:eastAsia="Calibri"/>
          <w:sz w:val="22"/>
          <w:szCs w:val="22"/>
          <w:lang w:val="sr-Latn-ME"/>
        </w:rPr>
        <w:t>CInMED</w:t>
      </w:r>
      <w:r w:rsidRPr="00BA3E97">
        <w:rPr>
          <w:rFonts w:eastAsia="Calibri"/>
          <w:sz w:val="22"/>
          <w:szCs w:val="22"/>
          <w:lang w:val="sr-Latn-ME"/>
        </w:rPr>
        <w:t>):</w:t>
      </w:r>
    </w:p>
    <w:p w14:paraId="178B0BFD" w14:textId="77777777" w:rsidR="005A23D2" w:rsidRPr="00BA3E97" w:rsidRDefault="004E70AD">
      <w:pPr>
        <w:pStyle w:val="NoSpacing"/>
        <w:jc w:val="both"/>
        <w:rPr>
          <w:rFonts w:eastAsia="Calibri"/>
          <w:sz w:val="22"/>
          <w:szCs w:val="22"/>
          <w:lang w:val="sr-Latn-ME"/>
        </w:rPr>
      </w:pPr>
      <w:r w:rsidRPr="00BA3E97">
        <w:rPr>
          <w:rFonts w:eastAsia="Calibri"/>
          <w:sz w:val="22"/>
          <w:szCs w:val="22"/>
          <w:lang w:val="sr-Latn-ME"/>
        </w:rPr>
        <w:t xml:space="preserve">Institut </w:t>
      </w:r>
      <w:r w:rsidR="005A23D2" w:rsidRPr="00BA3E97">
        <w:rPr>
          <w:rFonts w:eastAsia="Calibri"/>
          <w:sz w:val="22"/>
          <w:szCs w:val="22"/>
          <w:lang w:val="sr-Latn-ME"/>
        </w:rPr>
        <w:t xml:space="preserve">za ljekove i medicinska sredstva </w:t>
      </w:r>
    </w:p>
    <w:p w14:paraId="178B0BFE" w14:textId="77777777" w:rsidR="005A23D2" w:rsidRPr="00BA3E97" w:rsidRDefault="005A23D2">
      <w:pPr>
        <w:pStyle w:val="NoSpacing"/>
        <w:jc w:val="both"/>
        <w:rPr>
          <w:rFonts w:eastAsia="Calibri"/>
          <w:sz w:val="22"/>
          <w:szCs w:val="22"/>
          <w:lang w:val="sr-Latn-ME"/>
        </w:rPr>
      </w:pPr>
      <w:r w:rsidRPr="00BA3E97">
        <w:rPr>
          <w:rFonts w:eastAsia="Calibri"/>
          <w:sz w:val="22"/>
          <w:szCs w:val="22"/>
          <w:lang w:val="sr-Latn-ME"/>
        </w:rPr>
        <w:t>Odjeljenje za farmakovigilancu</w:t>
      </w:r>
    </w:p>
    <w:p w14:paraId="178B0BFF" w14:textId="77777777" w:rsidR="00EA5765" w:rsidRPr="00BA3E97" w:rsidRDefault="005A23D2">
      <w:pPr>
        <w:pStyle w:val="NoSpacing"/>
        <w:jc w:val="both"/>
        <w:rPr>
          <w:rFonts w:eastAsia="Calibri"/>
          <w:sz w:val="22"/>
          <w:szCs w:val="22"/>
          <w:lang w:val="sr-Latn-ME"/>
        </w:rPr>
      </w:pPr>
      <w:r w:rsidRPr="00BA3E97">
        <w:rPr>
          <w:rFonts w:eastAsia="Calibri"/>
          <w:sz w:val="22"/>
          <w:szCs w:val="22"/>
          <w:lang w:val="sr-Latn-ME"/>
        </w:rPr>
        <w:t>Bulevar Ivana Crnojevića 64a, 81000 Podgorica</w:t>
      </w:r>
    </w:p>
    <w:p w14:paraId="178B0C00" w14:textId="77777777" w:rsidR="00EA5765" w:rsidRPr="00BA3E97" w:rsidRDefault="00EA5765" w:rsidP="00A83DDF">
      <w:pPr>
        <w:pStyle w:val="NoSpacing"/>
        <w:jc w:val="both"/>
        <w:rPr>
          <w:rFonts w:eastAsia="Calibri"/>
          <w:sz w:val="22"/>
          <w:szCs w:val="22"/>
          <w:lang w:val="sr-Latn-ME"/>
        </w:rPr>
      </w:pPr>
    </w:p>
    <w:p w14:paraId="178B0C01" w14:textId="77777777" w:rsidR="005A23D2" w:rsidRPr="00BA3E97" w:rsidRDefault="005A23D2" w:rsidP="005C53F0">
      <w:pPr>
        <w:pStyle w:val="NoSpacing"/>
        <w:jc w:val="both"/>
        <w:rPr>
          <w:rFonts w:eastAsia="Calibri"/>
          <w:sz w:val="22"/>
          <w:szCs w:val="22"/>
          <w:lang w:val="sr-Latn-ME"/>
        </w:rPr>
      </w:pPr>
      <w:r w:rsidRPr="00BA3E97">
        <w:rPr>
          <w:rFonts w:eastAsia="Calibri"/>
          <w:sz w:val="22"/>
          <w:szCs w:val="22"/>
          <w:lang w:val="sr-Latn-ME"/>
        </w:rPr>
        <w:t>tel: +382 (0) 20 310 280</w:t>
      </w:r>
    </w:p>
    <w:p w14:paraId="178B0C02" w14:textId="77777777" w:rsidR="00EA5765" w:rsidRPr="00BA3E97" w:rsidRDefault="005A23D2">
      <w:pPr>
        <w:pStyle w:val="NoSpacing"/>
        <w:tabs>
          <w:tab w:val="left" w:pos="6720"/>
        </w:tabs>
        <w:jc w:val="both"/>
        <w:rPr>
          <w:rFonts w:eastAsia="Calibri"/>
          <w:sz w:val="22"/>
          <w:szCs w:val="22"/>
          <w:lang w:val="sr-Latn-ME"/>
        </w:rPr>
      </w:pPr>
      <w:r w:rsidRPr="00BA3E97">
        <w:rPr>
          <w:rFonts w:eastAsia="Calibri"/>
          <w:sz w:val="22"/>
          <w:szCs w:val="22"/>
          <w:lang w:val="sr-Latn-ME"/>
        </w:rPr>
        <w:t>fax:</w:t>
      </w:r>
      <w:r w:rsidR="00EA5765" w:rsidRPr="00BA3E97">
        <w:rPr>
          <w:rFonts w:eastAsia="Calibri"/>
          <w:sz w:val="22"/>
          <w:szCs w:val="22"/>
          <w:lang w:val="sr-Latn-ME"/>
        </w:rPr>
        <w:t xml:space="preserve"> </w:t>
      </w:r>
      <w:r w:rsidRPr="00BA3E97">
        <w:rPr>
          <w:rFonts w:eastAsia="Calibri"/>
          <w:sz w:val="22"/>
          <w:szCs w:val="22"/>
          <w:lang w:val="sr-Latn-ME"/>
        </w:rPr>
        <w:t>+382 (0) 20 310 581</w:t>
      </w:r>
      <w:r w:rsidR="00FF3EDF" w:rsidRPr="00BA3E97">
        <w:rPr>
          <w:rFonts w:eastAsia="Calibri"/>
          <w:sz w:val="22"/>
          <w:szCs w:val="22"/>
          <w:lang w:val="sr-Latn-ME"/>
        </w:rPr>
        <w:tab/>
      </w:r>
    </w:p>
    <w:p w14:paraId="178B0C03" w14:textId="77777777" w:rsidR="005A23D2" w:rsidRPr="00BA3E97" w:rsidRDefault="00C54B3C">
      <w:pPr>
        <w:pStyle w:val="NoSpacing"/>
        <w:jc w:val="both"/>
        <w:rPr>
          <w:rFonts w:eastAsia="Calibri"/>
          <w:sz w:val="22"/>
          <w:szCs w:val="22"/>
          <w:lang w:val="sr-Latn-ME"/>
        </w:rPr>
      </w:pPr>
      <w:hyperlink r:id="rId11" w:history="1">
        <w:r w:rsidR="004E70AD" w:rsidRPr="00BA3E97">
          <w:rPr>
            <w:rStyle w:val="Hyperlink"/>
            <w:rFonts w:eastAsia="Calibri"/>
            <w:sz w:val="22"/>
            <w:szCs w:val="22"/>
            <w:lang w:val="sr-Latn-ME"/>
          </w:rPr>
          <w:t>www.cinmed.me</w:t>
        </w:r>
      </w:hyperlink>
    </w:p>
    <w:p w14:paraId="178B0C04" w14:textId="77777777" w:rsidR="00EA5765" w:rsidRPr="00BA3E97" w:rsidRDefault="00C54B3C">
      <w:pPr>
        <w:pStyle w:val="NoSpacing"/>
        <w:jc w:val="both"/>
        <w:rPr>
          <w:rFonts w:eastAsia="Calibri"/>
          <w:color w:val="0000FF"/>
          <w:sz w:val="22"/>
          <w:szCs w:val="22"/>
          <w:u w:val="single"/>
          <w:lang w:val="sr-Latn-ME"/>
        </w:rPr>
      </w:pPr>
      <w:hyperlink r:id="rId12" w:history="1">
        <w:r w:rsidR="004E70AD" w:rsidRPr="00BA3E97">
          <w:rPr>
            <w:rStyle w:val="Hyperlink"/>
            <w:rFonts w:eastAsia="Calibri"/>
            <w:sz w:val="22"/>
            <w:szCs w:val="22"/>
            <w:lang w:val="sr-Latn-ME"/>
          </w:rPr>
          <w:t>nezeljenadejstva@cinmed.me</w:t>
        </w:r>
      </w:hyperlink>
    </w:p>
    <w:p w14:paraId="178B0C05" w14:textId="77777777" w:rsidR="005A23D2" w:rsidRPr="00BA3E97" w:rsidRDefault="005A23D2">
      <w:pPr>
        <w:pStyle w:val="NoSpacing"/>
        <w:jc w:val="both"/>
        <w:rPr>
          <w:rFonts w:eastAsia="Calibri"/>
          <w:sz w:val="22"/>
          <w:szCs w:val="22"/>
          <w:lang w:val="sr-Latn-ME"/>
        </w:rPr>
      </w:pPr>
      <w:r w:rsidRPr="00BA3E97">
        <w:rPr>
          <w:rFonts w:eastAsia="Calibri"/>
          <w:sz w:val="22"/>
          <w:szCs w:val="22"/>
          <w:lang w:val="sr-Latn-ME"/>
        </w:rPr>
        <w:t>putem IS zdravstvene zaštite</w:t>
      </w:r>
    </w:p>
    <w:p w14:paraId="178B0C06" w14:textId="77777777" w:rsidR="007E31E9" w:rsidRPr="00BA3E97" w:rsidRDefault="007E31E9">
      <w:pPr>
        <w:pStyle w:val="NoSpacing"/>
        <w:jc w:val="both"/>
        <w:rPr>
          <w:rFonts w:eastAsia="Calibri"/>
          <w:sz w:val="22"/>
          <w:szCs w:val="22"/>
          <w:lang w:val="sr-Latn-ME"/>
        </w:rPr>
      </w:pPr>
      <w:r w:rsidRPr="00BA3E97">
        <w:rPr>
          <w:rFonts w:eastAsia="Calibri"/>
          <w:sz w:val="22"/>
          <w:szCs w:val="22"/>
          <w:lang w:val="sr-Latn-ME"/>
        </w:rPr>
        <w:t>QR kod za online prijavu</w:t>
      </w:r>
      <w:r w:rsidR="00D74CD2" w:rsidRPr="00BA3E97">
        <w:rPr>
          <w:rFonts w:eastAsia="Calibri"/>
          <w:sz w:val="22"/>
          <w:szCs w:val="22"/>
          <w:lang w:val="sr-Latn-ME"/>
        </w:rPr>
        <w:t xml:space="preserve"> sumnje na neželjeno dejstvo lijeka</w:t>
      </w:r>
      <w:r w:rsidRPr="00BA3E97">
        <w:rPr>
          <w:rFonts w:eastAsia="Calibri"/>
          <w:sz w:val="22"/>
          <w:szCs w:val="22"/>
          <w:lang w:val="sr-Latn-ME"/>
        </w:rPr>
        <w:t>:</w:t>
      </w:r>
    </w:p>
    <w:p w14:paraId="178B0C07" w14:textId="77777777" w:rsidR="007E31E9" w:rsidRPr="00BA3E97" w:rsidRDefault="007E31E9">
      <w:pPr>
        <w:pStyle w:val="NoSpacing"/>
        <w:jc w:val="both"/>
        <w:rPr>
          <w:rFonts w:eastAsia="Calibri"/>
          <w:sz w:val="22"/>
          <w:szCs w:val="22"/>
          <w:lang w:val="sr-Latn-ME"/>
        </w:rPr>
      </w:pPr>
    </w:p>
    <w:p w14:paraId="178B0C08" w14:textId="77777777" w:rsidR="004F17E2" w:rsidRPr="00BA3E97" w:rsidRDefault="007E31E9" w:rsidP="00A83DDF">
      <w:pPr>
        <w:pStyle w:val="NoSpacing"/>
        <w:jc w:val="both"/>
        <w:rPr>
          <w:rFonts w:eastAsia="Calibri"/>
          <w:sz w:val="22"/>
          <w:szCs w:val="22"/>
          <w:lang w:val="sr-Latn-ME"/>
        </w:rPr>
      </w:pPr>
      <w:r w:rsidRPr="00BA3E97">
        <w:rPr>
          <w:noProof/>
          <w:sz w:val="22"/>
          <w:szCs w:val="22"/>
        </w:rPr>
        <w:drawing>
          <wp:inline distT="0" distB="0" distL="0" distR="0" wp14:anchorId="178B0C3E" wp14:editId="178B0C3F">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78B0C09" w14:textId="77777777" w:rsidR="00836B35" w:rsidRPr="00BA3E97" w:rsidRDefault="00836B35" w:rsidP="00A83DDF">
      <w:pPr>
        <w:tabs>
          <w:tab w:val="left" w:pos="540"/>
          <w:tab w:val="left" w:pos="569"/>
        </w:tabs>
        <w:jc w:val="both"/>
        <w:rPr>
          <w:b/>
          <w:bCs/>
          <w:sz w:val="22"/>
          <w:szCs w:val="22"/>
          <w:lang w:val="sr-Latn-ME"/>
        </w:rPr>
      </w:pPr>
    </w:p>
    <w:p w14:paraId="09099B24" w14:textId="77777777" w:rsidR="00666045" w:rsidRPr="00BA3E97" w:rsidRDefault="00666045" w:rsidP="00666045">
      <w:pPr>
        <w:tabs>
          <w:tab w:val="left" w:pos="540"/>
          <w:tab w:val="left" w:pos="569"/>
        </w:tabs>
        <w:jc w:val="both"/>
        <w:rPr>
          <w:b/>
          <w:bCs/>
          <w:sz w:val="22"/>
          <w:szCs w:val="22"/>
          <w:lang w:val="sr-Latn-ME"/>
        </w:rPr>
      </w:pPr>
    </w:p>
    <w:p w14:paraId="0B19CDEF" w14:textId="77777777" w:rsidR="00666045" w:rsidRPr="00BA3E97" w:rsidRDefault="00666045" w:rsidP="00666045">
      <w:pPr>
        <w:tabs>
          <w:tab w:val="left" w:pos="540"/>
          <w:tab w:val="left" w:pos="569"/>
        </w:tabs>
        <w:jc w:val="both"/>
        <w:rPr>
          <w:b/>
          <w:bCs/>
          <w:sz w:val="22"/>
          <w:szCs w:val="22"/>
          <w:lang w:val="sr-Latn-ME"/>
        </w:rPr>
      </w:pPr>
    </w:p>
    <w:p w14:paraId="178B0C0A" w14:textId="707672AA" w:rsidR="00CD6F02" w:rsidRPr="00BA3E97" w:rsidRDefault="0072020E" w:rsidP="00A83DDF">
      <w:pPr>
        <w:tabs>
          <w:tab w:val="left" w:pos="540"/>
          <w:tab w:val="left" w:pos="569"/>
        </w:tabs>
        <w:jc w:val="both"/>
        <w:rPr>
          <w:b/>
          <w:bCs/>
          <w:sz w:val="22"/>
          <w:szCs w:val="22"/>
          <w:lang w:val="sr-Latn-ME"/>
        </w:rPr>
      </w:pPr>
      <w:r w:rsidRPr="00BA3E97">
        <w:rPr>
          <w:b/>
          <w:bCs/>
          <w:sz w:val="22"/>
          <w:szCs w:val="22"/>
          <w:lang w:val="sr-Latn-ME"/>
        </w:rPr>
        <w:lastRenderedPageBreak/>
        <w:t xml:space="preserve">4.9. </w:t>
      </w:r>
      <w:r w:rsidR="00480FB1" w:rsidRPr="00BA3E97">
        <w:rPr>
          <w:b/>
          <w:bCs/>
          <w:sz w:val="22"/>
          <w:szCs w:val="22"/>
          <w:lang w:val="sr-Latn-ME"/>
        </w:rPr>
        <w:tab/>
      </w:r>
      <w:r w:rsidRPr="00BA3E97">
        <w:rPr>
          <w:b/>
          <w:bCs/>
          <w:sz w:val="22"/>
          <w:szCs w:val="22"/>
          <w:lang w:val="sr-Latn-ME"/>
        </w:rPr>
        <w:t>Predoziranje</w:t>
      </w:r>
      <w:r w:rsidR="002846DB" w:rsidRPr="00BA3E97">
        <w:rPr>
          <w:b/>
          <w:bCs/>
          <w:sz w:val="22"/>
          <w:szCs w:val="22"/>
          <w:lang w:val="sr-Latn-ME"/>
        </w:rPr>
        <w:t xml:space="preserve"> </w:t>
      </w:r>
    </w:p>
    <w:p w14:paraId="178B0C0B" w14:textId="77777777" w:rsidR="00CD6F02" w:rsidRPr="00BA3E97" w:rsidRDefault="00CD6F02" w:rsidP="00A83DDF">
      <w:pPr>
        <w:tabs>
          <w:tab w:val="left" w:pos="540"/>
          <w:tab w:val="left" w:pos="569"/>
        </w:tabs>
        <w:jc w:val="both"/>
        <w:rPr>
          <w:b/>
          <w:bCs/>
          <w:sz w:val="22"/>
          <w:szCs w:val="22"/>
          <w:lang w:val="sr-Latn-ME"/>
        </w:rPr>
      </w:pPr>
    </w:p>
    <w:p w14:paraId="46173C6C" w14:textId="77777777" w:rsidR="009D7270" w:rsidRPr="00BA3E97" w:rsidRDefault="009D7270" w:rsidP="00A83DDF">
      <w:pPr>
        <w:jc w:val="both"/>
        <w:rPr>
          <w:sz w:val="22"/>
          <w:szCs w:val="22"/>
          <w:lang w:val="sr-Latn-ME"/>
        </w:rPr>
      </w:pPr>
      <w:r w:rsidRPr="00BA3E97">
        <w:rPr>
          <w:sz w:val="22"/>
          <w:szCs w:val="22"/>
          <w:lang w:val="sr-Latn-ME"/>
        </w:rPr>
        <w:t>Podaci koji se tiču predoziranja vildagliptinom su ograničeni.</w:t>
      </w:r>
    </w:p>
    <w:p w14:paraId="0475DCDF" w14:textId="77777777" w:rsidR="009D7270" w:rsidRPr="00BA3E97" w:rsidRDefault="009D7270" w:rsidP="00A83DDF">
      <w:pPr>
        <w:jc w:val="both"/>
        <w:rPr>
          <w:sz w:val="22"/>
          <w:szCs w:val="22"/>
          <w:lang w:val="sr-Latn-ME"/>
        </w:rPr>
      </w:pPr>
    </w:p>
    <w:p w14:paraId="38A6FE20" w14:textId="77777777" w:rsidR="009D7270" w:rsidRPr="00BA3E97" w:rsidRDefault="009D7270" w:rsidP="00A83DDF">
      <w:pPr>
        <w:jc w:val="both"/>
        <w:rPr>
          <w:sz w:val="22"/>
          <w:szCs w:val="22"/>
          <w:u w:val="single"/>
          <w:lang w:val="sr-Latn-ME"/>
        </w:rPr>
      </w:pPr>
      <w:r w:rsidRPr="00BA3E97">
        <w:rPr>
          <w:sz w:val="22"/>
          <w:szCs w:val="22"/>
          <w:u w:val="single"/>
          <w:lang w:val="sr-Latn-ME"/>
        </w:rPr>
        <w:t>Simptomi</w:t>
      </w:r>
    </w:p>
    <w:p w14:paraId="796FE46B" w14:textId="77777777" w:rsidR="009D7270" w:rsidRPr="00BA3E97" w:rsidRDefault="009D7270" w:rsidP="00A83DDF">
      <w:pPr>
        <w:jc w:val="both"/>
        <w:rPr>
          <w:sz w:val="22"/>
          <w:szCs w:val="22"/>
          <w:lang w:val="sr-Latn-ME"/>
        </w:rPr>
      </w:pPr>
      <w:r w:rsidRPr="00BA3E97">
        <w:rPr>
          <w:sz w:val="22"/>
          <w:szCs w:val="22"/>
          <w:lang w:val="sr-Latn-ME"/>
        </w:rPr>
        <w:t>Informacije o vjerovatnim simptomima predoziranja su uzeti iz studija podnošljivosti rastućih doza kod zdravih ispitanika koji su uzimali lijek vildagliptin tokom 10 dana. Sa 400 mg, javila su se tri slučaja sa bolovima u mišićima, i pojedinačni slučajevi blage i prolazne parestezije, groznice, edema i prolaznog povećanja vrijednosti lipaza. Sa 600 mg, jedan ispitanik je imao edem stopala i šaka, povišenje vrijednosti kreatin fosfokinaze (CPK), aspartat aminotransferaze (AST), C-reaktivnog proteina (CRP) i mioglobina. Druga tri ispitanika su imala edem stopala, sa parestezijom u dva slučaja. Svi simptomi i poremećaji laboratorijskih vrijednosti su se normalizovali bez liječenja nakon prekida primjene ispitivanog lijeka.</w:t>
      </w:r>
    </w:p>
    <w:p w14:paraId="549AD20F" w14:textId="77777777" w:rsidR="009D7270" w:rsidRPr="00BA3E97" w:rsidRDefault="009D7270" w:rsidP="00A83DDF">
      <w:pPr>
        <w:jc w:val="both"/>
        <w:rPr>
          <w:sz w:val="22"/>
          <w:szCs w:val="22"/>
          <w:u w:val="single"/>
          <w:lang w:val="sr-Latn-ME"/>
        </w:rPr>
      </w:pPr>
    </w:p>
    <w:p w14:paraId="52796696" w14:textId="77777777" w:rsidR="009D7270" w:rsidRPr="00BA3E97" w:rsidRDefault="009D7270" w:rsidP="00A83DDF">
      <w:pPr>
        <w:jc w:val="both"/>
        <w:rPr>
          <w:sz w:val="22"/>
          <w:szCs w:val="22"/>
          <w:u w:val="single"/>
          <w:lang w:val="sr-Latn-ME"/>
        </w:rPr>
      </w:pPr>
      <w:r w:rsidRPr="00BA3E97">
        <w:rPr>
          <w:sz w:val="22"/>
          <w:szCs w:val="22"/>
          <w:u w:val="single"/>
          <w:lang w:val="sr-Latn-ME"/>
        </w:rPr>
        <w:t>Terapija</w:t>
      </w:r>
    </w:p>
    <w:p w14:paraId="2FC1572A" w14:textId="181E757D" w:rsidR="009D7270" w:rsidRPr="00BA3E97" w:rsidRDefault="009D7270" w:rsidP="00A83DDF">
      <w:pPr>
        <w:jc w:val="both"/>
        <w:rPr>
          <w:sz w:val="22"/>
          <w:szCs w:val="22"/>
          <w:lang w:val="sr-Latn-ME"/>
        </w:rPr>
      </w:pPr>
      <w:r w:rsidRPr="00BA3E97">
        <w:rPr>
          <w:sz w:val="22"/>
          <w:szCs w:val="22"/>
          <w:lang w:val="sr-Latn-ME"/>
        </w:rPr>
        <w:t>U slučaju predoziranja, preporučuje se suportivna terapija. Vildagliptin se ne može ukloniti dijalizom. Ipak,</w:t>
      </w:r>
      <w:r w:rsidR="0019706A" w:rsidRPr="00BA3E97">
        <w:rPr>
          <w:sz w:val="22"/>
          <w:szCs w:val="22"/>
          <w:lang w:val="sr-Latn-ME"/>
        </w:rPr>
        <w:t xml:space="preserve"> </w:t>
      </w:r>
      <w:r w:rsidRPr="00BA3E97">
        <w:rPr>
          <w:sz w:val="22"/>
          <w:szCs w:val="22"/>
          <w:lang w:val="sr-Latn-ME"/>
        </w:rPr>
        <w:t>glavni hidrolitički metabolit (LAY 151) se može ukloniti hemodijalizom.</w:t>
      </w:r>
    </w:p>
    <w:p w14:paraId="5DE5706F" w14:textId="77777777" w:rsidR="009D7270" w:rsidRPr="00BA3E97" w:rsidRDefault="009D7270" w:rsidP="00A83DDF">
      <w:pPr>
        <w:tabs>
          <w:tab w:val="left" w:pos="540"/>
          <w:tab w:val="left" w:pos="569"/>
        </w:tabs>
        <w:jc w:val="both"/>
        <w:rPr>
          <w:b/>
          <w:bCs/>
          <w:sz w:val="22"/>
          <w:szCs w:val="22"/>
          <w:lang w:val="sr-Latn-ME"/>
        </w:rPr>
      </w:pPr>
    </w:p>
    <w:p w14:paraId="178B0C0C" w14:textId="77777777" w:rsidR="00227BDB" w:rsidRPr="00BA3E97" w:rsidRDefault="00227BDB" w:rsidP="00A83DDF">
      <w:pPr>
        <w:tabs>
          <w:tab w:val="left" w:pos="540"/>
          <w:tab w:val="left" w:pos="569"/>
        </w:tabs>
        <w:jc w:val="both"/>
        <w:rPr>
          <w:b/>
          <w:bCs/>
          <w:sz w:val="22"/>
          <w:szCs w:val="22"/>
          <w:lang w:val="sr-Latn-ME"/>
        </w:rPr>
      </w:pPr>
    </w:p>
    <w:p w14:paraId="178B0C0D"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5. </w:t>
      </w:r>
      <w:r w:rsidR="00480FB1" w:rsidRPr="00BA3E97">
        <w:rPr>
          <w:b/>
          <w:bCs/>
          <w:sz w:val="22"/>
          <w:szCs w:val="22"/>
          <w:lang w:val="sr-Latn-ME"/>
        </w:rPr>
        <w:tab/>
      </w:r>
      <w:r w:rsidRPr="00BA3E97">
        <w:rPr>
          <w:b/>
          <w:bCs/>
          <w:sz w:val="22"/>
          <w:szCs w:val="22"/>
          <w:lang w:val="sr-Latn-ME"/>
        </w:rPr>
        <w:t>FARMAKOLOŠK</w:t>
      </w:r>
      <w:r w:rsidR="000D425A" w:rsidRPr="00BA3E97">
        <w:rPr>
          <w:b/>
          <w:bCs/>
          <w:sz w:val="22"/>
          <w:szCs w:val="22"/>
          <w:lang w:val="sr-Latn-ME"/>
        </w:rPr>
        <w:t>I</w:t>
      </w:r>
      <w:r w:rsidRPr="00BA3E97">
        <w:rPr>
          <w:b/>
          <w:bCs/>
          <w:sz w:val="22"/>
          <w:szCs w:val="22"/>
          <w:lang w:val="sr-Latn-ME"/>
        </w:rPr>
        <w:t xml:space="preserve"> PODACI</w:t>
      </w:r>
    </w:p>
    <w:p w14:paraId="178B0C0E" w14:textId="77777777" w:rsidR="0072020E" w:rsidRPr="00BA3E97" w:rsidRDefault="0072020E" w:rsidP="00A83DDF">
      <w:pPr>
        <w:tabs>
          <w:tab w:val="left" w:pos="540"/>
          <w:tab w:val="left" w:pos="569"/>
        </w:tabs>
        <w:jc w:val="both"/>
        <w:rPr>
          <w:b/>
          <w:bCs/>
          <w:sz w:val="22"/>
          <w:szCs w:val="22"/>
          <w:lang w:val="sr-Latn-ME"/>
        </w:rPr>
      </w:pPr>
    </w:p>
    <w:p w14:paraId="178B0C0F"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5.1. </w:t>
      </w:r>
      <w:r w:rsidR="00480FB1" w:rsidRPr="00BA3E97">
        <w:rPr>
          <w:b/>
          <w:bCs/>
          <w:sz w:val="22"/>
          <w:szCs w:val="22"/>
          <w:lang w:val="sr-Latn-ME"/>
        </w:rPr>
        <w:tab/>
      </w:r>
      <w:r w:rsidRPr="00BA3E97">
        <w:rPr>
          <w:b/>
          <w:bCs/>
          <w:sz w:val="22"/>
          <w:szCs w:val="22"/>
          <w:lang w:val="sr-Latn-ME"/>
        </w:rPr>
        <w:t>Farmakodinamski podaci</w:t>
      </w:r>
      <w:r w:rsidR="003A7059" w:rsidRPr="00BA3E97">
        <w:rPr>
          <w:b/>
          <w:bCs/>
          <w:sz w:val="22"/>
          <w:szCs w:val="22"/>
          <w:lang w:val="sr-Latn-ME"/>
        </w:rPr>
        <w:t xml:space="preserve"> </w:t>
      </w:r>
    </w:p>
    <w:p w14:paraId="178B0C10" w14:textId="77777777" w:rsidR="00F45F77" w:rsidRPr="00BA3E97" w:rsidRDefault="00F45F77" w:rsidP="00A83DDF">
      <w:pPr>
        <w:tabs>
          <w:tab w:val="left" w:pos="540"/>
          <w:tab w:val="left" w:pos="569"/>
        </w:tabs>
        <w:jc w:val="both"/>
        <w:rPr>
          <w:b/>
          <w:bCs/>
          <w:sz w:val="22"/>
          <w:szCs w:val="22"/>
          <w:lang w:val="sr-Latn-ME"/>
        </w:rPr>
      </w:pPr>
    </w:p>
    <w:p w14:paraId="6EE8E00C" w14:textId="7F974D07" w:rsidR="00D14AA1" w:rsidRPr="00BA3E97" w:rsidRDefault="0072020E" w:rsidP="00A83DDF">
      <w:pPr>
        <w:jc w:val="both"/>
        <w:rPr>
          <w:bCs/>
          <w:sz w:val="22"/>
          <w:szCs w:val="22"/>
          <w:lang w:val="sr-Latn-ME"/>
        </w:rPr>
      </w:pPr>
      <w:r w:rsidRPr="00BA3E97">
        <w:rPr>
          <w:bCs/>
          <w:sz w:val="22"/>
          <w:szCs w:val="22"/>
          <w:lang w:val="sr-Latn-ME"/>
        </w:rPr>
        <w:t>Farmakoterapijska grupa:</w:t>
      </w:r>
      <w:r w:rsidR="00D14AA1" w:rsidRPr="00BA3E97">
        <w:rPr>
          <w:bCs/>
          <w:sz w:val="22"/>
          <w:szCs w:val="22"/>
          <w:lang w:val="sr-Latn-ME"/>
        </w:rPr>
        <w:t xml:space="preserve"> Ljekovi koji se upotrebljavaju u dijabetesu; Inhibitori dipeptidil peptidaze-4 (DDP-4)</w:t>
      </w:r>
    </w:p>
    <w:p w14:paraId="4039ADB8" w14:textId="77777777" w:rsidR="00D14AA1" w:rsidRPr="00BA3E97" w:rsidRDefault="00D14AA1" w:rsidP="00A83DDF">
      <w:pPr>
        <w:jc w:val="both"/>
        <w:rPr>
          <w:sz w:val="22"/>
          <w:szCs w:val="22"/>
          <w:lang w:val="sr-Latn-ME"/>
        </w:rPr>
      </w:pPr>
      <w:r w:rsidRPr="00BA3E97">
        <w:rPr>
          <w:sz w:val="22"/>
          <w:szCs w:val="22"/>
          <w:lang w:val="sr-Latn-ME"/>
        </w:rPr>
        <w:t>Vildagliptin, pripadnik klase pojačavača ‘’ostrvaca’’ je snažan i selekivan inhibitor DPP-4.</w:t>
      </w:r>
    </w:p>
    <w:p w14:paraId="178B0C12" w14:textId="77777777" w:rsidR="0072020E" w:rsidRPr="00BA3E97" w:rsidRDefault="0072020E" w:rsidP="00A83DDF">
      <w:pPr>
        <w:tabs>
          <w:tab w:val="left" w:pos="540"/>
          <w:tab w:val="left" w:pos="569"/>
        </w:tabs>
        <w:jc w:val="both"/>
        <w:rPr>
          <w:bCs/>
          <w:sz w:val="22"/>
          <w:szCs w:val="22"/>
          <w:lang w:val="sr-Latn-ME"/>
        </w:rPr>
      </w:pPr>
    </w:p>
    <w:p w14:paraId="178B0C13" w14:textId="639D19D4" w:rsidR="0072020E" w:rsidRPr="00BA3E97" w:rsidRDefault="0072020E" w:rsidP="00A83DDF">
      <w:pPr>
        <w:jc w:val="both"/>
        <w:rPr>
          <w:b/>
          <w:bCs/>
          <w:sz w:val="22"/>
          <w:szCs w:val="22"/>
          <w:lang w:val="sr-Latn-ME"/>
        </w:rPr>
      </w:pPr>
      <w:r w:rsidRPr="00BA3E97">
        <w:rPr>
          <w:bCs/>
          <w:sz w:val="22"/>
          <w:szCs w:val="22"/>
          <w:lang w:val="sr-Latn-ME"/>
        </w:rPr>
        <w:t>ATC kod:</w:t>
      </w:r>
      <w:r w:rsidR="00CF61CF" w:rsidRPr="00BA3E97">
        <w:rPr>
          <w:bCs/>
          <w:sz w:val="22"/>
          <w:szCs w:val="22"/>
          <w:lang w:val="sr-Latn-ME"/>
        </w:rPr>
        <w:t xml:space="preserve"> A10BH02</w:t>
      </w:r>
    </w:p>
    <w:p w14:paraId="737F2066" w14:textId="77777777" w:rsidR="00CF61CF" w:rsidRPr="00BA3E97" w:rsidRDefault="00CF61CF" w:rsidP="00A83DDF">
      <w:pPr>
        <w:jc w:val="both"/>
        <w:rPr>
          <w:b/>
          <w:bCs/>
          <w:sz w:val="22"/>
          <w:szCs w:val="22"/>
          <w:lang w:val="sr-Latn-ME"/>
        </w:rPr>
      </w:pPr>
    </w:p>
    <w:p w14:paraId="37401293" w14:textId="77777777" w:rsidR="00003313" w:rsidRPr="00BA3E97" w:rsidRDefault="00003313" w:rsidP="00A83DDF">
      <w:pPr>
        <w:jc w:val="both"/>
        <w:rPr>
          <w:sz w:val="22"/>
          <w:szCs w:val="22"/>
          <w:u w:val="single"/>
          <w:lang w:val="sr-Latn-ME"/>
        </w:rPr>
      </w:pPr>
      <w:r w:rsidRPr="00BA3E97">
        <w:rPr>
          <w:sz w:val="22"/>
          <w:szCs w:val="22"/>
          <w:u w:val="single"/>
          <w:lang w:val="sr-Latn-ME"/>
        </w:rPr>
        <w:t>Mehanizam dejstva</w:t>
      </w:r>
    </w:p>
    <w:p w14:paraId="301562DA" w14:textId="77777777" w:rsidR="00003313" w:rsidRPr="00BA3E97" w:rsidRDefault="00003313" w:rsidP="00A83DDF">
      <w:pPr>
        <w:jc w:val="both"/>
        <w:rPr>
          <w:sz w:val="22"/>
          <w:szCs w:val="22"/>
          <w:lang w:val="sr-Latn-ME"/>
        </w:rPr>
      </w:pPr>
    </w:p>
    <w:p w14:paraId="3F7E09AE" w14:textId="388C18D4" w:rsidR="00003313" w:rsidRPr="00BA3E97" w:rsidRDefault="00003313" w:rsidP="00A83DDF">
      <w:pPr>
        <w:jc w:val="both"/>
        <w:rPr>
          <w:sz w:val="22"/>
          <w:szCs w:val="22"/>
          <w:lang w:val="sr-Latn-ME"/>
        </w:rPr>
      </w:pPr>
      <w:r w:rsidRPr="00BA3E97">
        <w:rPr>
          <w:sz w:val="22"/>
          <w:szCs w:val="22"/>
          <w:lang w:val="sr-Latn-ME"/>
        </w:rPr>
        <w:t>Uzimanje vildagliptina dovodi do brze i kompletne inhibicije aktivnosti DPP-4, dovodeći do povišenja endogenih koncentracija inkretinskih hormona GLP-1 (glukagonu sličan peptid - 1) i GIP (glukozno-zavisni insulinotropni polipeptid) na</w:t>
      </w:r>
      <w:r w:rsidR="005C53F0" w:rsidRPr="00BA3E97">
        <w:rPr>
          <w:sz w:val="22"/>
          <w:szCs w:val="22"/>
          <w:lang w:val="sr-Latn-ME"/>
        </w:rPr>
        <w:t>ta</w:t>
      </w:r>
      <w:r w:rsidRPr="00BA3E97">
        <w:rPr>
          <w:sz w:val="22"/>
          <w:szCs w:val="22"/>
          <w:lang w:val="sr-Latn-ME"/>
        </w:rPr>
        <w:t>šte i postprandijalno.</w:t>
      </w:r>
    </w:p>
    <w:p w14:paraId="614632CC" w14:textId="77777777" w:rsidR="00003313" w:rsidRPr="00BA3E97" w:rsidRDefault="00003313" w:rsidP="00A83DDF">
      <w:pPr>
        <w:jc w:val="both"/>
        <w:rPr>
          <w:sz w:val="22"/>
          <w:szCs w:val="22"/>
          <w:u w:val="single"/>
          <w:lang w:val="sr-Latn-ME"/>
        </w:rPr>
      </w:pPr>
    </w:p>
    <w:p w14:paraId="5D17AD1A" w14:textId="77777777" w:rsidR="00003313" w:rsidRPr="00BA3E97" w:rsidRDefault="00003313" w:rsidP="00A83DDF">
      <w:pPr>
        <w:jc w:val="both"/>
        <w:rPr>
          <w:sz w:val="22"/>
          <w:szCs w:val="22"/>
          <w:u w:val="single"/>
          <w:lang w:val="sr-Latn-ME"/>
        </w:rPr>
      </w:pPr>
      <w:r w:rsidRPr="00BA3E97">
        <w:rPr>
          <w:sz w:val="22"/>
          <w:szCs w:val="22"/>
          <w:u w:val="single"/>
          <w:lang w:val="sr-Latn-ME"/>
        </w:rPr>
        <w:t>Farmakodinamski efekti</w:t>
      </w:r>
    </w:p>
    <w:p w14:paraId="705894FC" w14:textId="131433D6" w:rsidR="00003313" w:rsidRPr="00BA3E97" w:rsidRDefault="00003313" w:rsidP="00A83DDF">
      <w:pPr>
        <w:jc w:val="both"/>
        <w:rPr>
          <w:sz w:val="22"/>
          <w:szCs w:val="22"/>
          <w:lang w:val="sr-Latn-ME"/>
        </w:rPr>
      </w:pPr>
      <w:r w:rsidRPr="00BA3E97">
        <w:rPr>
          <w:sz w:val="22"/>
          <w:szCs w:val="22"/>
          <w:lang w:val="sr-Latn-ME"/>
        </w:rPr>
        <w:t>P</w:t>
      </w:r>
      <w:r w:rsidR="005C53F0" w:rsidRPr="00BA3E97">
        <w:rPr>
          <w:sz w:val="22"/>
          <w:szCs w:val="22"/>
          <w:lang w:val="sr-Latn-ME"/>
        </w:rPr>
        <w:t xml:space="preserve">ovećanjem </w:t>
      </w:r>
      <w:r w:rsidRPr="00BA3E97">
        <w:rPr>
          <w:sz w:val="22"/>
          <w:szCs w:val="22"/>
          <w:lang w:val="sr-Latn-ME"/>
        </w:rPr>
        <w:t>endogenih koncentracija ovih inkretinskih hormona, vildagliptin pojačava osjetljivost beta-ćelija na glukozu, dovodeći do poboljšane glukozno-zavisne sekrecije insulina. Terapija sa 50-100 mg vildagliptina dnevno kod pacijenata sa dijabetes melitus-om tipa 2, značajno je poboljšala pokazatelje funkcije  beta-ćelija uključujući HOMA-β (</w:t>
      </w:r>
      <w:r w:rsidRPr="00BA3E97">
        <w:rPr>
          <w:i/>
          <w:sz w:val="22"/>
          <w:szCs w:val="22"/>
          <w:lang w:val="sr-Latn-ME"/>
        </w:rPr>
        <w:t>Homeostasis Model Assessment</w:t>
      </w:r>
      <w:r w:rsidRPr="00BA3E97">
        <w:rPr>
          <w:sz w:val="22"/>
          <w:szCs w:val="22"/>
          <w:lang w:val="sr-Latn-ME"/>
        </w:rPr>
        <w:t>-β), odnos proinsulina prema insulinu i parametre odgovora beta-ćelija iz, često uzorkovanog, testa tolerancije obroka. Kod ispitanika koji nemaju dijabetes (imaju normalnu glikemiju), vildagliptin ne stimuliše sekreciju insulina niti smanjuje koncentraciju glukoze u krvi.</w:t>
      </w:r>
    </w:p>
    <w:p w14:paraId="11587FE3" w14:textId="77777777" w:rsidR="00003313" w:rsidRPr="00BA3E97" w:rsidRDefault="00003313" w:rsidP="00A83DDF">
      <w:pPr>
        <w:jc w:val="both"/>
        <w:rPr>
          <w:sz w:val="22"/>
          <w:szCs w:val="22"/>
          <w:lang w:val="sr-Latn-ME"/>
        </w:rPr>
      </w:pPr>
      <w:r w:rsidRPr="00BA3E97">
        <w:rPr>
          <w:sz w:val="22"/>
          <w:szCs w:val="22"/>
          <w:lang w:val="sr-Latn-ME"/>
        </w:rPr>
        <w:t>Povećanjem nivoa endogenog GLP-1, vildagliptin takođe pojačava osjetljivost alfa-ćelija na glukozu, dovodeći do adekvatnije sekrecije glukagona u odnosu na glukozu.</w:t>
      </w:r>
    </w:p>
    <w:p w14:paraId="0B2ED028" w14:textId="0D36B655" w:rsidR="00003313" w:rsidRPr="00BA3E97" w:rsidRDefault="00003313" w:rsidP="00A83DDF">
      <w:pPr>
        <w:jc w:val="both"/>
        <w:rPr>
          <w:sz w:val="22"/>
          <w:szCs w:val="22"/>
          <w:lang w:val="sr-Latn-ME"/>
        </w:rPr>
      </w:pPr>
      <w:r w:rsidRPr="00BA3E97">
        <w:rPr>
          <w:sz w:val="22"/>
          <w:szCs w:val="22"/>
          <w:lang w:val="sr-Latn-ME"/>
        </w:rPr>
        <w:t>Povećan porast odnosa insulin/glukagon tokom hiperglikemije nastale zbog povišenih koncentracija inkretinskih hormona rezultira padom hepatičke produkcije glukoze na</w:t>
      </w:r>
      <w:r w:rsidR="005C53F0" w:rsidRPr="00BA3E97">
        <w:rPr>
          <w:sz w:val="22"/>
          <w:szCs w:val="22"/>
          <w:lang w:val="sr-Latn-ME"/>
        </w:rPr>
        <w:t>ta</w:t>
      </w:r>
      <w:r w:rsidRPr="00BA3E97">
        <w:rPr>
          <w:sz w:val="22"/>
          <w:szCs w:val="22"/>
          <w:lang w:val="sr-Latn-ME"/>
        </w:rPr>
        <w:t>šte i postprandijalno, što dovodi do smanjivanja glikemije.</w:t>
      </w:r>
    </w:p>
    <w:p w14:paraId="1DF433D9" w14:textId="77777777" w:rsidR="00003313" w:rsidRPr="00BA3E97" w:rsidRDefault="00003313" w:rsidP="00A83DDF">
      <w:pPr>
        <w:jc w:val="both"/>
        <w:rPr>
          <w:sz w:val="22"/>
          <w:szCs w:val="22"/>
          <w:lang w:val="sr-Latn-ME"/>
        </w:rPr>
      </w:pPr>
      <w:r w:rsidRPr="00BA3E97">
        <w:rPr>
          <w:sz w:val="22"/>
          <w:szCs w:val="22"/>
          <w:lang w:val="sr-Latn-ME"/>
        </w:rPr>
        <w:t>Poznati efekat povišenih vrednosti GLP-1, u smislu usporenog pražnjenja želuca, nije zabilježen kod terapije vildagliptinom.</w:t>
      </w:r>
    </w:p>
    <w:p w14:paraId="3C75D0D7" w14:textId="77777777" w:rsidR="00003313" w:rsidRPr="00BA3E97" w:rsidRDefault="00003313" w:rsidP="00A83DDF">
      <w:pPr>
        <w:jc w:val="both"/>
        <w:rPr>
          <w:sz w:val="22"/>
          <w:szCs w:val="22"/>
          <w:lang w:val="sr-Latn-ME"/>
        </w:rPr>
      </w:pPr>
    </w:p>
    <w:p w14:paraId="0ED9AD1D" w14:textId="77777777" w:rsidR="00003313" w:rsidRPr="00BA3E97" w:rsidRDefault="00003313" w:rsidP="00A83DDF">
      <w:pPr>
        <w:jc w:val="both"/>
        <w:rPr>
          <w:sz w:val="22"/>
          <w:szCs w:val="22"/>
          <w:u w:val="single"/>
          <w:lang w:val="sr-Latn-ME"/>
        </w:rPr>
      </w:pPr>
      <w:r w:rsidRPr="00BA3E97">
        <w:rPr>
          <w:sz w:val="22"/>
          <w:szCs w:val="22"/>
          <w:u w:val="single"/>
          <w:lang w:val="sr-Latn-ME"/>
        </w:rPr>
        <w:t>Klinička efikasnost i bezbjednost</w:t>
      </w:r>
    </w:p>
    <w:p w14:paraId="4FD2DF51" w14:textId="77777777" w:rsidR="00003313" w:rsidRPr="00BA3E97" w:rsidRDefault="00003313" w:rsidP="00A83DDF">
      <w:pPr>
        <w:jc w:val="both"/>
        <w:rPr>
          <w:sz w:val="22"/>
          <w:szCs w:val="22"/>
          <w:lang w:val="sr-Latn-ME"/>
        </w:rPr>
      </w:pPr>
      <w:r w:rsidRPr="00BA3E97">
        <w:rPr>
          <w:sz w:val="22"/>
          <w:szCs w:val="22"/>
          <w:lang w:val="sr-Latn-ME"/>
        </w:rPr>
        <w:t xml:space="preserve">Više od 15 000 pacijenata sa dijabetes melitusom tip 2 učestvovalo je u duplo-slepim, placebo ili aktivno kontrolisanim kliničkim studijama, sa više od 2 godine trajanja terapije. U ovim studijama, vildagliptin je uzimalo više od 9 000 pacijenata u dnevnoj dozi od 50 mg jednom dnevno, 50 mg dva puta dnevno ili 100 mg jednom dnevno. Više od 5000 muškaraca i više od 4 000 žena je uzimalo 50 mg vildagliptina jednom dnevno ili 100 mg vildagliptina dnevno. Više od 1900 pacijenata koji su uzimali 50 mg </w:t>
      </w:r>
      <w:r w:rsidRPr="00BA3E97">
        <w:rPr>
          <w:sz w:val="22"/>
          <w:szCs w:val="22"/>
          <w:lang w:val="sr-Latn-ME"/>
        </w:rPr>
        <w:lastRenderedPageBreak/>
        <w:t>vildagliptina jednom dnevno ili 100 mg dnevno bili su ≥ 65 godina starosti. U ovim studijama, vildagliptin je dat kao monoterapija kod pacijenata sa diabetesom tip 2 koji nisu uzimali ljekove ili je dat u kombinaciji kod pacijenata sa neadekvatnom kontrolom dijabetesa prilikom primene drugih ljekova za liječenje dijabetesa.</w:t>
      </w:r>
    </w:p>
    <w:p w14:paraId="67CDFF97" w14:textId="77777777" w:rsidR="00003313" w:rsidRPr="00BA3E97" w:rsidRDefault="00003313" w:rsidP="00A83DDF">
      <w:pPr>
        <w:jc w:val="both"/>
        <w:rPr>
          <w:sz w:val="22"/>
          <w:szCs w:val="22"/>
          <w:lang w:val="sr-Latn-ME"/>
        </w:rPr>
      </w:pPr>
    </w:p>
    <w:p w14:paraId="64D32389" w14:textId="091557FA" w:rsidR="00003313" w:rsidRPr="00BA3E97" w:rsidRDefault="00003313" w:rsidP="00A83DDF">
      <w:pPr>
        <w:jc w:val="both"/>
        <w:rPr>
          <w:sz w:val="22"/>
          <w:szCs w:val="22"/>
          <w:lang w:val="sr-Latn-ME"/>
        </w:rPr>
      </w:pPr>
      <w:r w:rsidRPr="00BA3E97">
        <w:rPr>
          <w:sz w:val="22"/>
          <w:szCs w:val="22"/>
          <w:lang w:val="sr-Latn-ME"/>
        </w:rPr>
        <w:t xml:space="preserve">Sveukupno, vildagliptin je poboljšao kontrolu glikemije kada je </w:t>
      </w:r>
      <w:r w:rsidR="005C53F0" w:rsidRPr="00BA3E97">
        <w:rPr>
          <w:sz w:val="22"/>
          <w:szCs w:val="22"/>
          <w:lang w:val="sr-Latn-ME"/>
        </w:rPr>
        <w:t xml:space="preserve">primjenjivan </w:t>
      </w:r>
      <w:r w:rsidRPr="00BA3E97">
        <w:rPr>
          <w:sz w:val="22"/>
          <w:szCs w:val="22"/>
          <w:lang w:val="sr-Latn-ME"/>
        </w:rPr>
        <w:t>kao monoterapija ili kada je primjenjivan u kombinaciji sa metforminom, derivatima sulfoniluree i tiazolidinedionom, mjereno kao klinički značajno smanjenje HbA1c od početnih vrijednosti do trenutka merenja (</w:t>
      </w:r>
      <w:r w:rsidR="0049053B" w:rsidRPr="00BA3E97">
        <w:rPr>
          <w:sz w:val="22"/>
          <w:szCs w:val="22"/>
          <w:lang w:val="sr-Latn-ME"/>
        </w:rPr>
        <w:t xml:space="preserve">pogledati </w:t>
      </w:r>
      <w:r w:rsidRPr="00BA3E97">
        <w:rPr>
          <w:sz w:val="22"/>
          <w:szCs w:val="22"/>
          <w:lang w:val="sr-Latn-ME"/>
        </w:rPr>
        <w:t>Tabelu 8.).</w:t>
      </w:r>
    </w:p>
    <w:p w14:paraId="13073D40" w14:textId="77777777" w:rsidR="00003313" w:rsidRPr="00BA3E97" w:rsidRDefault="00003313" w:rsidP="00A83DDF">
      <w:pPr>
        <w:jc w:val="both"/>
        <w:rPr>
          <w:sz w:val="22"/>
          <w:szCs w:val="22"/>
          <w:lang w:val="sr-Latn-ME"/>
        </w:rPr>
      </w:pPr>
    </w:p>
    <w:p w14:paraId="17C58B1B" w14:textId="77777777" w:rsidR="00003313" w:rsidRPr="00BA3E97" w:rsidRDefault="00003313" w:rsidP="00A83DDF">
      <w:pPr>
        <w:jc w:val="both"/>
        <w:rPr>
          <w:sz w:val="22"/>
          <w:szCs w:val="22"/>
          <w:lang w:val="sr-Latn-ME"/>
        </w:rPr>
      </w:pPr>
      <w:r w:rsidRPr="00BA3E97">
        <w:rPr>
          <w:sz w:val="22"/>
          <w:szCs w:val="22"/>
          <w:lang w:val="sr-Latn-ME"/>
        </w:rPr>
        <w:t>U kliničkim studijama, amplituda smanjenja HbA1c sa vildagliptinom bila je veća kod pacijenata sa većim početnim vrijednostima HbA1c.</w:t>
      </w:r>
    </w:p>
    <w:p w14:paraId="10764FE5" w14:textId="77777777" w:rsidR="00003313" w:rsidRPr="00BA3E97" w:rsidRDefault="00003313" w:rsidP="00A83DDF">
      <w:pPr>
        <w:jc w:val="both"/>
        <w:rPr>
          <w:sz w:val="22"/>
          <w:szCs w:val="22"/>
          <w:lang w:val="sr-Latn-ME"/>
        </w:rPr>
      </w:pPr>
    </w:p>
    <w:p w14:paraId="25E3C9CD" w14:textId="14F12FAC" w:rsidR="00003313" w:rsidRPr="00BA3E97" w:rsidRDefault="00003313" w:rsidP="00A83DDF">
      <w:pPr>
        <w:jc w:val="both"/>
        <w:rPr>
          <w:sz w:val="22"/>
          <w:szCs w:val="22"/>
          <w:lang w:val="sr-Latn-ME"/>
        </w:rPr>
      </w:pPr>
      <w:r w:rsidRPr="00BA3E97">
        <w:rPr>
          <w:sz w:val="22"/>
          <w:szCs w:val="22"/>
          <w:lang w:val="sr-Latn-ME"/>
        </w:rPr>
        <w:t>U 52-nedeljnoj duplo-slijepoj kontrolisanoj studiji, vildagliptin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je smanjio početne vrijednosti HbA1c za -1% u odnosu na -1,6% sa metforminom (titrirano do 2 g/dnevno), statistička neinferiornost nije postignuta. Pacijenti na terapiji vildagliptinom prijavili su značajno nižu incidencu gastrointestinalnih neželjenih reakcija u poređenju sa onim na terapiji metforminom.</w:t>
      </w:r>
    </w:p>
    <w:p w14:paraId="2EC18D7F" w14:textId="77777777" w:rsidR="00003313" w:rsidRPr="00BA3E97" w:rsidRDefault="00003313" w:rsidP="00A83DDF">
      <w:pPr>
        <w:jc w:val="both"/>
        <w:rPr>
          <w:sz w:val="22"/>
          <w:szCs w:val="22"/>
          <w:lang w:val="sr-Latn-ME"/>
        </w:rPr>
      </w:pPr>
    </w:p>
    <w:p w14:paraId="525E1AAD" w14:textId="7EE3F1D5" w:rsidR="00003313" w:rsidRPr="00BA3E97" w:rsidRDefault="00003313" w:rsidP="00A83DDF">
      <w:pPr>
        <w:jc w:val="both"/>
        <w:rPr>
          <w:sz w:val="22"/>
          <w:szCs w:val="22"/>
          <w:lang w:val="sr-Latn-ME"/>
        </w:rPr>
      </w:pPr>
      <w:r w:rsidRPr="00BA3E97">
        <w:rPr>
          <w:sz w:val="22"/>
          <w:szCs w:val="22"/>
          <w:lang w:val="sr-Latn-ME"/>
        </w:rPr>
        <w:t>U 24-nedjeljnoj duplo-slijepoj kontrolisanoj studiji, vildagliptin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je poređen sa rosiglitazonom (8 mg jedanput dnevno). Prosječno smanjenje je bilo -1,20% sa vildagliptinom i -1,48% sa rosiglitazonom kod pacijenata sa prosječnim početnim vrijednostima HbA1c</w:t>
      </w:r>
      <w:r w:rsidRPr="00BA3E97">
        <w:rPr>
          <w:sz w:val="22"/>
          <w:szCs w:val="22"/>
          <w:vertAlign w:val="subscript"/>
          <w:lang w:val="sr-Latn-ME"/>
        </w:rPr>
        <w:t xml:space="preserve"> </w:t>
      </w:r>
      <w:r w:rsidRPr="00BA3E97">
        <w:rPr>
          <w:sz w:val="22"/>
          <w:szCs w:val="22"/>
          <w:lang w:val="sr-Latn-ME"/>
        </w:rPr>
        <w:t>od 8,7%. Pacijenti koji su uzimali rosiglitazon imali su prosječno povećanje tjelesne mase (+1,6 kg) dok oni koji su uzimali vildagliptin nisu imali povećanje tjelesne mase (-0,3 kg). Incidenca perifernog edema je bila niža u grupi sa vildagliptinom nego u grupi sa rosiglitazonom (2,1% naspram 4,1%).</w:t>
      </w:r>
    </w:p>
    <w:p w14:paraId="7F323B02" w14:textId="77777777" w:rsidR="00003313" w:rsidRPr="00BA3E97" w:rsidRDefault="00003313" w:rsidP="00A83DDF">
      <w:pPr>
        <w:jc w:val="both"/>
        <w:rPr>
          <w:sz w:val="22"/>
          <w:szCs w:val="22"/>
          <w:lang w:val="sr-Latn-ME"/>
        </w:rPr>
      </w:pPr>
    </w:p>
    <w:p w14:paraId="450EA59A" w14:textId="64433B3D" w:rsidR="00003313" w:rsidRPr="00BA3E97" w:rsidRDefault="00003313" w:rsidP="00A83DDF">
      <w:pPr>
        <w:jc w:val="both"/>
        <w:rPr>
          <w:sz w:val="22"/>
          <w:szCs w:val="22"/>
          <w:lang w:val="sr-Latn-ME"/>
        </w:rPr>
      </w:pPr>
      <w:r w:rsidRPr="00BA3E97">
        <w:rPr>
          <w:sz w:val="22"/>
          <w:szCs w:val="22"/>
          <w:lang w:val="sr-Latn-ME"/>
        </w:rPr>
        <w:t>U kliničkoj studiji koja je trajala 2 godine, vildagliptin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je poređen sa gliklazidom (do 320 mg/dan). Posle dvije godine, prosječno smanjenje HbA1c je bilo -0,5% za vildagliptin i -0,6% za gliklazid, od prosječnih početnih vrijednosti HbA1c od 8,6%. Statistička neinferiornost nije postignuta. Vildagliptin je bio povezan sa manje hipoglikemijskih događaja (0,7%) nego gliklazid (1,7%).</w:t>
      </w:r>
    </w:p>
    <w:p w14:paraId="5DF3D1BF" w14:textId="77777777" w:rsidR="00003313" w:rsidRPr="00BA3E97" w:rsidRDefault="00003313" w:rsidP="00A83DDF">
      <w:pPr>
        <w:jc w:val="both"/>
        <w:rPr>
          <w:sz w:val="22"/>
          <w:szCs w:val="22"/>
          <w:lang w:val="sr-Latn-ME"/>
        </w:rPr>
      </w:pPr>
    </w:p>
    <w:p w14:paraId="6DC26D31" w14:textId="784D2F09" w:rsidR="00003313" w:rsidRPr="00BA3E97" w:rsidRDefault="00003313" w:rsidP="00A83DDF">
      <w:pPr>
        <w:jc w:val="both"/>
        <w:rPr>
          <w:sz w:val="22"/>
          <w:szCs w:val="22"/>
          <w:lang w:val="sr-Latn-ME"/>
        </w:rPr>
      </w:pPr>
      <w:r w:rsidRPr="00BA3E97">
        <w:rPr>
          <w:sz w:val="22"/>
          <w:szCs w:val="22"/>
          <w:lang w:val="sr-Latn-ME"/>
        </w:rPr>
        <w:t>U 24-nedjeljnoj studiji, vildagliptin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je poređen sa pioglitazonom (30 mg jednom dnevno) kod pacijenata koji nisu postigli adekvatnu kontrolu metforminom (prosječna dnevna doza: 2020 mg). Prosječna smanjenja od početnih vrijednosti HbA1c od 8,4% su bila -0.9% kod vildagliptina koji je dodat metforminu i -1,0% kod pioglitazonom koji je dodat metforminu. Prosječno povećanje tjelesne mase od +1,9 kg je zabilježeno kod pacijenata koji su uzimali pioglitazon koji je dodat metforminu, u odnosu na +0,3 kg kod onih koji su uzimali vildagliptin koji je dodat metforminu.</w:t>
      </w:r>
    </w:p>
    <w:p w14:paraId="56E3E4B7" w14:textId="77777777" w:rsidR="00003313" w:rsidRPr="00BA3E97" w:rsidRDefault="00003313" w:rsidP="00A83DDF">
      <w:pPr>
        <w:jc w:val="both"/>
        <w:rPr>
          <w:sz w:val="22"/>
          <w:szCs w:val="22"/>
          <w:lang w:val="sr-Latn-ME"/>
        </w:rPr>
      </w:pPr>
    </w:p>
    <w:p w14:paraId="7FCA1A51" w14:textId="10F9D31E" w:rsidR="00003313" w:rsidRPr="00BA3E97" w:rsidRDefault="00003313" w:rsidP="00A83DDF">
      <w:pPr>
        <w:jc w:val="both"/>
        <w:rPr>
          <w:sz w:val="22"/>
          <w:szCs w:val="22"/>
          <w:lang w:val="sr-Latn-ME"/>
        </w:rPr>
      </w:pPr>
      <w:r w:rsidRPr="00BA3E97">
        <w:rPr>
          <w:sz w:val="22"/>
          <w:szCs w:val="22"/>
          <w:lang w:val="sr-Latn-ME"/>
        </w:rPr>
        <w:t>U kliničkoj studiji koja je trajala 2 godine, vildagliptin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je poređen sa glimepiridom (do 6 mg/dan - prosečna doza za dvije godine: 4,6 mg) kod pacijenata liječenih metforminom (prosečna dnevna doza: 1894 mg). Posle 1 godine prosječno smanjenje HbA1c od početnih vrijednosti od 7,3% je bilo -0,4% kod vildagliptina koji je dodat metforminu i -0,5% kod glimepirida koji je dodat metforminu. Promjena tjelesne mase sa vildagliptinom je bila -0,2 kg nasuprot +1,6 kg sa glimepiridom. Incidenca hipoglikemije je bila značajno niža u grupi sa vildagliptinom (1,7%) u odnosu na grupu sa glimepiridom (16,2%). Nakon 2 godine HbA1c je bio sličan početnim vrijednostima u obje terapijske grupe, a promjene u tjelesnoj masi i razlike u hipoglikemiji su se održavale.</w:t>
      </w:r>
    </w:p>
    <w:p w14:paraId="07608D77" w14:textId="77777777" w:rsidR="00003313" w:rsidRPr="00BA3E97" w:rsidRDefault="00003313" w:rsidP="00A83DDF">
      <w:pPr>
        <w:jc w:val="both"/>
        <w:rPr>
          <w:sz w:val="22"/>
          <w:szCs w:val="22"/>
          <w:lang w:val="sr-Latn-ME"/>
        </w:rPr>
      </w:pPr>
    </w:p>
    <w:p w14:paraId="434B8EF1" w14:textId="2DB6F36E" w:rsidR="00003313" w:rsidRPr="00BA3E97" w:rsidRDefault="00003313" w:rsidP="00A83DDF">
      <w:pPr>
        <w:jc w:val="both"/>
        <w:rPr>
          <w:sz w:val="22"/>
          <w:szCs w:val="22"/>
          <w:lang w:val="sr-Latn-ME"/>
        </w:rPr>
      </w:pPr>
      <w:r w:rsidRPr="00BA3E97">
        <w:rPr>
          <w:sz w:val="22"/>
          <w:szCs w:val="22"/>
          <w:lang w:val="sr-Latn-ME"/>
        </w:rPr>
        <w:t>U 52-nedjeljnoj studiji, vildagliptin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je upoređivan sa gliklazidom (prosječna dnevna doza: 229,5 mg) kod pacijenata koji nisu imali adekvatnu kontrolu sa metforminom (doze metformina na</w:t>
      </w:r>
      <w:r w:rsidR="003E68C9" w:rsidRPr="00BA3E97">
        <w:rPr>
          <w:sz w:val="22"/>
          <w:szCs w:val="22"/>
          <w:lang w:val="sr-Latn-ME"/>
        </w:rPr>
        <w:t xml:space="preserve"> </w:t>
      </w:r>
      <w:r w:rsidRPr="00BA3E97">
        <w:rPr>
          <w:sz w:val="22"/>
          <w:szCs w:val="22"/>
          <w:lang w:val="sr-Latn-ME"/>
        </w:rPr>
        <w:t>početku 1982 mg/dan). Nakon jedne godine, prosečno smanjenje HbA</w:t>
      </w:r>
      <w:r w:rsidRPr="00BA3E97">
        <w:rPr>
          <w:sz w:val="22"/>
          <w:szCs w:val="22"/>
          <w:vertAlign w:val="subscript"/>
          <w:lang w:val="sr-Latn-ME"/>
        </w:rPr>
        <w:t>1c</w:t>
      </w:r>
      <w:r w:rsidRPr="00BA3E97">
        <w:rPr>
          <w:sz w:val="22"/>
          <w:szCs w:val="22"/>
          <w:lang w:val="sr-Latn-ME"/>
        </w:rPr>
        <w:t xml:space="preserve"> je bilo -0,81% kod vildagliptina koji je dodat metforminu (prosečna početna vrednost HbA1c 8,4%) i -0,85% kod gliklazida koji je dodat metforminu (prosečna početna vrednost HbA1c 8,5%); statistička ne-inferiornost je postignuta (95% CI -0,11 - 0,20). Promjena tjelesne mase sa vildagliptinom je bila +0,1 kg u poređenju sa porastom tjelesne mase od +1,4 kg sa gliklazidom.</w:t>
      </w:r>
    </w:p>
    <w:p w14:paraId="44B79D6D" w14:textId="77777777" w:rsidR="00003313" w:rsidRPr="00BA3E97" w:rsidRDefault="00003313" w:rsidP="00A83DDF">
      <w:pPr>
        <w:jc w:val="both"/>
        <w:rPr>
          <w:sz w:val="22"/>
          <w:szCs w:val="22"/>
          <w:lang w:val="sr-Latn-ME"/>
        </w:rPr>
      </w:pPr>
    </w:p>
    <w:p w14:paraId="531F2B53" w14:textId="42CB584A" w:rsidR="00003313" w:rsidRPr="00BA3E97" w:rsidRDefault="00003313" w:rsidP="00A83DDF">
      <w:pPr>
        <w:jc w:val="both"/>
        <w:rPr>
          <w:sz w:val="22"/>
          <w:szCs w:val="22"/>
          <w:lang w:val="sr-Latn-ME"/>
        </w:rPr>
      </w:pPr>
      <w:r w:rsidRPr="00BA3E97">
        <w:rPr>
          <w:sz w:val="22"/>
          <w:szCs w:val="22"/>
          <w:lang w:val="sr-Latn-ME"/>
        </w:rPr>
        <w:lastRenderedPageBreak/>
        <w:t>U 24-nedjeljnoj studiji, procjenjivana je efikasnost fiksne dozne kombinacije vildagliptina i metformina (postepeno titrirano do doza od 50 mg/500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ili 50 mg/1000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kao inicijalne terapije kod pacijenata koji ranije nisu liječeni. Vildagliptin/metformin 50 mg/1000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smanjio je HbA1c za -1,82%, vildagliptin/metformin 50 mg/500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za -1,61%, metformin 1000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za -1,36% i vildagliptin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za -1,09% od početnih vrijednosti HbA1c od 8,6%. Uočeno smanjivanje HbA1c je bilo veće kod pacijenata koji su imali početne vrijednosti ≥10,0%.</w:t>
      </w:r>
    </w:p>
    <w:p w14:paraId="6DCDE8FD" w14:textId="77777777" w:rsidR="00003313" w:rsidRPr="00BA3E97" w:rsidRDefault="00003313" w:rsidP="00A83DDF">
      <w:pPr>
        <w:jc w:val="both"/>
        <w:rPr>
          <w:sz w:val="22"/>
          <w:szCs w:val="22"/>
          <w:lang w:val="sr-Latn-ME"/>
        </w:rPr>
      </w:pPr>
    </w:p>
    <w:p w14:paraId="0F7029F3" w14:textId="77777777" w:rsidR="00003313" w:rsidRPr="00BA3E97" w:rsidRDefault="00003313" w:rsidP="00A83DDF">
      <w:pPr>
        <w:jc w:val="both"/>
        <w:rPr>
          <w:sz w:val="22"/>
          <w:szCs w:val="22"/>
          <w:lang w:val="sr-Latn-ME"/>
        </w:rPr>
      </w:pPr>
      <w:r w:rsidRPr="00BA3E97">
        <w:rPr>
          <w:sz w:val="22"/>
          <w:szCs w:val="22"/>
          <w:lang w:val="sr-Latn-ME"/>
        </w:rPr>
        <w:t>24-nedjeljna, multicentrična, randomizovana, duplo-slepa, placebo-kontrolisana studija je sprovedena kako bi se procjenio efekat terapije vildagliptinom u dozi od 50 mg, datog jednom dnevno u poređenju sa placebom kod 515 pacijenata sa dijabetesom tip 2 i umerenim oštećenjem funkcije bubrega (N=294) ili teškim oštećenjem funkcije bubrega (N=221). 68,8% pacijenata sa umerenim i 80,5% pacijenata sa teškim oštećenjem funkcije bubrega su liječeni insulinom (srednja dnevna doza od 56 odnosno 51,6 jedinica) na početku. Kod pacijenata sa umjerenim oštećenjem funkcije bubrega vildagliptin je značajno smanjio HbA1c u  poređenju sa placebom (razlika od -0,53%) u odnosu na srednju početnu vrednost od 7,9%. Kod pacijenata sa teškim oštećenjem funkcije bubrega, vildagliptin je značajno smanjio HbA1c u poređenju sa placebom (razlika od -0.56%) u odnosu na srednju početnu vrijednost od 7,7%.</w:t>
      </w:r>
    </w:p>
    <w:p w14:paraId="5D060274" w14:textId="77777777" w:rsidR="00003313" w:rsidRPr="00BA3E97" w:rsidRDefault="00003313" w:rsidP="00A83DDF">
      <w:pPr>
        <w:jc w:val="both"/>
        <w:rPr>
          <w:sz w:val="22"/>
          <w:szCs w:val="22"/>
          <w:lang w:val="sr-Latn-ME"/>
        </w:rPr>
      </w:pPr>
    </w:p>
    <w:p w14:paraId="4A98F84D" w14:textId="49CD2FFF" w:rsidR="00003313" w:rsidRPr="00BA3E97" w:rsidRDefault="00003313" w:rsidP="00A83DDF">
      <w:pPr>
        <w:jc w:val="both"/>
        <w:rPr>
          <w:sz w:val="22"/>
          <w:szCs w:val="22"/>
          <w:lang w:val="sr-Latn-ME"/>
        </w:rPr>
      </w:pPr>
      <w:r w:rsidRPr="00BA3E97">
        <w:rPr>
          <w:sz w:val="22"/>
          <w:szCs w:val="22"/>
          <w:lang w:val="sr-Latn-ME"/>
        </w:rPr>
        <w:t>24-nedjeljno, randomizovano, duplo-slepo, placebo-kontrolisano ispitivanje sprovedeno je kod 318 pacijenata kako bi se procjenila efikasnost i bezbjednost primjene vildagliptina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u kombinaciji sa metforminom (≥1500 mg dnevno) i glimepiridom (≥4 mg dnevno). Vildagliptin u kombinaciji sa metforminom i glimepiridom značajno je snizio HbA1c</w:t>
      </w:r>
      <w:r w:rsidRPr="00BA3E97">
        <w:rPr>
          <w:sz w:val="22"/>
          <w:szCs w:val="22"/>
          <w:vertAlign w:val="subscript"/>
          <w:lang w:val="sr-Latn-ME"/>
        </w:rPr>
        <w:t xml:space="preserve"> </w:t>
      </w:r>
      <w:r w:rsidRPr="00BA3E97">
        <w:rPr>
          <w:sz w:val="22"/>
          <w:szCs w:val="22"/>
          <w:lang w:val="sr-Latn-ME"/>
        </w:rPr>
        <w:t>u poređenju sa placebom. Prosječno sniženje, u poređenju sa placebom, u odnosu na srednju početnu vrijednost HbA1c od 8,8% bilo je -0,76%.</w:t>
      </w:r>
    </w:p>
    <w:p w14:paraId="697A8BD8" w14:textId="77777777" w:rsidR="00003313" w:rsidRPr="00BA3E97" w:rsidRDefault="00003313" w:rsidP="00A83DDF">
      <w:pPr>
        <w:jc w:val="both"/>
        <w:rPr>
          <w:sz w:val="22"/>
          <w:szCs w:val="22"/>
          <w:lang w:val="sr-Latn-ME"/>
        </w:rPr>
      </w:pPr>
    </w:p>
    <w:p w14:paraId="1D53D090" w14:textId="45C40BA8" w:rsidR="00003313" w:rsidRPr="00BA3E97" w:rsidRDefault="00003313" w:rsidP="00A83DDF">
      <w:pPr>
        <w:jc w:val="both"/>
        <w:rPr>
          <w:sz w:val="22"/>
          <w:szCs w:val="22"/>
          <w:lang w:val="sr-Latn-ME"/>
        </w:rPr>
      </w:pPr>
      <w:r w:rsidRPr="00BA3E97">
        <w:rPr>
          <w:sz w:val="22"/>
          <w:szCs w:val="22"/>
          <w:lang w:val="sr-Latn-ME"/>
        </w:rPr>
        <w:t>24-nedjeljno, randomizovano, duplo-slijepo, placebo-kontrolisano ispitivanje sprovedeno je kod 449 pacijenata kako bi se ocjenila efikasnost i bezbjednost primjene vildagliptina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dnevno) u kombinaciji sa stabilnom dozom bazalnog ili premiksovanog insulina (srednja dnevna doza od 41 jedinice), uz istovremenu primjenu metformina (N=276) ili bez istovremene primjene metformina (N=173). Vildagliptin u kombinaciji sa insulinom značajno je snizio HbA1c u poređenju sa placebom. U ukupnoj populaciji, srednje sniženje, u poređenju sa placebom, u odnosu na srednju početnu vrijednost HbA1c 8,8% bilo je -0,72%. U podgrupama liječenim insulinom sa ili bez istovremene primjene metformina srednje sniženje HbA1c, u poređenju sa placebom, bilo je -0,63% odnosno -0,84%. Incidenca hipoglikemije u ukupnoj populaciji bila je 8,4% u grupi liječenoj vildagliptinom, odnosno 7,2% u grupi liječenoj placebom. Kod pacijenata koji su primali vildagliptin nije došlo do povećanja tjelesne mase (+0,2 kg), dok je kod onih pacijenata koji su primali placebo došlo do smanjenja tjelesne mase (-0,7 kg).</w:t>
      </w:r>
    </w:p>
    <w:p w14:paraId="3374D7CA" w14:textId="77777777" w:rsidR="00003313" w:rsidRPr="00BA3E97" w:rsidRDefault="00003313" w:rsidP="00A83DDF">
      <w:pPr>
        <w:jc w:val="both"/>
        <w:rPr>
          <w:sz w:val="22"/>
          <w:szCs w:val="22"/>
          <w:lang w:val="sr-Latn-ME"/>
        </w:rPr>
      </w:pPr>
    </w:p>
    <w:p w14:paraId="2487320F" w14:textId="77777777" w:rsidR="00003313" w:rsidRPr="00BA3E97" w:rsidRDefault="00003313" w:rsidP="00A83DDF">
      <w:pPr>
        <w:jc w:val="both"/>
        <w:rPr>
          <w:sz w:val="22"/>
          <w:szCs w:val="22"/>
          <w:lang w:val="sr-Latn-ME"/>
        </w:rPr>
      </w:pPr>
      <w:r w:rsidRPr="00BA3E97">
        <w:rPr>
          <w:sz w:val="22"/>
          <w:szCs w:val="22"/>
          <w:lang w:val="sr-Latn-ME"/>
        </w:rPr>
        <w:t>U drugoj 24-nedeljnoj studiji pacijenata sa uznapredovalim dijabetesom tip 2 kod kojih insulinom nije postignuta odgovarajuća kontrola (prosečna doza insulina kratkog ili dužeg delovanja 80 i.j./dan), srednje sniženje HbA1c kad je vildagliptin (50 mg dva puta dnevno) bio dodat insulinu bilo je statistički značajno veće nego kad je insulinu bio dodat placebo (0,5% u odnosu na 0,2%). Incidenca hipoglikemije bila je niža u grupi liječenoj vildagliptinom nego u grupi liječenoj placebom (22,9% u odnosu na 29,6%).</w:t>
      </w:r>
    </w:p>
    <w:p w14:paraId="71981C79" w14:textId="77777777" w:rsidR="00003313" w:rsidRPr="00BA3E97" w:rsidRDefault="00003313" w:rsidP="00A83DDF">
      <w:pPr>
        <w:jc w:val="both"/>
        <w:rPr>
          <w:sz w:val="22"/>
          <w:szCs w:val="22"/>
          <w:lang w:val="sr-Latn-ME"/>
        </w:rPr>
      </w:pPr>
    </w:p>
    <w:p w14:paraId="7389428B" w14:textId="5FEDB569" w:rsidR="00003313" w:rsidRPr="00BA3E97" w:rsidRDefault="00003313" w:rsidP="00A83DDF">
      <w:pPr>
        <w:jc w:val="both"/>
        <w:rPr>
          <w:sz w:val="22"/>
          <w:szCs w:val="22"/>
          <w:lang w:val="sr-Latn-ME"/>
        </w:rPr>
      </w:pPr>
      <w:r w:rsidRPr="00BA3E97">
        <w:rPr>
          <w:sz w:val="22"/>
          <w:szCs w:val="22"/>
          <w:lang w:val="sr-Latn-ME"/>
        </w:rPr>
        <w:t>Multicentrično, randomizovano, duplo-slijepo ispitivanje u trajanju od 52 nedjelje sprovedeno je kod pacijenata sa diabetesom tip 2 i kongestivnom srčanom insuficijencijom (funkcionalna NYHA klasa I-III) da bi se ocenio efekat vildagliptina 50 mg dva</w:t>
      </w:r>
      <w:r w:rsidR="005C53F0" w:rsidRPr="00BA3E97">
        <w:rPr>
          <w:sz w:val="22"/>
          <w:szCs w:val="22"/>
          <w:lang w:val="sr-Latn-ME"/>
        </w:rPr>
        <w:t xml:space="preserve"> </w:t>
      </w:r>
      <w:r w:rsidRPr="00BA3E97">
        <w:rPr>
          <w:sz w:val="22"/>
          <w:szCs w:val="22"/>
          <w:lang w:val="sr-Latn-ME"/>
        </w:rPr>
        <w:t>put</w:t>
      </w:r>
      <w:r w:rsidR="005C53F0" w:rsidRPr="00BA3E97">
        <w:rPr>
          <w:sz w:val="22"/>
          <w:szCs w:val="22"/>
          <w:lang w:val="sr-Latn-ME"/>
        </w:rPr>
        <w:t>a</w:t>
      </w:r>
      <w:r w:rsidRPr="00BA3E97">
        <w:rPr>
          <w:sz w:val="22"/>
          <w:szCs w:val="22"/>
          <w:lang w:val="sr-Latn-ME"/>
        </w:rPr>
        <w:t xml:space="preserve"> na dan (N=128) u poređenju sa placebom (N=126) na ejekcionu frakciju lijeve komore. Vildagliptin nije bio povezan sa promjenom u funkciji lijeve komore ili pogoršanjem već postojeće kongestivne srčane insuficijencije. Procjenjeni kardiovaskularni događaji bili su generalno uravnoteženi. Bilo je više kardiovaskularnih događaja kod pacijenata sa srčanom insuficijencijom NYHA klase III lečenih vildagliptinom u poređenju sa placebom. Međutim, postojale su nejednakosti u početnom kardiovaskularnom riziku u korist placeba, a broj događaja bio je nizak, što onemogućava donošenje čvrstih zaključaka. Vildagliptin je značajno smanjio HbA1c u poređenju sa placebom (razlika 0,6%) u odnosu na srednje početne vrijednosti od 7,8% nakon 16 nedjelja. U podgrupi sa NYHA klasom III, smanjenje HbA1c u poređenju sa placebom bilo je manje (razlika 0,3%), ali taj je zaključak ograničen malim brojem pacijenata (n=44). Incidenca hipoglikemije </w:t>
      </w:r>
      <w:r w:rsidRPr="00BA3E97">
        <w:rPr>
          <w:sz w:val="22"/>
          <w:szCs w:val="22"/>
          <w:lang w:val="sr-Latn-ME"/>
        </w:rPr>
        <w:lastRenderedPageBreak/>
        <w:t>u cjelokupnoj populaciji bila je 4,7% u grupi koja je primala vildagliptin i 5,6% u grupi koja je primala placebo.</w:t>
      </w:r>
    </w:p>
    <w:p w14:paraId="5CA30DBE" w14:textId="77777777" w:rsidR="00C05AFF" w:rsidRPr="00BA3E97" w:rsidRDefault="00C05AFF" w:rsidP="00A83DDF">
      <w:pPr>
        <w:jc w:val="both"/>
        <w:rPr>
          <w:sz w:val="22"/>
          <w:szCs w:val="22"/>
          <w:lang w:val="sr-Latn-ME"/>
        </w:rPr>
      </w:pPr>
    </w:p>
    <w:p w14:paraId="7DD08A8A" w14:textId="225E5B57" w:rsidR="00742036" w:rsidRPr="00BA3E97" w:rsidRDefault="00742036" w:rsidP="00A83DDF">
      <w:pPr>
        <w:jc w:val="both"/>
        <w:rPr>
          <w:sz w:val="22"/>
          <w:szCs w:val="22"/>
          <w:lang w:val="sr-Latn-ME"/>
        </w:rPr>
      </w:pPr>
      <w:r w:rsidRPr="00BA3E97">
        <w:rPr>
          <w:sz w:val="22"/>
          <w:szCs w:val="22"/>
          <w:lang w:val="sr-Latn-ME"/>
        </w:rPr>
        <w:t>Petogodišnje, multicentrično, randomizovano duplo-slepo kliničko ispitivanje (VERIFY) je sprovedeno kod pacijenata sa dijabetes melitusom tipa 2, sa ciljem evaluacije efekta rane primene kombinovane terapije vildagliptina i metformina (N=998) u poređenju sa standardnom inicijalnom terapijom metforminom, praćenom kombinacijom sa vildagliptinom (sekvencijalna terapijska grupa) (N=1003) kod pacijenata sa novodijagnostikovanim dijebetes melitusom tip 2. Kombinovana terapija vildagliptina 50 mg dva puta dnveno i metformina doveli su do statistički i klinički značajne relativne redukcije stope rizika za pojavu ‘vremena do potvrđenog neuspeha inicijalne terapije’ (HbA1c &gt; 7%), u poređenju sa terapijom metforminom kod pacijenata koji do sada nisu lečeni od dijabetes melitusa tip 2, tokom 5-godišnjeg trajanja studije (</w:t>
      </w:r>
      <w:r w:rsidRPr="00BA3E97">
        <w:rPr>
          <w:i/>
          <w:iCs/>
          <w:sz w:val="22"/>
          <w:szCs w:val="22"/>
          <w:lang w:val="sr-Latn-ME"/>
        </w:rPr>
        <w:t>HR</w:t>
      </w:r>
      <w:r w:rsidRPr="00BA3E97">
        <w:rPr>
          <w:sz w:val="22"/>
          <w:szCs w:val="22"/>
          <w:lang w:val="sr-Latn-ME"/>
        </w:rPr>
        <w:t xml:space="preserve"> [95%CI]:0,51 [0,45; 0,58]; p&lt;0,001). Incidenca inicijalnog neuspeha terapije (HbA1c &gt; 7%), je bila 429 (43,6%) pacijenata u kombinovanoj terapiji i 614 (62,1%) pacijenata u sekvencijalnoj terapijskoj grupi.</w:t>
      </w:r>
    </w:p>
    <w:p w14:paraId="73CAC09C" w14:textId="77777777" w:rsidR="00003313" w:rsidRPr="00BA3E97" w:rsidRDefault="00003313" w:rsidP="00A83DDF">
      <w:pPr>
        <w:jc w:val="both"/>
        <w:rPr>
          <w:sz w:val="22"/>
          <w:szCs w:val="22"/>
          <w:lang w:val="sr-Latn-ME"/>
        </w:rPr>
      </w:pPr>
    </w:p>
    <w:p w14:paraId="444C1316" w14:textId="77777777" w:rsidR="00003313" w:rsidRPr="00BA3E97" w:rsidRDefault="00003313" w:rsidP="00A83DDF">
      <w:pPr>
        <w:jc w:val="both"/>
        <w:rPr>
          <w:sz w:val="22"/>
          <w:szCs w:val="22"/>
          <w:u w:val="single"/>
          <w:lang w:val="sr-Latn-ME"/>
        </w:rPr>
      </w:pPr>
      <w:r w:rsidRPr="00BA3E97">
        <w:rPr>
          <w:sz w:val="22"/>
          <w:szCs w:val="22"/>
          <w:u w:val="single"/>
          <w:lang w:val="sr-Latn-ME"/>
        </w:rPr>
        <w:t>Kardiovaskularni rizik</w:t>
      </w:r>
    </w:p>
    <w:p w14:paraId="35851AEB" w14:textId="77777777" w:rsidR="00003313" w:rsidRPr="00BA3E97" w:rsidRDefault="00003313" w:rsidP="00A83DDF">
      <w:pPr>
        <w:jc w:val="both"/>
        <w:rPr>
          <w:sz w:val="22"/>
          <w:szCs w:val="22"/>
          <w:lang w:val="sr-Latn-ME"/>
        </w:rPr>
      </w:pPr>
      <w:r w:rsidRPr="00BA3E97">
        <w:rPr>
          <w:sz w:val="22"/>
          <w:szCs w:val="22"/>
          <w:lang w:val="sr-Latn-ME"/>
        </w:rPr>
        <w:t xml:space="preserve">Sprovedena je meta-analiza, nezavisno i prospektivno utvrđenih kardiovaskularnih događaja, iz 37 kliničkih studija monoterapije i kombinovane terapije, faza III i IV i trajanja do više od 2 godine (srednje vreme izloženosti bilo je 50 nedelja za vildagliptin i 49 nedelja za komparatore) i pokazala je da lečenje vildagliptinom nije bilo povezano sa povećanjem kardiovaskularnog rizika u poređenju sa komparatorima. </w:t>
      </w:r>
    </w:p>
    <w:p w14:paraId="4E6680BD" w14:textId="77777777" w:rsidR="00003313" w:rsidRPr="00BA3E97" w:rsidRDefault="00003313" w:rsidP="00A83DDF">
      <w:pPr>
        <w:jc w:val="both"/>
        <w:rPr>
          <w:sz w:val="22"/>
          <w:szCs w:val="22"/>
          <w:lang w:val="sr-Latn-ME"/>
        </w:rPr>
      </w:pPr>
      <w:r w:rsidRPr="00BA3E97">
        <w:rPr>
          <w:sz w:val="22"/>
          <w:szCs w:val="22"/>
          <w:lang w:val="sr-Latn-ME"/>
        </w:rPr>
        <w:t>Kompozitni ishod za utvrđene velike kardivaskularne neželjene događaje uključujući i akutni infarkt miokarda, moždani udar ili kardivaskularnu smrt, bio je sličan za vildagliptin u poređenju sa kombinovanim aktivnim i placebo komparatorima [odnos rizika po Mantel-Haenszelovoj metodi (M-H OR) 0,82 (95% CI 0,61-1,11)]. Veliki kardiovaskularni neželjeni događaji javili su se kod 83 od 9599 (0,86%) pacijenata lečenih vildagliptinom i kod 85 od 7102 (1,20%) pacijenata lečenih komparatorima. Procena svake pojedinačne komponente velikog kardiovaskularnog neželjenog događaja nije pokazala povećani rizik (sličan M-H OR). Potvrđeni događaji srčane insuficijencije, definisani kao srčana insuficijencija koja je zahtevala hospitalizaciju ili novi slučajevi srčane insuficijencije su prijavljeni kod 41 (0,43%) pacijenata lečenih vildagliptinom i kod 32 (0,45%) pacijenta lečenih komparatorom sa M-H odnosom rizika 1,08 (95% CI 0,68-1,70).</w:t>
      </w:r>
    </w:p>
    <w:p w14:paraId="4D65A48E" w14:textId="77777777" w:rsidR="00003313" w:rsidRPr="00BA3E97" w:rsidRDefault="00003313" w:rsidP="00A83DDF">
      <w:pPr>
        <w:jc w:val="both"/>
        <w:rPr>
          <w:sz w:val="22"/>
          <w:szCs w:val="22"/>
          <w:lang w:val="sr-Latn-ME"/>
        </w:rPr>
      </w:pPr>
    </w:p>
    <w:p w14:paraId="4F66C9E1" w14:textId="77777777" w:rsidR="00003313" w:rsidRPr="00BA3E97" w:rsidRDefault="00003313" w:rsidP="00A83DDF">
      <w:pPr>
        <w:jc w:val="both"/>
        <w:rPr>
          <w:i/>
          <w:sz w:val="22"/>
          <w:szCs w:val="22"/>
          <w:lang w:val="sr-Latn-ME"/>
        </w:rPr>
      </w:pPr>
      <w:r w:rsidRPr="00BA3E97">
        <w:rPr>
          <w:i/>
          <w:sz w:val="22"/>
          <w:szCs w:val="22"/>
          <w:lang w:val="sr-Latn-ME"/>
        </w:rPr>
        <w:t>Tabela 8.  Ključni rezultati efikasnosti vildagliptina u placebom-kontrolisanim studijama monoterapije i kao dodatne kombinovane terapije (primarna efikasnost kod ITT –‘’intention to treat’’ populacije)</w:t>
      </w:r>
    </w:p>
    <w:p w14:paraId="355BA4F7" w14:textId="77777777" w:rsidR="00003313" w:rsidRPr="00BA3E97" w:rsidRDefault="00003313" w:rsidP="00A83DDF">
      <w:pPr>
        <w:jc w:val="both"/>
        <w:rPr>
          <w:i/>
          <w:sz w:val="22"/>
          <w:szCs w:val="22"/>
          <w:lang w:val="sr-Latn-ME"/>
        </w:rPr>
      </w:pPr>
    </w:p>
    <w:tbl>
      <w:tblPr>
        <w:tblStyle w:val="TableGrid"/>
        <w:tblW w:w="0" w:type="auto"/>
        <w:tblLook w:val="04A0" w:firstRow="1" w:lastRow="0" w:firstColumn="1" w:lastColumn="0" w:noHBand="0" w:noVBand="1"/>
      </w:tblPr>
      <w:tblGrid>
        <w:gridCol w:w="3774"/>
        <w:gridCol w:w="1490"/>
        <w:gridCol w:w="1734"/>
        <w:gridCol w:w="2065"/>
      </w:tblGrid>
      <w:tr w:rsidR="00003313" w:rsidRPr="00BA3E97" w14:paraId="456709D9" w14:textId="77777777" w:rsidTr="00CE731C">
        <w:trPr>
          <w:trHeight w:val="1524"/>
        </w:trPr>
        <w:tc>
          <w:tcPr>
            <w:tcW w:w="4219" w:type="dxa"/>
          </w:tcPr>
          <w:p w14:paraId="17D4649C" w14:textId="77777777" w:rsidR="00003313" w:rsidRPr="00BA3E97" w:rsidRDefault="00003313" w:rsidP="00A83DDF">
            <w:pPr>
              <w:jc w:val="both"/>
              <w:rPr>
                <w:b/>
                <w:sz w:val="22"/>
                <w:szCs w:val="22"/>
                <w:lang w:val="sr-Latn-ME"/>
              </w:rPr>
            </w:pPr>
            <w:r w:rsidRPr="00BA3E97">
              <w:rPr>
                <w:b/>
                <w:sz w:val="22"/>
                <w:szCs w:val="22"/>
                <w:lang w:val="sr-Latn-ME"/>
              </w:rPr>
              <w:t>Placebo-kontrolisane studije monoterapije</w:t>
            </w:r>
          </w:p>
        </w:tc>
        <w:tc>
          <w:tcPr>
            <w:tcW w:w="1559" w:type="dxa"/>
          </w:tcPr>
          <w:p w14:paraId="4A247615" w14:textId="77777777" w:rsidR="00003313" w:rsidRPr="00BA3E97" w:rsidRDefault="00003313" w:rsidP="00A83DDF">
            <w:pPr>
              <w:jc w:val="both"/>
              <w:rPr>
                <w:b/>
                <w:sz w:val="22"/>
                <w:szCs w:val="22"/>
                <w:lang w:val="sr-Latn-ME"/>
              </w:rPr>
            </w:pPr>
            <w:r w:rsidRPr="00BA3E97">
              <w:rPr>
                <w:b/>
                <w:sz w:val="22"/>
                <w:szCs w:val="22"/>
                <w:lang w:val="sr-Latn-ME"/>
              </w:rPr>
              <w:t xml:space="preserve">Prosječna </w:t>
            </w:r>
          </w:p>
          <w:p w14:paraId="73D2F36B" w14:textId="77777777" w:rsidR="00003313" w:rsidRPr="00BA3E97" w:rsidRDefault="00003313" w:rsidP="00A83DDF">
            <w:pPr>
              <w:jc w:val="both"/>
              <w:rPr>
                <w:b/>
                <w:sz w:val="22"/>
                <w:szCs w:val="22"/>
                <w:lang w:val="sr-Latn-ME"/>
              </w:rPr>
            </w:pPr>
            <w:r w:rsidRPr="00BA3E97">
              <w:rPr>
                <w:b/>
                <w:sz w:val="22"/>
                <w:szCs w:val="22"/>
                <w:lang w:val="sr-Latn-ME"/>
              </w:rPr>
              <w:t xml:space="preserve">početna </w:t>
            </w:r>
          </w:p>
          <w:p w14:paraId="7ED1505F" w14:textId="0B2B576D" w:rsidR="00003313" w:rsidRPr="00BA3E97" w:rsidRDefault="00003313" w:rsidP="00A83DDF">
            <w:pPr>
              <w:jc w:val="both"/>
              <w:rPr>
                <w:b/>
                <w:sz w:val="22"/>
                <w:szCs w:val="22"/>
                <w:lang w:val="sr-Latn-ME"/>
              </w:rPr>
            </w:pPr>
            <w:r w:rsidRPr="00BA3E97">
              <w:rPr>
                <w:b/>
                <w:sz w:val="22"/>
                <w:szCs w:val="22"/>
                <w:lang w:val="sr-Latn-ME"/>
              </w:rPr>
              <w:t>vr</w:t>
            </w:r>
            <w:r w:rsidR="00EF06E8" w:rsidRPr="00BA3E97">
              <w:rPr>
                <w:b/>
                <w:sz w:val="22"/>
                <w:szCs w:val="22"/>
                <w:lang w:val="sr-Latn-ME"/>
              </w:rPr>
              <w:t>ij</w:t>
            </w:r>
            <w:r w:rsidRPr="00BA3E97">
              <w:rPr>
                <w:b/>
                <w:sz w:val="22"/>
                <w:szCs w:val="22"/>
                <w:lang w:val="sr-Latn-ME"/>
              </w:rPr>
              <w:t xml:space="preserve">ednost </w:t>
            </w:r>
          </w:p>
          <w:p w14:paraId="3F053A22" w14:textId="77777777" w:rsidR="00003313" w:rsidRPr="00BA3E97" w:rsidRDefault="00003313" w:rsidP="00A83DDF">
            <w:pPr>
              <w:jc w:val="both"/>
              <w:rPr>
                <w:b/>
                <w:sz w:val="22"/>
                <w:szCs w:val="22"/>
                <w:lang w:val="sr-Latn-ME"/>
              </w:rPr>
            </w:pPr>
            <w:r w:rsidRPr="00BA3E97">
              <w:rPr>
                <w:b/>
                <w:sz w:val="22"/>
                <w:szCs w:val="22"/>
                <w:lang w:val="sr-Latn-ME"/>
              </w:rPr>
              <w:t>HbA1c</w:t>
            </w:r>
            <w:r w:rsidRPr="00BA3E97">
              <w:rPr>
                <w:b/>
                <w:sz w:val="22"/>
                <w:szCs w:val="22"/>
                <w:vertAlign w:val="subscript"/>
                <w:lang w:val="sr-Latn-ME"/>
              </w:rPr>
              <w:t xml:space="preserve"> </w:t>
            </w:r>
            <w:r w:rsidRPr="00BA3E97">
              <w:rPr>
                <w:b/>
                <w:sz w:val="22"/>
                <w:szCs w:val="22"/>
                <w:lang w:val="sr-Latn-ME"/>
              </w:rPr>
              <w:t>(%)</w:t>
            </w:r>
          </w:p>
        </w:tc>
        <w:tc>
          <w:tcPr>
            <w:tcW w:w="1843" w:type="dxa"/>
          </w:tcPr>
          <w:p w14:paraId="4693FA4D" w14:textId="77777777" w:rsidR="00003313" w:rsidRPr="00BA3E97" w:rsidRDefault="00003313" w:rsidP="00A83DDF">
            <w:pPr>
              <w:jc w:val="both"/>
              <w:rPr>
                <w:b/>
                <w:sz w:val="22"/>
                <w:szCs w:val="22"/>
                <w:lang w:val="sr-Latn-ME"/>
              </w:rPr>
            </w:pPr>
            <w:r w:rsidRPr="00BA3E97">
              <w:rPr>
                <w:b/>
                <w:sz w:val="22"/>
                <w:szCs w:val="22"/>
                <w:lang w:val="sr-Latn-ME"/>
              </w:rPr>
              <w:t xml:space="preserve">Prosječna promjena </w:t>
            </w:r>
          </w:p>
          <w:p w14:paraId="35F62E8B" w14:textId="77777777" w:rsidR="00003313" w:rsidRPr="00BA3E97" w:rsidRDefault="00003313" w:rsidP="00A83DDF">
            <w:pPr>
              <w:jc w:val="both"/>
              <w:rPr>
                <w:b/>
                <w:sz w:val="22"/>
                <w:szCs w:val="22"/>
                <w:lang w:val="sr-Latn-ME"/>
              </w:rPr>
            </w:pPr>
            <w:r w:rsidRPr="00BA3E97">
              <w:rPr>
                <w:b/>
                <w:sz w:val="22"/>
                <w:szCs w:val="22"/>
                <w:lang w:val="sr-Latn-ME"/>
              </w:rPr>
              <w:t xml:space="preserve">u odnosu na </w:t>
            </w:r>
          </w:p>
          <w:p w14:paraId="40646AC7" w14:textId="77777777" w:rsidR="00003313" w:rsidRPr="00BA3E97" w:rsidRDefault="00003313" w:rsidP="00A83DDF">
            <w:pPr>
              <w:jc w:val="both"/>
              <w:rPr>
                <w:b/>
                <w:sz w:val="22"/>
                <w:szCs w:val="22"/>
                <w:lang w:val="sr-Latn-ME"/>
              </w:rPr>
            </w:pPr>
            <w:r w:rsidRPr="00BA3E97">
              <w:rPr>
                <w:b/>
                <w:sz w:val="22"/>
                <w:szCs w:val="22"/>
                <w:lang w:val="sr-Latn-ME"/>
              </w:rPr>
              <w:t>početne vrijednosti</w:t>
            </w:r>
          </w:p>
          <w:p w14:paraId="67613DCA" w14:textId="77777777" w:rsidR="00003313" w:rsidRPr="00BA3E97" w:rsidRDefault="00003313" w:rsidP="00A83DDF">
            <w:pPr>
              <w:jc w:val="both"/>
              <w:rPr>
                <w:b/>
                <w:sz w:val="22"/>
                <w:szCs w:val="22"/>
                <w:lang w:val="sr-Latn-ME"/>
              </w:rPr>
            </w:pPr>
            <w:r w:rsidRPr="00BA3E97">
              <w:rPr>
                <w:b/>
                <w:sz w:val="22"/>
                <w:szCs w:val="22"/>
                <w:lang w:val="sr-Latn-ME"/>
              </w:rPr>
              <w:t>HbA1c (%) u 24.</w:t>
            </w:r>
          </w:p>
          <w:p w14:paraId="188C64FF" w14:textId="77777777" w:rsidR="00003313" w:rsidRPr="00BA3E97" w:rsidRDefault="00003313" w:rsidP="00A83DDF">
            <w:pPr>
              <w:jc w:val="both"/>
              <w:rPr>
                <w:b/>
                <w:sz w:val="22"/>
                <w:szCs w:val="22"/>
                <w:lang w:val="sr-Latn-ME"/>
              </w:rPr>
            </w:pPr>
            <w:r w:rsidRPr="00BA3E97">
              <w:rPr>
                <w:b/>
                <w:sz w:val="22"/>
                <w:szCs w:val="22"/>
                <w:lang w:val="sr-Latn-ME"/>
              </w:rPr>
              <w:t>nedjelji</w:t>
            </w:r>
          </w:p>
        </w:tc>
        <w:tc>
          <w:tcPr>
            <w:tcW w:w="2234" w:type="dxa"/>
          </w:tcPr>
          <w:p w14:paraId="5D0B52B7" w14:textId="77777777" w:rsidR="00003313" w:rsidRPr="00BA3E97" w:rsidRDefault="00003313" w:rsidP="00A83DDF">
            <w:pPr>
              <w:jc w:val="both"/>
              <w:rPr>
                <w:b/>
                <w:sz w:val="22"/>
                <w:szCs w:val="22"/>
                <w:lang w:val="sr-Latn-ME"/>
              </w:rPr>
            </w:pPr>
            <w:r w:rsidRPr="00BA3E97">
              <w:rPr>
                <w:b/>
                <w:sz w:val="22"/>
                <w:szCs w:val="22"/>
                <w:lang w:val="sr-Latn-ME"/>
              </w:rPr>
              <w:t>Placebom-korigovana</w:t>
            </w:r>
          </w:p>
          <w:p w14:paraId="16712CA5" w14:textId="77777777" w:rsidR="00003313" w:rsidRPr="00BA3E97" w:rsidRDefault="00003313" w:rsidP="00A83DDF">
            <w:pPr>
              <w:jc w:val="both"/>
              <w:rPr>
                <w:b/>
                <w:sz w:val="22"/>
                <w:szCs w:val="22"/>
                <w:lang w:val="sr-Latn-ME"/>
              </w:rPr>
            </w:pPr>
            <w:r w:rsidRPr="00BA3E97">
              <w:rPr>
                <w:b/>
                <w:sz w:val="22"/>
                <w:szCs w:val="22"/>
                <w:lang w:val="sr-Latn-ME"/>
              </w:rPr>
              <w:t>prosječna promjena</w:t>
            </w:r>
          </w:p>
          <w:p w14:paraId="0ECA7A94" w14:textId="77777777" w:rsidR="00003313" w:rsidRPr="00BA3E97" w:rsidRDefault="00003313" w:rsidP="00A83DDF">
            <w:pPr>
              <w:jc w:val="both"/>
              <w:rPr>
                <w:b/>
                <w:sz w:val="22"/>
                <w:szCs w:val="22"/>
                <w:lang w:val="sr-Latn-ME"/>
              </w:rPr>
            </w:pPr>
            <w:r w:rsidRPr="00BA3E97">
              <w:rPr>
                <w:b/>
                <w:sz w:val="22"/>
                <w:szCs w:val="22"/>
                <w:lang w:val="sr-Latn-ME"/>
              </w:rPr>
              <w:t>HbA1c (%) u 24.</w:t>
            </w:r>
          </w:p>
          <w:p w14:paraId="08CD41EE" w14:textId="77777777" w:rsidR="00003313" w:rsidRPr="00BA3E97" w:rsidRDefault="00003313" w:rsidP="00A83DDF">
            <w:pPr>
              <w:jc w:val="both"/>
              <w:rPr>
                <w:b/>
                <w:sz w:val="22"/>
                <w:szCs w:val="22"/>
                <w:lang w:val="sr-Latn-ME"/>
              </w:rPr>
            </w:pPr>
            <w:r w:rsidRPr="00BA3E97">
              <w:rPr>
                <w:b/>
                <w:sz w:val="22"/>
                <w:szCs w:val="22"/>
                <w:lang w:val="sr-Latn-ME"/>
              </w:rPr>
              <w:t>nedjelji (95% CI)</w:t>
            </w:r>
          </w:p>
        </w:tc>
      </w:tr>
      <w:tr w:rsidR="00003313" w:rsidRPr="00BA3E97" w14:paraId="58DC524F" w14:textId="77777777" w:rsidTr="00CE731C">
        <w:tc>
          <w:tcPr>
            <w:tcW w:w="4219" w:type="dxa"/>
          </w:tcPr>
          <w:p w14:paraId="1CF1A120" w14:textId="77777777" w:rsidR="00003313" w:rsidRPr="00BA3E97" w:rsidRDefault="00003313" w:rsidP="00A83DDF">
            <w:pPr>
              <w:jc w:val="both"/>
              <w:rPr>
                <w:sz w:val="22"/>
                <w:szCs w:val="22"/>
                <w:lang w:val="sr-Latn-ME"/>
              </w:rPr>
            </w:pPr>
            <w:r w:rsidRPr="00BA3E97">
              <w:rPr>
                <w:sz w:val="22"/>
                <w:szCs w:val="22"/>
                <w:lang w:val="sr-Latn-ME"/>
              </w:rPr>
              <w:t xml:space="preserve">Studija 2301: </w:t>
            </w:r>
          </w:p>
          <w:p w14:paraId="7CBF138D" w14:textId="77777777" w:rsidR="00003313" w:rsidRPr="00BA3E97" w:rsidRDefault="00003313" w:rsidP="00A83DDF">
            <w:pPr>
              <w:jc w:val="both"/>
              <w:rPr>
                <w:sz w:val="22"/>
                <w:szCs w:val="22"/>
                <w:lang w:val="sr-Latn-ME"/>
              </w:rPr>
            </w:pPr>
            <w:r w:rsidRPr="00BA3E97">
              <w:rPr>
                <w:sz w:val="22"/>
                <w:szCs w:val="22"/>
                <w:lang w:val="sr-Latn-ME"/>
              </w:rPr>
              <w:t>Vildagliptin 50 mg dva puta dnevno (N=90)</w:t>
            </w:r>
          </w:p>
        </w:tc>
        <w:tc>
          <w:tcPr>
            <w:tcW w:w="1559" w:type="dxa"/>
          </w:tcPr>
          <w:p w14:paraId="495DFAA3" w14:textId="77777777" w:rsidR="00003313" w:rsidRPr="00BA3E97" w:rsidRDefault="00003313" w:rsidP="00A83DDF">
            <w:pPr>
              <w:jc w:val="both"/>
              <w:rPr>
                <w:sz w:val="22"/>
                <w:szCs w:val="22"/>
                <w:lang w:val="sr-Latn-ME"/>
              </w:rPr>
            </w:pPr>
            <w:r w:rsidRPr="00BA3E97">
              <w:rPr>
                <w:sz w:val="22"/>
                <w:szCs w:val="22"/>
                <w:lang w:val="sr-Latn-ME"/>
              </w:rPr>
              <w:t>8,6</w:t>
            </w:r>
          </w:p>
        </w:tc>
        <w:tc>
          <w:tcPr>
            <w:tcW w:w="1843" w:type="dxa"/>
          </w:tcPr>
          <w:p w14:paraId="35652724" w14:textId="77777777" w:rsidR="00003313" w:rsidRPr="00BA3E97" w:rsidRDefault="00003313" w:rsidP="00A83DDF">
            <w:pPr>
              <w:jc w:val="both"/>
              <w:rPr>
                <w:sz w:val="22"/>
                <w:szCs w:val="22"/>
                <w:lang w:val="sr-Latn-ME"/>
              </w:rPr>
            </w:pPr>
            <w:r w:rsidRPr="00BA3E97">
              <w:rPr>
                <w:sz w:val="22"/>
                <w:szCs w:val="22"/>
                <w:lang w:val="sr-Latn-ME"/>
              </w:rPr>
              <w:t>-0,8</w:t>
            </w:r>
          </w:p>
        </w:tc>
        <w:tc>
          <w:tcPr>
            <w:tcW w:w="2234" w:type="dxa"/>
          </w:tcPr>
          <w:p w14:paraId="049B6773" w14:textId="77777777" w:rsidR="00003313" w:rsidRPr="00BA3E97" w:rsidRDefault="00003313" w:rsidP="00A83DDF">
            <w:pPr>
              <w:jc w:val="both"/>
              <w:rPr>
                <w:sz w:val="22"/>
                <w:szCs w:val="22"/>
                <w:lang w:val="sr-Latn-ME"/>
              </w:rPr>
            </w:pPr>
            <w:r w:rsidRPr="00BA3E97">
              <w:rPr>
                <w:sz w:val="22"/>
                <w:szCs w:val="22"/>
                <w:lang w:val="sr-Latn-ME"/>
              </w:rPr>
              <w:t>-0,5* (-0,8, -0,1)</w:t>
            </w:r>
          </w:p>
        </w:tc>
      </w:tr>
      <w:tr w:rsidR="00003313" w:rsidRPr="00BA3E97" w14:paraId="1BDA1839" w14:textId="77777777" w:rsidTr="00CE731C">
        <w:tc>
          <w:tcPr>
            <w:tcW w:w="4219" w:type="dxa"/>
          </w:tcPr>
          <w:p w14:paraId="174E8EFF" w14:textId="77777777" w:rsidR="00003313" w:rsidRPr="00BA3E97" w:rsidRDefault="00003313" w:rsidP="00A83DDF">
            <w:pPr>
              <w:jc w:val="both"/>
              <w:rPr>
                <w:sz w:val="22"/>
                <w:szCs w:val="22"/>
                <w:lang w:val="sr-Latn-ME"/>
              </w:rPr>
            </w:pPr>
            <w:r w:rsidRPr="00BA3E97">
              <w:rPr>
                <w:sz w:val="22"/>
                <w:szCs w:val="22"/>
                <w:lang w:val="sr-Latn-ME"/>
              </w:rPr>
              <w:t>Studija 2384:</w:t>
            </w:r>
          </w:p>
          <w:p w14:paraId="3BD08E80" w14:textId="77777777" w:rsidR="00003313" w:rsidRPr="00BA3E97" w:rsidRDefault="00003313" w:rsidP="00A83DDF">
            <w:pPr>
              <w:jc w:val="both"/>
              <w:rPr>
                <w:sz w:val="22"/>
                <w:szCs w:val="22"/>
                <w:lang w:val="sr-Latn-ME"/>
              </w:rPr>
            </w:pPr>
            <w:r w:rsidRPr="00BA3E97">
              <w:rPr>
                <w:sz w:val="22"/>
                <w:szCs w:val="22"/>
                <w:lang w:val="sr-Latn-ME"/>
              </w:rPr>
              <w:t>Vildagliptin 50 mg dva puta dnevno (N=79)</w:t>
            </w:r>
          </w:p>
        </w:tc>
        <w:tc>
          <w:tcPr>
            <w:tcW w:w="1559" w:type="dxa"/>
          </w:tcPr>
          <w:p w14:paraId="4AF79160" w14:textId="77777777" w:rsidR="00003313" w:rsidRPr="00BA3E97" w:rsidRDefault="00003313" w:rsidP="00A83DDF">
            <w:pPr>
              <w:jc w:val="both"/>
              <w:rPr>
                <w:sz w:val="22"/>
                <w:szCs w:val="22"/>
                <w:lang w:val="sr-Latn-ME"/>
              </w:rPr>
            </w:pPr>
            <w:r w:rsidRPr="00BA3E97">
              <w:rPr>
                <w:sz w:val="22"/>
                <w:szCs w:val="22"/>
                <w:lang w:val="sr-Latn-ME"/>
              </w:rPr>
              <w:t>8,4</w:t>
            </w:r>
          </w:p>
        </w:tc>
        <w:tc>
          <w:tcPr>
            <w:tcW w:w="1843" w:type="dxa"/>
          </w:tcPr>
          <w:p w14:paraId="1690F7A7" w14:textId="77777777" w:rsidR="00003313" w:rsidRPr="00BA3E97" w:rsidRDefault="00003313" w:rsidP="00A83DDF">
            <w:pPr>
              <w:jc w:val="both"/>
              <w:rPr>
                <w:sz w:val="22"/>
                <w:szCs w:val="22"/>
                <w:lang w:val="sr-Latn-ME"/>
              </w:rPr>
            </w:pPr>
            <w:r w:rsidRPr="00BA3E97">
              <w:rPr>
                <w:sz w:val="22"/>
                <w:szCs w:val="22"/>
                <w:lang w:val="sr-Latn-ME"/>
              </w:rPr>
              <w:t>-0,7</w:t>
            </w:r>
          </w:p>
        </w:tc>
        <w:tc>
          <w:tcPr>
            <w:tcW w:w="2234" w:type="dxa"/>
          </w:tcPr>
          <w:p w14:paraId="52798B19" w14:textId="77777777" w:rsidR="00003313" w:rsidRPr="00BA3E97" w:rsidRDefault="00003313" w:rsidP="00A83DDF">
            <w:pPr>
              <w:jc w:val="both"/>
              <w:rPr>
                <w:sz w:val="22"/>
                <w:szCs w:val="22"/>
                <w:lang w:val="sr-Latn-ME"/>
              </w:rPr>
            </w:pPr>
            <w:r w:rsidRPr="00BA3E97">
              <w:rPr>
                <w:sz w:val="22"/>
                <w:szCs w:val="22"/>
                <w:lang w:val="sr-Latn-ME"/>
              </w:rPr>
              <w:t>-0,7* (-1,1, -0,4)</w:t>
            </w:r>
          </w:p>
        </w:tc>
      </w:tr>
      <w:tr w:rsidR="00003313" w:rsidRPr="00BA3E97" w14:paraId="4B0527D8" w14:textId="77777777" w:rsidTr="00CE731C">
        <w:tc>
          <w:tcPr>
            <w:tcW w:w="4219" w:type="dxa"/>
          </w:tcPr>
          <w:p w14:paraId="18E009E4" w14:textId="77777777" w:rsidR="00003313" w:rsidRPr="00BA3E97" w:rsidRDefault="00003313" w:rsidP="00A83DDF">
            <w:pPr>
              <w:jc w:val="both"/>
              <w:rPr>
                <w:sz w:val="22"/>
                <w:szCs w:val="22"/>
                <w:lang w:val="sr-Latn-ME"/>
              </w:rPr>
            </w:pPr>
          </w:p>
        </w:tc>
        <w:tc>
          <w:tcPr>
            <w:tcW w:w="1559" w:type="dxa"/>
          </w:tcPr>
          <w:p w14:paraId="65E838BB" w14:textId="77777777" w:rsidR="00003313" w:rsidRPr="00BA3E97" w:rsidRDefault="00003313" w:rsidP="00A83DDF">
            <w:pPr>
              <w:jc w:val="both"/>
              <w:rPr>
                <w:sz w:val="22"/>
                <w:szCs w:val="22"/>
                <w:lang w:val="sr-Latn-ME"/>
              </w:rPr>
            </w:pPr>
          </w:p>
        </w:tc>
        <w:tc>
          <w:tcPr>
            <w:tcW w:w="4077" w:type="dxa"/>
            <w:gridSpan w:val="2"/>
          </w:tcPr>
          <w:p w14:paraId="18D55406" w14:textId="77777777" w:rsidR="00003313" w:rsidRPr="00BA3E97" w:rsidRDefault="00003313" w:rsidP="00A83DDF">
            <w:pPr>
              <w:jc w:val="both"/>
              <w:rPr>
                <w:sz w:val="22"/>
                <w:szCs w:val="22"/>
                <w:lang w:val="sr-Latn-ME"/>
              </w:rPr>
            </w:pPr>
            <w:r w:rsidRPr="00BA3E97">
              <w:rPr>
                <w:sz w:val="22"/>
                <w:szCs w:val="22"/>
                <w:lang w:val="sr-Latn-ME"/>
              </w:rPr>
              <w:t>*p&lt;0,05 za poređenje nasuprot placebu</w:t>
            </w:r>
          </w:p>
        </w:tc>
      </w:tr>
      <w:tr w:rsidR="00003313" w:rsidRPr="00BA3E97" w14:paraId="59636046" w14:textId="77777777" w:rsidTr="00CE731C">
        <w:tc>
          <w:tcPr>
            <w:tcW w:w="4219" w:type="dxa"/>
          </w:tcPr>
          <w:p w14:paraId="1FD6761E" w14:textId="77777777" w:rsidR="00003313" w:rsidRPr="00BA3E97" w:rsidRDefault="00003313" w:rsidP="00A83DDF">
            <w:pPr>
              <w:jc w:val="both"/>
              <w:rPr>
                <w:b/>
                <w:sz w:val="22"/>
                <w:szCs w:val="22"/>
                <w:lang w:val="sr-Latn-ME"/>
              </w:rPr>
            </w:pPr>
            <w:r w:rsidRPr="00BA3E97">
              <w:rPr>
                <w:b/>
                <w:sz w:val="22"/>
                <w:szCs w:val="22"/>
                <w:lang w:val="sr-Latn-ME"/>
              </w:rPr>
              <w:t>Dodatne/studije kombinacija</w:t>
            </w:r>
          </w:p>
        </w:tc>
        <w:tc>
          <w:tcPr>
            <w:tcW w:w="1559" w:type="dxa"/>
          </w:tcPr>
          <w:p w14:paraId="017E1EEA" w14:textId="77777777" w:rsidR="00003313" w:rsidRPr="00BA3E97" w:rsidRDefault="00003313" w:rsidP="00A83DDF">
            <w:pPr>
              <w:jc w:val="both"/>
              <w:rPr>
                <w:sz w:val="22"/>
                <w:szCs w:val="22"/>
                <w:lang w:val="sr-Latn-ME"/>
              </w:rPr>
            </w:pPr>
          </w:p>
        </w:tc>
        <w:tc>
          <w:tcPr>
            <w:tcW w:w="1843" w:type="dxa"/>
          </w:tcPr>
          <w:p w14:paraId="5E74AB75" w14:textId="77777777" w:rsidR="00003313" w:rsidRPr="00BA3E97" w:rsidRDefault="00003313" w:rsidP="00A83DDF">
            <w:pPr>
              <w:jc w:val="both"/>
              <w:rPr>
                <w:sz w:val="22"/>
                <w:szCs w:val="22"/>
                <w:lang w:val="sr-Latn-ME"/>
              </w:rPr>
            </w:pPr>
          </w:p>
        </w:tc>
        <w:tc>
          <w:tcPr>
            <w:tcW w:w="2234" w:type="dxa"/>
          </w:tcPr>
          <w:p w14:paraId="3CE2870A" w14:textId="77777777" w:rsidR="00003313" w:rsidRPr="00BA3E97" w:rsidRDefault="00003313" w:rsidP="00A83DDF">
            <w:pPr>
              <w:jc w:val="both"/>
              <w:rPr>
                <w:sz w:val="22"/>
                <w:szCs w:val="22"/>
                <w:lang w:val="sr-Latn-ME"/>
              </w:rPr>
            </w:pPr>
          </w:p>
        </w:tc>
      </w:tr>
      <w:tr w:rsidR="00003313" w:rsidRPr="00BA3E97" w14:paraId="49083257" w14:textId="77777777" w:rsidTr="00CE731C">
        <w:tc>
          <w:tcPr>
            <w:tcW w:w="4219" w:type="dxa"/>
          </w:tcPr>
          <w:p w14:paraId="54714EDF" w14:textId="77777777" w:rsidR="00003313" w:rsidRPr="00BA3E97" w:rsidRDefault="00003313" w:rsidP="00A83DDF">
            <w:pPr>
              <w:jc w:val="both"/>
              <w:rPr>
                <w:sz w:val="22"/>
                <w:szCs w:val="22"/>
                <w:lang w:val="sr-Latn-ME"/>
              </w:rPr>
            </w:pPr>
            <w:r w:rsidRPr="00BA3E97">
              <w:rPr>
                <w:sz w:val="22"/>
                <w:szCs w:val="22"/>
                <w:lang w:val="sr-Latn-ME"/>
              </w:rPr>
              <w:t>Vildagliptin 50 mg dva puta dnevno + metformin (N=143)</w:t>
            </w:r>
          </w:p>
        </w:tc>
        <w:tc>
          <w:tcPr>
            <w:tcW w:w="1559" w:type="dxa"/>
          </w:tcPr>
          <w:p w14:paraId="19EB9B01" w14:textId="77777777" w:rsidR="00003313" w:rsidRPr="00BA3E97" w:rsidRDefault="00003313" w:rsidP="00A83DDF">
            <w:pPr>
              <w:jc w:val="both"/>
              <w:rPr>
                <w:sz w:val="22"/>
                <w:szCs w:val="22"/>
                <w:lang w:val="sr-Latn-ME"/>
              </w:rPr>
            </w:pPr>
            <w:r w:rsidRPr="00BA3E97">
              <w:rPr>
                <w:sz w:val="22"/>
                <w:szCs w:val="22"/>
                <w:lang w:val="sr-Latn-ME"/>
              </w:rPr>
              <w:t>8,4</w:t>
            </w:r>
          </w:p>
        </w:tc>
        <w:tc>
          <w:tcPr>
            <w:tcW w:w="1843" w:type="dxa"/>
          </w:tcPr>
          <w:p w14:paraId="7EA62E9B" w14:textId="77777777" w:rsidR="00003313" w:rsidRPr="00BA3E97" w:rsidRDefault="00003313" w:rsidP="00A83DDF">
            <w:pPr>
              <w:jc w:val="both"/>
              <w:rPr>
                <w:sz w:val="22"/>
                <w:szCs w:val="22"/>
                <w:lang w:val="sr-Latn-ME"/>
              </w:rPr>
            </w:pPr>
            <w:r w:rsidRPr="00BA3E97">
              <w:rPr>
                <w:sz w:val="22"/>
                <w:szCs w:val="22"/>
                <w:lang w:val="sr-Latn-ME"/>
              </w:rPr>
              <w:t>-0,9</w:t>
            </w:r>
          </w:p>
        </w:tc>
        <w:tc>
          <w:tcPr>
            <w:tcW w:w="2234" w:type="dxa"/>
          </w:tcPr>
          <w:p w14:paraId="4856E7D2" w14:textId="77777777" w:rsidR="00003313" w:rsidRPr="00BA3E97" w:rsidRDefault="00003313" w:rsidP="00A83DDF">
            <w:pPr>
              <w:jc w:val="both"/>
              <w:rPr>
                <w:sz w:val="22"/>
                <w:szCs w:val="22"/>
                <w:lang w:val="sr-Latn-ME"/>
              </w:rPr>
            </w:pPr>
            <w:r w:rsidRPr="00BA3E97">
              <w:rPr>
                <w:sz w:val="22"/>
                <w:szCs w:val="22"/>
                <w:lang w:val="sr-Latn-ME"/>
              </w:rPr>
              <w:t>-1,1*(-1,4, -0,8)</w:t>
            </w:r>
          </w:p>
        </w:tc>
      </w:tr>
      <w:tr w:rsidR="00003313" w:rsidRPr="00BA3E97" w14:paraId="51C4BA3A" w14:textId="77777777" w:rsidTr="00CE731C">
        <w:tc>
          <w:tcPr>
            <w:tcW w:w="4219" w:type="dxa"/>
          </w:tcPr>
          <w:p w14:paraId="5A7FFF48" w14:textId="77777777" w:rsidR="00003313" w:rsidRPr="00BA3E97" w:rsidRDefault="00003313" w:rsidP="00A83DDF">
            <w:pPr>
              <w:jc w:val="both"/>
              <w:rPr>
                <w:sz w:val="22"/>
                <w:szCs w:val="22"/>
                <w:lang w:val="sr-Latn-ME"/>
              </w:rPr>
            </w:pPr>
            <w:r w:rsidRPr="00BA3E97">
              <w:rPr>
                <w:sz w:val="22"/>
                <w:szCs w:val="22"/>
                <w:lang w:val="sr-Latn-ME"/>
              </w:rPr>
              <w:t xml:space="preserve">Vildagliptin 50 mg dnevno + glimepirid </w:t>
            </w:r>
          </w:p>
          <w:p w14:paraId="7B715886" w14:textId="77777777" w:rsidR="00003313" w:rsidRPr="00BA3E97" w:rsidRDefault="00003313" w:rsidP="00A83DDF">
            <w:pPr>
              <w:jc w:val="both"/>
              <w:rPr>
                <w:sz w:val="22"/>
                <w:szCs w:val="22"/>
                <w:lang w:val="sr-Latn-ME"/>
              </w:rPr>
            </w:pPr>
            <w:r w:rsidRPr="00BA3E97">
              <w:rPr>
                <w:sz w:val="22"/>
                <w:szCs w:val="22"/>
                <w:lang w:val="sr-Latn-ME"/>
              </w:rPr>
              <w:t>(N=132)</w:t>
            </w:r>
          </w:p>
        </w:tc>
        <w:tc>
          <w:tcPr>
            <w:tcW w:w="1559" w:type="dxa"/>
          </w:tcPr>
          <w:p w14:paraId="465E180C" w14:textId="77777777" w:rsidR="00003313" w:rsidRPr="00BA3E97" w:rsidRDefault="00003313" w:rsidP="00A83DDF">
            <w:pPr>
              <w:jc w:val="both"/>
              <w:rPr>
                <w:sz w:val="22"/>
                <w:szCs w:val="22"/>
                <w:lang w:val="sr-Latn-ME"/>
              </w:rPr>
            </w:pPr>
            <w:r w:rsidRPr="00BA3E97">
              <w:rPr>
                <w:sz w:val="22"/>
                <w:szCs w:val="22"/>
                <w:lang w:val="sr-Latn-ME"/>
              </w:rPr>
              <w:t>8,5</w:t>
            </w:r>
          </w:p>
        </w:tc>
        <w:tc>
          <w:tcPr>
            <w:tcW w:w="1843" w:type="dxa"/>
          </w:tcPr>
          <w:p w14:paraId="22CD5882" w14:textId="77777777" w:rsidR="00003313" w:rsidRPr="00BA3E97" w:rsidRDefault="00003313" w:rsidP="00A83DDF">
            <w:pPr>
              <w:jc w:val="both"/>
              <w:rPr>
                <w:sz w:val="22"/>
                <w:szCs w:val="22"/>
                <w:lang w:val="sr-Latn-ME"/>
              </w:rPr>
            </w:pPr>
            <w:r w:rsidRPr="00BA3E97">
              <w:rPr>
                <w:sz w:val="22"/>
                <w:szCs w:val="22"/>
                <w:lang w:val="sr-Latn-ME"/>
              </w:rPr>
              <w:t>-0,6</w:t>
            </w:r>
          </w:p>
        </w:tc>
        <w:tc>
          <w:tcPr>
            <w:tcW w:w="2234" w:type="dxa"/>
          </w:tcPr>
          <w:p w14:paraId="3AC92607" w14:textId="77777777" w:rsidR="00003313" w:rsidRPr="00BA3E97" w:rsidRDefault="00003313" w:rsidP="00A83DDF">
            <w:pPr>
              <w:jc w:val="both"/>
              <w:rPr>
                <w:sz w:val="22"/>
                <w:szCs w:val="22"/>
                <w:lang w:val="sr-Latn-ME"/>
              </w:rPr>
            </w:pPr>
            <w:r w:rsidRPr="00BA3E97">
              <w:rPr>
                <w:sz w:val="22"/>
                <w:szCs w:val="22"/>
                <w:lang w:val="sr-Latn-ME"/>
              </w:rPr>
              <w:t>-0,6*(-0,9,-0,4)</w:t>
            </w:r>
          </w:p>
        </w:tc>
      </w:tr>
      <w:tr w:rsidR="00003313" w:rsidRPr="00BA3E97" w14:paraId="0845CE60" w14:textId="77777777" w:rsidTr="00CE731C">
        <w:tc>
          <w:tcPr>
            <w:tcW w:w="4219" w:type="dxa"/>
          </w:tcPr>
          <w:p w14:paraId="03291B31" w14:textId="77777777" w:rsidR="00003313" w:rsidRPr="00BA3E97" w:rsidRDefault="00003313" w:rsidP="00A83DDF">
            <w:pPr>
              <w:jc w:val="both"/>
              <w:rPr>
                <w:sz w:val="22"/>
                <w:szCs w:val="22"/>
                <w:lang w:val="sr-Latn-ME"/>
              </w:rPr>
            </w:pPr>
            <w:r w:rsidRPr="00BA3E97">
              <w:rPr>
                <w:sz w:val="22"/>
                <w:szCs w:val="22"/>
                <w:lang w:val="sr-Latn-ME"/>
              </w:rPr>
              <w:t xml:space="preserve">Vildagliptin 50 mg dva puta dnevno + pioglitazon </w:t>
            </w:r>
          </w:p>
          <w:p w14:paraId="5B04CB4A" w14:textId="77777777" w:rsidR="00003313" w:rsidRPr="00BA3E97" w:rsidRDefault="00003313" w:rsidP="00A83DDF">
            <w:pPr>
              <w:jc w:val="both"/>
              <w:rPr>
                <w:sz w:val="22"/>
                <w:szCs w:val="22"/>
                <w:lang w:val="sr-Latn-ME"/>
              </w:rPr>
            </w:pPr>
            <w:r w:rsidRPr="00BA3E97">
              <w:rPr>
                <w:sz w:val="22"/>
                <w:szCs w:val="22"/>
                <w:lang w:val="sr-Latn-ME"/>
              </w:rPr>
              <w:lastRenderedPageBreak/>
              <w:t>(N=136)</w:t>
            </w:r>
          </w:p>
        </w:tc>
        <w:tc>
          <w:tcPr>
            <w:tcW w:w="1559" w:type="dxa"/>
          </w:tcPr>
          <w:p w14:paraId="61F7C155" w14:textId="77777777" w:rsidR="00003313" w:rsidRPr="00BA3E97" w:rsidRDefault="00003313" w:rsidP="00A83DDF">
            <w:pPr>
              <w:jc w:val="both"/>
              <w:rPr>
                <w:sz w:val="22"/>
                <w:szCs w:val="22"/>
                <w:lang w:val="sr-Latn-ME"/>
              </w:rPr>
            </w:pPr>
            <w:r w:rsidRPr="00BA3E97">
              <w:rPr>
                <w:sz w:val="22"/>
                <w:szCs w:val="22"/>
                <w:lang w:val="sr-Latn-ME"/>
              </w:rPr>
              <w:lastRenderedPageBreak/>
              <w:t>8,7</w:t>
            </w:r>
          </w:p>
        </w:tc>
        <w:tc>
          <w:tcPr>
            <w:tcW w:w="1843" w:type="dxa"/>
          </w:tcPr>
          <w:p w14:paraId="78C0B67D" w14:textId="77777777" w:rsidR="00003313" w:rsidRPr="00BA3E97" w:rsidRDefault="00003313" w:rsidP="00A83DDF">
            <w:pPr>
              <w:jc w:val="both"/>
              <w:rPr>
                <w:sz w:val="22"/>
                <w:szCs w:val="22"/>
                <w:lang w:val="sr-Latn-ME"/>
              </w:rPr>
            </w:pPr>
            <w:r w:rsidRPr="00BA3E97">
              <w:rPr>
                <w:sz w:val="22"/>
                <w:szCs w:val="22"/>
                <w:lang w:val="sr-Latn-ME"/>
              </w:rPr>
              <w:t>-1,0</w:t>
            </w:r>
          </w:p>
        </w:tc>
        <w:tc>
          <w:tcPr>
            <w:tcW w:w="2234" w:type="dxa"/>
          </w:tcPr>
          <w:p w14:paraId="1425C6BC" w14:textId="77777777" w:rsidR="00003313" w:rsidRPr="00BA3E97" w:rsidRDefault="00003313" w:rsidP="00A83DDF">
            <w:pPr>
              <w:jc w:val="both"/>
              <w:rPr>
                <w:sz w:val="22"/>
                <w:szCs w:val="22"/>
                <w:lang w:val="sr-Latn-ME"/>
              </w:rPr>
            </w:pPr>
            <w:r w:rsidRPr="00BA3E97">
              <w:rPr>
                <w:sz w:val="22"/>
                <w:szCs w:val="22"/>
                <w:lang w:val="sr-Latn-ME"/>
              </w:rPr>
              <w:t>-0,7*(-0,9, -0,4)</w:t>
            </w:r>
          </w:p>
        </w:tc>
      </w:tr>
      <w:tr w:rsidR="00003313" w:rsidRPr="00BA3E97" w14:paraId="1D255E74" w14:textId="77777777" w:rsidTr="00CE731C">
        <w:tc>
          <w:tcPr>
            <w:tcW w:w="4219" w:type="dxa"/>
          </w:tcPr>
          <w:p w14:paraId="790AF590" w14:textId="77777777" w:rsidR="00003313" w:rsidRPr="00BA3E97" w:rsidRDefault="00003313" w:rsidP="00A83DDF">
            <w:pPr>
              <w:jc w:val="both"/>
              <w:rPr>
                <w:sz w:val="22"/>
                <w:szCs w:val="22"/>
                <w:lang w:val="sr-Latn-ME"/>
              </w:rPr>
            </w:pPr>
            <w:r w:rsidRPr="00BA3E97">
              <w:rPr>
                <w:sz w:val="22"/>
                <w:szCs w:val="22"/>
                <w:lang w:val="sr-Latn-ME"/>
              </w:rPr>
              <w:t>Vildagliptin 50 mg dva puta dnevno + metformin + glimepirid (N=152)</w:t>
            </w:r>
          </w:p>
        </w:tc>
        <w:tc>
          <w:tcPr>
            <w:tcW w:w="1559" w:type="dxa"/>
          </w:tcPr>
          <w:p w14:paraId="347B9A76" w14:textId="77777777" w:rsidR="00003313" w:rsidRPr="00BA3E97" w:rsidRDefault="00003313" w:rsidP="00A83DDF">
            <w:pPr>
              <w:jc w:val="both"/>
              <w:rPr>
                <w:sz w:val="22"/>
                <w:szCs w:val="22"/>
                <w:lang w:val="sr-Latn-ME"/>
              </w:rPr>
            </w:pPr>
            <w:r w:rsidRPr="00BA3E97">
              <w:rPr>
                <w:sz w:val="22"/>
                <w:szCs w:val="22"/>
                <w:lang w:val="sr-Latn-ME"/>
              </w:rPr>
              <w:t>8,8</w:t>
            </w:r>
          </w:p>
        </w:tc>
        <w:tc>
          <w:tcPr>
            <w:tcW w:w="1843" w:type="dxa"/>
          </w:tcPr>
          <w:p w14:paraId="04E1722B" w14:textId="77777777" w:rsidR="00003313" w:rsidRPr="00BA3E97" w:rsidRDefault="00003313" w:rsidP="00A83DDF">
            <w:pPr>
              <w:jc w:val="both"/>
              <w:rPr>
                <w:sz w:val="22"/>
                <w:szCs w:val="22"/>
                <w:lang w:val="sr-Latn-ME"/>
              </w:rPr>
            </w:pPr>
            <w:r w:rsidRPr="00BA3E97">
              <w:rPr>
                <w:sz w:val="22"/>
                <w:szCs w:val="22"/>
                <w:lang w:val="sr-Latn-ME"/>
              </w:rPr>
              <w:t>-1,0</w:t>
            </w:r>
          </w:p>
        </w:tc>
        <w:tc>
          <w:tcPr>
            <w:tcW w:w="2234" w:type="dxa"/>
          </w:tcPr>
          <w:p w14:paraId="57E5922B" w14:textId="77777777" w:rsidR="00003313" w:rsidRPr="00BA3E97" w:rsidRDefault="00003313" w:rsidP="00A83DDF">
            <w:pPr>
              <w:jc w:val="both"/>
              <w:rPr>
                <w:sz w:val="22"/>
                <w:szCs w:val="22"/>
                <w:lang w:val="sr-Latn-ME"/>
              </w:rPr>
            </w:pPr>
            <w:r w:rsidRPr="00BA3E97">
              <w:rPr>
                <w:sz w:val="22"/>
                <w:szCs w:val="22"/>
                <w:lang w:val="sr-Latn-ME"/>
              </w:rPr>
              <w:t>-0,8*(-1,0, -0,5)</w:t>
            </w:r>
          </w:p>
        </w:tc>
      </w:tr>
      <w:tr w:rsidR="00003313" w:rsidRPr="00BA3E97" w14:paraId="06568251" w14:textId="77777777" w:rsidTr="00CE731C">
        <w:tc>
          <w:tcPr>
            <w:tcW w:w="4219" w:type="dxa"/>
          </w:tcPr>
          <w:p w14:paraId="3DA55205" w14:textId="77777777" w:rsidR="00003313" w:rsidRPr="00BA3E97" w:rsidRDefault="00003313" w:rsidP="00A83DDF">
            <w:pPr>
              <w:jc w:val="both"/>
              <w:rPr>
                <w:sz w:val="22"/>
                <w:szCs w:val="22"/>
                <w:lang w:val="sr-Latn-ME"/>
              </w:rPr>
            </w:pPr>
          </w:p>
        </w:tc>
        <w:tc>
          <w:tcPr>
            <w:tcW w:w="1559" w:type="dxa"/>
          </w:tcPr>
          <w:p w14:paraId="0A486768" w14:textId="77777777" w:rsidR="00003313" w:rsidRPr="00BA3E97" w:rsidRDefault="00003313" w:rsidP="00A83DDF">
            <w:pPr>
              <w:jc w:val="both"/>
              <w:rPr>
                <w:sz w:val="22"/>
                <w:szCs w:val="22"/>
                <w:lang w:val="sr-Latn-ME"/>
              </w:rPr>
            </w:pPr>
          </w:p>
        </w:tc>
        <w:tc>
          <w:tcPr>
            <w:tcW w:w="4077" w:type="dxa"/>
            <w:gridSpan w:val="2"/>
          </w:tcPr>
          <w:p w14:paraId="16B3AF3D" w14:textId="77777777" w:rsidR="00003313" w:rsidRPr="00BA3E97" w:rsidRDefault="00003313" w:rsidP="00A83DDF">
            <w:pPr>
              <w:jc w:val="both"/>
              <w:rPr>
                <w:sz w:val="22"/>
                <w:szCs w:val="22"/>
                <w:lang w:val="sr-Latn-ME"/>
              </w:rPr>
            </w:pPr>
            <w:r w:rsidRPr="00BA3E97">
              <w:rPr>
                <w:sz w:val="22"/>
                <w:szCs w:val="22"/>
                <w:lang w:val="sr-Latn-ME"/>
              </w:rPr>
              <w:t>*p&lt;0,05 za poređenje nasuprot placebo + komparator</w:t>
            </w:r>
          </w:p>
        </w:tc>
      </w:tr>
    </w:tbl>
    <w:p w14:paraId="3FD21805" w14:textId="77777777" w:rsidR="00003313" w:rsidRPr="00BA3E97" w:rsidRDefault="00003313" w:rsidP="00A83DDF">
      <w:pPr>
        <w:jc w:val="both"/>
        <w:rPr>
          <w:sz w:val="22"/>
          <w:szCs w:val="22"/>
          <w:lang w:val="sr-Latn-ME"/>
        </w:rPr>
      </w:pPr>
    </w:p>
    <w:p w14:paraId="79F0534D" w14:textId="77777777" w:rsidR="00003313" w:rsidRPr="00BA3E97" w:rsidRDefault="00003313" w:rsidP="00A83DDF">
      <w:pPr>
        <w:jc w:val="both"/>
        <w:rPr>
          <w:sz w:val="22"/>
          <w:szCs w:val="22"/>
          <w:u w:val="single"/>
          <w:lang w:val="sr-Latn-ME"/>
        </w:rPr>
      </w:pPr>
      <w:r w:rsidRPr="00BA3E97">
        <w:rPr>
          <w:sz w:val="22"/>
          <w:szCs w:val="22"/>
          <w:u w:val="single"/>
          <w:lang w:val="sr-Latn-ME"/>
        </w:rPr>
        <w:t>Pedijatrijska populacija</w:t>
      </w:r>
    </w:p>
    <w:p w14:paraId="0FA0A65E" w14:textId="396873C6" w:rsidR="00CF61CF" w:rsidRPr="00BA3E97" w:rsidRDefault="00003313" w:rsidP="00A83DDF">
      <w:pPr>
        <w:jc w:val="both"/>
        <w:rPr>
          <w:sz w:val="22"/>
          <w:szCs w:val="22"/>
          <w:lang w:val="sr-Latn-ME"/>
        </w:rPr>
      </w:pPr>
      <w:r w:rsidRPr="00BA3E97">
        <w:rPr>
          <w:sz w:val="22"/>
          <w:szCs w:val="22"/>
          <w:lang w:val="sr-Latn-ME"/>
        </w:rPr>
        <w:t>Evropska agencija za lekove izuzela je obavezu podnošenja rezultata studija sa vildagliptinom u svim podgrupama pedijatrijske populacije za dijabetes tip 2 (</w:t>
      </w:r>
      <w:r w:rsidR="0000113F" w:rsidRPr="00BA3E97">
        <w:rPr>
          <w:sz w:val="22"/>
          <w:szCs w:val="22"/>
          <w:lang w:val="sr-Latn-ME"/>
        </w:rPr>
        <w:t>pogledati dio</w:t>
      </w:r>
      <w:r w:rsidRPr="00BA3E97">
        <w:rPr>
          <w:sz w:val="22"/>
          <w:szCs w:val="22"/>
          <w:lang w:val="sr-Latn-ME"/>
        </w:rPr>
        <w:t xml:space="preserve"> 4.2 za informacije o primjeni u pedijatriji).</w:t>
      </w:r>
    </w:p>
    <w:p w14:paraId="178B0C14" w14:textId="77777777" w:rsidR="002E37A5" w:rsidRPr="00BA3E97" w:rsidRDefault="002E37A5" w:rsidP="00A83DDF">
      <w:pPr>
        <w:tabs>
          <w:tab w:val="left" w:pos="540"/>
          <w:tab w:val="left" w:pos="569"/>
        </w:tabs>
        <w:jc w:val="both"/>
        <w:rPr>
          <w:b/>
          <w:bCs/>
          <w:sz w:val="22"/>
          <w:szCs w:val="22"/>
          <w:lang w:val="sr-Latn-ME"/>
        </w:rPr>
      </w:pPr>
    </w:p>
    <w:p w14:paraId="178B0C15"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5.2. </w:t>
      </w:r>
      <w:r w:rsidR="00480FB1" w:rsidRPr="00BA3E97">
        <w:rPr>
          <w:b/>
          <w:bCs/>
          <w:sz w:val="22"/>
          <w:szCs w:val="22"/>
          <w:lang w:val="sr-Latn-ME"/>
        </w:rPr>
        <w:tab/>
      </w:r>
      <w:r w:rsidRPr="00BA3E97">
        <w:rPr>
          <w:b/>
          <w:bCs/>
          <w:sz w:val="22"/>
          <w:szCs w:val="22"/>
          <w:lang w:val="sr-Latn-ME"/>
        </w:rPr>
        <w:t>Farmakokinetički podaci</w:t>
      </w:r>
      <w:r w:rsidR="003A7059" w:rsidRPr="00BA3E97">
        <w:rPr>
          <w:b/>
          <w:bCs/>
          <w:sz w:val="22"/>
          <w:szCs w:val="22"/>
          <w:lang w:val="sr-Latn-ME"/>
        </w:rPr>
        <w:t xml:space="preserve"> </w:t>
      </w:r>
    </w:p>
    <w:p w14:paraId="58C9D8EA" w14:textId="77777777" w:rsidR="003E5CD2" w:rsidRPr="00BA3E97" w:rsidRDefault="003E5CD2" w:rsidP="00A83DDF">
      <w:pPr>
        <w:tabs>
          <w:tab w:val="left" w:pos="540"/>
          <w:tab w:val="left" w:pos="569"/>
        </w:tabs>
        <w:jc w:val="both"/>
        <w:rPr>
          <w:b/>
          <w:bCs/>
          <w:sz w:val="22"/>
          <w:szCs w:val="22"/>
          <w:lang w:val="sr-Latn-ME"/>
        </w:rPr>
      </w:pPr>
    </w:p>
    <w:p w14:paraId="5ACEFB55" w14:textId="77777777" w:rsidR="003E5CD2" w:rsidRPr="00BA3E97" w:rsidRDefault="003E5CD2" w:rsidP="00A83DDF">
      <w:pPr>
        <w:jc w:val="both"/>
        <w:rPr>
          <w:sz w:val="22"/>
          <w:szCs w:val="22"/>
          <w:u w:val="single"/>
          <w:lang w:val="sr-Latn-ME"/>
        </w:rPr>
      </w:pPr>
      <w:r w:rsidRPr="00BA3E97">
        <w:rPr>
          <w:sz w:val="22"/>
          <w:szCs w:val="22"/>
          <w:u w:val="single"/>
          <w:lang w:val="sr-Latn-ME"/>
        </w:rPr>
        <w:t>Resorpcija</w:t>
      </w:r>
    </w:p>
    <w:p w14:paraId="518CCB1D" w14:textId="22540E04" w:rsidR="003E5CD2" w:rsidRPr="00BA3E97" w:rsidRDefault="003E5CD2" w:rsidP="00A83DDF">
      <w:pPr>
        <w:jc w:val="both"/>
        <w:rPr>
          <w:sz w:val="22"/>
          <w:szCs w:val="22"/>
          <w:lang w:val="sr-Latn-ME"/>
        </w:rPr>
      </w:pPr>
      <w:r w:rsidRPr="00BA3E97">
        <w:rPr>
          <w:sz w:val="22"/>
          <w:szCs w:val="22"/>
          <w:lang w:val="sr-Latn-ME"/>
        </w:rPr>
        <w:t>Nakon oralnog davanja na</w:t>
      </w:r>
      <w:r w:rsidR="005C53F0" w:rsidRPr="00BA3E97">
        <w:rPr>
          <w:sz w:val="22"/>
          <w:szCs w:val="22"/>
          <w:lang w:val="sr-Latn-ME"/>
        </w:rPr>
        <w:t>ta</w:t>
      </w:r>
      <w:r w:rsidRPr="00BA3E97">
        <w:rPr>
          <w:sz w:val="22"/>
          <w:szCs w:val="22"/>
          <w:lang w:val="sr-Latn-ME"/>
        </w:rPr>
        <w:t>šte, vildagliptin se brzo resorbuje, sa maksimalnom koncentracijom u plazmi postignutom za 1,7 h. Hrana blago odlaže vrijeme do postizanja maksimalne koncentracije u plazmi na 2,5 h, ali nema uticaja na ukupnu izloženost (AUC). Uzimanje vildagliptina sa hranom dovelo je do smanjenja C</w:t>
      </w:r>
      <w:r w:rsidRPr="00BA3E97">
        <w:rPr>
          <w:sz w:val="22"/>
          <w:szCs w:val="22"/>
          <w:vertAlign w:val="subscript"/>
          <w:lang w:val="sr-Latn-ME"/>
        </w:rPr>
        <w:t>max</w:t>
      </w:r>
      <w:r w:rsidRPr="00BA3E97">
        <w:rPr>
          <w:sz w:val="22"/>
          <w:szCs w:val="22"/>
          <w:lang w:val="sr-Latn-ME"/>
        </w:rPr>
        <w:t xml:space="preserve"> (19%). Ipak, amplituda promjene nije klinički značajna, tako da se vildagliptin može uzimati sa hranom ili bez nje. Apsolutna bioraspoloživost je 85%.</w:t>
      </w:r>
    </w:p>
    <w:p w14:paraId="2158EC35" w14:textId="77777777" w:rsidR="003E5CD2" w:rsidRPr="00BA3E97" w:rsidRDefault="003E5CD2" w:rsidP="00A83DDF">
      <w:pPr>
        <w:jc w:val="both"/>
        <w:rPr>
          <w:sz w:val="22"/>
          <w:szCs w:val="22"/>
          <w:lang w:val="sr-Latn-ME"/>
        </w:rPr>
      </w:pPr>
    </w:p>
    <w:p w14:paraId="6B6A6A78" w14:textId="77777777" w:rsidR="003E5CD2" w:rsidRPr="00BA3E97" w:rsidRDefault="003E5CD2" w:rsidP="00A83DDF">
      <w:pPr>
        <w:jc w:val="both"/>
        <w:rPr>
          <w:sz w:val="22"/>
          <w:szCs w:val="22"/>
          <w:u w:val="single"/>
          <w:lang w:val="sr-Latn-ME"/>
        </w:rPr>
      </w:pPr>
      <w:r w:rsidRPr="00BA3E97">
        <w:rPr>
          <w:sz w:val="22"/>
          <w:szCs w:val="22"/>
          <w:u w:val="single"/>
          <w:lang w:val="sr-Latn-ME"/>
        </w:rPr>
        <w:t>Distribucija</w:t>
      </w:r>
    </w:p>
    <w:p w14:paraId="6C8366CA" w14:textId="77777777" w:rsidR="003E5CD2" w:rsidRPr="00BA3E97" w:rsidRDefault="003E5CD2" w:rsidP="00A83DDF">
      <w:pPr>
        <w:jc w:val="both"/>
        <w:rPr>
          <w:sz w:val="22"/>
          <w:szCs w:val="22"/>
          <w:lang w:val="sr-Latn-ME"/>
        </w:rPr>
      </w:pPr>
      <w:r w:rsidRPr="00BA3E97">
        <w:rPr>
          <w:sz w:val="22"/>
          <w:szCs w:val="22"/>
          <w:lang w:val="sr-Latn-ME"/>
        </w:rPr>
        <w:t>Vezivanje vildagliptina za proteine plazme je malo (9,3%), a vildagliptin se podjednako distribuira između  plazme i eritrocita. Srednja vrijednost volumena distribucije vildagliptina u ravnotežnom stanju nakon intravenske primjene (Vss) je 71 litar, što sugeriše ekstravaskularnu raspodjelu.</w:t>
      </w:r>
    </w:p>
    <w:p w14:paraId="080B547D" w14:textId="77777777" w:rsidR="003E5CD2" w:rsidRPr="00BA3E97" w:rsidRDefault="003E5CD2" w:rsidP="00A83DDF">
      <w:pPr>
        <w:jc w:val="both"/>
        <w:rPr>
          <w:sz w:val="22"/>
          <w:szCs w:val="22"/>
          <w:lang w:val="sr-Latn-ME"/>
        </w:rPr>
      </w:pPr>
    </w:p>
    <w:p w14:paraId="35B4F1B0" w14:textId="77777777" w:rsidR="003E5CD2" w:rsidRPr="00BA3E97" w:rsidRDefault="003E5CD2" w:rsidP="00A83DDF">
      <w:pPr>
        <w:jc w:val="both"/>
        <w:rPr>
          <w:sz w:val="22"/>
          <w:szCs w:val="22"/>
          <w:u w:val="single"/>
          <w:lang w:val="sr-Latn-ME"/>
        </w:rPr>
      </w:pPr>
      <w:r w:rsidRPr="00BA3E97">
        <w:rPr>
          <w:sz w:val="22"/>
          <w:szCs w:val="22"/>
          <w:u w:val="single"/>
          <w:lang w:val="sr-Latn-ME"/>
        </w:rPr>
        <w:t>Biotransformacija</w:t>
      </w:r>
    </w:p>
    <w:p w14:paraId="79A8C234" w14:textId="12DCC1BD" w:rsidR="003E5CD2" w:rsidRPr="00BA3E97" w:rsidRDefault="003E5CD2" w:rsidP="00A83DDF">
      <w:pPr>
        <w:jc w:val="both"/>
        <w:rPr>
          <w:sz w:val="22"/>
          <w:szCs w:val="22"/>
          <w:lang w:val="sr-Latn-ME"/>
        </w:rPr>
      </w:pPr>
      <w:r w:rsidRPr="00BA3E97">
        <w:rPr>
          <w:sz w:val="22"/>
          <w:szCs w:val="22"/>
          <w:lang w:val="sr-Latn-ME"/>
        </w:rPr>
        <w:t xml:space="preserve">Metabolizam je glavni put eliminacije vildagliptina kod ljudi, na koji odlazi 69% doze. Glavni metabolit (LAY151) je farmakološki neaktivan i produkt je hidrolize cijano </w:t>
      </w:r>
      <w:r w:rsidR="00620CD5" w:rsidRPr="00BA3E97">
        <w:rPr>
          <w:sz w:val="22"/>
          <w:szCs w:val="22"/>
          <w:lang w:val="sr-Latn-ME"/>
        </w:rPr>
        <w:t xml:space="preserve">dijela molecule </w:t>
      </w:r>
      <w:r w:rsidRPr="00BA3E97">
        <w:rPr>
          <w:sz w:val="22"/>
          <w:szCs w:val="22"/>
          <w:lang w:val="sr-Latn-ME"/>
        </w:rPr>
        <w:t xml:space="preserve">na koji odlazi 57% doze, koji je praćen glukuronidom (BQS867) i proizvodom amidne hidrolize (4% doze). </w:t>
      </w:r>
      <w:r w:rsidRPr="00BA3E97">
        <w:rPr>
          <w:i/>
          <w:sz w:val="22"/>
          <w:szCs w:val="22"/>
          <w:lang w:val="sr-Latn-ME"/>
        </w:rPr>
        <w:t xml:space="preserve">In vitro </w:t>
      </w:r>
      <w:r w:rsidRPr="00BA3E97">
        <w:rPr>
          <w:sz w:val="22"/>
          <w:szCs w:val="22"/>
          <w:lang w:val="sr-Latn-ME"/>
        </w:rPr>
        <w:t xml:space="preserve">podaci na mikrozomima humanog bubrega ukazuju na to da bubreg može biti jedan od glavnih organa koji doprinosi hidrolizi vildagliptina do njegovog glavnog inaktivnog metabolita, LAY151. DPP-4 djelimično doprinosi hidrolizi vildagliptina, na osnovu </w:t>
      </w:r>
      <w:r w:rsidRPr="00BA3E97">
        <w:rPr>
          <w:i/>
          <w:sz w:val="22"/>
          <w:szCs w:val="22"/>
          <w:lang w:val="sr-Latn-ME"/>
        </w:rPr>
        <w:t>in vivo</w:t>
      </w:r>
      <w:r w:rsidRPr="00BA3E97">
        <w:rPr>
          <w:sz w:val="22"/>
          <w:szCs w:val="22"/>
          <w:lang w:val="sr-Latn-ME"/>
        </w:rPr>
        <w:t xml:space="preserve"> studije na DPP-4 deficijentnim pacovima. Vildagliptin se ne metaboliše enzimima CYP450 u mjerljivom opsegu. Prema tome, ne očekuje se da će na metabolički klirens vildagliptina imati uticaj istovremeno primjenjeni ljekovi koji su inhibitori i/ili induktori CYP450. </w:t>
      </w:r>
      <w:r w:rsidRPr="00BA3E97">
        <w:rPr>
          <w:i/>
          <w:sz w:val="22"/>
          <w:szCs w:val="22"/>
          <w:lang w:val="sr-Latn-ME"/>
        </w:rPr>
        <w:t>In vitro</w:t>
      </w:r>
      <w:r w:rsidRPr="00BA3E97">
        <w:rPr>
          <w:sz w:val="22"/>
          <w:szCs w:val="22"/>
          <w:lang w:val="sr-Latn-ME"/>
        </w:rPr>
        <w:t xml:space="preserve"> studije su pokazale da vildagliptin ne inhibira/indukuje enzime citohroma CYP450. Zbog toga, nije vjerovatno da će vildagliptin uticati na metabolički klirens istovremeno primjenjivanih ljekova koji se metabolišu preko CYP 1A2, CYP 2C8, CYP 2C9, CYP 2C19, CYP 2D6, CYP 2E1 ili CYP 3A4/5.</w:t>
      </w:r>
    </w:p>
    <w:p w14:paraId="5A2F39DA" w14:textId="77777777" w:rsidR="003E5CD2" w:rsidRPr="00BA3E97" w:rsidRDefault="003E5CD2" w:rsidP="00A83DDF">
      <w:pPr>
        <w:jc w:val="both"/>
        <w:rPr>
          <w:sz w:val="22"/>
          <w:szCs w:val="22"/>
          <w:u w:val="single"/>
          <w:lang w:val="sr-Latn-ME"/>
        </w:rPr>
      </w:pPr>
    </w:p>
    <w:p w14:paraId="60CB4EDD" w14:textId="77777777" w:rsidR="003E5CD2" w:rsidRPr="00BA3E97" w:rsidRDefault="003E5CD2" w:rsidP="00A83DDF">
      <w:pPr>
        <w:jc w:val="both"/>
        <w:rPr>
          <w:sz w:val="22"/>
          <w:szCs w:val="22"/>
          <w:u w:val="single"/>
          <w:lang w:val="sr-Latn-ME"/>
        </w:rPr>
      </w:pPr>
      <w:r w:rsidRPr="00BA3E97">
        <w:rPr>
          <w:sz w:val="22"/>
          <w:szCs w:val="22"/>
          <w:u w:val="single"/>
          <w:lang w:val="sr-Latn-ME"/>
        </w:rPr>
        <w:t>Eliminacija</w:t>
      </w:r>
    </w:p>
    <w:p w14:paraId="196BC08C" w14:textId="79EB93F0" w:rsidR="003E5CD2" w:rsidRPr="00BA3E97" w:rsidRDefault="003E5CD2" w:rsidP="00A83DDF">
      <w:pPr>
        <w:jc w:val="both"/>
        <w:rPr>
          <w:sz w:val="22"/>
          <w:szCs w:val="22"/>
          <w:lang w:val="sr-Latn-ME"/>
        </w:rPr>
      </w:pPr>
      <w:r w:rsidRPr="00BA3E97">
        <w:rPr>
          <w:sz w:val="22"/>
          <w:szCs w:val="22"/>
          <w:lang w:val="sr-Latn-ME"/>
        </w:rPr>
        <w:t>Nakon oralnog davanja [</w:t>
      </w:r>
      <w:r w:rsidRPr="00BA3E97">
        <w:rPr>
          <w:sz w:val="22"/>
          <w:szCs w:val="22"/>
          <w:vertAlign w:val="superscript"/>
          <w:lang w:val="sr-Latn-ME"/>
        </w:rPr>
        <w:t>14</w:t>
      </w:r>
      <w:r w:rsidRPr="00BA3E97">
        <w:rPr>
          <w:sz w:val="22"/>
          <w:szCs w:val="22"/>
          <w:lang w:val="sr-Latn-ME"/>
        </w:rPr>
        <w:t>C] vildagliptina, približno 85% doze se izlučuje urinom, a 15% doze je otkriveno u</w:t>
      </w:r>
      <w:r w:rsidR="002C15CC" w:rsidRPr="00BA3E97">
        <w:rPr>
          <w:sz w:val="22"/>
          <w:szCs w:val="22"/>
          <w:lang w:val="sr-Latn-ME"/>
        </w:rPr>
        <w:t xml:space="preserve"> </w:t>
      </w:r>
      <w:r w:rsidRPr="00BA3E97">
        <w:rPr>
          <w:sz w:val="22"/>
          <w:szCs w:val="22"/>
          <w:lang w:val="sr-Latn-ME"/>
        </w:rPr>
        <w:t>fecesu. Nakon oralne primjene 23% doze vildagliptina se izlučuje u nepromijenjenom obliku preko bubrega. Nakon intravenske primjene kod zdravih osoba, ukupni plazma klirens vildagliptina iz plazme je 41 L/h, a bubrežni klirens vildagliptina je 13 L/h. Prosječno poluvrijeme eliminacije poslije intravenskog davanja je približno 2h. Poluvrijeme eliminacije nakon oralnog uzimanja je približno 3h.</w:t>
      </w:r>
    </w:p>
    <w:p w14:paraId="55C67E38" w14:textId="77777777" w:rsidR="003E5CD2" w:rsidRPr="00BA3E97" w:rsidRDefault="003E5CD2" w:rsidP="00A83DDF">
      <w:pPr>
        <w:jc w:val="both"/>
        <w:rPr>
          <w:sz w:val="22"/>
          <w:szCs w:val="22"/>
          <w:lang w:val="sr-Latn-ME"/>
        </w:rPr>
      </w:pPr>
    </w:p>
    <w:p w14:paraId="3AE50F7F" w14:textId="77777777" w:rsidR="003E5CD2" w:rsidRPr="00BA3E97" w:rsidRDefault="003E5CD2" w:rsidP="00A83DDF">
      <w:pPr>
        <w:jc w:val="both"/>
        <w:rPr>
          <w:sz w:val="22"/>
          <w:szCs w:val="22"/>
          <w:u w:val="single"/>
          <w:lang w:val="sr-Latn-ME"/>
        </w:rPr>
      </w:pPr>
      <w:r w:rsidRPr="00BA3E97">
        <w:rPr>
          <w:sz w:val="22"/>
          <w:szCs w:val="22"/>
          <w:u w:val="single"/>
          <w:lang w:val="sr-Latn-ME"/>
        </w:rPr>
        <w:t>Linearnost/ne-linearnost</w:t>
      </w:r>
    </w:p>
    <w:p w14:paraId="00905D39" w14:textId="77777777" w:rsidR="003E5CD2" w:rsidRPr="00BA3E97" w:rsidRDefault="003E5CD2" w:rsidP="00A83DDF">
      <w:pPr>
        <w:jc w:val="both"/>
        <w:rPr>
          <w:sz w:val="22"/>
          <w:szCs w:val="22"/>
          <w:lang w:val="sr-Latn-ME"/>
        </w:rPr>
      </w:pPr>
      <w:r w:rsidRPr="00BA3E97">
        <w:rPr>
          <w:sz w:val="22"/>
          <w:szCs w:val="22"/>
          <w:lang w:val="sr-Latn-ME"/>
        </w:rPr>
        <w:t>C</w:t>
      </w:r>
      <w:r w:rsidRPr="00BA3E97">
        <w:rPr>
          <w:sz w:val="22"/>
          <w:szCs w:val="22"/>
          <w:vertAlign w:val="subscript"/>
          <w:lang w:val="sr-Latn-ME"/>
        </w:rPr>
        <w:t>max</w:t>
      </w:r>
      <w:r w:rsidRPr="00BA3E97">
        <w:rPr>
          <w:sz w:val="22"/>
          <w:szCs w:val="22"/>
          <w:lang w:val="sr-Latn-ME"/>
        </w:rPr>
        <w:t xml:space="preserve"> vildagliptina i AUC vildagliptina rastu na približno dozno proporcionalni način u okviru terapijskog opsega doza.</w:t>
      </w:r>
    </w:p>
    <w:p w14:paraId="3D54FE44" w14:textId="77777777" w:rsidR="003E5CD2" w:rsidRPr="00BA3E97" w:rsidRDefault="003E5CD2" w:rsidP="00A83DDF">
      <w:pPr>
        <w:jc w:val="both"/>
        <w:rPr>
          <w:sz w:val="22"/>
          <w:szCs w:val="22"/>
          <w:lang w:val="sr-Latn-ME"/>
        </w:rPr>
      </w:pPr>
    </w:p>
    <w:p w14:paraId="00AB5724" w14:textId="77777777" w:rsidR="003E5CD2" w:rsidRPr="00BA3E97" w:rsidRDefault="003E5CD2" w:rsidP="00A83DDF">
      <w:pPr>
        <w:jc w:val="both"/>
        <w:rPr>
          <w:sz w:val="22"/>
          <w:szCs w:val="22"/>
          <w:u w:val="single"/>
          <w:lang w:val="sr-Latn-ME"/>
        </w:rPr>
      </w:pPr>
      <w:r w:rsidRPr="00BA3E97">
        <w:rPr>
          <w:sz w:val="22"/>
          <w:szCs w:val="22"/>
          <w:u w:val="single"/>
          <w:lang w:val="sr-Latn-ME"/>
        </w:rPr>
        <w:t>Karakteristike kod posebnih grupa pacijenata</w:t>
      </w:r>
    </w:p>
    <w:p w14:paraId="483AB640" w14:textId="77777777" w:rsidR="003E5CD2" w:rsidRPr="00BA3E97" w:rsidRDefault="003E5CD2" w:rsidP="00A83DDF">
      <w:pPr>
        <w:jc w:val="both"/>
        <w:rPr>
          <w:sz w:val="22"/>
          <w:szCs w:val="22"/>
          <w:lang w:val="sr-Latn-ME"/>
        </w:rPr>
      </w:pPr>
    </w:p>
    <w:p w14:paraId="0F6E9B9B" w14:textId="77777777" w:rsidR="003E5CD2" w:rsidRPr="00BA3E97" w:rsidRDefault="003E5CD2" w:rsidP="00A83DDF">
      <w:pPr>
        <w:jc w:val="both"/>
        <w:rPr>
          <w:i/>
          <w:sz w:val="22"/>
          <w:szCs w:val="22"/>
          <w:lang w:val="sr-Latn-ME"/>
        </w:rPr>
      </w:pPr>
      <w:r w:rsidRPr="00BA3E97">
        <w:rPr>
          <w:i/>
          <w:sz w:val="22"/>
          <w:szCs w:val="22"/>
          <w:lang w:val="sr-Latn-ME"/>
        </w:rPr>
        <w:t>Pol</w:t>
      </w:r>
    </w:p>
    <w:p w14:paraId="21544CE5" w14:textId="77777777" w:rsidR="003E5CD2" w:rsidRPr="00BA3E97" w:rsidRDefault="003E5CD2" w:rsidP="00A83DDF">
      <w:pPr>
        <w:jc w:val="both"/>
        <w:rPr>
          <w:sz w:val="22"/>
          <w:szCs w:val="22"/>
          <w:lang w:val="sr-Latn-ME"/>
        </w:rPr>
      </w:pPr>
      <w:r w:rsidRPr="00BA3E97">
        <w:rPr>
          <w:sz w:val="22"/>
          <w:szCs w:val="22"/>
          <w:lang w:val="sr-Latn-ME"/>
        </w:rPr>
        <w:t>Nisu zapažene klinički značajne razlike u farmakokinetici vildagliptina između zdravih žena i muškaraca u širokom rasponu godina starosti i indeksa telesne mase (BMI). Pol nema uticaja na inhibiciju DPP-4 od strane vildagliptina.</w:t>
      </w:r>
    </w:p>
    <w:p w14:paraId="3A16C0E3" w14:textId="77777777" w:rsidR="003E5CD2" w:rsidRPr="00BA3E97" w:rsidRDefault="003E5CD2" w:rsidP="00A83DDF">
      <w:pPr>
        <w:jc w:val="both"/>
        <w:rPr>
          <w:sz w:val="22"/>
          <w:szCs w:val="22"/>
          <w:lang w:val="sr-Latn-ME"/>
        </w:rPr>
      </w:pPr>
    </w:p>
    <w:p w14:paraId="15F29A30" w14:textId="77777777" w:rsidR="003E5CD2" w:rsidRPr="00BA3E97" w:rsidRDefault="003E5CD2" w:rsidP="00A83DDF">
      <w:pPr>
        <w:jc w:val="both"/>
        <w:rPr>
          <w:i/>
          <w:sz w:val="22"/>
          <w:szCs w:val="22"/>
          <w:lang w:val="sr-Latn-ME"/>
        </w:rPr>
      </w:pPr>
      <w:r w:rsidRPr="00BA3E97">
        <w:rPr>
          <w:i/>
          <w:sz w:val="22"/>
          <w:szCs w:val="22"/>
          <w:lang w:val="sr-Latn-ME"/>
        </w:rPr>
        <w:lastRenderedPageBreak/>
        <w:t>Starije osobe</w:t>
      </w:r>
    </w:p>
    <w:p w14:paraId="2143AE22" w14:textId="04151261" w:rsidR="003E5CD2" w:rsidRPr="00BA3E97" w:rsidRDefault="003E5CD2" w:rsidP="00A83DDF">
      <w:pPr>
        <w:jc w:val="both"/>
        <w:rPr>
          <w:sz w:val="22"/>
          <w:szCs w:val="22"/>
          <w:lang w:val="sr-Latn-ME"/>
        </w:rPr>
      </w:pPr>
      <w:r w:rsidRPr="00BA3E97">
        <w:rPr>
          <w:sz w:val="22"/>
          <w:szCs w:val="22"/>
          <w:lang w:val="sr-Latn-ME"/>
        </w:rPr>
        <w:t xml:space="preserve">Kod zdravih starijih ispitanika (≥ 70 godina), ukupna izloženost vildagliptinu (100 mg jednom dnevno) je bila povećana za 32%, sa porastom od 18% u maksimalnoj koncentraciji u plazmi u poređenju sa </w:t>
      </w:r>
      <w:r w:rsidR="00802240" w:rsidRPr="00BA3E97">
        <w:rPr>
          <w:sz w:val="22"/>
          <w:szCs w:val="22"/>
          <w:lang w:val="sr-Latn-ME"/>
        </w:rPr>
        <w:t>ml</w:t>
      </w:r>
      <w:r w:rsidRPr="00BA3E97">
        <w:rPr>
          <w:sz w:val="22"/>
          <w:szCs w:val="22"/>
          <w:lang w:val="sr-Latn-ME"/>
        </w:rPr>
        <w:t>ađim zdravim ispitanicima (18-40 godina). Ipak, ove promjene se ne smatraju klinički značajnim. Godine starosti</w:t>
      </w:r>
      <w:r w:rsidR="005D61AB" w:rsidRPr="00BA3E97">
        <w:rPr>
          <w:sz w:val="22"/>
          <w:szCs w:val="22"/>
          <w:lang w:val="sr-Latn-ME"/>
        </w:rPr>
        <w:t xml:space="preserve"> </w:t>
      </w:r>
      <w:r w:rsidRPr="00BA3E97">
        <w:rPr>
          <w:sz w:val="22"/>
          <w:szCs w:val="22"/>
          <w:lang w:val="sr-Latn-ME"/>
        </w:rPr>
        <w:t>ne utiču na inhibiciju DPP-4 od strane vildagliptina.</w:t>
      </w:r>
    </w:p>
    <w:p w14:paraId="3C7C07F9" w14:textId="77777777" w:rsidR="003E5CD2" w:rsidRPr="00BA3E97" w:rsidRDefault="003E5CD2" w:rsidP="00A83DDF">
      <w:pPr>
        <w:jc w:val="both"/>
        <w:rPr>
          <w:sz w:val="22"/>
          <w:szCs w:val="22"/>
          <w:lang w:val="sr-Latn-ME"/>
        </w:rPr>
      </w:pPr>
    </w:p>
    <w:p w14:paraId="7D4AA914" w14:textId="77777777" w:rsidR="003E5CD2" w:rsidRPr="00BA3E97" w:rsidRDefault="003E5CD2" w:rsidP="00A83DDF">
      <w:pPr>
        <w:jc w:val="both"/>
        <w:rPr>
          <w:i/>
          <w:sz w:val="22"/>
          <w:szCs w:val="22"/>
          <w:lang w:val="sr-Latn-ME"/>
        </w:rPr>
      </w:pPr>
      <w:r w:rsidRPr="00BA3E97">
        <w:rPr>
          <w:i/>
          <w:sz w:val="22"/>
          <w:szCs w:val="22"/>
          <w:lang w:val="sr-Latn-ME"/>
        </w:rPr>
        <w:t>Oštećenje funkcije jetre</w:t>
      </w:r>
    </w:p>
    <w:p w14:paraId="34456B5D" w14:textId="77777777" w:rsidR="003E5CD2" w:rsidRPr="00BA3E97" w:rsidRDefault="003E5CD2" w:rsidP="00A83DDF">
      <w:pPr>
        <w:jc w:val="both"/>
        <w:rPr>
          <w:sz w:val="22"/>
          <w:szCs w:val="22"/>
          <w:lang w:val="sr-Latn-ME"/>
        </w:rPr>
      </w:pPr>
      <w:r w:rsidRPr="00BA3E97">
        <w:rPr>
          <w:sz w:val="22"/>
          <w:szCs w:val="22"/>
          <w:lang w:val="sr-Latn-ME"/>
        </w:rPr>
        <w:t xml:space="preserve">Dejstvo oštećene funkcije jetre na farmakokinetiku vildagliptina ispitivano je kod pacijenata sa blagim, umjerenim i teškim poremećajem funkcije jetre na osnovu </w:t>
      </w:r>
      <w:r w:rsidRPr="00BA3E97">
        <w:rPr>
          <w:i/>
          <w:sz w:val="22"/>
          <w:szCs w:val="22"/>
          <w:lang w:val="sr-Latn-ME"/>
        </w:rPr>
        <w:t>Child-Pugh</w:t>
      </w:r>
      <w:r w:rsidRPr="00BA3E97">
        <w:rPr>
          <w:sz w:val="22"/>
          <w:szCs w:val="22"/>
          <w:lang w:val="sr-Latn-ME"/>
        </w:rPr>
        <w:t xml:space="preserve"> skora (u rasponu od 6 za blago do 12 za teško) u poređenju sa zdravim ispitanicima. Izloženost vildagliptinu poslije pojedinačne doze kod pacijenata sa blagim i umjerenim oštećenjem funkcije jetre bila je smanjena (20%, odnosno 8%), dok je izloženost vildagliptinu za pacijente sa teškim poremećajem bila povećana za 22%. Maksimalna promjena (povećanje ili smanjenje) izloženosti vildagliptinu je ~30%, što se ne smatra klinički značajnim. Nije bilo korelacije između težine poremećaja funkcije jetre i promena u izloženosti vildagliptinu.</w:t>
      </w:r>
    </w:p>
    <w:p w14:paraId="66349571" w14:textId="77777777" w:rsidR="003E5CD2" w:rsidRPr="00BA3E97" w:rsidRDefault="003E5CD2" w:rsidP="00A83DDF">
      <w:pPr>
        <w:jc w:val="both"/>
        <w:rPr>
          <w:sz w:val="22"/>
          <w:szCs w:val="22"/>
          <w:lang w:val="sr-Latn-ME"/>
        </w:rPr>
      </w:pPr>
    </w:p>
    <w:p w14:paraId="0A55F4E8" w14:textId="77777777" w:rsidR="003E5CD2" w:rsidRPr="00BA3E97" w:rsidRDefault="003E5CD2" w:rsidP="00A83DDF">
      <w:pPr>
        <w:jc w:val="both"/>
        <w:rPr>
          <w:i/>
          <w:sz w:val="22"/>
          <w:szCs w:val="22"/>
          <w:lang w:val="sr-Latn-ME"/>
        </w:rPr>
      </w:pPr>
      <w:r w:rsidRPr="00BA3E97">
        <w:rPr>
          <w:i/>
          <w:sz w:val="22"/>
          <w:szCs w:val="22"/>
          <w:lang w:val="sr-Latn-ME"/>
        </w:rPr>
        <w:t>Oštećenje funkcije bubrega</w:t>
      </w:r>
    </w:p>
    <w:p w14:paraId="1EA12E7E" w14:textId="70B9882B" w:rsidR="003E5CD2" w:rsidRPr="00BA3E97" w:rsidRDefault="003E5CD2" w:rsidP="00A83DDF">
      <w:pPr>
        <w:jc w:val="both"/>
        <w:rPr>
          <w:sz w:val="22"/>
          <w:szCs w:val="22"/>
          <w:lang w:val="sr-Latn-ME"/>
        </w:rPr>
      </w:pPr>
      <w:r w:rsidRPr="00BA3E97">
        <w:rPr>
          <w:sz w:val="22"/>
          <w:szCs w:val="22"/>
          <w:lang w:val="sr-Latn-ME"/>
        </w:rPr>
        <w:t xml:space="preserve">Višedozno, otvoreno ispitivanje bilo je sprovedeno kako bi se ocjenila farmakokinetika manje terapijske doze vildagliptina (50 mg jednom dnevno) kod pacijenata sa različitim stepenima hroničnog oštećenja funkcije bubrega definisanog klirensom kreatinina (blago: 50 do &lt;80 </w:t>
      </w:r>
      <w:r w:rsidR="00802240" w:rsidRPr="00BA3E97">
        <w:rPr>
          <w:sz w:val="22"/>
          <w:szCs w:val="22"/>
          <w:lang w:val="sr-Latn-ME"/>
        </w:rPr>
        <w:t>ml</w:t>
      </w:r>
      <w:r w:rsidRPr="00BA3E97">
        <w:rPr>
          <w:sz w:val="22"/>
          <w:szCs w:val="22"/>
          <w:lang w:val="sr-Latn-ME"/>
        </w:rPr>
        <w:t xml:space="preserve">/min, umjereno: 30 do &lt;50 </w:t>
      </w:r>
      <w:r w:rsidR="00802240" w:rsidRPr="00BA3E97">
        <w:rPr>
          <w:sz w:val="22"/>
          <w:szCs w:val="22"/>
          <w:lang w:val="sr-Latn-ME"/>
        </w:rPr>
        <w:t>ml</w:t>
      </w:r>
      <w:r w:rsidRPr="00BA3E97">
        <w:rPr>
          <w:sz w:val="22"/>
          <w:szCs w:val="22"/>
          <w:lang w:val="sr-Latn-ME"/>
        </w:rPr>
        <w:t xml:space="preserve">/min i teško: &lt;30 </w:t>
      </w:r>
      <w:r w:rsidR="00802240" w:rsidRPr="00BA3E97">
        <w:rPr>
          <w:sz w:val="22"/>
          <w:szCs w:val="22"/>
          <w:lang w:val="sr-Latn-ME"/>
        </w:rPr>
        <w:t>ml</w:t>
      </w:r>
      <w:r w:rsidRPr="00BA3E97">
        <w:rPr>
          <w:sz w:val="22"/>
          <w:szCs w:val="22"/>
          <w:lang w:val="sr-Latn-ME"/>
        </w:rPr>
        <w:t>/min) u poređenju sa normalnim zdravim ispitanicima u kontrolnoj grupi.</w:t>
      </w:r>
    </w:p>
    <w:p w14:paraId="288152D2" w14:textId="77777777" w:rsidR="003E5CD2" w:rsidRPr="00BA3E97" w:rsidRDefault="003E5CD2" w:rsidP="00A83DDF">
      <w:pPr>
        <w:jc w:val="both"/>
        <w:rPr>
          <w:sz w:val="22"/>
          <w:szCs w:val="22"/>
          <w:lang w:val="sr-Latn-ME"/>
        </w:rPr>
      </w:pPr>
      <w:r w:rsidRPr="00BA3E97">
        <w:rPr>
          <w:sz w:val="22"/>
          <w:szCs w:val="22"/>
          <w:lang w:val="sr-Latn-ME"/>
        </w:rPr>
        <w:t>AUC vildagliptina povećao se u proseku 1,4; 1,7 odnosno 2 puta kod pacijenata sa blagim, umjerenim odnosno teškim oštećenjem funkcije bubrega, u poređenju sa zdravim ispitanicima. AUC metabolita LAY151 i BQS867 povećao se u prosjeku oko 1,5; 3 odnosno 7 puta kod pacijenata sa blagim, umjerenim odnosno teškim oštećenjem funkcije bubrega. Ograničeni podaci dobijeni od pacijenata koji su u terminalnom stadijumu bubrežne bolesti upućuju da je izloženost vildagliptinu slična onoj kod pacijenata sa teškim oštećenjem funkcije bubrega. Koncentracije LAY151 bile su otprilike 2-3 puta više nego kod pacijenata sa teškim oštećenjem funkcije bubrega.</w:t>
      </w:r>
    </w:p>
    <w:p w14:paraId="7E6EA914" w14:textId="2DBF5930" w:rsidR="003E5CD2" w:rsidRPr="00BA3E97" w:rsidRDefault="003E5CD2" w:rsidP="00A83DDF">
      <w:pPr>
        <w:jc w:val="both"/>
        <w:rPr>
          <w:sz w:val="22"/>
          <w:szCs w:val="22"/>
          <w:lang w:val="sr-Latn-ME"/>
        </w:rPr>
      </w:pPr>
      <w:r w:rsidRPr="00BA3E97">
        <w:rPr>
          <w:sz w:val="22"/>
          <w:szCs w:val="22"/>
          <w:lang w:val="sr-Latn-ME"/>
        </w:rPr>
        <w:t>Vildagliptin je bio uklonjen hemodijalizom u ograničenoj meri (3% tokom hemodijalize u trajanju od 3-4</w:t>
      </w:r>
      <w:r w:rsidR="00341C55" w:rsidRPr="00BA3E97">
        <w:rPr>
          <w:sz w:val="22"/>
          <w:szCs w:val="22"/>
          <w:lang w:val="sr-Latn-ME"/>
        </w:rPr>
        <w:t xml:space="preserve"> </w:t>
      </w:r>
      <w:r w:rsidRPr="00BA3E97">
        <w:rPr>
          <w:sz w:val="22"/>
          <w:szCs w:val="22"/>
          <w:lang w:val="sr-Latn-ME"/>
        </w:rPr>
        <w:t>sata, a koja je počela 4 sata nakon doziranja).</w:t>
      </w:r>
    </w:p>
    <w:p w14:paraId="76595854" w14:textId="77777777" w:rsidR="003E5CD2" w:rsidRPr="00BA3E97" w:rsidRDefault="003E5CD2" w:rsidP="00A83DDF">
      <w:pPr>
        <w:jc w:val="both"/>
        <w:rPr>
          <w:sz w:val="22"/>
          <w:szCs w:val="22"/>
          <w:lang w:val="sr-Latn-ME"/>
        </w:rPr>
      </w:pPr>
    </w:p>
    <w:p w14:paraId="5C9E764A" w14:textId="77777777" w:rsidR="003E5CD2" w:rsidRPr="00BA3E97" w:rsidRDefault="003E5CD2" w:rsidP="00A83DDF">
      <w:pPr>
        <w:jc w:val="both"/>
        <w:rPr>
          <w:i/>
          <w:sz w:val="22"/>
          <w:szCs w:val="22"/>
          <w:lang w:val="sr-Latn-ME"/>
        </w:rPr>
      </w:pPr>
      <w:r w:rsidRPr="00BA3E97">
        <w:rPr>
          <w:i/>
          <w:sz w:val="22"/>
          <w:szCs w:val="22"/>
          <w:lang w:val="sr-Latn-ME"/>
        </w:rPr>
        <w:t>Etnička grupa</w:t>
      </w:r>
    </w:p>
    <w:p w14:paraId="7BC54AAE" w14:textId="20B17F15" w:rsidR="003E5CD2" w:rsidRPr="00BA3E97" w:rsidRDefault="003E5CD2" w:rsidP="00A83DDF">
      <w:pPr>
        <w:jc w:val="both"/>
        <w:rPr>
          <w:sz w:val="22"/>
          <w:szCs w:val="22"/>
          <w:lang w:val="sr-Latn-ME"/>
        </w:rPr>
      </w:pPr>
      <w:r w:rsidRPr="00BA3E97">
        <w:rPr>
          <w:sz w:val="22"/>
          <w:szCs w:val="22"/>
          <w:lang w:val="sr-Latn-ME"/>
        </w:rPr>
        <w:t>Ograničeni podaci ukazuju da rasa nema veliki uticaj na farmakokinetiku vildagliptina.</w:t>
      </w:r>
    </w:p>
    <w:p w14:paraId="178B0C16" w14:textId="77777777" w:rsidR="0072020E" w:rsidRPr="00BA3E97" w:rsidRDefault="0072020E" w:rsidP="00A83DDF">
      <w:pPr>
        <w:tabs>
          <w:tab w:val="left" w:pos="540"/>
          <w:tab w:val="left" w:pos="569"/>
        </w:tabs>
        <w:jc w:val="both"/>
        <w:rPr>
          <w:bCs/>
          <w:sz w:val="22"/>
          <w:szCs w:val="22"/>
          <w:lang w:val="sr-Latn-ME"/>
        </w:rPr>
      </w:pPr>
    </w:p>
    <w:p w14:paraId="178B0C17"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5.3. </w:t>
      </w:r>
      <w:r w:rsidR="00480FB1" w:rsidRPr="00BA3E97">
        <w:rPr>
          <w:b/>
          <w:bCs/>
          <w:sz w:val="22"/>
          <w:szCs w:val="22"/>
          <w:lang w:val="sr-Latn-ME"/>
        </w:rPr>
        <w:tab/>
      </w:r>
      <w:r w:rsidRPr="00BA3E97">
        <w:rPr>
          <w:b/>
          <w:bCs/>
          <w:sz w:val="22"/>
          <w:szCs w:val="22"/>
          <w:lang w:val="sr-Latn-ME"/>
        </w:rPr>
        <w:t xml:space="preserve">Pretklinički podaci o bezbjednosti </w:t>
      </w:r>
    </w:p>
    <w:p w14:paraId="178B0C18" w14:textId="77777777" w:rsidR="00836B35" w:rsidRPr="00BA3E97" w:rsidRDefault="00836B35" w:rsidP="00A83DDF">
      <w:pPr>
        <w:tabs>
          <w:tab w:val="left" w:pos="540"/>
          <w:tab w:val="left" w:pos="569"/>
        </w:tabs>
        <w:jc w:val="both"/>
        <w:rPr>
          <w:bCs/>
          <w:sz w:val="22"/>
          <w:szCs w:val="22"/>
          <w:lang w:val="sr-Latn-ME"/>
        </w:rPr>
      </w:pPr>
    </w:p>
    <w:p w14:paraId="3153413D" w14:textId="77777777" w:rsidR="00562667" w:rsidRPr="00BA3E97" w:rsidRDefault="00562667" w:rsidP="00A83DDF">
      <w:pPr>
        <w:jc w:val="both"/>
        <w:rPr>
          <w:sz w:val="22"/>
          <w:szCs w:val="22"/>
          <w:lang w:val="sr-Latn-ME"/>
        </w:rPr>
      </w:pPr>
      <w:r w:rsidRPr="00BA3E97">
        <w:rPr>
          <w:sz w:val="22"/>
          <w:szCs w:val="22"/>
          <w:lang w:val="sr-Latn-ME"/>
        </w:rPr>
        <w:t xml:space="preserve">Zapažena su odlaganja u sprovođenju impulsa u srcu kod pasa sa dozom koja nije imala efekta (eng. </w:t>
      </w:r>
      <w:r w:rsidRPr="00BA3E97">
        <w:rPr>
          <w:i/>
          <w:sz w:val="22"/>
          <w:szCs w:val="22"/>
          <w:lang w:val="sr-Latn-ME"/>
        </w:rPr>
        <w:t>no-effect dose</w:t>
      </w:r>
      <w:r w:rsidRPr="00BA3E97">
        <w:rPr>
          <w:sz w:val="22"/>
          <w:szCs w:val="22"/>
          <w:lang w:val="sr-Latn-ME"/>
        </w:rPr>
        <w:t>) od 15 mg/kg (sedmostruka izloženost kod ljudi na osnovu C</w:t>
      </w:r>
      <w:r w:rsidRPr="00BA3E97">
        <w:rPr>
          <w:sz w:val="22"/>
          <w:szCs w:val="22"/>
          <w:vertAlign w:val="subscript"/>
          <w:lang w:val="sr-Latn-ME"/>
        </w:rPr>
        <w:t>max</w:t>
      </w:r>
      <w:r w:rsidRPr="00BA3E97">
        <w:rPr>
          <w:sz w:val="22"/>
          <w:szCs w:val="22"/>
          <w:lang w:val="sr-Latn-ME"/>
        </w:rPr>
        <w:t>).</w:t>
      </w:r>
    </w:p>
    <w:p w14:paraId="61FA9DEB" w14:textId="77777777" w:rsidR="00562667" w:rsidRPr="00BA3E97" w:rsidRDefault="00562667" w:rsidP="00A83DDF">
      <w:pPr>
        <w:jc w:val="both"/>
        <w:rPr>
          <w:sz w:val="22"/>
          <w:szCs w:val="22"/>
          <w:lang w:val="sr-Latn-ME"/>
        </w:rPr>
      </w:pPr>
    </w:p>
    <w:p w14:paraId="66893BA0" w14:textId="77777777" w:rsidR="00562667" w:rsidRPr="00BA3E97" w:rsidRDefault="00562667" w:rsidP="00A83DDF">
      <w:pPr>
        <w:jc w:val="both"/>
        <w:rPr>
          <w:sz w:val="22"/>
          <w:szCs w:val="22"/>
          <w:lang w:val="sr-Latn-ME"/>
        </w:rPr>
      </w:pPr>
      <w:r w:rsidRPr="00BA3E97">
        <w:rPr>
          <w:sz w:val="22"/>
          <w:szCs w:val="22"/>
          <w:lang w:val="sr-Latn-ME"/>
        </w:rPr>
        <w:t>Akumulacija pjenastih alveolarnih makrofaga u plućima je zabeležena kod pacova i miševa. Doza bez efekta kod pacova je bila 25 mg/kg (petostruka izloženost kod ljudi na osnovu AUC-a) i kod miševa 750 mg/kg (142-ostruka izloženost kod ljudi).</w:t>
      </w:r>
    </w:p>
    <w:p w14:paraId="39C1619C" w14:textId="77777777" w:rsidR="00562667" w:rsidRPr="00BA3E97" w:rsidRDefault="00562667" w:rsidP="00A83DDF">
      <w:pPr>
        <w:jc w:val="both"/>
        <w:rPr>
          <w:sz w:val="22"/>
          <w:szCs w:val="22"/>
          <w:lang w:val="sr-Latn-ME"/>
        </w:rPr>
      </w:pPr>
    </w:p>
    <w:p w14:paraId="4ACA7A82" w14:textId="77777777" w:rsidR="00562667" w:rsidRPr="00BA3E97" w:rsidRDefault="00562667" w:rsidP="00A83DDF">
      <w:pPr>
        <w:jc w:val="both"/>
        <w:rPr>
          <w:sz w:val="22"/>
          <w:szCs w:val="22"/>
          <w:lang w:val="sr-Latn-ME"/>
        </w:rPr>
      </w:pPr>
      <w:r w:rsidRPr="00BA3E97">
        <w:rPr>
          <w:sz w:val="22"/>
          <w:szCs w:val="22"/>
          <w:lang w:val="sr-Latn-ME"/>
        </w:rPr>
        <w:t>Gastrointestinalni simptomi, posebno meka stolica, stolica sa mukusom, dijareja i pri većim dozama, krv u stolici su zabilježeni kod pasa. Nivo bez efekta nije utvrđen.</w:t>
      </w:r>
    </w:p>
    <w:p w14:paraId="54CAA916" w14:textId="77777777" w:rsidR="00562667" w:rsidRPr="00BA3E97" w:rsidRDefault="00562667" w:rsidP="00A83DDF">
      <w:pPr>
        <w:jc w:val="both"/>
        <w:rPr>
          <w:sz w:val="22"/>
          <w:szCs w:val="22"/>
          <w:lang w:val="sr-Latn-ME"/>
        </w:rPr>
      </w:pPr>
    </w:p>
    <w:p w14:paraId="7DC5A55A" w14:textId="77777777" w:rsidR="00562667" w:rsidRPr="00BA3E97" w:rsidRDefault="00562667" w:rsidP="00A83DDF">
      <w:pPr>
        <w:jc w:val="both"/>
        <w:rPr>
          <w:sz w:val="22"/>
          <w:szCs w:val="22"/>
          <w:lang w:val="sr-Latn-ME"/>
        </w:rPr>
      </w:pPr>
      <w:r w:rsidRPr="00BA3E97">
        <w:rPr>
          <w:sz w:val="22"/>
          <w:szCs w:val="22"/>
          <w:lang w:val="sr-Latn-ME"/>
        </w:rPr>
        <w:t xml:space="preserve">Vildagliptin nije bio mutagen u konvencionalnim </w:t>
      </w:r>
      <w:r w:rsidRPr="00BA3E97">
        <w:rPr>
          <w:i/>
          <w:sz w:val="22"/>
          <w:szCs w:val="22"/>
          <w:lang w:val="sr-Latn-ME"/>
        </w:rPr>
        <w:t>in vitro</w:t>
      </w:r>
      <w:r w:rsidRPr="00BA3E97">
        <w:rPr>
          <w:sz w:val="22"/>
          <w:szCs w:val="22"/>
          <w:lang w:val="sr-Latn-ME"/>
        </w:rPr>
        <w:t xml:space="preserve"> i </w:t>
      </w:r>
      <w:r w:rsidRPr="00BA3E97">
        <w:rPr>
          <w:i/>
          <w:sz w:val="22"/>
          <w:szCs w:val="22"/>
          <w:lang w:val="sr-Latn-ME"/>
        </w:rPr>
        <w:t>in vivo</w:t>
      </w:r>
      <w:r w:rsidRPr="00BA3E97">
        <w:rPr>
          <w:sz w:val="22"/>
          <w:szCs w:val="22"/>
          <w:lang w:val="sr-Latn-ME"/>
        </w:rPr>
        <w:t xml:space="preserve"> testovima genotoksičnosti.</w:t>
      </w:r>
    </w:p>
    <w:p w14:paraId="22657146" w14:textId="77777777" w:rsidR="00562667" w:rsidRPr="00BA3E97" w:rsidRDefault="00562667" w:rsidP="00A83DDF">
      <w:pPr>
        <w:jc w:val="both"/>
        <w:rPr>
          <w:sz w:val="22"/>
          <w:szCs w:val="22"/>
          <w:lang w:val="sr-Latn-ME"/>
        </w:rPr>
      </w:pPr>
    </w:p>
    <w:p w14:paraId="28B73C69" w14:textId="77777777" w:rsidR="00562667" w:rsidRPr="00BA3E97" w:rsidRDefault="00562667" w:rsidP="00A83DDF">
      <w:pPr>
        <w:jc w:val="both"/>
        <w:rPr>
          <w:sz w:val="22"/>
          <w:szCs w:val="22"/>
          <w:lang w:val="sr-Latn-ME"/>
        </w:rPr>
      </w:pPr>
      <w:r w:rsidRPr="00BA3E97">
        <w:rPr>
          <w:sz w:val="22"/>
          <w:szCs w:val="22"/>
          <w:lang w:val="sr-Latn-ME"/>
        </w:rPr>
        <w:t>Studije fertiliteta i ranog embrionalnog razvoja kod pacova nisu otkrile dokaze o oštećenju fertiliteta, reproduktivnosti ili ranog embrionalnog razvoja sa vildagliptinom. Embrio-fetalna toksičnost je procijenjena kod pacova i kunića. Povećana incidenca pojave talasastih rebara zabilježena kod pacova je povezana sa smanjenim parametrima tjelesne mase majke, sa dozom bez efekta od 75 mg/kg (desetostruka izloženost kod ljudi). Kod kunića, smanjena masa fetusa i skeletni varijeteti koji ukazuju na odlaganje u razvoju su zabilježeni samo u slučaju prisustva teške toksičnosti za majku, sa dozom bez efekta od 50 mg/kg (devetostruka izloženost kod ljudi). Prije- i postnatalne studije razvoja su izvedene na pacovima. Jedini zapaženi nalazi su se ticali toksičnošću za majku pri dozama ≥ 150 mg/kg i uključivali su prolazno smanjenje tjelesne mase i smanjenu motornu aktivnost u F1 generaciji.</w:t>
      </w:r>
    </w:p>
    <w:p w14:paraId="1895418B" w14:textId="77777777" w:rsidR="00562667" w:rsidRPr="00BA3E97" w:rsidRDefault="00562667" w:rsidP="00A83DDF">
      <w:pPr>
        <w:jc w:val="both"/>
        <w:rPr>
          <w:sz w:val="22"/>
          <w:szCs w:val="22"/>
          <w:lang w:val="sr-Latn-ME"/>
        </w:rPr>
      </w:pPr>
    </w:p>
    <w:p w14:paraId="31002A38" w14:textId="77777777" w:rsidR="00562667" w:rsidRPr="00BA3E97" w:rsidRDefault="00562667" w:rsidP="00A83DDF">
      <w:pPr>
        <w:jc w:val="both"/>
        <w:rPr>
          <w:sz w:val="22"/>
          <w:szCs w:val="22"/>
          <w:lang w:val="sr-Latn-ME"/>
        </w:rPr>
      </w:pPr>
      <w:r w:rsidRPr="00BA3E97">
        <w:rPr>
          <w:sz w:val="22"/>
          <w:szCs w:val="22"/>
          <w:lang w:val="sr-Latn-ME"/>
        </w:rPr>
        <w:t>Na pacovima je sprovedena dvogodišnja studija karcinogenosti sa oralnim dozama do 900 mg/kg (približno 200 puta izloženosti kod ljudi pri maksimalnoj preporučenoj dozi). Nisu zapažena povećanja incidence tumora koja bi se mogla pripisati vildagliptinu. Na miševima je sprovedena druga dvogodišnja studija karcinogenosti pri oralnim dozama do 1000 mg/kg. Zapažena je povećana incidenca adenokarcinoma dojke i hemangiosarkoma pri dozi bez efekta od 500 mg/kg (59-ostruka izloženost kod ljudi), odnosno 100 mg/kg (16-ostruka izloženost kod ljudi). Na osnovu nedovoljne genotoksičnosti vildagliptina i njegovog glavnog metabolita, zapažene pojave tumora samo kod jedne vrste i sa visokim odnosima sistemskih izlaganja pri kojima su se tumori javljali, smatra se da povećana incidenca ovih tumora kod miševa ne ukazuje na  značajan rizik za ljude.</w:t>
      </w:r>
    </w:p>
    <w:p w14:paraId="6E606D13" w14:textId="77777777" w:rsidR="00562667" w:rsidRPr="00BA3E97" w:rsidRDefault="00562667" w:rsidP="00A83DDF">
      <w:pPr>
        <w:jc w:val="both"/>
        <w:rPr>
          <w:sz w:val="22"/>
          <w:szCs w:val="22"/>
          <w:lang w:val="sr-Latn-ME"/>
        </w:rPr>
      </w:pPr>
    </w:p>
    <w:p w14:paraId="04455DBA" w14:textId="77777777" w:rsidR="00562667" w:rsidRPr="00BA3E97" w:rsidRDefault="00562667" w:rsidP="00A83DDF">
      <w:pPr>
        <w:jc w:val="both"/>
        <w:rPr>
          <w:sz w:val="22"/>
          <w:szCs w:val="22"/>
          <w:lang w:val="sr-Latn-ME"/>
        </w:rPr>
      </w:pPr>
      <w:r w:rsidRPr="00BA3E97">
        <w:rPr>
          <w:sz w:val="22"/>
          <w:szCs w:val="22"/>
          <w:lang w:val="sr-Latn-ME"/>
        </w:rPr>
        <w:t xml:space="preserve">U 13-nedjeljnoj studiji toksičnosti kod </w:t>
      </w:r>
      <w:r w:rsidRPr="00BA3E97">
        <w:rPr>
          <w:i/>
          <w:sz w:val="22"/>
          <w:szCs w:val="22"/>
          <w:lang w:val="sr-Latn-ME"/>
        </w:rPr>
        <w:t>cynomolgus</w:t>
      </w:r>
      <w:r w:rsidRPr="00BA3E97">
        <w:rPr>
          <w:sz w:val="22"/>
          <w:szCs w:val="22"/>
          <w:lang w:val="sr-Latn-ME"/>
        </w:rPr>
        <w:t xml:space="preserve"> majmuna, lezije na koži su evidentirane pri dozama ≥ 5 mg/kg/dan. One su se konzistentno javljale na perifernim djelovima tijela (ruke, stopala, uši i rep). Pri dozi od 5 mg/kg/dan (približno ekvivalentno AUC izlaganja kod ljudi pri dozi od 100 mg), javljali su se samo plikovi. Oni su bili reverzibilni uprkos kontinuiranoj terapiji i nisu bili povezani sa histopatološkim abnormalnostima. Ljuštenje kože, perutanje kože, kraste i bol u repu sa odgovarajućim histopatološkim promenama su zabilježeni pri dozama od ≥ 20 mg/kg/dan (približno 3 puta vrijednosti AUC izloženosti kod ljudi pri dozi od 100 mg). Nekrotične lezije na repu su zabilježene sa dozama od ≥ 80 mg/kg/dan. Kod majmuna kojima je davano 160 mg/kg/dan lezije na koži nisu bile reverzibilne tokom 4-nedjeljnog perioda oporavka.</w:t>
      </w:r>
    </w:p>
    <w:p w14:paraId="178B0C19" w14:textId="0693C434" w:rsidR="00396DFD" w:rsidRPr="00BA3E97" w:rsidRDefault="00396DFD" w:rsidP="00A83DDF">
      <w:pPr>
        <w:tabs>
          <w:tab w:val="left" w:pos="540"/>
          <w:tab w:val="left" w:pos="569"/>
        </w:tabs>
        <w:jc w:val="both"/>
        <w:rPr>
          <w:b/>
          <w:bCs/>
          <w:sz w:val="22"/>
          <w:szCs w:val="22"/>
          <w:lang w:val="sr-Latn-ME"/>
        </w:rPr>
      </w:pPr>
    </w:p>
    <w:p w14:paraId="6DDAC073" w14:textId="77777777" w:rsidR="00E40FBE" w:rsidRPr="00BA3E97" w:rsidRDefault="00E40FBE" w:rsidP="00A83DDF">
      <w:pPr>
        <w:tabs>
          <w:tab w:val="left" w:pos="540"/>
          <w:tab w:val="left" w:pos="569"/>
        </w:tabs>
        <w:jc w:val="both"/>
        <w:rPr>
          <w:b/>
          <w:bCs/>
          <w:sz w:val="22"/>
          <w:szCs w:val="22"/>
          <w:lang w:val="sr-Latn-ME"/>
        </w:rPr>
      </w:pPr>
    </w:p>
    <w:p w14:paraId="178B0C1A"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6. </w:t>
      </w:r>
      <w:r w:rsidR="00480FB1" w:rsidRPr="00BA3E97">
        <w:rPr>
          <w:b/>
          <w:bCs/>
          <w:sz w:val="22"/>
          <w:szCs w:val="22"/>
          <w:lang w:val="sr-Latn-ME"/>
        </w:rPr>
        <w:tab/>
      </w:r>
      <w:r w:rsidRPr="00BA3E97">
        <w:rPr>
          <w:b/>
          <w:bCs/>
          <w:sz w:val="22"/>
          <w:szCs w:val="22"/>
          <w:lang w:val="sr-Latn-ME"/>
        </w:rPr>
        <w:t>FARMACEUTSKI PODACI</w:t>
      </w:r>
    </w:p>
    <w:p w14:paraId="178B0C1B" w14:textId="77777777" w:rsidR="00836B35" w:rsidRPr="00BA3E97" w:rsidRDefault="00836B35" w:rsidP="00A83DDF">
      <w:pPr>
        <w:tabs>
          <w:tab w:val="left" w:pos="540"/>
          <w:tab w:val="left" w:pos="569"/>
        </w:tabs>
        <w:jc w:val="both"/>
        <w:rPr>
          <w:bCs/>
          <w:sz w:val="22"/>
          <w:szCs w:val="22"/>
          <w:lang w:val="sr-Latn-ME"/>
        </w:rPr>
      </w:pPr>
    </w:p>
    <w:p w14:paraId="178B0C1C"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6.1. </w:t>
      </w:r>
      <w:r w:rsidR="00480FB1" w:rsidRPr="00BA3E97">
        <w:rPr>
          <w:b/>
          <w:bCs/>
          <w:sz w:val="22"/>
          <w:szCs w:val="22"/>
          <w:lang w:val="sr-Latn-ME"/>
        </w:rPr>
        <w:tab/>
      </w:r>
      <w:r w:rsidRPr="00BA3E97">
        <w:rPr>
          <w:b/>
          <w:bCs/>
          <w:sz w:val="22"/>
          <w:szCs w:val="22"/>
          <w:lang w:val="sr-Latn-ME"/>
        </w:rPr>
        <w:t>Lista pomoćnih supstanci</w:t>
      </w:r>
      <w:r w:rsidR="002E0135" w:rsidRPr="00BA3E97">
        <w:rPr>
          <w:b/>
          <w:bCs/>
          <w:sz w:val="22"/>
          <w:szCs w:val="22"/>
          <w:lang w:val="sr-Latn-ME"/>
        </w:rPr>
        <w:t xml:space="preserve"> (ekscipijenasa)</w:t>
      </w:r>
    </w:p>
    <w:p w14:paraId="7C7EB84A" w14:textId="77777777" w:rsidR="00DA68FD" w:rsidRPr="00BA3E97" w:rsidRDefault="00DA68FD" w:rsidP="00A83DDF">
      <w:pPr>
        <w:tabs>
          <w:tab w:val="left" w:pos="540"/>
          <w:tab w:val="left" w:pos="569"/>
        </w:tabs>
        <w:jc w:val="both"/>
        <w:rPr>
          <w:b/>
          <w:bCs/>
          <w:sz w:val="22"/>
          <w:szCs w:val="22"/>
          <w:lang w:val="sr-Latn-ME"/>
        </w:rPr>
      </w:pPr>
    </w:p>
    <w:p w14:paraId="3E863932" w14:textId="77777777" w:rsidR="00DA68FD" w:rsidRPr="00BA3E97" w:rsidRDefault="00DA68FD" w:rsidP="005C53F0">
      <w:pPr>
        <w:pStyle w:val="ListParagraph"/>
        <w:numPr>
          <w:ilvl w:val="0"/>
          <w:numId w:val="12"/>
        </w:numPr>
        <w:rPr>
          <w:szCs w:val="22"/>
          <w:lang w:val="sr-Latn-ME"/>
        </w:rPr>
      </w:pPr>
      <w:r w:rsidRPr="00BA3E97">
        <w:rPr>
          <w:szCs w:val="22"/>
          <w:lang w:val="sr-Latn-ME"/>
        </w:rPr>
        <w:t>Laktoza, monohidrat</w:t>
      </w:r>
    </w:p>
    <w:p w14:paraId="3E4D08F5" w14:textId="77777777" w:rsidR="00DA68FD" w:rsidRPr="00BA3E97" w:rsidRDefault="00DA68FD">
      <w:pPr>
        <w:pStyle w:val="ListParagraph"/>
        <w:numPr>
          <w:ilvl w:val="0"/>
          <w:numId w:val="12"/>
        </w:numPr>
        <w:rPr>
          <w:szCs w:val="22"/>
          <w:lang w:val="sr-Latn-ME"/>
        </w:rPr>
      </w:pPr>
      <w:r w:rsidRPr="00BA3E97">
        <w:rPr>
          <w:szCs w:val="22"/>
          <w:lang w:val="sr-Latn-ME"/>
        </w:rPr>
        <w:t>Celuloza mikrokristalna</w:t>
      </w:r>
    </w:p>
    <w:p w14:paraId="2C5D7805" w14:textId="3A013C6D" w:rsidR="00DA68FD" w:rsidRPr="00BA3E97" w:rsidRDefault="00DA68FD">
      <w:pPr>
        <w:pStyle w:val="ListParagraph"/>
        <w:numPr>
          <w:ilvl w:val="0"/>
          <w:numId w:val="12"/>
        </w:numPr>
        <w:rPr>
          <w:szCs w:val="22"/>
          <w:lang w:val="sr-Latn-ME"/>
        </w:rPr>
      </w:pPr>
      <w:r w:rsidRPr="00BA3E97">
        <w:rPr>
          <w:szCs w:val="22"/>
          <w:lang w:val="sr-Latn-ME"/>
        </w:rPr>
        <w:t>Natrijum skrob</w:t>
      </w:r>
      <w:r w:rsidR="00B23722" w:rsidRPr="00BA3E97">
        <w:rPr>
          <w:szCs w:val="22"/>
          <w:lang w:val="sr-Latn-ME"/>
        </w:rPr>
        <w:t xml:space="preserve"> </w:t>
      </w:r>
      <w:r w:rsidRPr="00BA3E97">
        <w:rPr>
          <w:szCs w:val="22"/>
          <w:lang w:val="sr-Latn-ME"/>
        </w:rPr>
        <w:t>glikolat</w:t>
      </w:r>
    </w:p>
    <w:p w14:paraId="18779470" w14:textId="5C77EBBD" w:rsidR="00DA68FD" w:rsidRPr="00BA3E97" w:rsidRDefault="00DA68FD">
      <w:pPr>
        <w:pStyle w:val="ListParagraph"/>
        <w:numPr>
          <w:ilvl w:val="0"/>
          <w:numId w:val="12"/>
        </w:numPr>
        <w:rPr>
          <w:szCs w:val="22"/>
          <w:lang w:val="sr-Latn-ME"/>
        </w:rPr>
      </w:pPr>
      <w:r w:rsidRPr="00BA3E97">
        <w:rPr>
          <w:szCs w:val="22"/>
          <w:lang w:val="sr-Latn-ME"/>
        </w:rPr>
        <w:t>Magnezijum</w:t>
      </w:r>
      <w:r w:rsidR="00E40FBE" w:rsidRPr="00BA3E97">
        <w:rPr>
          <w:szCs w:val="22"/>
          <w:lang w:val="sr-Latn-ME"/>
        </w:rPr>
        <w:t xml:space="preserve"> </w:t>
      </w:r>
      <w:r w:rsidRPr="00BA3E97">
        <w:rPr>
          <w:szCs w:val="22"/>
          <w:lang w:val="sr-Latn-ME"/>
        </w:rPr>
        <w:t>stearat.</w:t>
      </w:r>
    </w:p>
    <w:p w14:paraId="178B0C1D" w14:textId="77777777" w:rsidR="0072020E" w:rsidRPr="00BA3E97" w:rsidRDefault="0072020E" w:rsidP="00A83DDF">
      <w:pPr>
        <w:tabs>
          <w:tab w:val="left" w:pos="540"/>
          <w:tab w:val="left" w:pos="569"/>
        </w:tabs>
        <w:jc w:val="both"/>
        <w:rPr>
          <w:bCs/>
          <w:sz w:val="22"/>
          <w:szCs w:val="22"/>
          <w:lang w:val="sr-Latn-ME"/>
        </w:rPr>
      </w:pPr>
    </w:p>
    <w:p w14:paraId="178B0C1E" w14:textId="01C41F02" w:rsidR="0072020E" w:rsidRPr="00BA3E97" w:rsidRDefault="0072020E" w:rsidP="00A83DDF">
      <w:pPr>
        <w:tabs>
          <w:tab w:val="left" w:pos="540"/>
          <w:tab w:val="left" w:pos="569"/>
          <w:tab w:val="left" w:pos="2671"/>
        </w:tabs>
        <w:jc w:val="both"/>
        <w:rPr>
          <w:b/>
          <w:bCs/>
          <w:sz w:val="22"/>
          <w:szCs w:val="22"/>
          <w:lang w:val="sr-Latn-ME"/>
        </w:rPr>
      </w:pPr>
      <w:r w:rsidRPr="00BA3E97">
        <w:rPr>
          <w:b/>
          <w:bCs/>
          <w:sz w:val="22"/>
          <w:szCs w:val="22"/>
          <w:lang w:val="sr-Latn-ME"/>
        </w:rPr>
        <w:t xml:space="preserve">6.2. </w:t>
      </w:r>
      <w:r w:rsidR="00480FB1" w:rsidRPr="00BA3E97">
        <w:rPr>
          <w:b/>
          <w:bCs/>
          <w:sz w:val="22"/>
          <w:szCs w:val="22"/>
          <w:lang w:val="sr-Latn-ME"/>
        </w:rPr>
        <w:tab/>
      </w:r>
      <w:r w:rsidRPr="00BA3E97">
        <w:rPr>
          <w:b/>
          <w:bCs/>
          <w:sz w:val="22"/>
          <w:szCs w:val="22"/>
          <w:lang w:val="sr-Latn-ME"/>
        </w:rPr>
        <w:t>Inkompatibilnost</w:t>
      </w:r>
      <w:r w:rsidR="002846DB" w:rsidRPr="00BA3E97">
        <w:rPr>
          <w:b/>
          <w:bCs/>
          <w:sz w:val="22"/>
          <w:szCs w:val="22"/>
          <w:lang w:val="sr-Latn-ME"/>
        </w:rPr>
        <w:t>i</w:t>
      </w:r>
      <w:r w:rsidR="00D2125A" w:rsidRPr="00BA3E97">
        <w:rPr>
          <w:b/>
          <w:bCs/>
          <w:sz w:val="22"/>
          <w:szCs w:val="22"/>
          <w:lang w:val="sr-Latn-ME"/>
        </w:rPr>
        <w:tab/>
      </w:r>
    </w:p>
    <w:p w14:paraId="2BB2B34F" w14:textId="77777777" w:rsidR="00D2125A" w:rsidRPr="00BA3E97" w:rsidRDefault="00D2125A" w:rsidP="00A83DDF">
      <w:pPr>
        <w:tabs>
          <w:tab w:val="left" w:pos="540"/>
          <w:tab w:val="left" w:pos="569"/>
          <w:tab w:val="left" w:pos="2671"/>
        </w:tabs>
        <w:jc w:val="both"/>
        <w:rPr>
          <w:b/>
          <w:bCs/>
          <w:sz w:val="22"/>
          <w:szCs w:val="22"/>
          <w:lang w:val="sr-Latn-ME"/>
        </w:rPr>
      </w:pPr>
    </w:p>
    <w:p w14:paraId="64144451" w14:textId="5351F972" w:rsidR="00D2125A" w:rsidRPr="00BA3E97" w:rsidRDefault="00D2125A" w:rsidP="00A83DDF">
      <w:pPr>
        <w:jc w:val="both"/>
        <w:rPr>
          <w:sz w:val="22"/>
          <w:szCs w:val="22"/>
          <w:lang w:val="sr-Latn-ME"/>
        </w:rPr>
      </w:pPr>
      <w:r w:rsidRPr="00BA3E97">
        <w:rPr>
          <w:sz w:val="22"/>
          <w:szCs w:val="22"/>
          <w:lang w:val="sr-Latn-ME"/>
        </w:rPr>
        <w:t>Nije primjenljivo.</w:t>
      </w:r>
    </w:p>
    <w:p w14:paraId="178B0C1F" w14:textId="77777777" w:rsidR="0072020E" w:rsidRPr="00BA3E97" w:rsidRDefault="0072020E" w:rsidP="00A83DDF">
      <w:pPr>
        <w:tabs>
          <w:tab w:val="left" w:pos="540"/>
          <w:tab w:val="left" w:pos="569"/>
        </w:tabs>
        <w:jc w:val="both"/>
        <w:rPr>
          <w:bCs/>
          <w:sz w:val="22"/>
          <w:szCs w:val="22"/>
          <w:lang w:val="sr-Latn-ME"/>
        </w:rPr>
      </w:pPr>
    </w:p>
    <w:p w14:paraId="178B0C20"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6.3.</w:t>
      </w:r>
      <w:r w:rsidR="00C05DF8" w:rsidRPr="00BA3E97">
        <w:rPr>
          <w:b/>
          <w:bCs/>
          <w:sz w:val="22"/>
          <w:szCs w:val="22"/>
          <w:lang w:val="sr-Latn-ME"/>
        </w:rPr>
        <w:t xml:space="preserve"> </w:t>
      </w:r>
      <w:r w:rsidR="00480FB1" w:rsidRPr="00BA3E97">
        <w:rPr>
          <w:b/>
          <w:bCs/>
          <w:sz w:val="22"/>
          <w:szCs w:val="22"/>
          <w:lang w:val="sr-Latn-ME"/>
        </w:rPr>
        <w:tab/>
      </w:r>
      <w:r w:rsidRPr="00BA3E97">
        <w:rPr>
          <w:b/>
          <w:bCs/>
          <w:sz w:val="22"/>
          <w:szCs w:val="22"/>
          <w:lang w:val="sr-Latn-ME"/>
        </w:rPr>
        <w:t>Rok upotrebe</w:t>
      </w:r>
    </w:p>
    <w:p w14:paraId="1F510FE3" w14:textId="77777777" w:rsidR="00D2125A" w:rsidRPr="00BA3E97" w:rsidRDefault="00D2125A" w:rsidP="00A83DDF">
      <w:pPr>
        <w:tabs>
          <w:tab w:val="left" w:pos="540"/>
          <w:tab w:val="left" w:pos="569"/>
        </w:tabs>
        <w:jc w:val="both"/>
        <w:rPr>
          <w:b/>
          <w:bCs/>
          <w:sz w:val="22"/>
          <w:szCs w:val="22"/>
          <w:lang w:val="sr-Latn-ME"/>
        </w:rPr>
      </w:pPr>
    </w:p>
    <w:p w14:paraId="0F12F74A" w14:textId="4D8A41BD" w:rsidR="00D2125A" w:rsidRPr="00BA3E97" w:rsidRDefault="00A83DDF" w:rsidP="00A83DDF">
      <w:pPr>
        <w:tabs>
          <w:tab w:val="left" w:pos="540"/>
          <w:tab w:val="left" w:pos="569"/>
        </w:tabs>
        <w:jc w:val="both"/>
        <w:rPr>
          <w:sz w:val="22"/>
          <w:szCs w:val="22"/>
          <w:lang w:val="sr-Latn-ME"/>
        </w:rPr>
      </w:pPr>
      <w:r w:rsidRPr="00BA3E97">
        <w:rPr>
          <w:sz w:val="22"/>
          <w:szCs w:val="22"/>
          <w:lang w:val="sr-Latn-ME"/>
        </w:rPr>
        <w:t>3</w:t>
      </w:r>
      <w:r w:rsidR="00D2125A" w:rsidRPr="00BA3E97">
        <w:rPr>
          <w:sz w:val="22"/>
          <w:szCs w:val="22"/>
          <w:lang w:val="sr-Latn-ME"/>
        </w:rPr>
        <w:t xml:space="preserve"> godine.</w:t>
      </w:r>
    </w:p>
    <w:p w14:paraId="178B0C21" w14:textId="77777777" w:rsidR="0072020E" w:rsidRPr="00BA3E97" w:rsidRDefault="0072020E" w:rsidP="00A83DDF">
      <w:pPr>
        <w:tabs>
          <w:tab w:val="left" w:pos="540"/>
          <w:tab w:val="left" w:pos="569"/>
        </w:tabs>
        <w:jc w:val="both"/>
        <w:rPr>
          <w:sz w:val="22"/>
          <w:szCs w:val="22"/>
          <w:lang w:val="sr-Latn-ME"/>
        </w:rPr>
      </w:pPr>
    </w:p>
    <w:p w14:paraId="178B0C22" w14:textId="0E998FC9"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6.4. </w:t>
      </w:r>
      <w:r w:rsidR="00480FB1" w:rsidRPr="00BA3E97">
        <w:rPr>
          <w:b/>
          <w:bCs/>
          <w:sz w:val="22"/>
          <w:szCs w:val="22"/>
          <w:lang w:val="sr-Latn-ME"/>
        </w:rPr>
        <w:tab/>
      </w:r>
      <w:r w:rsidRPr="00BA3E97">
        <w:rPr>
          <w:b/>
          <w:bCs/>
          <w:sz w:val="22"/>
          <w:szCs w:val="22"/>
          <w:lang w:val="sr-Latn-ME"/>
        </w:rPr>
        <w:t xml:space="preserve">Posebne mjere </w:t>
      </w:r>
      <w:proofErr w:type="spellStart"/>
      <w:r w:rsidR="00341D9B" w:rsidRPr="00BA3E97">
        <w:rPr>
          <w:b/>
          <w:bCs/>
          <w:color w:val="000000"/>
          <w:sz w:val="22"/>
          <w:szCs w:val="22"/>
        </w:rPr>
        <w:t>opreza</w:t>
      </w:r>
      <w:proofErr w:type="spellEnd"/>
      <w:r w:rsidR="00341D9B" w:rsidRPr="00BA3E97">
        <w:rPr>
          <w:b/>
          <w:bCs/>
          <w:color w:val="000000"/>
          <w:sz w:val="22"/>
          <w:szCs w:val="22"/>
          <w:lang w:val="sr-Latn-ME"/>
        </w:rPr>
        <w:t xml:space="preserve"> </w:t>
      </w:r>
      <w:proofErr w:type="spellStart"/>
      <w:r w:rsidR="00341D9B" w:rsidRPr="00BA3E97">
        <w:rPr>
          <w:b/>
          <w:bCs/>
          <w:color w:val="000000"/>
          <w:sz w:val="22"/>
          <w:szCs w:val="22"/>
        </w:rPr>
        <w:t>pri</w:t>
      </w:r>
      <w:proofErr w:type="spellEnd"/>
      <w:r w:rsidR="00341D9B" w:rsidRPr="00BA3E97">
        <w:rPr>
          <w:b/>
          <w:bCs/>
          <w:color w:val="000000"/>
          <w:sz w:val="22"/>
          <w:szCs w:val="22"/>
          <w:lang w:val="sr-Latn-ME"/>
        </w:rPr>
        <w:t xml:space="preserve"> </w:t>
      </w:r>
      <w:proofErr w:type="spellStart"/>
      <w:r w:rsidR="00341D9B" w:rsidRPr="00BA3E97">
        <w:rPr>
          <w:b/>
          <w:bCs/>
          <w:color w:val="000000"/>
          <w:sz w:val="22"/>
          <w:szCs w:val="22"/>
        </w:rPr>
        <w:t>odlaganju</w:t>
      </w:r>
      <w:proofErr w:type="spellEnd"/>
      <w:r w:rsidR="00341D9B" w:rsidRPr="00BA3E97">
        <w:rPr>
          <w:b/>
          <w:bCs/>
          <w:color w:val="000000"/>
          <w:sz w:val="22"/>
          <w:szCs w:val="22"/>
          <w:lang w:val="sr-Latn-ME"/>
        </w:rPr>
        <w:t xml:space="preserve"> </w:t>
      </w:r>
      <w:proofErr w:type="spellStart"/>
      <w:r w:rsidR="00341D9B" w:rsidRPr="00BA3E97">
        <w:rPr>
          <w:b/>
          <w:bCs/>
          <w:color w:val="000000"/>
          <w:sz w:val="22"/>
          <w:szCs w:val="22"/>
        </w:rPr>
        <w:t>materijala</w:t>
      </w:r>
      <w:proofErr w:type="spellEnd"/>
      <w:r w:rsidR="00341D9B" w:rsidRPr="00BA3E97">
        <w:rPr>
          <w:b/>
          <w:bCs/>
          <w:color w:val="000000"/>
          <w:sz w:val="22"/>
          <w:szCs w:val="22"/>
          <w:lang w:val="sr-Latn-ME"/>
        </w:rPr>
        <w:t xml:space="preserve"> </w:t>
      </w:r>
      <w:proofErr w:type="spellStart"/>
      <w:r w:rsidR="00341D9B" w:rsidRPr="00BA3E97">
        <w:rPr>
          <w:b/>
          <w:bCs/>
          <w:color w:val="000000"/>
          <w:sz w:val="22"/>
          <w:szCs w:val="22"/>
        </w:rPr>
        <w:t>koji</w:t>
      </w:r>
      <w:proofErr w:type="spellEnd"/>
      <w:r w:rsidR="00341D9B" w:rsidRPr="00BA3E97">
        <w:rPr>
          <w:b/>
          <w:bCs/>
          <w:color w:val="000000"/>
          <w:sz w:val="22"/>
          <w:szCs w:val="22"/>
          <w:lang w:val="sr-Latn-ME"/>
        </w:rPr>
        <w:t xml:space="preserve"> </w:t>
      </w:r>
      <w:proofErr w:type="spellStart"/>
      <w:r w:rsidR="00341D9B" w:rsidRPr="00BA3E97">
        <w:rPr>
          <w:b/>
          <w:bCs/>
          <w:color w:val="000000"/>
          <w:sz w:val="22"/>
          <w:szCs w:val="22"/>
        </w:rPr>
        <w:t>treba</w:t>
      </w:r>
      <w:proofErr w:type="spellEnd"/>
      <w:r w:rsidR="00341D9B" w:rsidRPr="00BA3E97">
        <w:rPr>
          <w:b/>
          <w:bCs/>
          <w:color w:val="000000"/>
          <w:sz w:val="22"/>
          <w:szCs w:val="22"/>
          <w:lang w:val="sr-Latn-ME"/>
        </w:rPr>
        <w:t xml:space="preserve"> </w:t>
      </w:r>
      <w:proofErr w:type="spellStart"/>
      <w:r w:rsidR="00341D9B" w:rsidRPr="00BA3E97">
        <w:rPr>
          <w:b/>
          <w:bCs/>
          <w:color w:val="000000"/>
          <w:sz w:val="22"/>
          <w:szCs w:val="22"/>
        </w:rPr>
        <w:t>odbaciti</w:t>
      </w:r>
      <w:proofErr w:type="spellEnd"/>
      <w:r w:rsidR="00341D9B" w:rsidRPr="00BA3E97">
        <w:rPr>
          <w:b/>
          <w:bCs/>
          <w:color w:val="000000"/>
          <w:sz w:val="22"/>
          <w:szCs w:val="22"/>
          <w:lang w:val="sr-Latn-ME"/>
        </w:rPr>
        <w:t xml:space="preserve"> </w:t>
      </w:r>
      <w:proofErr w:type="spellStart"/>
      <w:r w:rsidR="00341D9B" w:rsidRPr="00BA3E97">
        <w:rPr>
          <w:b/>
          <w:bCs/>
          <w:color w:val="000000"/>
          <w:sz w:val="22"/>
          <w:szCs w:val="22"/>
        </w:rPr>
        <w:t>nakon</w:t>
      </w:r>
      <w:proofErr w:type="spellEnd"/>
      <w:r w:rsidR="00341D9B" w:rsidRPr="00BA3E97">
        <w:rPr>
          <w:b/>
          <w:bCs/>
          <w:color w:val="000000"/>
          <w:sz w:val="22"/>
          <w:szCs w:val="22"/>
          <w:lang w:val="sr-Latn-ME"/>
        </w:rPr>
        <w:t xml:space="preserve"> </w:t>
      </w:r>
      <w:proofErr w:type="spellStart"/>
      <w:r w:rsidR="00341D9B" w:rsidRPr="00BA3E97">
        <w:rPr>
          <w:b/>
          <w:bCs/>
          <w:color w:val="000000"/>
          <w:sz w:val="22"/>
          <w:szCs w:val="22"/>
        </w:rPr>
        <w:t>primjene</w:t>
      </w:r>
      <w:proofErr w:type="spellEnd"/>
      <w:r w:rsidR="00341D9B" w:rsidRPr="00BA3E97">
        <w:rPr>
          <w:b/>
          <w:bCs/>
          <w:color w:val="000000"/>
          <w:sz w:val="22"/>
          <w:szCs w:val="22"/>
          <w:lang w:val="sr-Latn-ME"/>
        </w:rPr>
        <w:t xml:space="preserve"> </w:t>
      </w:r>
      <w:proofErr w:type="spellStart"/>
      <w:r w:rsidR="00341D9B" w:rsidRPr="00BA3E97">
        <w:rPr>
          <w:b/>
          <w:bCs/>
          <w:color w:val="000000"/>
          <w:sz w:val="22"/>
          <w:szCs w:val="22"/>
        </w:rPr>
        <w:t>lijeka</w:t>
      </w:r>
      <w:proofErr w:type="spellEnd"/>
      <w:r w:rsidR="00341D9B" w:rsidRPr="00BA3E97">
        <w:rPr>
          <w:b/>
          <w:bCs/>
          <w:sz w:val="22"/>
          <w:szCs w:val="22"/>
          <w:lang w:val="sr-Latn-ME"/>
        </w:rPr>
        <w:t xml:space="preserve"> (</w:t>
      </w:r>
      <w:proofErr w:type="spellStart"/>
      <w:r w:rsidR="00341D9B" w:rsidRPr="00BA3E97">
        <w:rPr>
          <w:b/>
          <w:bCs/>
          <w:sz w:val="22"/>
          <w:szCs w:val="22"/>
        </w:rPr>
        <w:t>i</w:t>
      </w:r>
      <w:proofErr w:type="spellEnd"/>
      <w:r w:rsidR="00341D9B" w:rsidRPr="00BA3E97">
        <w:rPr>
          <w:b/>
          <w:bCs/>
          <w:sz w:val="22"/>
          <w:szCs w:val="22"/>
          <w:lang w:val="sr-Latn-ME"/>
        </w:rPr>
        <w:t xml:space="preserve"> </w:t>
      </w:r>
      <w:proofErr w:type="spellStart"/>
      <w:r w:rsidR="00341D9B" w:rsidRPr="00BA3E97">
        <w:rPr>
          <w:b/>
          <w:bCs/>
          <w:sz w:val="22"/>
          <w:szCs w:val="22"/>
        </w:rPr>
        <w:t>druga</w:t>
      </w:r>
      <w:proofErr w:type="spellEnd"/>
      <w:r w:rsidR="00341D9B" w:rsidRPr="00BA3E97">
        <w:rPr>
          <w:b/>
          <w:bCs/>
          <w:sz w:val="22"/>
          <w:szCs w:val="22"/>
          <w:lang w:val="sr-Latn-ME"/>
        </w:rPr>
        <w:t xml:space="preserve"> </w:t>
      </w:r>
      <w:proofErr w:type="spellStart"/>
      <w:r w:rsidR="00341D9B" w:rsidRPr="00BA3E97">
        <w:rPr>
          <w:b/>
          <w:bCs/>
          <w:sz w:val="22"/>
          <w:szCs w:val="22"/>
        </w:rPr>
        <w:t>uputstva</w:t>
      </w:r>
      <w:proofErr w:type="spellEnd"/>
      <w:r w:rsidR="00341D9B" w:rsidRPr="00BA3E97">
        <w:rPr>
          <w:b/>
          <w:bCs/>
          <w:sz w:val="22"/>
          <w:szCs w:val="22"/>
          <w:lang w:val="sr-Latn-ME"/>
        </w:rPr>
        <w:t xml:space="preserve"> </w:t>
      </w:r>
      <w:r w:rsidR="00341D9B" w:rsidRPr="00BA3E97">
        <w:rPr>
          <w:b/>
          <w:bCs/>
          <w:sz w:val="22"/>
          <w:szCs w:val="22"/>
        </w:rPr>
        <w:t>za</w:t>
      </w:r>
      <w:r w:rsidR="00341D9B" w:rsidRPr="00BA3E97">
        <w:rPr>
          <w:b/>
          <w:bCs/>
          <w:sz w:val="22"/>
          <w:szCs w:val="22"/>
          <w:lang w:val="sr-Latn-ME"/>
        </w:rPr>
        <w:t xml:space="preserve"> </w:t>
      </w:r>
      <w:proofErr w:type="spellStart"/>
      <w:r w:rsidR="00341D9B" w:rsidRPr="00BA3E97">
        <w:rPr>
          <w:b/>
          <w:bCs/>
          <w:sz w:val="22"/>
          <w:szCs w:val="22"/>
        </w:rPr>
        <w:t>rukovanje</w:t>
      </w:r>
      <w:proofErr w:type="spellEnd"/>
      <w:r w:rsidR="00341D9B" w:rsidRPr="00BA3E97">
        <w:rPr>
          <w:b/>
          <w:bCs/>
          <w:sz w:val="22"/>
          <w:szCs w:val="22"/>
          <w:lang w:val="sr-Latn-ME"/>
        </w:rPr>
        <w:t xml:space="preserve"> </w:t>
      </w:r>
      <w:proofErr w:type="spellStart"/>
      <w:r w:rsidR="00341D9B" w:rsidRPr="00BA3E97">
        <w:rPr>
          <w:b/>
          <w:bCs/>
          <w:sz w:val="22"/>
          <w:szCs w:val="22"/>
        </w:rPr>
        <w:t>lijekom</w:t>
      </w:r>
      <w:proofErr w:type="spellEnd"/>
      <w:r w:rsidR="00341D9B" w:rsidRPr="00BA3E97">
        <w:rPr>
          <w:b/>
          <w:bCs/>
          <w:sz w:val="22"/>
          <w:szCs w:val="22"/>
          <w:lang w:val="sr-Latn-ME"/>
        </w:rPr>
        <w:t xml:space="preserve">) </w:t>
      </w:r>
    </w:p>
    <w:p w14:paraId="2D7B6597" w14:textId="4C08D0B1" w:rsidR="00550EDC" w:rsidRPr="00BA3E97" w:rsidRDefault="00550EDC" w:rsidP="00A83DDF">
      <w:pPr>
        <w:tabs>
          <w:tab w:val="left" w:pos="540"/>
          <w:tab w:val="left" w:pos="569"/>
        </w:tabs>
        <w:jc w:val="both"/>
        <w:rPr>
          <w:b/>
          <w:bCs/>
          <w:sz w:val="22"/>
          <w:szCs w:val="22"/>
          <w:lang w:val="sr-Latn-ME"/>
        </w:rPr>
      </w:pPr>
    </w:p>
    <w:p w14:paraId="093AF8C3" w14:textId="5740C976" w:rsidR="00A83DDF" w:rsidRPr="00BA3E97" w:rsidRDefault="00A83DDF" w:rsidP="00A83DDF">
      <w:pPr>
        <w:tabs>
          <w:tab w:val="left" w:pos="540"/>
          <w:tab w:val="left" w:pos="569"/>
        </w:tabs>
        <w:jc w:val="both"/>
        <w:rPr>
          <w:sz w:val="22"/>
          <w:szCs w:val="22"/>
          <w:lang w:val="sr-Latn-ME"/>
        </w:rPr>
      </w:pPr>
      <w:r w:rsidRPr="00BA3E97">
        <w:rPr>
          <w:sz w:val="22"/>
          <w:szCs w:val="22"/>
          <w:lang w:val="sr-Latn-ME"/>
        </w:rPr>
        <w:t xml:space="preserve">Lijek ne zahtijeva posebne </w:t>
      </w:r>
      <w:r w:rsidR="00647F11" w:rsidRPr="00BA3E97">
        <w:rPr>
          <w:sz w:val="22"/>
          <w:szCs w:val="22"/>
          <w:lang w:val="sr-Latn-ME"/>
        </w:rPr>
        <w:t xml:space="preserve">temperaturne </w:t>
      </w:r>
      <w:r w:rsidRPr="00BA3E97">
        <w:rPr>
          <w:sz w:val="22"/>
          <w:szCs w:val="22"/>
          <w:lang w:val="sr-Latn-ME"/>
        </w:rPr>
        <w:t>uslove čuvanja.</w:t>
      </w:r>
    </w:p>
    <w:p w14:paraId="63301924" w14:textId="511EB0AE" w:rsidR="00550EDC" w:rsidRPr="00BA3E97" w:rsidRDefault="00550EDC" w:rsidP="00A83DDF">
      <w:pPr>
        <w:jc w:val="both"/>
        <w:rPr>
          <w:sz w:val="22"/>
          <w:szCs w:val="22"/>
          <w:lang w:val="sr-Latn-ME"/>
        </w:rPr>
      </w:pPr>
      <w:r w:rsidRPr="00BA3E97">
        <w:rPr>
          <w:sz w:val="22"/>
          <w:szCs w:val="22"/>
          <w:lang w:val="sr-Latn-ME"/>
        </w:rPr>
        <w:t>Lijek čuvati u originalnom pakovanju u cilju zaštite od vlage.</w:t>
      </w:r>
    </w:p>
    <w:p w14:paraId="178B0C23" w14:textId="77777777" w:rsidR="00EC2532" w:rsidRPr="00BA3E97" w:rsidRDefault="00EC2532" w:rsidP="00A83DDF">
      <w:pPr>
        <w:tabs>
          <w:tab w:val="left" w:pos="540"/>
          <w:tab w:val="left" w:pos="569"/>
        </w:tabs>
        <w:jc w:val="both"/>
        <w:rPr>
          <w:bCs/>
          <w:sz w:val="22"/>
          <w:szCs w:val="22"/>
          <w:lang w:val="sr-Latn-ME"/>
        </w:rPr>
      </w:pPr>
    </w:p>
    <w:p w14:paraId="178B0C24"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6.5. </w:t>
      </w:r>
      <w:r w:rsidR="00480FB1" w:rsidRPr="00BA3E97">
        <w:rPr>
          <w:b/>
          <w:bCs/>
          <w:sz w:val="22"/>
          <w:szCs w:val="22"/>
          <w:lang w:val="sr-Latn-ME"/>
        </w:rPr>
        <w:tab/>
      </w:r>
      <w:r w:rsidR="002846DB" w:rsidRPr="00BA3E97">
        <w:rPr>
          <w:b/>
          <w:bCs/>
          <w:sz w:val="22"/>
          <w:szCs w:val="22"/>
          <w:lang w:val="sr-Latn-ME"/>
        </w:rPr>
        <w:t xml:space="preserve">Vrsta i sadržaj </w:t>
      </w:r>
      <w:r w:rsidR="00F8570A" w:rsidRPr="00BA3E97">
        <w:rPr>
          <w:b/>
          <w:bCs/>
          <w:sz w:val="22"/>
          <w:szCs w:val="22"/>
          <w:lang w:val="sr-Latn-ME"/>
        </w:rPr>
        <w:t>pakovanja</w:t>
      </w:r>
      <w:r w:rsidR="00C06864" w:rsidRPr="00BA3E97">
        <w:rPr>
          <w:b/>
          <w:bCs/>
          <w:sz w:val="22"/>
          <w:szCs w:val="22"/>
          <w:lang w:val="sr-Latn-ME"/>
        </w:rPr>
        <w:t xml:space="preserve"> </w:t>
      </w:r>
    </w:p>
    <w:p w14:paraId="15C6DE2B" w14:textId="77777777" w:rsidR="009B2015" w:rsidRPr="00BA3E97" w:rsidRDefault="009B2015" w:rsidP="00A83DDF">
      <w:pPr>
        <w:tabs>
          <w:tab w:val="left" w:pos="540"/>
          <w:tab w:val="left" w:pos="569"/>
        </w:tabs>
        <w:jc w:val="both"/>
        <w:rPr>
          <w:b/>
          <w:bCs/>
          <w:sz w:val="22"/>
          <w:szCs w:val="22"/>
          <w:lang w:val="sr-Latn-ME"/>
        </w:rPr>
      </w:pPr>
    </w:p>
    <w:p w14:paraId="4DE372BE" w14:textId="77777777" w:rsidR="00A83DDF" w:rsidRPr="00BA3E97" w:rsidRDefault="00A83DDF" w:rsidP="00A83DDF">
      <w:pPr>
        <w:tabs>
          <w:tab w:val="left" w:pos="540"/>
          <w:tab w:val="left" w:pos="569"/>
        </w:tabs>
        <w:jc w:val="both"/>
        <w:rPr>
          <w:lang w:val="sr-Latn-ME"/>
        </w:rPr>
      </w:pPr>
      <w:proofErr w:type="spellStart"/>
      <w:r w:rsidRPr="00BA3E97">
        <w:t>Unutra</w:t>
      </w:r>
      <w:proofErr w:type="spellEnd"/>
      <w:r w:rsidRPr="00BA3E97">
        <w:rPr>
          <w:lang w:val="sr-Latn-ME"/>
        </w:rPr>
        <w:t>š</w:t>
      </w:r>
      <w:proofErr w:type="spellStart"/>
      <w:r w:rsidRPr="00BA3E97">
        <w:t>nje</w:t>
      </w:r>
      <w:proofErr w:type="spellEnd"/>
      <w:r w:rsidRPr="00BA3E97">
        <w:rPr>
          <w:lang w:val="sr-Latn-ME"/>
        </w:rPr>
        <w:t xml:space="preserve"> </w:t>
      </w:r>
      <w:proofErr w:type="spellStart"/>
      <w:r w:rsidRPr="00BA3E97">
        <w:t>pakovanje</w:t>
      </w:r>
      <w:proofErr w:type="spellEnd"/>
      <w:r w:rsidRPr="00BA3E97">
        <w:rPr>
          <w:lang w:val="sr-Latn-ME"/>
        </w:rPr>
        <w:t xml:space="preserve"> </w:t>
      </w:r>
      <w:r w:rsidRPr="00BA3E97">
        <w:t>je</w:t>
      </w:r>
      <w:r w:rsidRPr="00BA3E97">
        <w:rPr>
          <w:lang w:val="sr-Latn-ME"/>
        </w:rPr>
        <w:t xml:space="preserve"> </w:t>
      </w:r>
      <w:proofErr w:type="spellStart"/>
      <w:r w:rsidRPr="00BA3E97">
        <w:t>oPA</w:t>
      </w:r>
      <w:proofErr w:type="spellEnd"/>
      <w:r w:rsidRPr="00BA3E97">
        <w:rPr>
          <w:lang w:val="sr-Latn-ME"/>
        </w:rPr>
        <w:t>/</w:t>
      </w:r>
      <w:r w:rsidRPr="00BA3E97">
        <w:t>Al</w:t>
      </w:r>
      <w:r w:rsidRPr="00BA3E97">
        <w:rPr>
          <w:lang w:val="sr-Latn-ME"/>
        </w:rPr>
        <w:t>/</w:t>
      </w:r>
      <w:r w:rsidRPr="00BA3E97">
        <w:t>PVC</w:t>
      </w:r>
      <w:r w:rsidRPr="00BA3E97">
        <w:rPr>
          <w:lang w:val="sr-Latn-ME"/>
        </w:rPr>
        <w:t>//</w:t>
      </w:r>
      <w:r w:rsidRPr="00BA3E97">
        <w:t>Al</w:t>
      </w:r>
      <w:r w:rsidRPr="00BA3E97">
        <w:rPr>
          <w:lang w:val="sr-Latn-ME"/>
        </w:rPr>
        <w:t xml:space="preserve"> </w:t>
      </w:r>
      <w:r w:rsidRPr="00BA3E97">
        <w:t>blister</w:t>
      </w:r>
      <w:r w:rsidRPr="00BA3E97">
        <w:rPr>
          <w:lang w:val="sr-Latn-ME"/>
        </w:rPr>
        <w:t xml:space="preserve"> </w:t>
      </w:r>
      <w:proofErr w:type="spellStart"/>
      <w:r w:rsidRPr="00BA3E97">
        <w:t>koji</w:t>
      </w:r>
      <w:proofErr w:type="spellEnd"/>
      <w:r w:rsidRPr="00BA3E97">
        <w:rPr>
          <w:lang w:val="sr-Latn-ME"/>
        </w:rPr>
        <w:t xml:space="preserve"> </w:t>
      </w:r>
      <w:proofErr w:type="spellStart"/>
      <w:r w:rsidRPr="00BA3E97">
        <w:t>sadr</w:t>
      </w:r>
      <w:proofErr w:type="spellEnd"/>
      <w:r w:rsidRPr="00BA3E97">
        <w:rPr>
          <w:lang w:val="sr-Latn-ME"/>
        </w:rPr>
        <w:t>ž</w:t>
      </w:r>
      <w:proofErr w:type="spellStart"/>
      <w:r w:rsidRPr="00BA3E97">
        <w:t>i</w:t>
      </w:r>
      <w:proofErr w:type="spellEnd"/>
      <w:r w:rsidRPr="00BA3E97">
        <w:rPr>
          <w:lang w:val="sr-Latn-ME"/>
        </w:rPr>
        <w:t xml:space="preserve"> 10 </w:t>
      </w:r>
      <w:proofErr w:type="spellStart"/>
      <w:r w:rsidRPr="00BA3E97">
        <w:t>tableta</w:t>
      </w:r>
      <w:proofErr w:type="spellEnd"/>
      <w:r w:rsidRPr="00BA3E97">
        <w:rPr>
          <w:lang w:val="sr-Latn-ME"/>
        </w:rPr>
        <w:t xml:space="preserve">. </w:t>
      </w:r>
    </w:p>
    <w:p w14:paraId="178B0C25" w14:textId="76023620" w:rsidR="0072020E" w:rsidRPr="00BA3E97" w:rsidRDefault="00A83DDF" w:rsidP="00A83DDF">
      <w:pPr>
        <w:tabs>
          <w:tab w:val="left" w:pos="540"/>
          <w:tab w:val="left" w:pos="569"/>
        </w:tabs>
        <w:jc w:val="both"/>
        <w:rPr>
          <w:lang w:val="sr-Latn-ME"/>
        </w:rPr>
      </w:pPr>
      <w:proofErr w:type="spellStart"/>
      <w:r w:rsidRPr="00BA3E97">
        <w:t>Spolja</w:t>
      </w:r>
      <w:proofErr w:type="spellEnd"/>
      <w:r w:rsidRPr="00BA3E97">
        <w:rPr>
          <w:lang w:val="sr-Latn-ME"/>
        </w:rPr>
        <w:t>š</w:t>
      </w:r>
      <w:proofErr w:type="spellStart"/>
      <w:r w:rsidRPr="00BA3E97">
        <w:t>nje</w:t>
      </w:r>
      <w:proofErr w:type="spellEnd"/>
      <w:r w:rsidRPr="00BA3E97">
        <w:rPr>
          <w:lang w:val="sr-Latn-ME"/>
        </w:rPr>
        <w:t xml:space="preserve"> </w:t>
      </w:r>
      <w:proofErr w:type="spellStart"/>
      <w:r w:rsidRPr="00BA3E97">
        <w:t>pakovanje</w:t>
      </w:r>
      <w:proofErr w:type="spellEnd"/>
      <w:r w:rsidRPr="00BA3E97">
        <w:rPr>
          <w:lang w:val="sr-Latn-ME"/>
        </w:rPr>
        <w:t xml:space="preserve"> </w:t>
      </w:r>
      <w:proofErr w:type="spellStart"/>
      <w:r w:rsidRPr="00BA3E97">
        <w:t>sadr</w:t>
      </w:r>
      <w:proofErr w:type="spellEnd"/>
      <w:r w:rsidRPr="00BA3E97">
        <w:rPr>
          <w:lang w:val="sr-Latn-ME"/>
        </w:rPr>
        <w:t>ž</w:t>
      </w:r>
      <w:proofErr w:type="spellStart"/>
      <w:r w:rsidRPr="00BA3E97">
        <w:t>i</w:t>
      </w:r>
      <w:proofErr w:type="spellEnd"/>
      <w:r w:rsidRPr="00BA3E97">
        <w:rPr>
          <w:lang w:val="sr-Latn-ME"/>
        </w:rPr>
        <w:t xml:space="preserve"> 3 </w:t>
      </w:r>
      <w:proofErr w:type="spellStart"/>
      <w:r w:rsidRPr="00BA3E97">
        <w:t>blistera</w:t>
      </w:r>
      <w:proofErr w:type="spellEnd"/>
      <w:r w:rsidRPr="00BA3E97">
        <w:rPr>
          <w:lang w:val="sr-Latn-ME"/>
        </w:rPr>
        <w:t xml:space="preserve"> (30 </w:t>
      </w:r>
      <w:proofErr w:type="spellStart"/>
      <w:r w:rsidRPr="00BA3E97">
        <w:t>tableta</w:t>
      </w:r>
      <w:proofErr w:type="spellEnd"/>
      <w:r w:rsidRPr="00BA3E97">
        <w:rPr>
          <w:lang w:val="sr-Latn-ME"/>
        </w:rPr>
        <w:t xml:space="preserve">) </w:t>
      </w:r>
      <w:proofErr w:type="spellStart"/>
      <w:r w:rsidRPr="00BA3E97">
        <w:t>ili</w:t>
      </w:r>
      <w:proofErr w:type="spellEnd"/>
      <w:r w:rsidRPr="00BA3E97">
        <w:rPr>
          <w:lang w:val="sr-Latn-ME"/>
        </w:rPr>
        <w:t xml:space="preserve"> 6 </w:t>
      </w:r>
      <w:proofErr w:type="spellStart"/>
      <w:r w:rsidRPr="00BA3E97">
        <w:t>blistera</w:t>
      </w:r>
      <w:proofErr w:type="spellEnd"/>
      <w:r w:rsidRPr="00BA3E97">
        <w:rPr>
          <w:lang w:val="sr-Latn-ME"/>
        </w:rPr>
        <w:t xml:space="preserve"> (60 </w:t>
      </w:r>
      <w:proofErr w:type="spellStart"/>
      <w:r w:rsidRPr="00BA3E97">
        <w:t>tableta</w:t>
      </w:r>
      <w:proofErr w:type="spellEnd"/>
      <w:r w:rsidRPr="00BA3E97">
        <w:rPr>
          <w:lang w:val="sr-Latn-ME"/>
        </w:rPr>
        <w:t xml:space="preserve">) </w:t>
      </w:r>
      <w:proofErr w:type="spellStart"/>
      <w:r w:rsidRPr="00BA3E97">
        <w:t>i</w:t>
      </w:r>
      <w:proofErr w:type="spellEnd"/>
      <w:r w:rsidRPr="00BA3E97">
        <w:rPr>
          <w:lang w:val="sr-Latn-ME"/>
        </w:rPr>
        <w:t xml:space="preserve"> </w:t>
      </w:r>
      <w:proofErr w:type="spellStart"/>
      <w:r w:rsidRPr="00BA3E97">
        <w:t>Uputstvo</w:t>
      </w:r>
      <w:proofErr w:type="spellEnd"/>
      <w:r w:rsidRPr="00BA3E97">
        <w:rPr>
          <w:lang w:val="sr-Latn-ME"/>
        </w:rPr>
        <w:t xml:space="preserve"> </w:t>
      </w:r>
      <w:r w:rsidRPr="00BA3E97">
        <w:t>za</w:t>
      </w:r>
      <w:r w:rsidRPr="00BA3E97">
        <w:rPr>
          <w:lang w:val="sr-Latn-ME"/>
        </w:rPr>
        <w:t xml:space="preserve"> </w:t>
      </w:r>
      <w:proofErr w:type="spellStart"/>
      <w:r w:rsidRPr="00BA3E97">
        <w:t>lijek</w:t>
      </w:r>
      <w:proofErr w:type="spellEnd"/>
      <w:r w:rsidRPr="00BA3E97">
        <w:rPr>
          <w:lang w:val="sr-Latn-ME"/>
        </w:rPr>
        <w:t>.</w:t>
      </w:r>
    </w:p>
    <w:p w14:paraId="49E1C9A9" w14:textId="77777777" w:rsidR="00A83DDF" w:rsidRPr="00BA3E97" w:rsidRDefault="00A83DDF" w:rsidP="00A83DDF">
      <w:pPr>
        <w:tabs>
          <w:tab w:val="left" w:pos="540"/>
          <w:tab w:val="left" w:pos="569"/>
        </w:tabs>
        <w:jc w:val="both"/>
        <w:rPr>
          <w:bCs/>
          <w:sz w:val="22"/>
          <w:szCs w:val="22"/>
          <w:lang w:val="sr-Latn-ME"/>
        </w:rPr>
      </w:pPr>
    </w:p>
    <w:p w14:paraId="178B0C26" w14:textId="77777777" w:rsidR="002846DB"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6.6. </w:t>
      </w:r>
      <w:r w:rsidR="00480FB1" w:rsidRPr="00BA3E97">
        <w:rPr>
          <w:b/>
          <w:bCs/>
          <w:sz w:val="22"/>
          <w:szCs w:val="22"/>
          <w:lang w:val="sr-Latn-ME"/>
        </w:rPr>
        <w:tab/>
      </w:r>
      <w:r w:rsidRPr="00BA3E97">
        <w:rPr>
          <w:b/>
          <w:bCs/>
          <w:color w:val="000000"/>
          <w:sz w:val="22"/>
          <w:szCs w:val="22"/>
          <w:lang w:val="sr-Latn-ME"/>
        </w:rPr>
        <w:t>Posebne mjere opreza pri odlaganju materijala koji treba odbaciti nakon primjene lijeka</w:t>
      </w:r>
      <w:r w:rsidRPr="00BA3E97">
        <w:rPr>
          <w:b/>
          <w:bCs/>
          <w:sz w:val="22"/>
          <w:szCs w:val="22"/>
          <w:lang w:val="sr-Latn-ME"/>
        </w:rPr>
        <w:t xml:space="preserve"> </w:t>
      </w:r>
      <w:r w:rsidR="00310F03" w:rsidRPr="00BA3E97">
        <w:rPr>
          <w:b/>
          <w:bCs/>
          <w:sz w:val="22"/>
          <w:szCs w:val="22"/>
          <w:lang w:val="sr-Latn-ME"/>
        </w:rPr>
        <w:t>(i druga uputs</w:t>
      </w:r>
      <w:r w:rsidR="004109FA" w:rsidRPr="00BA3E97">
        <w:rPr>
          <w:b/>
          <w:bCs/>
          <w:sz w:val="22"/>
          <w:szCs w:val="22"/>
          <w:lang w:val="sr-Latn-ME"/>
        </w:rPr>
        <w:t>t</w:t>
      </w:r>
      <w:r w:rsidR="00310F03" w:rsidRPr="00BA3E97">
        <w:rPr>
          <w:b/>
          <w:bCs/>
          <w:sz w:val="22"/>
          <w:szCs w:val="22"/>
          <w:lang w:val="sr-Latn-ME"/>
        </w:rPr>
        <w:t xml:space="preserve">va za rukovanje lijekom) </w:t>
      </w:r>
    </w:p>
    <w:p w14:paraId="6BCEB01E" w14:textId="77777777" w:rsidR="00024D20" w:rsidRPr="00BA3E97" w:rsidRDefault="00024D20" w:rsidP="00A83DDF">
      <w:pPr>
        <w:tabs>
          <w:tab w:val="left" w:pos="540"/>
          <w:tab w:val="left" w:pos="569"/>
        </w:tabs>
        <w:jc w:val="both"/>
        <w:rPr>
          <w:b/>
          <w:bCs/>
          <w:sz w:val="22"/>
          <w:szCs w:val="22"/>
          <w:lang w:val="sr-Latn-ME"/>
        </w:rPr>
      </w:pPr>
    </w:p>
    <w:p w14:paraId="14676240" w14:textId="796338DD" w:rsidR="00024D20" w:rsidRPr="00BA3E97" w:rsidRDefault="00024D20" w:rsidP="00A83DDF">
      <w:pPr>
        <w:jc w:val="both"/>
        <w:rPr>
          <w:sz w:val="22"/>
          <w:szCs w:val="22"/>
          <w:lang w:val="sr-Latn-ME"/>
        </w:rPr>
      </w:pPr>
      <w:r w:rsidRPr="00BA3E97">
        <w:rPr>
          <w:sz w:val="22"/>
          <w:szCs w:val="22"/>
          <w:lang w:val="sr-Latn-ME"/>
        </w:rPr>
        <w:t>Svu neiskorišćenu količinu lijeka ili otpadnog materijala nakon njegove upotrebe treba ukloniti, u skladu sa važećim propisima.</w:t>
      </w:r>
    </w:p>
    <w:p w14:paraId="178B0C27" w14:textId="0DF4A893" w:rsidR="00B66A70" w:rsidRPr="00BA3E97" w:rsidRDefault="00B66A70" w:rsidP="00A83DDF">
      <w:pPr>
        <w:tabs>
          <w:tab w:val="left" w:pos="540"/>
          <w:tab w:val="left" w:pos="569"/>
        </w:tabs>
        <w:jc w:val="both"/>
        <w:rPr>
          <w:b/>
          <w:bCs/>
          <w:sz w:val="22"/>
          <w:szCs w:val="22"/>
          <w:lang w:val="sr-Latn-ME"/>
        </w:rPr>
      </w:pPr>
    </w:p>
    <w:p w14:paraId="7DF3CA11" w14:textId="77777777" w:rsidR="00E87ECF" w:rsidRPr="00BA3E97" w:rsidRDefault="00E87ECF" w:rsidP="00A83DDF">
      <w:pPr>
        <w:tabs>
          <w:tab w:val="left" w:pos="540"/>
          <w:tab w:val="left" w:pos="569"/>
        </w:tabs>
        <w:jc w:val="both"/>
        <w:rPr>
          <w:b/>
          <w:bCs/>
          <w:sz w:val="22"/>
          <w:szCs w:val="22"/>
          <w:lang w:val="sr-Latn-ME"/>
        </w:rPr>
      </w:pPr>
    </w:p>
    <w:p w14:paraId="178B0C29" w14:textId="77777777" w:rsidR="00F8570A" w:rsidRPr="00BA3E97" w:rsidRDefault="0072020E" w:rsidP="00A83DDF">
      <w:pPr>
        <w:tabs>
          <w:tab w:val="left" w:pos="540"/>
          <w:tab w:val="left" w:pos="569"/>
        </w:tabs>
        <w:jc w:val="both"/>
        <w:rPr>
          <w:b/>
          <w:bCs/>
          <w:sz w:val="22"/>
          <w:szCs w:val="22"/>
          <w:lang w:val="sr-Latn-ME"/>
        </w:rPr>
      </w:pPr>
      <w:r w:rsidRPr="00BA3E97">
        <w:rPr>
          <w:b/>
          <w:bCs/>
          <w:sz w:val="22"/>
          <w:szCs w:val="22"/>
          <w:lang w:val="sr-Latn-ME"/>
        </w:rPr>
        <w:lastRenderedPageBreak/>
        <w:t xml:space="preserve">7. </w:t>
      </w:r>
      <w:r w:rsidR="00480FB1" w:rsidRPr="00BA3E97">
        <w:rPr>
          <w:b/>
          <w:bCs/>
          <w:sz w:val="22"/>
          <w:szCs w:val="22"/>
          <w:lang w:val="sr-Latn-ME"/>
        </w:rPr>
        <w:tab/>
      </w:r>
      <w:r w:rsidRPr="00BA3E97">
        <w:rPr>
          <w:b/>
          <w:bCs/>
          <w:sz w:val="22"/>
          <w:szCs w:val="22"/>
          <w:lang w:val="sr-Latn-ME"/>
        </w:rPr>
        <w:t>NOSILAC DOZVOLE</w:t>
      </w:r>
      <w:r w:rsidR="00483928" w:rsidRPr="00BA3E97">
        <w:rPr>
          <w:b/>
          <w:bCs/>
          <w:sz w:val="22"/>
          <w:szCs w:val="22"/>
          <w:lang w:val="sr-Latn-ME"/>
        </w:rPr>
        <w:t xml:space="preserve"> </w:t>
      </w:r>
    </w:p>
    <w:p w14:paraId="5FCA4D64" w14:textId="77777777" w:rsidR="004E21E5" w:rsidRPr="00BA3E97" w:rsidRDefault="004E21E5" w:rsidP="00A83DDF">
      <w:pPr>
        <w:tabs>
          <w:tab w:val="left" w:pos="540"/>
          <w:tab w:val="left" w:pos="569"/>
        </w:tabs>
        <w:jc w:val="both"/>
        <w:rPr>
          <w:b/>
          <w:bCs/>
          <w:sz w:val="22"/>
          <w:szCs w:val="22"/>
          <w:lang w:val="sr-Latn-ME"/>
        </w:rPr>
      </w:pPr>
    </w:p>
    <w:p w14:paraId="5FA717DC" w14:textId="4AD77C00" w:rsidR="004E21E5" w:rsidRPr="00BA3E97" w:rsidRDefault="004E21E5" w:rsidP="00A83DDF">
      <w:pPr>
        <w:jc w:val="both"/>
        <w:rPr>
          <w:sz w:val="22"/>
          <w:szCs w:val="22"/>
          <w:lang w:val="sr-Latn-ME"/>
        </w:rPr>
      </w:pPr>
      <w:r w:rsidRPr="00BA3E97">
        <w:rPr>
          <w:sz w:val="22"/>
          <w:szCs w:val="22"/>
          <w:lang w:val="sr-Latn-ME"/>
        </w:rPr>
        <w:t>Hemofarm A</w:t>
      </w:r>
      <w:r w:rsidR="00E87ECF" w:rsidRPr="00BA3E97">
        <w:rPr>
          <w:sz w:val="22"/>
          <w:szCs w:val="22"/>
          <w:lang w:val="sr-Latn-ME"/>
        </w:rPr>
        <w:t>.</w:t>
      </w:r>
      <w:r w:rsidRPr="00BA3E97">
        <w:rPr>
          <w:sz w:val="22"/>
          <w:szCs w:val="22"/>
          <w:lang w:val="sr-Latn-ME"/>
        </w:rPr>
        <w:t>D</w:t>
      </w:r>
      <w:r w:rsidR="00E87ECF" w:rsidRPr="00BA3E97">
        <w:rPr>
          <w:sz w:val="22"/>
          <w:szCs w:val="22"/>
          <w:lang w:val="sr-Latn-ME"/>
        </w:rPr>
        <w:t>.</w:t>
      </w:r>
      <w:r w:rsidRPr="00BA3E97">
        <w:rPr>
          <w:sz w:val="22"/>
          <w:szCs w:val="22"/>
          <w:lang w:val="sr-Latn-ME"/>
        </w:rPr>
        <w:t xml:space="preserve"> Vršac P</w:t>
      </w:r>
      <w:r w:rsidR="00E87ECF" w:rsidRPr="00BA3E97">
        <w:rPr>
          <w:sz w:val="22"/>
          <w:szCs w:val="22"/>
          <w:lang w:val="sr-Latn-ME"/>
        </w:rPr>
        <w:t>.</w:t>
      </w:r>
      <w:r w:rsidRPr="00BA3E97">
        <w:rPr>
          <w:sz w:val="22"/>
          <w:szCs w:val="22"/>
          <w:lang w:val="sr-Latn-ME"/>
        </w:rPr>
        <w:t>J</w:t>
      </w:r>
      <w:r w:rsidR="00E87ECF" w:rsidRPr="00BA3E97">
        <w:rPr>
          <w:sz w:val="22"/>
          <w:szCs w:val="22"/>
          <w:lang w:val="sr-Latn-ME"/>
        </w:rPr>
        <w:t>.</w:t>
      </w:r>
      <w:r w:rsidRPr="00BA3E97">
        <w:rPr>
          <w:sz w:val="22"/>
          <w:szCs w:val="22"/>
          <w:lang w:val="sr-Latn-ME"/>
        </w:rPr>
        <w:t xml:space="preserve"> Podgorica</w:t>
      </w:r>
    </w:p>
    <w:p w14:paraId="284B2BA4" w14:textId="09309D8F" w:rsidR="004E21E5" w:rsidRPr="00BA3E97" w:rsidRDefault="004E21E5" w:rsidP="00A83DDF">
      <w:pPr>
        <w:jc w:val="both"/>
        <w:rPr>
          <w:sz w:val="22"/>
          <w:szCs w:val="22"/>
          <w:lang w:val="sr-Latn-ME"/>
        </w:rPr>
      </w:pPr>
      <w:r w:rsidRPr="00BA3E97">
        <w:rPr>
          <w:sz w:val="22"/>
          <w:szCs w:val="22"/>
          <w:lang w:val="sr-Latn-ME"/>
        </w:rPr>
        <w:t>8 marta 55A,</w:t>
      </w:r>
      <w:r w:rsidR="00E87ECF" w:rsidRPr="00BA3E97">
        <w:rPr>
          <w:sz w:val="22"/>
          <w:szCs w:val="22"/>
          <w:lang w:val="sr-Latn-ME"/>
        </w:rPr>
        <w:t xml:space="preserve"> </w:t>
      </w:r>
      <w:r w:rsidRPr="00BA3E97">
        <w:rPr>
          <w:sz w:val="22"/>
          <w:szCs w:val="22"/>
          <w:lang w:val="sr-Latn-ME"/>
        </w:rPr>
        <w:t>Podgorica,</w:t>
      </w:r>
      <w:r w:rsidR="00E87ECF" w:rsidRPr="00BA3E97">
        <w:rPr>
          <w:sz w:val="22"/>
          <w:szCs w:val="22"/>
          <w:lang w:val="sr-Latn-ME"/>
        </w:rPr>
        <w:t xml:space="preserve"> </w:t>
      </w:r>
      <w:r w:rsidRPr="00BA3E97">
        <w:rPr>
          <w:sz w:val="22"/>
          <w:szCs w:val="22"/>
          <w:lang w:val="sr-Latn-ME"/>
        </w:rPr>
        <w:t>Crna Gora</w:t>
      </w:r>
    </w:p>
    <w:p w14:paraId="178B0C2B" w14:textId="77777777" w:rsidR="00C37FD7" w:rsidRPr="00BA3E97" w:rsidRDefault="00C37FD7" w:rsidP="00A83DDF">
      <w:pPr>
        <w:tabs>
          <w:tab w:val="left" w:pos="540"/>
          <w:tab w:val="left" w:pos="569"/>
        </w:tabs>
        <w:jc w:val="both"/>
        <w:rPr>
          <w:bCs/>
          <w:sz w:val="22"/>
          <w:szCs w:val="22"/>
          <w:lang w:val="sr-Latn-ME"/>
        </w:rPr>
      </w:pPr>
    </w:p>
    <w:p w14:paraId="178B0C2C"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8. </w:t>
      </w:r>
      <w:r w:rsidR="00480FB1" w:rsidRPr="00BA3E97">
        <w:rPr>
          <w:b/>
          <w:bCs/>
          <w:sz w:val="22"/>
          <w:szCs w:val="22"/>
          <w:lang w:val="sr-Latn-ME"/>
        </w:rPr>
        <w:tab/>
      </w:r>
      <w:r w:rsidRPr="00BA3E97">
        <w:rPr>
          <w:b/>
          <w:bCs/>
          <w:sz w:val="22"/>
          <w:szCs w:val="22"/>
          <w:lang w:val="sr-Latn-ME"/>
        </w:rPr>
        <w:t>BROJ DOZVOLE</w:t>
      </w:r>
      <w:r w:rsidR="008A6D43" w:rsidRPr="00BA3E97">
        <w:rPr>
          <w:b/>
          <w:bCs/>
          <w:sz w:val="22"/>
          <w:szCs w:val="22"/>
          <w:lang w:val="sr-Latn-ME"/>
        </w:rPr>
        <w:t xml:space="preserve"> ZA STAVLJANJE LIJEKA U PROMET</w:t>
      </w:r>
    </w:p>
    <w:p w14:paraId="178B0C2D" w14:textId="77777777" w:rsidR="0072020E" w:rsidRPr="00BA3E97" w:rsidRDefault="0072020E" w:rsidP="00A83DDF">
      <w:pPr>
        <w:tabs>
          <w:tab w:val="left" w:pos="540"/>
          <w:tab w:val="left" w:pos="569"/>
        </w:tabs>
        <w:jc w:val="both"/>
        <w:rPr>
          <w:bCs/>
          <w:sz w:val="22"/>
          <w:szCs w:val="22"/>
          <w:lang w:val="sr-Latn-ME"/>
        </w:rPr>
      </w:pPr>
    </w:p>
    <w:p w14:paraId="7E816BA6" w14:textId="63459A47" w:rsidR="003753B3" w:rsidRDefault="00BA3E97" w:rsidP="00A83DDF">
      <w:pPr>
        <w:tabs>
          <w:tab w:val="left" w:pos="540"/>
          <w:tab w:val="left" w:pos="569"/>
        </w:tabs>
        <w:jc w:val="both"/>
        <w:rPr>
          <w:bCs/>
          <w:sz w:val="22"/>
          <w:szCs w:val="22"/>
          <w:lang w:val="sr-Latn-ME"/>
        </w:rPr>
      </w:pPr>
      <w:r w:rsidRPr="00BA3E97">
        <w:rPr>
          <w:bCs/>
          <w:sz w:val="22"/>
          <w:szCs w:val="22"/>
          <w:lang w:val="sr-Latn-ME"/>
        </w:rPr>
        <w:t xml:space="preserve">Criteo®, tableta, 50mg, blister, 30 </w:t>
      </w:r>
      <w:r>
        <w:rPr>
          <w:bCs/>
          <w:sz w:val="22"/>
          <w:szCs w:val="22"/>
          <w:lang w:val="sr-Latn-ME"/>
        </w:rPr>
        <w:t xml:space="preserve">tableta: </w:t>
      </w:r>
      <w:r w:rsidRPr="00BA3E97">
        <w:rPr>
          <w:bCs/>
          <w:sz w:val="22"/>
          <w:szCs w:val="22"/>
          <w:lang w:val="sr-Latn-ME"/>
        </w:rPr>
        <w:t>2030/23/2019 - 1706</w:t>
      </w:r>
    </w:p>
    <w:p w14:paraId="70EEBEF1" w14:textId="7363B873" w:rsidR="00BA3E97" w:rsidRDefault="00BA3E97" w:rsidP="00BA3E97">
      <w:pPr>
        <w:tabs>
          <w:tab w:val="left" w:pos="540"/>
          <w:tab w:val="left" w:pos="569"/>
        </w:tabs>
        <w:jc w:val="both"/>
        <w:rPr>
          <w:bCs/>
          <w:sz w:val="22"/>
          <w:szCs w:val="22"/>
          <w:lang w:val="sr-Latn-ME"/>
        </w:rPr>
      </w:pPr>
      <w:r w:rsidRPr="00BA3E97">
        <w:rPr>
          <w:bCs/>
          <w:sz w:val="22"/>
          <w:szCs w:val="22"/>
          <w:lang w:val="sr-Latn-ME"/>
        </w:rPr>
        <w:t>Criteo</w:t>
      </w:r>
      <w:r>
        <w:rPr>
          <w:bCs/>
          <w:sz w:val="22"/>
          <w:szCs w:val="22"/>
          <w:lang w:val="sr-Latn-ME"/>
        </w:rPr>
        <w:t>®, tableta, 50mg, blister, 6</w:t>
      </w:r>
      <w:r w:rsidRPr="00BA3E97">
        <w:rPr>
          <w:bCs/>
          <w:sz w:val="22"/>
          <w:szCs w:val="22"/>
          <w:lang w:val="sr-Latn-ME"/>
        </w:rPr>
        <w:t xml:space="preserve">0 </w:t>
      </w:r>
      <w:r>
        <w:rPr>
          <w:bCs/>
          <w:sz w:val="22"/>
          <w:szCs w:val="22"/>
          <w:lang w:val="sr-Latn-ME"/>
        </w:rPr>
        <w:t xml:space="preserve">tableta: </w:t>
      </w:r>
      <w:r w:rsidRPr="00BA3E97">
        <w:rPr>
          <w:bCs/>
          <w:sz w:val="22"/>
          <w:szCs w:val="22"/>
          <w:lang w:val="sr-Latn-ME"/>
        </w:rPr>
        <w:t>2030/23/2020 - 1705</w:t>
      </w:r>
    </w:p>
    <w:p w14:paraId="3A09AFA1" w14:textId="77777777" w:rsidR="00BA3E97" w:rsidRPr="00BA3E97" w:rsidRDefault="00BA3E97" w:rsidP="00A83DDF">
      <w:pPr>
        <w:tabs>
          <w:tab w:val="left" w:pos="540"/>
          <w:tab w:val="left" w:pos="569"/>
        </w:tabs>
        <w:jc w:val="both"/>
        <w:rPr>
          <w:bCs/>
          <w:sz w:val="22"/>
          <w:szCs w:val="22"/>
          <w:lang w:val="sr-Latn-ME"/>
        </w:rPr>
      </w:pPr>
    </w:p>
    <w:p w14:paraId="4A11F9D5" w14:textId="77777777" w:rsidR="00B23722" w:rsidRPr="00BA3E97" w:rsidRDefault="00B23722" w:rsidP="00A83DDF">
      <w:pPr>
        <w:tabs>
          <w:tab w:val="left" w:pos="540"/>
          <w:tab w:val="left" w:pos="569"/>
        </w:tabs>
        <w:jc w:val="both"/>
        <w:rPr>
          <w:bCs/>
          <w:sz w:val="22"/>
          <w:szCs w:val="22"/>
          <w:lang w:val="sr-Latn-ME"/>
        </w:rPr>
      </w:pPr>
    </w:p>
    <w:p w14:paraId="178B0C2F" w14:textId="77777777" w:rsidR="0072020E" w:rsidRPr="00BA3E97" w:rsidRDefault="0072020E" w:rsidP="00A83DDF">
      <w:pPr>
        <w:tabs>
          <w:tab w:val="left" w:pos="540"/>
          <w:tab w:val="left" w:pos="569"/>
        </w:tabs>
        <w:jc w:val="both"/>
        <w:rPr>
          <w:b/>
          <w:bCs/>
          <w:sz w:val="22"/>
          <w:szCs w:val="22"/>
          <w:lang w:val="sr-Latn-ME"/>
        </w:rPr>
      </w:pPr>
      <w:r w:rsidRPr="00BA3E97">
        <w:rPr>
          <w:b/>
          <w:bCs/>
          <w:sz w:val="22"/>
          <w:szCs w:val="22"/>
          <w:lang w:val="sr-Latn-ME"/>
        </w:rPr>
        <w:t xml:space="preserve">9. </w:t>
      </w:r>
      <w:r w:rsidR="00480FB1" w:rsidRPr="00BA3E97">
        <w:rPr>
          <w:b/>
          <w:bCs/>
          <w:sz w:val="22"/>
          <w:szCs w:val="22"/>
          <w:lang w:val="sr-Latn-ME"/>
        </w:rPr>
        <w:tab/>
      </w:r>
      <w:r w:rsidRPr="00BA3E97">
        <w:rPr>
          <w:b/>
          <w:bCs/>
          <w:sz w:val="22"/>
          <w:szCs w:val="22"/>
          <w:lang w:val="sr-Latn-ME"/>
        </w:rPr>
        <w:t xml:space="preserve">DATUM </w:t>
      </w:r>
      <w:r w:rsidR="00C05DF8" w:rsidRPr="00BA3E97">
        <w:rPr>
          <w:b/>
          <w:bCs/>
          <w:sz w:val="22"/>
          <w:szCs w:val="22"/>
          <w:lang w:val="sr-Latn-ME"/>
        </w:rPr>
        <w:t xml:space="preserve">PRVE </w:t>
      </w:r>
      <w:r w:rsidR="008A6D43" w:rsidRPr="00BA3E97">
        <w:rPr>
          <w:b/>
          <w:bCs/>
          <w:sz w:val="22"/>
          <w:szCs w:val="22"/>
          <w:lang w:val="sr-Latn-ME"/>
        </w:rPr>
        <w:t>DOZVOLE</w:t>
      </w:r>
      <w:r w:rsidR="00C05DF8" w:rsidRPr="00BA3E97">
        <w:rPr>
          <w:b/>
          <w:bCs/>
          <w:sz w:val="22"/>
          <w:szCs w:val="22"/>
          <w:lang w:val="sr-Latn-ME"/>
        </w:rPr>
        <w:t>/OBNOVE DOZVOLE</w:t>
      </w:r>
      <w:r w:rsidR="008A6D43" w:rsidRPr="00BA3E97">
        <w:rPr>
          <w:b/>
          <w:bCs/>
          <w:sz w:val="22"/>
          <w:szCs w:val="22"/>
          <w:lang w:val="sr-Latn-ME"/>
        </w:rPr>
        <w:t xml:space="preserve"> ZA STAVLJANJE LIJEKA U PROMET</w:t>
      </w:r>
    </w:p>
    <w:p w14:paraId="178B0C30" w14:textId="250FBEF0" w:rsidR="0072020E" w:rsidRPr="00BA3E97" w:rsidRDefault="0072020E" w:rsidP="00A83DDF">
      <w:pPr>
        <w:tabs>
          <w:tab w:val="left" w:pos="540"/>
          <w:tab w:val="left" w:pos="569"/>
        </w:tabs>
        <w:jc w:val="both"/>
        <w:rPr>
          <w:bCs/>
          <w:sz w:val="22"/>
          <w:szCs w:val="22"/>
          <w:lang w:val="sr-Latn-ME"/>
        </w:rPr>
      </w:pPr>
    </w:p>
    <w:p w14:paraId="681CC8DD" w14:textId="73080716" w:rsidR="003753B3" w:rsidRPr="00BA3E97" w:rsidRDefault="005522F6" w:rsidP="00A83DDF">
      <w:pPr>
        <w:tabs>
          <w:tab w:val="left" w:pos="540"/>
          <w:tab w:val="left" w:pos="569"/>
        </w:tabs>
        <w:jc w:val="both"/>
        <w:rPr>
          <w:bCs/>
          <w:sz w:val="22"/>
          <w:szCs w:val="22"/>
          <w:lang w:val="sr-Latn-ME"/>
        </w:rPr>
      </w:pPr>
      <w:r>
        <w:rPr>
          <w:bCs/>
          <w:sz w:val="22"/>
          <w:szCs w:val="22"/>
          <w:lang w:val="sr-Latn-ME"/>
        </w:rPr>
        <w:t>30</w:t>
      </w:r>
      <w:bookmarkStart w:id="0" w:name="_GoBack"/>
      <w:bookmarkEnd w:id="0"/>
      <w:r w:rsidR="00BA3E97" w:rsidRPr="00BA3E97">
        <w:rPr>
          <w:bCs/>
          <w:sz w:val="22"/>
          <w:szCs w:val="22"/>
          <w:lang w:val="sr-Latn-ME"/>
        </w:rPr>
        <w:t>.05.2023. godine</w:t>
      </w:r>
    </w:p>
    <w:p w14:paraId="178B0C31" w14:textId="77777777" w:rsidR="00836B35" w:rsidRPr="00BA3E97" w:rsidRDefault="00836B35" w:rsidP="00A83DDF">
      <w:pPr>
        <w:tabs>
          <w:tab w:val="left" w:pos="540"/>
          <w:tab w:val="left" w:pos="569"/>
        </w:tabs>
        <w:jc w:val="both"/>
        <w:rPr>
          <w:bCs/>
          <w:sz w:val="22"/>
          <w:szCs w:val="22"/>
          <w:lang w:val="sr-Latn-ME"/>
        </w:rPr>
      </w:pPr>
    </w:p>
    <w:p w14:paraId="178B0C32" w14:textId="77777777" w:rsidR="003F6A59" w:rsidRPr="00BA3E97" w:rsidRDefault="0072020E" w:rsidP="00A83DDF">
      <w:pPr>
        <w:tabs>
          <w:tab w:val="left" w:pos="540"/>
          <w:tab w:val="left" w:pos="569"/>
        </w:tabs>
        <w:ind w:left="540" w:hanging="540"/>
        <w:jc w:val="both"/>
        <w:rPr>
          <w:bCs/>
          <w:sz w:val="22"/>
          <w:szCs w:val="22"/>
          <w:lang w:val="sr-Latn-ME"/>
        </w:rPr>
      </w:pPr>
      <w:r w:rsidRPr="00BA3E97">
        <w:rPr>
          <w:b/>
          <w:bCs/>
          <w:sz w:val="22"/>
          <w:szCs w:val="22"/>
          <w:lang w:val="sr-Latn-ME"/>
        </w:rPr>
        <w:t xml:space="preserve">10. </w:t>
      </w:r>
      <w:r w:rsidR="00480FB1" w:rsidRPr="00BA3E97">
        <w:rPr>
          <w:b/>
          <w:bCs/>
          <w:sz w:val="22"/>
          <w:szCs w:val="22"/>
          <w:lang w:val="sr-Latn-ME"/>
        </w:rPr>
        <w:tab/>
      </w:r>
      <w:r w:rsidR="002846DB" w:rsidRPr="00BA3E97">
        <w:rPr>
          <w:b/>
          <w:bCs/>
          <w:sz w:val="22"/>
          <w:szCs w:val="22"/>
          <w:lang w:val="sr-Latn-ME"/>
        </w:rPr>
        <w:t>D</w:t>
      </w:r>
      <w:r w:rsidR="00EC2532" w:rsidRPr="00BA3E97">
        <w:rPr>
          <w:b/>
          <w:bCs/>
          <w:sz w:val="22"/>
          <w:szCs w:val="22"/>
          <w:lang w:val="sr-Latn-ME"/>
        </w:rPr>
        <w:t xml:space="preserve">ATUM REVIZIJE TEKSTA </w:t>
      </w:r>
    </w:p>
    <w:p w14:paraId="178B0C33" w14:textId="77777777" w:rsidR="003F6A59" w:rsidRPr="00BA3E97" w:rsidRDefault="003F6A59" w:rsidP="00A83DDF">
      <w:pPr>
        <w:tabs>
          <w:tab w:val="left" w:pos="540"/>
          <w:tab w:val="left" w:pos="569"/>
        </w:tabs>
        <w:jc w:val="both"/>
        <w:rPr>
          <w:bCs/>
          <w:sz w:val="22"/>
          <w:szCs w:val="22"/>
          <w:lang w:val="sr-Latn-ME"/>
        </w:rPr>
      </w:pPr>
    </w:p>
    <w:p w14:paraId="178B0C3B" w14:textId="0E67B649" w:rsidR="003F6A59" w:rsidRPr="00BA3E97" w:rsidRDefault="00BA3E97" w:rsidP="00A83DDF">
      <w:pPr>
        <w:jc w:val="both"/>
        <w:rPr>
          <w:sz w:val="22"/>
          <w:szCs w:val="22"/>
          <w:lang w:val="sr-Latn-ME"/>
        </w:rPr>
      </w:pPr>
      <w:r>
        <w:rPr>
          <w:sz w:val="22"/>
          <w:szCs w:val="22"/>
          <w:lang w:val="sr-Latn-ME"/>
        </w:rPr>
        <w:t>Maj, 2</w:t>
      </w:r>
      <w:r w:rsidRPr="00BA3E97">
        <w:rPr>
          <w:sz w:val="22"/>
          <w:szCs w:val="22"/>
          <w:lang w:val="sr-Latn-ME"/>
        </w:rPr>
        <w:t>023. godine</w:t>
      </w:r>
    </w:p>
    <w:sectPr w:rsidR="003F6A59" w:rsidRPr="00BA3E97"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CEEB" w14:textId="77777777" w:rsidR="00C54B3C" w:rsidRDefault="00C54B3C">
      <w:r>
        <w:separator/>
      </w:r>
    </w:p>
  </w:endnote>
  <w:endnote w:type="continuationSeparator" w:id="0">
    <w:p w14:paraId="2ABA9E52" w14:textId="77777777" w:rsidR="00C54B3C" w:rsidRDefault="00C5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481952"/>
      <w:docPartObj>
        <w:docPartGallery w:val="Page Numbers (Bottom of Page)"/>
        <w:docPartUnique/>
      </w:docPartObj>
    </w:sdtPr>
    <w:sdtEndPr/>
    <w:sdtContent>
      <w:sdt>
        <w:sdtPr>
          <w:id w:val="1728636285"/>
          <w:docPartObj>
            <w:docPartGallery w:val="Page Numbers (Top of Page)"/>
            <w:docPartUnique/>
          </w:docPartObj>
        </w:sdtPr>
        <w:sdtEndPr/>
        <w:sdtContent>
          <w:p w14:paraId="6034CFF6" w14:textId="2EE0ADCB" w:rsidR="00666045" w:rsidRPr="00666045" w:rsidRDefault="00666045">
            <w:pPr>
              <w:pStyle w:val="Footer"/>
              <w:jc w:val="center"/>
            </w:pPr>
            <w:r w:rsidRPr="00666045">
              <w:rPr>
                <w:bCs/>
                <w:sz w:val="20"/>
                <w:szCs w:val="20"/>
              </w:rPr>
              <w:fldChar w:fldCharType="begin"/>
            </w:r>
            <w:r w:rsidRPr="00A83DDF">
              <w:rPr>
                <w:bCs/>
                <w:sz w:val="20"/>
                <w:szCs w:val="20"/>
              </w:rPr>
              <w:instrText xml:space="preserve"> PAGE </w:instrText>
            </w:r>
            <w:r w:rsidRPr="00666045">
              <w:rPr>
                <w:bCs/>
                <w:sz w:val="20"/>
                <w:szCs w:val="20"/>
              </w:rPr>
              <w:fldChar w:fldCharType="separate"/>
            </w:r>
            <w:r w:rsidR="005522F6">
              <w:rPr>
                <w:bCs/>
                <w:noProof/>
                <w:sz w:val="20"/>
                <w:szCs w:val="20"/>
              </w:rPr>
              <w:t>5</w:t>
            </w:r>
            <w:r w:rsidRPr="00666045">
              <w:rPr>
                <w:bCs/>
                <w:sz w:val="20"/>
                <w:szCs w:val="20"/>
              </w:rPr>
              <w:fldChar w:fldCharType="end"/>
            </w:r>
            <w:r w:rsidRPr="00666045">
              <w:rPr>
                <w:sz w:val="20"/>
                <w:szCs w:val="20"/>
              </w:rPr>
              <w:t xml:space="preserve"> / </w:t>
            </w:r>
            <w:r w:rsidRPr="00666045">
              <w:rPr>
                <w:bCs/>
                <w:sz w:val="20"/>
                <w:szCs w:val="20"/>
              </w:rPr>
              <w:fldChar w:fldCharType="begin"/>
            </w:r>
            <w:r w:rsidRPr="00A83DDF">
              <w:rPr>
                <w:bCs/>
                <w:sz w:val="20"/>
                <w:szCs w:val="20"/>
              </w:rPr>
              <w:instrText xml:space="preserve"> NUMPAGES  </w:instrText>
            </w:r>
            <w:r w:rsidRPr="00666045">
              <w:rPr>
                <w:bCs/>
                <w:sz w:val="20"/>
                <w:szCs w:val="20"/>
              </w:rPr>
              <w:fldChar w:fldCharType="separate"/>
            </w:r>
            <w:r w:rsidR="005522F6">
              <w:rPr>
                <w:bCs/>
                <w:noProof/>
                <w:sz w:val="20"/>
                <w:szCs w:val="20"/>
              </w:rPr>
              <w:t>14</w:t>
            </w:r>
            <w:r w:rsidRPr="00666045">
              <w:rPr>
                <w:bCs/>
                <w:sz w:val="20"/>
                <w:szCs w:val="20"/>
              </w:rPr>
              <w:fldChar w:fldCharType="end"/>
            </w:r>
          </w:p>
        </w:sdtContent>
      </w:sdt>
    </w:sdtContent>
  </w:sdt>
  <w:p w14:paraId="1EE276F8" w14:textId="77777777" w:rsidR="00666045" w:rsidRDefault="00666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0C44" w14:textId="0C1310DE" w:rsidR="00EF3B86" w:rsidRPr="00BA3E97" w:rsidRDefault="00EF3B86" w:rsidP="00B23F69">
    <w:pPr>
      <w:pStyle w:val="Footer"/>
      <w:jc w:val="center"/>
      <w:rPr>
        <w:sz w:val="20"/>
        <w:szCs w:val="22"/>
      </w:rPr>
    </w:pPr>
    <w:r w:rsidRPr="00BA3E97">
      <w:rPr>
        <w:sz w:val="20"/>
        <w:szCs w:val="22"/>
      </w:rPr>
      <w:fldChar w:fldCharType="begin"/>
    </w:r>
    <w:r w:rsidRPr="00BA3E97">
      <w:rPr>
        <w:sz w:val="20"/>
        <w:szCs w:val="22"/>
      </w:rPr>
      <w:instrText xml:space="preserve"> PAGE </w:instrText>
    </w:r>
    <w:r w:rsidRPr="00BA3E97">
      <w:rPr>
        <w:sz w:val="20"/>
        <w:szCs w:val="22"/>
      </w:rPr>
      <w:fldChar w:fldCharType="separate"/>
    </w:r>
    <w:r w:rsidR="005522F6">
      <w:rPr>
        <w:noProof/>
        <w:sz w:val="20"/>
        <w:szCs w:val="22"/>
      </w:rPr>
      <w:t>14</w:t>
    </w:r>
    <w:r w:rsidRPr="00BA3E97">
      <w:rPr>
        <w:sz w:val="20"/>
        <w:szCs w:val="22"/>
      </w:rPr>
      <w:fldChar w:fldCharType="end"/>
    </w:r>
    <w:r w:rsidRPr="00BA3E97">
      <w:rPr>
        <w:sz w:val="20"/>
        <w:szCs w:val="22"/>
      </w:rPr>
      <w:t xml:space="preserve"> / </w:t>
    </w:r>
    <w:r w:rsidRPr="00BA3E97">
      <w:rPr>
        <w:sz w:val="20"/>
        <w:szCs w:val="22"/>
      </w:rPr>
      <w:fldChar w:fldCharType="begin"/>
    </w:r>
    <w:r w:rsidRPr="00BA3E97">
      <w:rPr>
        <w:sz w:val="20"/>
        <w:szCs w:val="22"/>
      </w:rPr>
      <w:instrText xml:space="preserve"> NUMPAGES </w:instrText>
    </w:r>
    <w:r w:rsidRPr="00BA3E97">
      <w:rPr>
        <w:sz w:val="20"/>
        <w:szCs w:val="22"/>
      </w:rPr>
      <w:fldChar w:fldCharType="separate"/>
    </w:r>
    <w:r w:rsidR="005522F6">
      <w:rPr>
        <w:noProof/>
        <w:sz w:val="20"/>
        <w:szCs w:val="22"/>
      </w:rPr>
      <w:t>14</w:t>
    </w:r>
    <w:r w:rsidRPr="00BA3E97">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F5A85" w14:textId="77777777" w:rsidR="00C54B3C" w:rsidRDefault="00C54B3C">
      <w:r>
        <w:separator/>
      </w:r>
    </w:p>
  </w:footnote>
  <w:footnote w:type="continuationSeparator" w:id="0">
    <w:p w14:paraId="35E76AAF" w14:textId="77777777" w:rsidR="00C54B3C" w:rsidRDefault="00C5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1D02"/>
    <w:multiLevelType w:val="hybridMultilevel"/>
    <w:tmpl w:val="59128508"/>
    <w:lvl w:ilvl="0" w:tplc="0E2C34B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53B4CD9"/>
    <w:multiLevelType w:val="hybridMultilevel"/>
    <w:tmpl w:val="B148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2"/>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13F"/>
    <w:rsid w:val="00003313"/>
    <w:rsid w:val="000176CA"/>
    <w:rsid w:val="0002154C"/>
    <w:rsid w:val="0002165B"/>
    <w:rsid w:val="00024D20"/>
    <w:rsid w:val="00033469"/>
    <w:rsid w:val="00033F09"/>
    <w:rsid w:val="00036FA0"/>
    <w:rsid w:val="0003793F"/>
    <w:rsid w:val="00045130"/>
    <w:rsid w:val="0005292A"/>
    <w:rsid w:val="00057E35"/>
    <w:rsid w:val="00066FCA"/>
    <w:rsid w:val="00075E28"/>
    <w:rsid w:val="00076726"/>
    <w:rsid w:val="00080303"/>
    <w:rsid w:val="00080A6E"/>
    <w:rsid w:val="00083D02"/>
    <w:rsid w:val="000A3F58"/>
    <w:rsid w:val="000B0F6D"/>
    <w:rsid w:val="000B32C6"/>
    <w:rsid w:val="000D2343"/>
    <w:rsid w:val="000D27FC"/>
    <w:rsid w:val="000D3449"/>
    <w:rsid w:val="000D425A"/>
    <w:rsid w:val="000D60CC"/>
    <w:rsid w:val="000E2084"/>
    <w:rsid w:val="000E6F55"/>
    <w:rsid w:val="000F77FA"/>
    <w:rsid w:val="00107BF7"/>
    <w:rsid w:val="00126F53"/>
    <w:rsid w:val="00134CAF"/>
    <w:rsid w:val="0014766D"/>
    <w:rsid w:val="001536CC"/>
    <w:rsid w:val="001750DC"/>
    <w:rsid w:val="0019706A"/>
    <w:rsid w:val="001A3FBA"/>
    <w:rsid w:val="001A5518"/>
    <w:rsid w:val="001A6681"/>
    <w:rsid w:val="001B1C6A"/>
    <w:rsid w:val="001C1263"/>
    <w:rsid w:val="001C1417"/>
    <w:rsid w:val="001D15D3"/>
    <w:rsid w:val="001E390B"/>
    <w:rsid w:val="001F42FB"/>
    <w:rsid w:val="001F4F44"/>
    <w:rsid w:val="001F719A"/>
    <w:rsid w:val="002031B3"/>
    <w:rsid w:val="00215931"/>
    <w:rsid w:val="00224C91"/>
    <w:rsid w:val="00227BDB"/>
    <w:rsid w:val="00234CB1"/>
    <w:rsid w:val="002352F8"/>
    <w:rsid w:val="00242C34"/>
    <w:rsid w:val="002510A5"/>
    <w:rsid w:val="002535E7"/>
    <w:rsid w:val="00254A0A"/>
    <w:rsid w:val="00266046"/>
    <w:rsid w:val="002846DB"/>
    <w:rsid w:val="00284CCD"/>
    <w:rsid w:val="002B232F"/>
    <w:rsid w:val="002B4EBE"/>
    <w:rsid w:val="002C15CC"/>
    <w:rsid w:val="002C6637"/>
    <w:rsid w:val="002E0135"/>
    <w:rsid w:val="002E37A5"/>
    <w:rsid w:val="00310F03"/>
    <w:rsid w:val="003247D2"/>
    <w:rsid w:val="00336C37"/>
    <w:rsid w:val="00341496"/>
    <w:rsid w:val="00341C55"/>
    <w:rsid w:val="00341D9B"/>
    <w:rsid w:val="003445C1"/>
    <w:rsid w:val="00351678"/>
    <w:rsid w:val="00355B61"/>
    <w:rsid w:val="00362686"/>
    <w:rsid w:val="00371510"/>
    <w:rsid w:val="003753B3"/>
    <w:rsid w:val="00396DFD"/>
    <w:rsid w:val="003A7059"/>
    <w:rsid w:val="003B7A36"/>
    <w:rsid w:val="003C0C0D"/>
    <w:rsid w:val="003C17AB"/>
    <w:rsid w:val="003C7823"/>
    <w:rsid w:val="003E1DCC"/>
    <w:rsid w:val="003E5CD2"/>
    <w:rsid w:val="003E68C9"/>
    <w:rsid w:val="003F11A1"/>
    <w:rsid w:val="003F6A59"/>
    <w:rsid w:val="004065C8"/>
    <w:rsid w:val="004109FA"/>
    <w:rsid w:val="00411B4B"/>
    <w:rsid w:val="00415BEE"/>
    <w:rsid w:val="004254E9"/>
    <w:rsid w:val="00427F85"/>
    <w:rsid w:val="00436F42"/>
    <w:rsid w:val="004378B4"/>
    <w:rsid w:val="00442A43"/>
    <w:rsid w:val="00451314"/>
    <w:rsid w:val="00452E9D"/>
    <w:rsid w:val="004534C7"/>
    <w:rsid w:val="004671AA"/>
    <w:rsid w:val="00471DF8"/>
    <w:rsid w:val="00472B0F"/>
    <w:rsid w:val="00480FB1"/>
    <w:rsid w:val="00483928"/>
    <w:rsid w:val="004867CE"/>
    <w:rsid w:val="0049053B"/>
    <w:rsid w:val="00493105"/>
    <w:rsid w:val="004A4C3D"/>
    <w:rsid w:val="004C331F"/>
    <w:rsid w:val="004D6103"/>
    <w:rsid w:val="004E21E5"/>
    <w:rsid w:val="004E3BCE"/>
    <w:rsid w:val="004E70AD"/>
    <w:rsid w:val="004F0E97"/>
    <w:rsid w:val="004F17E2"/>
    <w:rsid w:val="00501DD1"/>
    <w:rsid w:val="00515C21"/>
    <w:rsid w:val="00530BD7"/>
    <w:rsid w:val="00545CD2"/>
    <w:rsid w:val="005476F3"/>
    <w:rsid w:val="00550EDC"/>
    <w:rsid w:val="005522F6"/>
    <w:rsid w:val="00554114"/>
    <w:rsid w:val="00562667"/>
    <w:rsid w:val="00572527"/>
    <w:rsid w:val="00573E40"/>
    <w:rsid w:val="00576348"/>
    <w:rsid w:val="00586BDE"/>
    <w:rsid w:val="00591157"/>
    <w:rsid w:val="005A0B2E"/>
    <w:rsid w:val="005A23D2"/>
    <w:rsid w:val="005A36CB"/>
    <w:rsid w:val="005B49B8"/>
    <w:rsid w:val="005B57C4"/>
    <w:rsid w:val="005C0741"/>
    <w:rsid w:val="005C53F0"/>
    <w:rsid w:val="005C5EF4"/>
    <w:rsid w:val="005D16F8"/>
    <w:rsid w:val="005D2D9B"/>
    <w:rsid w:val="005D61AB"/>
    <w:rsid w:val="005E05B8"/>
    <w:rsid w:val="005E2E0B"/>
    <w:rsid w:val="005E67AD"/>
    <w:rsid w:val="005E7A7D"/>
    <w:rsid w:val="00602457"/>
    <w:rsid w:val="00620CD5"/>
    <w:rsid w:val="006350B8"/>
    <w:rsid w:val="00644FC3"/>
    <w:rsid w:val="00646BD1"/>
    <w:rsid w:val="00647F11"/>
    <w:rsid w:val="006561C2"/>
    <w:rsid w:val="00663E3E"/>
    <w:rsid w:val="00666045"/>
    <w:rsid w:val="00671CB3"/>
    <w:rsid w:val="006735A5"/>
    <w:rsid w:val="00674BAF"/>
    <w:rsid w:val="00682200"/>
    <w:rsid w:val="00692BF6"/>
    <w:rsid w:val="00693F80"/>
    <w:rsid w:val="006A1351"/>
    <w:rsid w:val="006A1497"/>
    <w:rsid w:val="006B0BD1"/>
    <w:rsid w:val="006B5404"/>
    <w:rsid w:val="006D20A5"/>
    <w:rsid w:val="006D37BF"/>
    <w:rsid w:val="00702E22"/>
    <w:rsid w:val="0072020E"/>
    <w:rsid w:val="00742036"/>
    <w:rsid w:val="00754902"/>
    <w:rsid w:val="00786071"/>
    <w:rsid w:val="007A3ECB"/>
    <w:rsid w:val="007D7BB3"/>
    <w:rsid w:val="007E31E9"/>
    <w:rsid w:val="00802240"/>
    <w:rsid w:val="00824AB9"/>
    <w:rsid w:val="00836B35"/>
    <w:rsid w:val="00843BDE"/>
    <w:rsid w:val="0087588C"/>
    <w:rsid w:val="0089705C"/>
    <w:rsid w:val="008A6D43"/>
    <w:rsid w:val="008A6ED8"/>
    <w:rsid w:val="008B491E"/>
    <w:rsid w:val="008C1A28"/>
    <w:rsid w:val="008C2E98"/>
    <w:rsid w:val="008E49BD"/>
    <w:rsid w:val="008E53E9"/>
    <w:rsid w:val="008E5771"/>
    <w:rsid w:val="008F4ACF"/>
    <w:rsid w:val="00921A2E"/>
    <w:rsid w:val="00924166"/>
    <w:rsid w:val="00940B9B"/>
    <w:rsid w:val="0094754D"/>
    <w:rsid w:val="00953573"/>
    <w:rsid w:val="0095676E"/>
    <w:rsid w:val="00956983"/>
    <w:rsid w:val="00963CF0"/>
    <w:rsid w:val="00964BB1"/>
    <w:rsid w:val="009775D9"/>
    <w:rsid w:val="00997175"/>
    <w:rsid w:val="009A1847"/>
    <w:rsid w:val="009A3719"/>
    <w:rsid w:val="009A3B0C"/>
    <w:rsid w:val="009B062A"/>
    <w:rsid w:val="009B2015"/>
    <w:rsid w:val="009D7270"/>
    <w:rsid w:val="009E7C6F"/>
    <w:rsid w:val="009F1793"/>
    <w:rsid w:val="009F2D23"/>
    <w:rsid w:val="00A01D69"/>
    <w:rsid w:val="00A02335"/>
    <w:rsid w:val="00A16CCA"/>
    <w:rsid w:val="00A46C9A"/>
    <w:rsid w:val="00A52F32"/>
    <w:rsid w:val="00A619F3"/>
    <w:rsid w:val="00A62A73"/>
    <w:rsid w:val="00A72186"/>
    <w:rsid w:val="00A77E7C"/>
    <w:rsid w:val="00A83DDF"/>
    <w:rsid w:val="00A87FF6"/>
    <w:rsid w:val="00AA0A3B"/>
    <w:rsid w:val="00AA2763"/>
    <w:rsid w:val="00AA33B6"/>
    <w:rsid w:val="00AB50CA"/>
    <w:rsid w:val="00AB6D64"/>
    <w:rsid w:val="00AC53CE"/>
    <w:rsid w:val="00AD2193"/>
    <w:rsid w:val="00AD25EF"/>
    <w:rsid w:val="00AE3023"/>
    <w:rsid w:val="00AF19F4"/>
    <w:rsid w:val="00AF2AC7"/>
    <w:rsid w:val="00AF74CE"/>
    <w:rsid w:val="00B1197C"/>
    <w:rsid w:val="00B16956"/>
    <w:rsid w:val="00B208DB"/>
    <w:rsid w:val="00B23722"/>
    <w:rsid w:val="00B23F69"/>
    <w:rsid w:val="00B26B3C"/>
    <w:rsid w:val="00B310F2"/>
    <w:rsid w:val="00B60619"/>
    <w:rsid w:val="00B66A70"/>
    <w:rsid w:val="00B67366"/>
    <w:rsid w:val="00B80EE1"/>
    <w:rsid w:val="00B84135"/>
    <w:rsid w:val="00BA1F8D"/>
    <w:rsid w:val="00BA3E97"/>
    <w:rsid w:val="00BF363D"/>
    <w:rsid w:val="00C04D34"/>
    <w:rsid w:val="00C05AFF"/>
    <w:rsid w:val="00C05DF8"/>
    <w:rsid w:val="00C06864"/>
    <w:rsid w:val="00C10F54"/>
    <w:rsid w:val="00C23D8D"/>
    <w:rsid w:val="00C37AA3"/>
    <w:rsid w:val="00C37FD7"/>
    <w:rsid w:val="00C43419"/>
    <w:rsid w:val="00C44CF3"/>
    <w:rsid w:val="00C54B3C"/>
    <w:rsid w:val="00C61BE0"/>
    <w:rsid w:val="00C6707E"/>
    <w:rsid w:val="00C70B0E"/>
    <w:rsid w:val="00C773CA"/>
    <w:rsid w:val="00C83785"/>
    <w:rsid w:val="00C83EC2"/>
    <w:rsid w:val="00C94C0D"/>
    <w:rsid w:val="00CA1FEB"/>
    <w:rsid w:val="00CB786E"/>
    <w:rsid w:val="00CD4F85"/>
    <w:rsid w:val="00CD6F02"/>
    <w:rsid w:val="00CE246D"/>
    <w:rsid w:val="00CF07A0"/>
    <w:rsid w:val="00CF3E03"/>
    <w:rsid w:val="00CF61CF"/>
    <w:rsid w:val="00D0082A"/>
    <w:rsid w:val="00D14AA1"/>
    <w:rsid w:val="00D2125A"/>
    <w:rsid w:val="00D21455"/>
    <w:rsid w:val="00D47634"/>
    <w:rsid w:val="00D709B3"/>
    <w:rsid w:val="00D74CD2"/>
    <w:rsid w:val="00D974D0"/>
    <w:rsid w:val="00DA2ED6"/>
    <w:rsid w:val="00DA68FD"/>
    <w:rsid w:val="00DB1D55"/>
    <w:rsid w:val="00DB76B8"/>
    <w:rsid w:val="00DC2EA1"/>
    <w:rsid w:val="00DD6AAF"/>
    <w:rsid w:val="00DE3F5C"/>
    <w:rsid w:val="00DF1D20"/>
    <w:rsid w:val="00E03564"/>
    <w:rsid w:val="00E21324"/>
    <w:rsid w:val="00E246B9"/>
    <w:rsid w:val="00E31FEA"/>
    <w:rsid w:val="00E33C64"/>
    <w:rsid w:val="00E35070"/>
    <w:rsid w:val="00E40FBE"/>
    <w:rsid w:val="00E45169"/>
    <w:rsid w:val="00E45D2F"/>
    <w:rsid w:val="00E47787"/>
    <w:rsid w:val="00E51C30"/>
    <w:rsid w:val="00E54681"/>
    <w:rsid w:val="00E64180"/>
    <w:rsid w:val="00E7235D"/>
    <w:rsid w:val="00E73000"/>
    <w:rsid w:val="00E73331"/>
    <w:rsid w:val="00E74AEE"/>
    <w:rsid w:val="00E868E5"/>
    <w:rsid w:val="00E87ECF"/>
    <w:rsid w:val="00E91D67"/>
    <w:rsid w:val="00E9237A"/>
    <w:rsid w:val="00E939FA"/>
    <w:rsid w:val="00EA5765"/>
    <w:rsid w:val="00EB2A1F"/>
    <w:rsid w:val="00EC2532"/>
    <w:rsid w:val="00ED7812"/>
    <w:rsid w:val="00EF06E8"/>
    <w:rsid w:val="00EF3B86"/>
    <w:rsid w:val="00F253D5"/>
    <w:rsid w:val="00F27469"/>
    <w:rsid w:val="00F317E9"/>
    <w:rsid w:val="00F34554"/>
    <w:rsid w:val="00F35B68"/>
    <w:rsid w:val="00F45F77"/>
    <w:rsid w:val="00F4738E"/>
    <w:rsid w:val="00F5167F"/>
    <w:rsid w:val="00F52258"/>
    <w:rsid w:val="00F8570A"/>
    <w:rsid w:val="00F91C7B"/>
    <w:rsid w:val="00FE084E"/>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B0BC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AE302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8FD"/>
    <w:pPr>
      <w:tabs>
        <w:tab w:val="left" w:pos="284"/>
      </w:tabs>
      <w:ind w:left="720"/>
      <w:contextualSpacing/>
      <w:jc w:val="both"/>
    </w:pPr>
    <w:rPr>
      <w:sz w:val="22"/>
    </w:rPr>
  </w:style>
  <w:style w:type="paragraph" w:styleId="BodyText">
    <w:name w:val="Body Text"/>
    <w:basedOn w:val="Normal"/>
    <w:link w:val="BodyTextChar"/>
    <w:uiPriority w:val="1"/>
    <w:unhideWhenUsed/>
    <w:qFormat/>
    <w:rsid w:val="00493105"/>
    <w:pPr>
      <w:widowControl w:val="0"/>
      <w:autoSpaceDE w:val="0"/>
      <w:autoSpaceDN w:val="0"/>
    </w:pPr>
    <w:rPr>
      <w:sz w:val="22"/>
      <w:szCs w:val="22"/>
      <w:lang w:val="hr-HR"/>
    </w:rPr>
  </w:style>
  <w:style w:type="character" w:customStyle="1" w:styleId="BodyTextChar">
    <w:name w:val="Body Text Char"/>
    <w:basedOn w:val="DefaultParagraphFont"/>
    <w:link w:val="BodyText"/>
    <w:uiPriority w:val="1"/>
    <w:rsid w:val="00493105"/>
    <w:rPr>
      <w:sz w:val="22"/>
      <w:szCs w:val="22"/>
      <w:lang w:val="hr-HR" w:eastAsia="en-US"/>
    </w:rPr>
  </w:style>
  <w:style w:type="paragraph" w:customStyle="1" w:styleId="TableParagraph">
    <w:name w:val="Table Paragraph"/>
    <w:basedOn w:val="Normal"/>
    <w:uiPriority w:val="1"/>
    <w:qFormat/>
    <w:rsid w:val="00493105"/>
    <w:pPr>
      <w:widowControl w:val="0"/>
      <w:autoSpaceDE w:val="0"/>
      <w:autoSpaceDN w:val="0"/>
      <w:ind w:left="107"/>
    </w:pPr>
    <w:rPr>
      <w:sz w:val="22"/>
      <w:szCs w:val="22"/>
      <w:lang w:val="hr-HR"/>
    </w:rPr>
  </w:style>
  <w:style w:type="character" w:customStyle="1" w:styleId="FooterChar">
    <w:name w:val="Footer Char"/>
    <w:basedOn w:val="DefaultParagraphFont"/>
    <w:link w:val="Footer"/>
    <w:uiPriority w:val="99"/>
    <w:rsid w:val="00666045"/>
    <w:rPr>
      <w:sz w:val="24"/>
      <w:szCs w:val="24"/>
      <w:lang w:val="en-US" w:eastAsia="en-US"/>
    </w:rPr>
  </w:style>
  <w:style w:type="paragraph" w:styleId="Revision">
    <w:name w:val="Revision"/>
    <w:hidden/>
    <w:uiPriority w:val="99"/>
    <w:semiHidden/>
    <w:rsid w:val="00A83DD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31255">
      <w:bodyDiv w:val="1"/>
      <w:marLeft w:val="0"/>
      <w:marRight w:val="0"/>
      <w:marTop w:val="0"/>
      <w:marBottom w:val="0"/>
      <w:divBdr>
        <w:top w:val="none" w:sz="0" w:space="0" w:color="auto"/>
        <w:left w:val="none" w:sz="0" w:space="0" w:color="auto"/>
        <w:bottom w:val="none" w:sz="0" w:space="0" w:color="auto"/>
        <w:right w:val="none" w:sz="0" w:space="0" w:color="auto"/>
      </w:divBdr>
    </w:div>
    <w:div w:id="1717240685">
      <w:bodyDiv w:val="1"/>
      <w:marLeft w:val="0"/>
      <w:marRight w:val="0"/>
      <w:marTop w:val="0"/>
      <w:marBottom w:val="0"/>
      <w:divBdr>
        <w:top w:val="none" w:sz="0" w:space="0" w:color="auto"/>
        <w:left w:val="none" w:sz="0" w:space="0" w:color="auto"/>
        <w:bottom w:val="none" w:sz="0" w:space="0" w:color="auto"/>
        <w:right w:val="none" w:sz="0" w:space="0" w:color="auto"/>
      </w:divBdr>
    </w:div>
    <w:div w:id="210279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4CDC6-2780-4093-98E6-15BD3AA2E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E0B04-B8B8-4DFC-BC63-725441039B0F}">
  <ds:schemaRefs>
    <ds:schemaRef ds:uri="http://schemas.microsoft.com/sharepoint/v3/contenttype/forms"/>
  </ds:schemaRefs>
</ds:datastoreItem>
</file>

<file path=customXml/itemProps3.xml><?xml version="1.0" encoding="utf-8"?>
<ds:datastoreItem xmlns:ds="http://schemas.openxmlformats.org/officeDocument/2006/customXml" ds:itemID="{581F9E3F-E5E5-4981-A6AE-E8FF9F8A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6318</Words>
  <Characters>36018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42252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5</cp:revision>
  <cp:lastPrinted>2023-02-09T08:16:00Z</cp:lastPrinted>
  <dcterms:created xsi:type="dcterms:W3CDTF">2023-05-26T13:23:00Z</dcterms:created>
  <dcterms:modified xsi:type="dcterms:W3CDTF">2023-05-29T13:08:00Z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