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107B" w14:textId="77777777" w:rsidR="002510A5" w:rsidRPr="00490F97" w:rsidRDefault="002510A5" w:rsidP="003F20F7">
      <w:pPr>
        <w:jc w:val="center"/>
        <w:rPr>
          <w:b/>
          <w:bCs/>
          <w:iCs/>
          <w:noProof/>
          <w:sz w:val="22"/>
          <w:szCs w:val="22"/>
          <w:u w:val="single"/>
          <w:lang w:val="sr-Latn-ME"/>
        </w:rPr>
      </w:pPr>
      <w:bookmarkStart w:id="0" w:name="_GoBack"/>
      <w:bookmarkEnd w:id="0"/>
      <w:r w:rsidRPr="00490F97">
        <w:rPr>
          <w:b/>
          <w:bCs/>
          <w:iCs/>
          <w:noProof/>
          <w:sz w:val="22"/>
          <w:szCs w:val="22"/>
          <w:u w:val="single"/>
          <w:lang w:val="sr-Latn-ME"/>
        </w:rPr>
        <w:t>SAŽETAK KARAKTERISTIKA LIJEKA</w:t>
      </w:r>
    </w:p>
    <w:p w14:paraId="17E23DC4" w14:textId="77777777" w:rsidR="002510A5" w:rsidRPr="00490F97" w:rsidRDefault="002510A5" w:rsidP="00D92429">
      <w:pPr>
        <w:jc w:val="both"/>
        <w:rPr>
          <w:b/>
          <w:bCs/>
          <w:i/>
          <w:iCs/>
          <w:noProof/>
          <w:sz w:val="22"/>
          <w:szCs w:val="22"/>
          <w:u w:val="single"/>
          <w:lang w:val="sr-Latn-ME"/>
        </w:rPr>
      </w:pPr>
    </w:p>
    <w:p w14:paraId="5D683E13" w14:textId="77777777" w:rsidR="003C17AB" w:rsidRPr="00490F97" w:rsidRDefault="003C17AB" w:rsidP="00D92429">
      <w:pPr>
        <w:jc w:val="both"/>
        <w:rPr>
          <w:noProof/>
          <w:sz w:val="22"/>
          <w:szCs w:val="22"/>
          <w:lang w:val="sr-Latn-ME"/>
        </w:rPr>
      </w:pPr>
    </w:p>
    <w:p w14:paraId="03224FC0" w14:textId="77777777" w:rsidR="00C37FD7" w:rsidRPr="00490F97" w:rsidRDefault="00C37FD7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65A1AFE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>1.</w:t>
      </w:r>
      <w:r w:rsidR="00F5167F" w:rsidRPr="00490F97">
        <w:rPr>
          <w:b/>
          <w:bCs/>
          <w:noProof/>
          <w:sz w:val="22"/>
          <w:szCs w:val="22"/>
          <w:lang w:val="sr-Latn-ME"/>
        </w:rPr>
        <w:tab/>
      </w:r>
      <w:r w:rsidR="002846DB" w:rsidRPr="00490F97">
        <w:rPr>
          <w:b/>
          <w:bCs/>
          <w:noProof/>
          <w:sz w:val="22"/>
          <w:szCs w:val="22"/>
          <w:lang w:val="sr-Latn-ME"/>
        </w:rPr>
        <w:t xml:space="preserve">NAZIV </w:t>
      </w:r>
      <w:r w:rsidRPr="00490F97">
        <w:rPr>
          <w:b/>
          <w:bCs/>
          <w:noProof/>
          <w:sz w:val="22"/>
          <w:szCs w:val="22"/>
          <w:lang w:val="sr-Latn-ME"/>
        </w:rPr>
        <w:t>LIJEKA</w:t>
      </w:r>
    </w:p>
    <w:p w14:paraId="59CA5C7D" w14:textId="77777777" w:rsidR="00EC2532" w:rsidRPr="00490F97" w:rsidRDefault="00EC2532" w:rsidP="00D92429">
      <w:pPr>
        <w:jc w:val="both"/>
        <w:rPr>
          <w:noProof/>
          <w:sz w:val="22"/>
          <w:szCs w:val="22"/>
          <w:lang w:val="sr-Latn-ME"/>
        </w:rPr>
      </w:pPr>
    </w:p>
    <w:p w14:paraId="434B0C90" w14:textId="77777777" w:rsidR="000D425A" w:rsidRPr="00490F97" w:rsidRDefault="00671629" w:rsidP="00D92429">
      <w:pPr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F</w:t>
      </w:r>
      <w:r w:rsidR="00992A3E" w:rsidRPr="00490F97">
        <w:rPr>
          <w:bCs/>
          <w:noProof/>
          <w:sz w:val="22"/>
          <w:szCs w:val="22"/>
          <w:lang w:val="sr-Latn-ME"/>
        </w:rPr>
        <w:t>EN</w:t>
      </w:r>
      <w:r w:rsidR="001B2FBA" w:rsidRPr="00490F97">
        <w:rPr>
          <w:bCs/>
          <w:noProof/>
          <w:sz w:val="22"/>
          <w:szCs w:val="22"/>
          <w:lang w:val="sr-Latn-ME"/>
        </w:rPr>
        <w:t xml:space="preserve">IX NEO, 20 mg, </w:t>
      </w:r>
      <w:r w:rsidR="00DF7A5C" w:rsidRPr="00490F97">
        <w:rPr>
          <w:bCs/>
          <w:noProof/>
          <w:sz w:val="22"/>
          <w:szCs w:val="22"/>
          <w:lang w:val="sr-Latn-ME"/>
        </w:rPr>
        <w:t>gastrorezistentna tableta</w:t>
      </w:r>
    </w:p>
    <w:p w14:paraId="312DD265" w14:textId="77777777" w:rsidR="000269F7" w:rsidRPr="00490F97" w:rsidRDefault="000269F7" w:rsidP="00D92429">
      <w:pPr>
        <w:jc w:val="both"/>
        <w:rPr>
          <w:bCs/>
          <w:noProof/>
          <w:sz w:val="22"/>
          <w:szCs w:val="22"/>
          <w:lang w:val="sr-Latn-ME"/>
        </w:rPr>
      </w:pPr>
    </w:p>
    <w:p w14:paraId="45ED3D9D" w14:textId="77777777" w:rsidR="006D20A5" w:rsidRPr="00490F97" w:rsidRDefault="006D20A5" w:rsidP="00D92429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INN:</w:t>
      </w:r>
      <w:r w:rsidR="000269F7" w:rsidRPr="00490F97">
        <w:rPr>
          <w:noProof/>
          <w:sz w:val="22"/>
          <w:szCs w:val="22"/>
          <w:lang w:val="sr-Latn-ME"/>
        </w:rPr>
        <w:t xml:space="preserve"> </w:t>
      </w:r>
      <w:r w:rsidR="000269F7" w:rsidRPr="00490F97">
        <w:rPr>
          <w:i/>
          <w:noProof/>
          <w:sz w:val="22"/>
          <w:szCs w:val="22"/>
          <w:lang w:val="sr-Latn-ME"/>
        </w:rPr>
        <w:t>pantoprazol</w:t>
      </w:r>
    </w:p>
    <w:p w14:paraId="39619078" w14:textId="77777777" w:rsidR="006D20A5" w:rsidRPr="00490F97" w:rsidRDefault="006D20A5" w:rsidP="00D92429">
      <w:pPr>
        <w:jc w:val="both"/>
        <w:rPr>
          <w:bCs/>
          <w:noProof/>
          <w:sz w:val="22"/>
          <w:szCs w:val="22"/>
          <w:lang w:val="sr-Latn-ME"/>
        </w:rPr>
      </w:pPr>
    </w:p>
    <w:p w14:paraId="6EF01CAA" w14:textId="77777777" w:rsidR="00530BD7" w:rsidRPr="00490F97" w:rsidRDefault="00530BD7" w:rsidP="00D92429">
      <w:pPr>
        <w:jc w:val="both"/>
        <w:rPr>
          <w:bCs/>
          <w:noProof/>
          <w:sz w:val="22"/>
          <w:szCs w:val="22"/>
          <w:lang w:val="sr-Latn-ME"/>
        </w:rPr>
      </w:pPr>
    </w:p>
    <w:p w14:paraId="0C889421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2. </w:t>
      </w:r>
      <w:r w:rsidR="00F5167F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KVALITATIVNI I KVANTITATIVNI SASTAV</w:t>
      </w:r>
    </w:p>
    <w:p w14:paraId="6EA77EE4" w14:textId="77777777" w:rsidR="005A0B2E" w:rsidRPr="00490F97" w:rsidRDefault="005A0B2E" w:rsidP="00D92429">
      <w:pPr>
        <w:jc w:val="both"/>
        <w:rPr>
          <w:noProof/>
          <w:sz w:val="22"/>
          <w:szCs w:val="22"/>
          <w:lang w:val="sr-Latn-ME"/>
        </w:rPr>
      </w:pPr>
    </w:p>
    <w:p w14:paraId="2ABBE6EB" w14:textId="77777777" w:rsidR="007C4D33" w:rsidRPr="00490F97" w:rsidRDefault="007C4D33" w:rsidP="00D92429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 xml:space="preserve">Jedna </w:t>
      </w:r>
      <w:r w:rsidR="001B2FBA" w:rsidRPr="00490F97">
        <w:rPr>
          <w:noProof/>
          <w:sz w:val="22"/>
          <w:szCs w:val="22"/>
          <w:lang w:val="sr-Latn-ME"/>
        </w:rPr>
        <w:t xml:space="preserve">gastrorezistentna </w:t>
      </w:r>
      <w:r w:rsidRPr="00490F97">
        <w:rPr>
          <w:noProof/>
          <w:sz w:val="22"/>
          <w:szCs w:val="22"/>
          <w:lang w:val="sr-Latn-ME"/>
        </w:rPr>
        <w:t xml:space="preserve">tableta sadrži </w:t>
      </w:r>
      <w:r w:rsidR="00DF7A5C" w:rsidRPr="00490F97">
        <w:rPr>
          <w:noProof/>
          <w:sz w:val="22"/>
          <w:szCs w:val="22"/>
          <w:lang w:val="sr-Latn-ME"/>
        </w:rPr>
        <w:t xml:space="preserve">20 mg </w:t>
      </w:r>
      <w:r w:rsidRPr="00490F97">
        <w:rPr>
          <w:noProof/>
          <w:sz w:val="22"/>
          <w:szCs w:val="22"/>
          <w:lang w:val="sr-Latn-ME"/>
        </w:rPr>
        <w:t xml:space="preserve">pantoprazola (u obliku </w:t>
      </w:r>
      <w:r w:rsidR="00DF7A5C" w:rsidRPr="00490F97">
        <w:rPr>
          <w:noProof/>
          <w:sz w:val="22"/>
          <w:szCs w:val="22"/>
          <w:lang w:val="sr-Latn-ME"/>
        </w:rPr>
        <w:t xml:space="preserve">pantoprazol </w:t>
      </w:r>
      <w:r w:rsidRPr="00490F97">
        <w:rPr>
          <w:noProof/>
          <w:sz w:val="22"/>
          <w:szCs w:val="22"/>
          <w:lang w:val="sr-Latn-ME"/>
        </w:rPr>
        <w:t>natrij</w:t>
      </w:r>
      <w:r w:rsidR="00743A3E" w:rsidRPr="00490F97">
        <w:rPr>
          <w:noProof/>
          <w:sz w:val="22"/>
          <w:szCs w:val="22"/>
          <w:lang w:val="sr-Latn-ME"/>
        </w:rPr>
        <w:t>um</w:t>
      </w:r>
      <w:r w:rsidRPr="00490F97">
        <w:rPr>
          <w:noProof/>
          <w:sz w:val="22"/>
          <w:szCs w:val="22"/>
          <w:lang w:val="sr-Latn-ME"/>
        </w:rPr>
        <w:t xml:space="preserve"> seskvihidrata).</w:t>
      </w:r>
    </w:p>
    <w:p w14:paraId="0596830A" w14:textId="77777777" w:rsidR="007C4D33" w:rsidRPr="00490F97" w:rsidRDefault="007C4D33" w:rsidP="00D92429">
      <w:pPr>
        <w:jc w:val="both"/>
        <w:rPr>
          <w:noProof/>
          <w:sz w:val="22"/>
          <w:szCs w:val="22"/>
          <w:lang w:val="sr-Latn-ME"/>
        </w:rPr>
      </w:pPr>
    </w:p>
    <w:p w14:paraId="7A2DDCEA" w14:textId="77777777" w:rsidR="0003793F" w:rsidRPr="00490F97" w:rsidRDefault="0003793F" w:rsidP="00D92429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Za spisak svih ekscipijenasa, pogledati dio 6.1.</w:t>
      </w:r>
    </w:p>
    <w:p w14:paraId="4C80E562" w14:textId="77777777" w:rsidR="0003793F" w:rsidRPr="00490F97" w:rsidRDefault="0003793F" w:rsidP="00D92429">
      <w:pPr>
        <w:jc w:val="both"/>
        <w:rPr>
          <w:noProof/>
          <w:sz w:val="22"/>
          <w:szCs w:val="22"/>
          <w:lang w:val="sr-Latn-ME"/>
        </w:rPr>
      </w:pPr>
    </w:p>
    <w:p w14:paraId="07ECBB7E" w14:textId="77777777" w:rsidR="00C37FD7" w:rsidRPr="00490F97" w:rsidRDefault="00C37FD7" w:rsidP="00D92429">
      <w:pPr>
        <w:jc w:val="both"/>
        <w:rPr>
          <w:noProof/>
          <w:sz w:val="22"/>
          <w:szCs w:val="22"/>
          <w:lang w:val="sr-Latn-ME"/>
        </w:rPr>
      </w:pPr>
    </w:p>
    <w:p w14:paraId="1FE190EA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3. </w:t>
      </w:r>
      <w:r w:rsidR="00F5167F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FARMACEUTSKI OBLIK</w:t>
      </w:r>
      <w:r w:rsidR="009F2D23" w:rsidRPr="00490F97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2B812711" w14:textId="77777777" w:rsidR="00411B4B" w:rsidRPr="00490F97" w:rsidRDefault="00411B4B" w:rsidP="00D92429">
      <w:pPr>
        <w:jc w:val="both"/>
        <w:rPr>
          <w:bCs/>
          <w:noProof/>
          <w:sz w:val="22"/>
          <w:szCs w:val="22"/>
          <w:lang w:val="sr-Latn-ME"/>
        </w:rPr>
      </w:pPr>
    </w:p>
    <w:p w14:paraId="14C48AA6" w14:textId="4C5F01AD" w:rsidR="00D77D4E" w:rsidRDefault="00F24A39" w:rsidP="00D92429">
      <w:pPr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Gastrorezistentna </w:t>
      </w:r>
      <w:r w:rsidR="00D77D4E" w:rsidRPr="00490F97">
        <w:rPr>
          <w:bCs/>
          <w:noProof/>
          <w:sz w:val="22"/>
          <w:szCs w:val="22"/>
          <w:lang w:val="sr-Latn-ME"/>
        </w:rPr>
        <w:t>tableta.</w:t>
      </w:r>
    </w:p>
    <w:p w14:paraId="73D023C2" w14:textId="77777777" w:rsidR="00135C9A" w:rsidRPr="00490F97" w:rsidRDefault="00135C9A" w:rsidP="00D92429">
      <w:pPr>
        <w:jc w:val="both"/>
        <w:rPr>
          <w:bCs/>
          <w:noProof/>
          <w:sz w:val="22"/>
          <w:szCs w:val="22"/>
          <w:lang w:val="sr-Latn-ME"/>
        </w:rPr>
      </w:pPr>
    </w:p>
    <w:p w14:paraId="5307C31E" w14:textId="77777777" w:rsidR="00EC2532" w:rsidRPr="00490F97" w:rsidRDefault="00D77D4E" w:rsidP="00D92429">
      <w:pPr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Žut</w:t>
      </w:r>
      <w:r w:rsidR="00DF7A5C" w:rsidRPr="00490F97">
        <w:rPr>
          <w:bCs/>
          <w:noProof/>
          <w:sz w:val="22"/>
          <w:szCs w:val="22"/>
          <w:lang w:val="sr-Latn-ME"/>
        </w:rPr>
        <w:t>e</w:t>
      </w:r>
      <w:r w:rsidRPr="00490F97">
        <w:rPr>
          <w:bCs/>
          <w:noProof/>
          <w:sz w:val="22"/>
          <w:szCs w:val="22"/>
          <w:lang w:val="sr-Latn-ME"/>
        </w:rPr>
        <w:t xml:space="preserve">, ovalne, bikonveksne, </w:t>
      </w:r>
      <w:r w:rsidR="00DF7A5C" w:rsidRPr="00490F97">
        <w:rPr>
          <w:bCs/>
          <w:noProof/>
          <w:sz w:val="22"/>
          <w:szCs w:val="22"/>
          <w:lang w:val="sr-Latn-ME"/>
        </w:rPr>
        <w:t xml:space="preserve">gastrorezistentnim filmom </w:t>
      </w:r>
      <w:r w:rsidRPr="00490F97">
        <w:rPr>
          <w:bCs/>
          <w:noProof/>
          <w:sz w:val="22"/>
          <w:szCs w:val="22"/>
          <w:lang w:val="sr-Latn-ME"/>
        </w:rPr>
        <w:t>obložene tablete, ravne sa obje strane.</w:t>
      </w:r>
    </w:p>
    <w:p w14:paraId="6BD5344E" w14:textId="671EEBEF" w:rsidR="00D77D4E" w:rsidRDefault="00D77D4E" w:rsidP="00D92429">
      <w:pPr>
        <w:jc w:val="both"/>
        <w:rPr>
          <w:bCs/>
          <w:noProof/>
          <w:sz w:val="22"/>
          <w:szCs w:val="22"/>
          <w:lang w:val="sr-Latn-ME"/>
        </w:rPr>
      </w:pPr>
    </w:p>
    <w:p w14:paraId="284E223E" w14:textId="77777777" w:rsidR="00135C9A" w:rsidRPr="00490F97" w:rsidRDefault="00135C9A" w:rsidP="00D92429">
      <w:pPr>
        <w:jc w:val="both"/>
        <w:rPr>
          <w:bCs/>
          <w:noProof/>
          <w:sz w:val="22"/>
          <w:szCs w:val="22"/>
          <w:lang w:val="sr-Latn-ME"/>
        </w:rPr>
      </w:pPr>
    </w:p>
    <w:p w14:paraId="6D448F71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KLINIČKI PODACI</w:t>
      </w:r>
    </w:p>
    <w:p w14:paraId="7A3FCCAC" w14:textId="77777777" w:rsidR="00CD6F02" w:rsidRPr="00490F97" w:rsidRDefault="00CD6F02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C9BCE9A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4.1.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Terapijske indikacije</w:t>
      </w:r>
    </w:p>
    <w:p w14:paraId="0051EE59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2317E4F" w14:textId="77777777" w:rsidR="00607EB0" w:rsidRPr="00490F97" w:rsidRDefault="004E48EB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Lijek </w:t>
      </w:r>
      <w:r w:rsidR="00E931EA" w:rsidRPr="00490F97">
        <w:rPr>
          <w:bCs/>
          <w:noProof/>
          <w:sz w:val="22"/>
          <w:szCs w:val="22"/>
          <w:lang w:val="sr-Latn-ME"/>
        </w:rPr>
        <w:t xml:space="preserve">FENIX NEO je indikovan </w:t>
      </w:r>
      <w:r w:rsidR="00607EB0" w:rsidRPr="00490F97">
        <w:rPr>
          <w:bCs/>
          <w:noProof/>
          <w:sz w:val="22"/>
          <w:szCs w:val="22"/>
          <w:lang w:val="sr-Latn-ME"/>
        </w:rPr>
        <w:t>za kratkotrajno liječenje simptoma refluksa (npr. žgaravica, regurgitacija kis</w:t>
      </w:r>
      <w:r w:rsidR="005212CC" w:rsidRPr="00490F97">
        <w:rPr>
          <w:bCs/>
          <w:noProof/>
          <w:sz w:val="22"/>
          <w:szCs w:val="22"/>
          <w:lang w:val="sr-Latn-ME"/>
        </w:rPr>
        <w:t>j</w:t>
      </w:r>
      <w:r w:rsidR="00607EB0" w:rsidRPr="00490F97">
        <w:rPr>
          <w:bCs/>
          <w:noProof/>
          <w:sz w:val="22"/>
          <w:szCs w:val="22"/>
          <w:lang w:val="sr-Latn-ME"/>
        </w:rPr>
        <w:t>eline) kod odraslih.</w:t>
      </w:r>
    </w:p>
    <w:p w14:paraId="1FC77C76" w14:textId="77777777" w:rsidR="00607EB0" w:rsidRPr="00490F97" w:rsidRDefault="00607EB0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2FE81F9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4.2.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Doziranje i način primjene</w:t>
      </w:r>
    </w:p>
    <w:p w14:paraId="38CD15C2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EC88753" w14:textId="77777777" w:rsidR="00452E9D" w:rsidRPr="00490F97" w:rsidRDefault="00452E9D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Doziranje</w:t>
      </w:r>
    </w:p>
    <w:p w14:paraId="5DFC3871" w14:textId="77777777" w:rsidR="006E6D43" w:rsidRPr="00490F97" w:rsidRDefault="006E6D43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300E3738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Preporučena doza je 20 mg pantoprazola (jedna tableta) na dan.</w:t>
      </w:r>
    </w:p>
    <w:p w14:paraId="2C6935F6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5B47F74E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 xml:space="preserve">Možda će biti potrebno </w:t>
      </w:r>
      <w:r w:rsidR="005212CC" w:rsidRPr="00490F97">
        <w:rPr>
          <w:noProof/>
          <w:sz w:val="22"/>
          <w:szCs w:val="22"/>
          <w:lang w:val="sr-Latn-ME" w:eastAsia="bs-Latn-BA"/>
        </w:rPr>
        <w:t>da se tablete primjenjuju</w:t>
      </w:r>
      <w:r w:rsidRPr="00490F97">
        <w:rPr>
          <w:noProof/>
          <w:sz w:val="22"/>
          <w:szCs w:val="22"/>
          <w:lang w:val="sr-Latn-ME" w:eastAsia="bs-Latn-BA"/>
        </w:rPr>
        <w:t xml:space="preserve"> tokom 2-3 uzastopna dana da bi se postiglo poboljšanje simptoma. Liječenje treba </w:t>
      </w:r>
      <w:r w:rsidR="005212CC" w:rsidRPr="00490F97">
        <w:rPr>
          <w:noProof/>
          <w:sz w:val="22"/>
          <w:szCs w:val="22"/>
          <w:lang w:val="sr-Latn-ME" w:eastAsia="bs-Latn-BA"/>
        </w:rPr>
        <w:t>da se prekine</w:t>
      </w:r>
      <w:r w:rsidRPr="00490F97">
        <w:rPr>
          <w:noProof/>
          <w:sz w:val="22"/>
          <w:szCs w:val="22"/>
          <w:lang w:val="sr-Latn-ME" w:eastAsia="bs-Latn-BA"/>
        </w:rPr>
        <w:t xml:space="preserve"> nakon potpunog povlačenja simptoma. Liječenje ne bi t</w:t>
      </w:r>
      <w:r w:rsidR="007D2930" w:rsidRPr="00490F97">
        <w:rPr>
          <w:noProof/>
          <w:sz w:val="22"/>
          <w:szCs w:val="22"/>
          <w:lang w:val="sr-Latn-ME" w:eastAsia="bs-Latn-BA"/>
        </w:rPr>
        <w:t xml:space="preserve">rebalo </w:t>
      </w:r>
      <w:r w:rsidR="005212CC" w:rsidRPr="00490F97">
        <w:rPr>
          <w:noProof/>
          <w:sz w:val="22"/>
          <w:szCs w:val="22"/>
          <w:lang w:val="sr-Latn-ME" w:eastAsia="bs-Latn-BA"/>
        </w:rPr>
        <w:t>da traje</w:t>
      </w:r>
      <w:r w:rsidR="007D2930" w:rsidRPr="00490F97">
        <w:rPr>
          <w:noProof/>
          <w:sz w:val="22"/>
          <w:szCs w:val="22"/>
          <w:lang w:val="sr-Latn-ME" w:eastAsia="bs-Latn-BA"/>
        </w:rPr>
        <w:t xml:space="preserve"> duže od 4 nedjelje</w:t>
      </w:r>
      <w:r w:rsidRPr="00490F97">
        <w:rPr>
          <w:noProof/>
          <w:sz w:val="22"/>
          <w:szCs w:val="22"/>
          <w:lang w:val="sr-Latn-ME" w:eastAsia="bs-Latn-BA"/>
        </w:rPr>
        <w:t>, bez savjetovanja sa ljekarom.</w:t>
      </w:r>
    </w:p>
    <w:p w14:paraId="72E75C7A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30D398CD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Ukoliko se poboljšanje simpt</w:t>
      </w:r>
      <w:r w:rsidR="007F2253" w:rsidRPr="00490F97">
        <w:rPr>
          <w:noProof/>
          <w:sz w:val="22"/>
          <w:szCs w:val="22"/>
          <w:lang w:val="sr-Latn-ME" w:eastAsia="bs-Latn-BA"/>
        </w:rPr>
        <w:t>oma ne postigne unutar 2 nedjelje</w:t>
      </w:r>
      <w:r w:rsidRPr="00490F97">
        <w:rPr>
          <w:noProof/>
          <w:sz w:val="22"/>
          <w:szCs w:val="22"/>
          <w:lang w:val="sr-Latn-ME" w:eastAsia="bs-Latn-BA"/>
        </w:rPr>
        <w:t xml:space="preserve"> kont</w:t>
      </w:r>
      <w:r w:rsidR="005212CC" w:rsidRPr="00490F97">
        <w:rPr>
          <w:noProof/>
          <w:sz w:val="22"/>
          <w:szCs w:val="22"/>
          <w:lang w:val="sr-Latn-ME" w:eastAsia="bs-Latn-BA"/>
        </w:rPr>
        <w:t xml:space="preserve">inuiranog liječenja, pacijent </w:t>
      </w:r>
      <w:r w:rsidRPr="00490F97">
        <w:rPr>
          <w:noProof/>
          <w:sz w:val="22"/>
          <w:szCs w:val="22"/>
          <w:lang w:val="sr-Latn-ME" w:eastAsia="bs-Latn-BA"/>
        </w:rPr>
        <w:t xml:space="preserve"> treba </w:t>
      </w:r>
      <w:r w:rsidR="005212CC" w:rsidRPr="00490F97">
        <w:rPr>
          <w:noProof/>
          <w:sz w:val="22"/>
          <w:szCs w:val="22"/>
          <w:lang w:val="sr-Latn-ME" w:eastAsia="bs-Latn-BA"/>
        </w:rPr>
        <w:t>da se posavjetuje</w:t>
      </w:r>
      <w:r w:rsidRPr="00490F97">
        <w:rPr>
          <w:noProof/>
          <w:sz w:val="22"/>
          <w:szCs w:val="22"/>
          <w:lang w:val="sr-Latn-ME" w:eastAsia="bs-Latn-BA"/>
        </w:rPr>
        <w:t xml:space="preserve"> sa ljekarom.</w:t>
      </w:r>
    </w:p>
    <w:p w14:paraId="4099BA47" w14:textId="77777777" w:rsidR="00BD5E11" w:rsidRPr="00490F97" w:rsidRDefault="00BD5E11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648C0C68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  <w:r w:rsidRPr="00490F97">
        <w:rPr>
          <w:bCs/>
          <w:noProof/>
          <w:sz w:val="22"/>
          <w:szCs w:val="22"/>
          <w:u w:val="single"/>
          <w:lang w:val="sr-Latn-ME" w:eastAsia="bs-Latn-BA"/>
        </w:rPr>
        <w:t>Posebne populacije</w:t>
      </w:r>
    </w:p>
    <w:p w14:paraId="6BC4F115" w14:textId="77777777" w:rsidR="00522238" w:rsidRPr="00490F97" w:rsidRDefault="00522238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</w:p>
    <w:p w14:paraId="7D61A3C4" w14:textId="77777777" w:rsidR="00BD5E11" w:rsidRPr="00490F97" w:rsidRDefault="00DE025C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Kod starijih pacijenata ili kod</w:t>
      </w:r>
      <w:r w:rsidR="00BD5E11" w:rsidRPr="00490F97">
        <w:rPr>
          <w:noProof/>
          <w:sz w:val="22"/>
          <w:szCs w:val="22"/>
          <w:lang w:val="sr-Latn-ME" w:eastAsia="bs-Latn-BA"/>
        </w:rPr>
        <w:t xml:space="preserve"> pacijenata s oštećenom funkcijom bubrega ili jetre, nije potrebno prilagođavanje doze.</w:t>
      </w:r>
    </w:p>
    <w:p w14:paraId="25D4A132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6938D2E7" w14:textId="77777777" w:rsidR="00522238" w:rsidRPr="00490F97" w:rsidRDefault="00BD5E11" w:rsidP="00D92429">
      <w:pPr>
        <w:autoSpaceDE w:val="0"/>
        <w:autoSpaceDN w:val="0"/>
        <w:adjustRightInd w:val="0"/>
        <w:jc w:val="both"/>
        <w:rPr>
          <w:bCs/>
          <w:i/>
          <w:noProof/>
          <w:sz w:val="22"/>
          <w:szCs w:val="22"/>
          <w:u w:val="single"/>
          <w:lang w:val="sr-Latn-ME" w:eastAsia="bs-Latn-BA"/>
        </w:rPr>
      </w:pPr>
      <w:r w:rsidRPr="00490F97">
        <w:rPr>
          <w:bCs/>
          <w:i/>
          <w:noProof/>
          <w:sz w:val="22"/>
          <w:szCs w:val="22"/>
          <w:u w:val="single"/>
          <w:lang w:val="sr-Latn-ME" w:eastAsia="bs-Latn-BA"/>
        </w:rPr>
        <w:t>Pedijatrijska populacija</w:t>
      </w:r>
    </w:p>
    <w:p w14:paraId="43FFDCA8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 xml:space="preserve">Zbog </w:t>
      </w:r>
      <w:r w:rsidR="00C7341D" w:rsidRPr="00490F97">
        <w:rPr>
          <w:noProof/>
          <w:sz w:val="22"/>
          <w:szCs w:val="22"/>
          <w:lang w:val="sr-Latn-ME" w:eastAsia="bs-Latn-BA"/>
        </w:rPr>
        <w:t>nedostatka podataka o bezbjednosti</w:t>
      </w:r>
      <w:r w:rsidRPr="00490F97">
        <w:rPr>
          <w:noProof/>
          <w:sz w:val="22"/>
          <w:szCs w:val="22"/>
          <w:lang w:val="sr-Latn-ME" w:eastAsia="bs-Latn-BA"/>
        </w:rPr>
        <w:t xml:space="preserve"> i efikasnosti, primjena </w:t>
      </w:r>
      <w:r w:rsidR="002752C8" w:rsidRPr="00490F97">
        <w:rPr>
          <w:noProof/>
          <w:sz w:val="22"/>
          <w:szCs w:val="22"/>
          <w:lang w:val="sr-Latn-ME" w:eastAsia="bs-Latn-BA"/>
        </w:rPr>
        <w:t xml:space="preserve">lijeka </w:t>
      </w:r>
      <w:r w:rsidR="002729A4" w:rsidRPr="00490F97">
        <w:rPr>
          <w:noProof/>
          <w:sz w:val="22"/>
          <w:szCs w:val="22"/>
          <w:lang w:val="sr-Latn-ME" w:eastAsia="bs-Latn-BA"/>
        </w:rPr>
        <w:t>FENIX</w:t>
      </w:r>
      <w:r w:rsidRPr="00490F97">
        <w:rPr>
          <w:noProof/>
          <w:sz w:val="22"/>
          <w:szCs w:val="22"/>
          <w:lang w:val="sr-Latn-ME" w:eastAsia="bs-Latn-BA"/>
        </w:rPr>
        <w:t xml:space="preserve"> NEO</w:t>
      </w:r>
      <w:r w:rsidR="005212CC" w:rsidRPr="00490F97">
        <w:rPr>
          <w:noProof/>
          <w:sz w:val="22"/>
          <w:szCs w:val="22"/>
          <w:lang w:val="sr-Latn-ME" w:eastAsia="bs-Latn-BA"/>
        </w:rPr>
        <w:t xml:space="preserve"> se ne preporučuje </w:t>
      </w:r>
      <w:r w:rsidRPr="00490F97">
        <w:rPr>
          <w:noProof/>
          <w:sz w:val="22"/>
          <w:szCs w:val="22"/>
          <w:lang w:val="sr-Latn-ME" w:eastAsia="bs-Latn-BA"/>
        </w:rPr>
        <w:t xml:space="preserve"> kod djece i adolescenata mlađih od 18 godina.</w:t>
      </w:r>
    </w:p>
    <w:p w14:paraId="0A2C66F2" w14:textId="476D0FBE" w:rsidR="00DF0987" w:rsidRDefault="00DF0987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3E01BAB3" w14:textId="5D6472E8" w:rsidR="00135C9A" w:rsidRDefault="00135C9A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71990CD7" w14:textId="3B3235D7" w:rsidR="00135C9A" w:rsidRDefault="00135C9A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104850ED" w14:textId="77777777" w:rsidR="00135C9A" w:rsidRPr="00490F97" w:rsidRDefault="00135C9A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64760D2E" w14:textId="77777777" w:rsidR="00BD5E11" w:rsidRPr="00490F97" w:rsidRDefault="00BD5E11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  <w:r w:rsidRPr="00490F97">
        <w:rPr>
          <w:bCs/>
          <w:noProof/>
          <w:sz w:val="22"/>
          <w:szCs w:val="22"/>
          <w:u w:val="single"/>
          <w:lang w:val="sr-Latn-ME" w:eastAsia="bs-Latn-BA"/>
        </w:rPr>
        <w:lastRenderedPageBreak/>
        <w:t>Način primjene</w:t>
      </w:r>
    </w:p>
    <w:p w14:paraId="1FE4918D" w14:textId="77777777" w:rsidR="001F5A7F" w:rsidRPr="00490F97" w:rsidRDefault="001F5A7F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</w:p>
    <w:p w14:paraId="1EB0A105" w14:textId="77777777" w:rsidR="00BD5E11" w:rsidRPr="00490F97" w:rsidRDefault="00593E23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 xml:space="preserve">Ljek </w:t>
      </w:r>
      <w:r w:rsidR="00BD5E11" w:rsidRPr="00490F97">
        <w:rPr>
          <w:noProof/>
          <w:sz w:val="22"/>
          <w:szCs w:val="22"/>
          <w:lang w:val="sr-Latn-ME" w:eastAsia="bs-Latn-BA"/>
        </w:rPr>
        <w:t xml:space="preserve">FENIX NEO </w:t>
      </w:r>
      <w:r w:rsidR="0035568B" w:rsidRPr="00490F97">
        <w:rPr>
          <w:noProof/>
          <w:sz w:val="22"/>
          <w:szCs w:val="22"/>
          <w:lang w:val="sr-Latn-ME" w:eastAsia="bs-Latn-BA"/>
        </w:rPr>
        <w:t xml:space="preserve">gastrorezistentne </w:t>
      </w:r>
      <w:r w:rsidR="00BD5E11" w:rsidRPr="00490F97">
        <w:rPr>
          <w:noProof/>
          <w:sz w:val="22"/>
          <w:szCs w:val="22"/>
          <w:lang w:val="sr-Latn-ME" w:eastAsia="bs-Latn-BA"/>
        </w:rPr>
        <w:t xml:space="preserve">tablete ne smiju </w:t>
      </w:r>
      <w:r w:rsidR="00E11805" w:rsidRPr="00490F97">
        <w:rPr>
          <w:noProof/>
          <w:sz w:val="22"/>
          <w:szCs w:val="22"/>
          <w:lang w:val="sr-Latn-ME" w:eastAsia="bs-Latn-BA"/>
        </w:rPr>
        <w:t>da se žvaću ili drobe i treba da se progutaju cijele s tečnošću</w:t>
      </w:r>
      <w:r w:rsidR="00BD5E11" w:rsidRPr="00490F97">
        <w:rPr>
          <w:noProof/>
          <w:sz w:val="22"/>
          <w:szCs w:val="22"/>
          <w:lang w:val="sr-Latn-ME" w:eastAsia="bs-Latn-BA"/>
        </w:rPr>
        <w:t>, prije obroka.</w:t>
      </w:r>
    </w:p>
    <w:p w14:paraId="791E0BA3" w14:textId="77777777" w:rsidR="00452E9D" w:rsidRPr="00490F97" w:rsidRDefault="00452E9D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0B16FB8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4.3.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Kontraindikacije</w:t>
      </w:r>
    </w:p>
    <w:p w14:paraId="021790EE" w14:textId="77777777" w:rsidR="00E44A62" w:rsidRPr="00490F97" w:rsidRDefault="00E44A62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5D1FBEF2" w14:textId="77777777" w:rsidR="00397358" w:rsidRPr="00490F97" w:rsidRDefault="00397358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 xml:space="preserve">Preosjetljivost na aktivnu supstancu </w:t>
      </w:r>
      <w:r w:rsidRPr="00490F97">
        <w:rPr>
          <w:noProof/>
          <w:sz w:val="22"/>
          <w:szCs w:val="22"/>
          <w:lang w:val="sr-Latn-ME"/>
        </w:rPr>
        <w:t xml:space="preserve">ili na bilo koju od pomoćnih supstanci navedenih </w:t>
      </w:r>
      <w:r w:rsidRPr="00490F97">
        <w:rPr>
          <w:noProof/>
          <w:spacing w:val="-1"/>
          <w:sz w:val="22"/>
          <w:szCs w:val="22"/>
          <w:lang w:val="sr-Latn-ME"/>
        </w:rPr>
        <w:t xml:space="preserve">u dijelu </w:t>
      </w:r>
      <w:r w:rsidRPr="00490F97">
        <w:rPr>
          <w:noProof/>
          <w:sz w:val="22"/>
          <w:szCs w:val="22"/>
          <w:lang w:val="sr-Latn-ME" w:eastAsia="bs-Latn-BA"/>
        </w:rPr>
        <w:t>6.1.</w:t>
      </w:r>
    </w:p>
    <w:p w14:paraId="25ED2482" w14:textId="77777777" w:rsidR="00397358" w:rsidRPr="00490F97" w:rsidRDefault="00397358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159E4A7F" w14:textId="77777777" w:rsidR="00397358" w:rsidRPr="00490F97" w:rsidRDefault="00397358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Ne preporučuje se istovremena primjena pantoprazola s i</w:t>
      </w:r>
      <w:r w:rsidR="00A44E9D" w:rsidRPr="00490F97">
        <w:rPr>
          <w:noProof/>
          <w:sz w:val="22"/>
          <w:szCs w:val="22"/>
          <w:lang w:val="sr-Latn-ME" w:eastAsia="bs-Latn-BA"/>
        </w:rPr>
        <w:t>nhibitorima HIV proteaze čija re</w:t>
      </w:r>
      <w:r w:rsidR="00106E2F" w:rsidRPr="00490F97">
        <w:rPr>
          <w:noProof/>
          <w:sz w:val="22"/>
          <w:szCs w:val="22"/>
          <w:lang w:val="sr-Latn-ME" w:eastAsia="bs-Latn-BA"/>
        </w:rPr>
        <w:t>sorpcija za</w:t>
      </w:r>
      <w:r w:rsidRPr="00490F97">
        <w:rPr>
          <w:noProof/>
          <w:sz w:val="22"/>
          <w:szCs w:val="22"/>
          <w:lang w:val="sr-Latn-ME" w:eastAsia="bs-Latn-BA"/>
        </w:rPr>
        <w:t>visi o</w:t>
      </w:r>
      <w:r w:rsidR="00106E2F" w:rsidRPr="00490F97">
        <w:rPr>
          <w:noProof/>
          <w:sz w:val="22"/>
          <w:szCs w:val="22"/>
          <w:lang w:val="sr-Latn-ME" w:eastAsia="bs-Latn-BA"/>
        </w:rPr>
        <w:t>d kisjelog intragastričnog</w:t>
      </w:r>
      <w:r w:rsidRPr="00490F97">
        <w:rPr>
          <w:noProof/>
          <w:sz w:val="22"/>
          <w:szCs w:val="22"/>
          <w:lang w:val="sr-Latn-ME" w:eastAsia="bs-Latn-BA"/>
        </w:rPr>
        <w:t xml:space="preserve"> pH, kao što su atazanavir i nelfinavir, zbog značajnog smanjenja nj</w:t>
      </w:r>
      <w:r w:rsidR="00E44A62" w:rsidRPr="00490F97">
        <w:rPr>
          <w:noProof/>
          <w:sz w:val="22"/>
          <w:szCs w:val="22"/>
          <w:lang w:val="sr-Latn-ME" w:eastAsia="bs-Latn-BA"/>
        </w:rPr>
        <w:t>ihove bioraspoloživosti (pogledati</w:t>
      </w:r>
      <w:r w:rsidRPr="00490F97">
        <w:rPr>
          <w:noProof/>
          <w:sz w:val="22"/>
          <w:szCs w:val="22"/>
          <w:lang w:val="sr-Latn-ME" w:eastAsia="bs-Latn-BA"/>
        </w:rPr>
        <w:t xml:space="preserve"> dio 4.5.).</w:t>
      </w:r>
    </w:p>
    <w:p w14:paraId="749CB79C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B3CD4D5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4.4.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Posebna upozorenja i mjere opreza pri upotrebi lijeka</w:t>
      </w:r>
    </w:p>
    <w:p w14:paraId="27BDBE48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5398DE6" w14:textId="022FB58A" w:rsidR="008764A8" w:rsidRPr="00490F97" w:rsidRDefault="005E25BE" w:rsidP="00D92429">
      <w:pPr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Pacijente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treba</w:t>
      </w:r>
      <w:r w:rsidR="008764A8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uputiti da se posavjetuju sa ljekarom:</w:t>
      </w:r>
    </w:p>
    <w:p w14:paraId="7C057DCD" w14:textId="77777777" w:rsidR="008764A8" w:rsidRPr="00490F97" w:rsidRDefault="008764A8" w:rsidP="00D92429">
      <w:pPr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79B82C16" w14:textId="7B541545" w:rsidR="008764A8" w:rsidRPr="00490F97" w:rsidRDefault="008764A8" w:rsidP="00D9242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Ako imaju nenamjerni gubitak tjelesne težine, anemiju, gastrointestinalno krvarenje, disfagiju, uporno povraćanje ili povraćanje s primjesama krvi, jer to može</w:t>
      </w:r>
      <w:r w:rsidR="009662FB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da 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prikrije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simptome i 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da odloži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dijagnozu ozbiljnog st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anja. U ovim slučajevima trebalo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bi 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da se isključi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malignitet;</w:t>
      </w:r>
    </w:p>
    <w:p w14:paraId="298049B2" w14:textId="77777777" w:rsidR="008764A8" w:rsidRPr="00490F97" w:rsidRDefault="008764A8" w:rsidP="00D92429">
      <w:pPr>
        <w:autoSpaceDE w:val="0"/>
        <w:autoSpaceDN w:val="0"/>
        <w:adjustRightInd w:val="0"/>
        <w:ind w:left="72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3997F553" w14:textId="77777777" w:rsidR="008764A8" w:rsidRPr="00490F97" w:rsidRDefault="008764A8" w:rsidP="00D9242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Ako su prethodno imali čir na želucu ili hiruršku intervenciju na gastrointestinalnom traktu;</w:t>
      </w:r>
    </w:p>
    <w:p w14:paraId="15AB4BD2" w14:textId="77777777" w:rsidR="008764A8" w:rsidRPr="00490F97" w:rsidRDefault="008764A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67886285" w14:textId="63C0E35D" w:rsidR="008764A8" w:rsidRPr="00490F97" w:rsidRDefault="008764A8" w:rsidP="00D9242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Ako su na kontinuiranoj simptoma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tskoj terapiji zbog loš</w:t>
      </w:r>
      <w:r w:rsidR="00D76C1E" w:rsidRPr="00490F97">
        <w:rPr>
          <w:rFonts w:eastAsia="TimesNewRoman"/>
          <w:noProof/>
          <w:sz w:val="22"/>
          <w:szCs w:val="22"/>
          <w:lang w:val="sr-Latn-ME" w:eastAsia="bs-Latn-BA"/>
        </w:rPr>
        <w:t>e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g varenja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ili žgaravice, tokom 4 ili vi</w:t>
      </w:r>
      <w:r w:rsidR="009E041B" w:rsidRPr="00490F97">
        <w:rPr>
          <w:rFonts w:eastAsia="TimesNewRoman"/>
          <w:noProof/>
          <w:sz w:val="22"/>
          <w:szCs w:val="22"/>
          <w:lang w:val="sr-Latn-ME" w:eastAsia="bs-Latn-BA"/>
        </w:rPr>
        <w:t>še nedjelja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;</w:t>
      </w:r>
    </w:p>
    <w:p w14:paraId="76388119" w14:textId="77777777" w:rsidR="008764A8" w:rsidRPr="00490F97" w:rsidRDefault="008764A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70BD94CA" w14:textId="77777777" w:rsidR="008764A8" w:rsidRPr="00490F97" w:rsidRDefault="008764A8" w:rsidP="00D9242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Ako imaju žuticu, oštećenje jetre, ili oboljenje jetre;</w:t>
      </w:r>
    </w:p>
    <w:p w14:paraId="3401FB33" w14:textId="77777777" w:rsidR="008764A8" w:rsidRPr="00490F97" w:rsidRDefault="008764A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4B0EAA12" w14:textId="77777777" w:rsidR="008764A8" w:rsidRPr="00490F97" w:rsidRDefault="008764A8" w:rsidP="00D9242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Ako boluju od bilo koje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teške bolesti koja utiče na opšt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e stanje organizma;</w:t>
      </w:r>
    </w:p>
    <w:p w14:paraId="0C9F4684" w14:textId="77777777" w:rsidR="008764A8" w:rsidRPr="00490F97" w:rsidRDefault="008764A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5560DE7D" w14:textId="77777777" w:rsidR="008764A8" w:rsidRPr="00490F97" w:rsidRDefault="008764A8" w:rsidP="00D9242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Ako su stariji od 55 godina, s novim ili nedavno promijenjenim simptomima.</w:t>
      </w:r>
    </w:p>
    <w:p w14:paraId="00444585" w14:textId="77777777" w:rsidR="008764A8" w:rsidRPr="00490F97" w:rsidRDefault="008764A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562BA634" w14:textId="77777777" w:rsidR="008764A8" w:rsidRPr="00490F97" w:rsidRDefault="008764A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Pacijenti s dugotrajnim, rek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urentnim simptomima lošeg varenja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ili žgaravice, trebali bi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da se jave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svom ljekaru u redovnim intervalima. Posebno, pacijenti stariji od 55 godina, koji svakodn</w:t>
      </w:r>
      <w:r w:rsidR="006A0C34" w:rsidRPr="00490F97">
        <w:rPr>
          <w:rFonts w:eastAsia="TimesNewRoman"/>
          <w:noProof/>
          <w:sz w:val="22"/>
          <w:szCs w:val="22"/>
          <w:lang w:val="sr-Latn-ME" w:eastAsia="bs-Latn-BA"/>
        </w:rPr>
        <w:t>evno primjenjuju bilo koji od l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jekova koji se izdaju bez lj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ekarskog recepta za loše varenja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ili žgaravicu, trebali bi </w:t>
      </w:r>
      <w:r w:rsidR="002D62F5" w:rsidRPr="00490F97">
        <w:rPr>
          <w:rFonts w:eastAsia="TimesNewRoman"/>
          <w:noProof/>
          <w:sz w:val="22"/>
          <w:szCs w:val="22"/>
          <w:lang w:val="sr-Latn-ME" w:eastAsia="bs-Latn-BA"/>
        </w:rPr>
        <w:t>da o tome obavijeste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svog farmaceuta ili ljekara.</w:t>
      </w:r>
    </w:p>
    <w:p w14:paraId="6393FD25" w14:textId="77777777" w:rsidR="00057E35" w:rsidRPr="00490F97" w:rsidRDefault="00057E35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F635E04" w14:textId="77777777" w:rsidR="00763F2A" w:rsidRPr="00490F97" w:rsidRDefault="00763F2A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Pacijenti ne bi trebali istovremeno </w:t>
      </w:r>
      <w:r w:rsidR="002D62F5" w:rsidRPr="00490F97">
        <w:rPr>
          <w:bCs/>
          <w:noProof/>
          <w:sz w:val="22"/>
          <w:szCs w:val="22"/>
          <w:lang w:val="sr-Latn-ME"/>
        </w:rPr>
        <w:t>da primjenjuju</w:t>
      </w:r>
      <w:r w:rsidRPr="00490F97">
        <w:rPr>
          <w:bCs/>
          <w:noProof/>
          <w:sz w:val="22"/>
          <w:szCs w:val="22"/>
          <w:lang w:val="sr-Latn-ME"/>
        </w:rPr>
        <w:t xml:space="preserve"> neki drugi inhibitor protonske pumpe ili antagoniste H2 receptora.</w:t>
      </w:r>
    </w:p>
    <w:p w14:paraId="621A96AB" w14:textId="77777777" w:rsidR="00763F2A" w:rsidRPr="00490F97" w:rsidRDefault="00763F2A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1130872" w14:textId="77777777" w:rsidR="00763F2A" w:rsidRPr="00490F97" w:rsidRDefault="00763F2A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Pacijenti bi trebali </w:t>
      </w:r>
      <w:r w:rsidR="002D62F5" w:rsidRPr="00490F97">
        <w:rPr>
          <w:bCs/>
          <w:noProof/>
          <w:sz w:val="22"/>
          <w:szCs w:val="22"/>
          <w:lang w:val="sr-Latn-ME"/>
        </w:rPr>
        <w:t>da zatraže</w:t>
      </w:r>
      <w:r w:rsidRPr="00490F97">
        <w:rPr>
          <w:bCs/>
          <w:noProof/>
          <w:sz w:val="22"/>
          <w:szCs w:val="22"/>
          <w:lang w:val="sr-Latn-ME"/>
        </w:rPr>
        <w:t xml:space="preserve"> savjet od svog ljekara prije primjene ovog lijeka, ukoliko imaju zakazan endoskopski pregled ili urea izdisajni test.</w:t>
      </w:r>
    </w:p>
    <w:p w14:paraId="4237CD96" w14:textId="77777777" w:rsidR="00763F2A" w:rsidRPr="00490F97" w:rsidRDefault="00763F2A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1D6DAF7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bCs/>
          <w:noProof/>
          <w:sz w:val="22"/>
          <w:szCs w:val="22"/>
          <w:lang w:val="sr-Latn-ME"/>
        </w:rPr>
        <w:t>Pacijente bi trebalo posavjetovati da tablete ni</w:t>
      </w:r>
      <w:r w:rsidR="00DC27E3" w:rsidRPr="00490F97">
        <w:rPr>
          <w:bCs/>
          <w:noProof/>
          <w:sz w:val="22"/>
          <w:szCs w:val="22"/>
          <w:lang w:val="sr-Latn-ME"/>
        </w:rPr>
        <w:t>je</w:t>
      </w:r>
      <w:r w:rsidRPr="00490F97">
        <w:rPr>
          <w:bCs/>
          <w:noProof/>
          <w:sz w:val="22"/>
          <w:szCs w:val="22"/>
          <w:lang w:val="sr-Latn-ME"/>
        </w:rPr>
        <w:t xml:space="preserve">su namijenjene za postizanje trenutnog olakšanja simptoma. Pacijenti mogu početi </w:t>
      </w:r>
      <w:r w:rsidR="002D62F5" w:rsidRPr="00490F97">
        <w:rPr>
          <w:bCs/>
          <w:noProof/>
          <w:sz w:val="22"/>
          <w:szCs w:val="22"/>
          <w:lang w:val="sr-Latn-ME"/>
        </w:rPr>
        <w:t>da osjećaju</w:t>
      </w:r>
      <w:r w:rsidRPr="00490F97">
        <w:rPr>
          <w:bCs/>
          <w:noProof/>
          <w:sz w:val="22"/>
          <w:szCs w:val="22"/>
          <w:lang w:val="sr-Latn-ME"/>
        </w:rPr>
        <w:t xml:space="preserve"> simptomatsko olakšanje nakon otprilike jednog dana liječenja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pantoprazolom, ali će možda trebati 7 dana primjene tableta da se postigne potpuna kontrola žgaravice. Pacijenti ne bi trebali </w:t>
      </w:r>
      <w:r w:rsidR="00016CEC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da </w:t>
      </w:r>
      <w:r w:rsidR="00016CEC" w:rsidRPr="00490F97">
        <w:rPr>
          <w:noProof/>
          <w:sz w:val="22"/>
          <w:szCs w:val="22"/>
          <w:lang w:val="sr-Latn-ME" w:eastAsia="bs-Latn-BA"/>
        </w:rPr>
        <w:t>primjenjuju</w:t>
      </w:r>
      <w:r w:rsidRPr="00490F97">
        <w:rPr>
          <w:noProof/>
          <w:sz w:val="22"/>
          <w:szCs w:val="22"/>
          <w:lang w:val="sr-Latn-ME" w:eastAsia="bs-Latn-BA"/>
        </w:rPr>
        <w:t xml:space="preserve"> pantoprazol u preventivne svrhe.</w:t>
      </w:r>
    </w:p>
    <w:p w14:paraId="5A9B3003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0E8DCDB7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u w:val="single"/>
          <w:lang w:val="sr-Latn-ME" w:eastAsia="bs-Latn-BA"/>
        </w:rPr>
        <w:t>Gastrointestinalne infekcije uzrokovane bakterijama</w:t>
      </w:r>
    </w:p>
    <w:p w14:paraId="7119AB29" w14:textId="77777777" w:rsidR="004E288F" w:rsidRPr="00490F97" w:rsidRDefault="004E288F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</w:p>
    <w:p w14:paraId="00C84141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Smanjena kis</w:t>
      </w:r>
      <w:r w:rsidR="00016CEC" w:rsidRPr="00490F97">
        <w:rPr>
          <w:rFonts w:eastAsia="TimesNewRoman"/>
          <w:noProof/>
          <w:sz w:val="22"/>
          <w:szCs w:val="22"/>
          <w:lang w:val="sr-Latn-ME" w:eastAsia="bs-Latn-BA"/>
        </w:rPr>
        <w:t>j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elost u želucu, </w:t>
      </w:r>
      <w:r w:rsidR="00DE6CC2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koja nastaje 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iz bilo kojeg razloga – uključujući i primjenu inhibitora protonske pumpe – povećava broj bakterija normalno prisutnih u gastroint</w:t>
      </w:r>
      <w:r w:rsidR="00160A87" w:rsidRPr="00490F97">
        <w:rPr>
          <w:rFonts w:eastAsia="TimesNewRoman"/>
          <w:noProof/>
          <w:sz w:val="22"/>
          <w:szCs w:val="22"/>
          <w:lang w:val="sr-Latn-ME" w:eastAsia="bs-Latn-BA"/>
        </w:rPr>
        <w:t>estinalnom traktu. Terapija l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jekovima koji smanjuju kis</w:t>
      </w:r>
      <w:r w:rsidR="00016CEC" w:rsidRPr="00490F97">
        <w:rPr>
          <w:rFonts w:eastAsia="TimesNewRoman"/>
          <w:noProof/>
          <w:sz w:val="22"/>
          <w:szCs w:val="22"/>
          <w:lang w:val="sr-Latn-ME" w:eastAsia="bs-Latn-BA"/>
        </w:rPr>
        <w:t>j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elinu, dovodi do blagog povećanja rizika od gastrointestinalnih infekcija s bakterijama, kao što su </w:t>
      </w:r>
      <w:r w:rsidRPr="00490F97">
        <w:rPr>
          <w:rFonts w:eastAsia="TimesNewRoman"/>
          <w:i/>
          <w:noProof/>
          <w:sz w:val="22"/>
          <w:szCs w:val="22"/>
          <w:lang w:val="sr-Latn-ME" w:eastAsia="bs-Latn-BA"/>
        </w:rPr>
        <w:t>Salmonella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, </w:t>
      </w:r>
      <w:r w:rsidRPr="00490F97">
        <w:rPr>
          <w:rFonts w:eastAsia="TimesNewRoman"/>
          <w:i/>
          <w:noProof/>
          <w:sz w:val="22"/>
          <w:szCs w:val="22"/>
          <w:lang w:val="sr-Latn-ME" w:eastAsia="bs-Latn-BA"/>
        </w:rPr>
        <w:t>Campylobacter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ili </w:t>
      </w:r>
      <w:r w:rsidRPr="00490F97">
        <w:rPr>
          <w:rFonts w:eastAsia="TimesNewRoman"/>
          <w:i/>
          <w:noProof/>
          <w:sz w:val="22"/>
          <w:szCs w:val="22"/>
          <w:lang w:val="sr-Latn-ME" w:eastAsia="bs-Latn-BA"/>
        </w:rPr>
        <w:t>Clostridium difficile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.</w:t>
      </w:r>
    </w:p>
    <w:p w14:paraId="1D7C09BF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55E11FB9" w14:textId="77777777" w:rsidR="00EA5C44" w:rsidRDefault="00EA5C44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</w:p>
    <w:p w14:paraId="0307E143" w14:textId="77777777" w:rsidR="00EA5C44" w:rsidRDefault="00EA5C44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</w:p>
    <w:p w14:paraId="3A8EA188" w14:textId="3BCB5851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u w:val="single"/>
          <w:lang w:val="sr-Latn-ME" w:eastAsia="bs-Latn-BA"/>
        </w:rPr>
        <w:lastRenderedPageBreak/>
        <w:t xml:space="preserve">Subakutni kožni lupus eritematozus (SCLE, od engl. </w:t>
      </w:r>
      <w:r w:rsidRPr="00490F97"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  <w:t>Subacute Cutaneous Lupus Erythematosus</w:t>
      </w:r>
      <w:r w:rsidRPr="00490F97">
        <w:rPr>
          <w:rFonts w:eastAsia="TimesNewRoman"/>
          <w:noProof/>
          <w:sz w:val="22"/>
          <w:szCs w:val="22"/>
          <w:u w:val="single"/>
          <w:lang w:val="sr-Latn-ME" w:eastAsia="bs-Latn-BA"/>
        </w:rPr>
        <w:t>)</w:t>
      </w:r>
    </w:p>
    <w:p w14:paraId="0CD7A5C7" w14:textId="77777777" w:rsidR="00A41FE9" w:rsidRPr="00490F97" w:rsidRDefault="00A41FE9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</w:p>
    <w:p w14:paraId="47FF8A7A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Inhibitori protonske pumpe su povezani s veoma rijetkim slučajevima SCLE-a. Ako se pojave lezije, posebno na pod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ručjima kože izloženim suncu i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ako su one praćene artralgijom, pacijent treba odmah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da  potraži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medicinsku pomoć, a ljekar treba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razmotri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prekid liječenja </w:t>
      </w:r>
      <w:r w:rsidR="00216F97" w:rsidRPr="00490F97">
        <w:rPr>
          <w:rFonts w:eastAsia="TimesNewRoman"/>
          <w:noProof/>
          <w:sz w:val="22"/>
          <w:szCs w:val="22"/>
          <w:lang w:val="sr-Latn-ME" w:eastAsia="bs-Latn-BA"/>
        </w:rPr>
        <w:t>lijekom FENIX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NEO. Ako </w:t>
      </w:r>
      <w:r w:rsidR="000942A4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se nakon prethodnog liječenja 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inhibitorom protonske pumpe javio SCLE, to može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poveća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rizik od SCLE-a uz neki drugi inhibitor protonske pumpe.</w:t>
      </w:r>
    </w:p>
    <w:p w14:paraId="3170333A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386A07CB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u w:val="single"/>
          <w:lang w:val="sr-Latn-ME" w:eastAsia="bs-Latn-BA"/>
        </w:rPr>
        <w:t>Interferencija s laboratorijskim testovima</w:t>
      </w:r>
    </w:p>
    <w:p w14:paraId="56B9DAC6" w14:textId="77777777" w:rsidR="00F13C38" w:rsidRPr="00490F97" w:rsidRDefault="00F13C3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330ACA94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Povišen nivo hromogranina A (CgA) može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interferira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s pretragama na neuroendokrine tumore. Kako bi se izbjegla ova interferencija, liječenje</w:t>
      </w:r>
      <w:r w:rsidR="008D2001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lijekom FENIX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NEO potrebno je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se prekine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najmanje 5 </w:t>
      </w:r>
      <w:r w:rsidR="00C217C2" w:rsidRPr="00490F97">
        <w:rPr>
          <w:rFonts w:eastAsia="TimesNewRoman"/>
          <w:noProof/>
          <w:sz w:val="22"/>
          <w:szCs w:val="22"/>
          <w:lang w:val="sr-Latn-ME" w:eastAsia="bs-Latn-BA"/>
        </w:rPr>
        <w:t>dana prije mjerenja CgA (pogledati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dio 5.1.). Ako se nakon početnog mjerenja nivoi CgA i gastrina ni</w:t>
      </w:r>
      <w:r w:rsidR="00241D0C" w:rsidRPr="00490F97">
        <w:rPr>
          <w:rFonts w:eastAsia="TimesNewRoman"/>
          <w:noProof/>
          <w:sz w:val="22"/>
          <w:szCs w:val="22"/>
          <w:lang w:val="sr-Latn-ME" w:eastAsia="bs-Latn-BA"/>
        </w:rPr>
        <w:t>je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su vratili unutar granica referentnog raspona, mjerenje treba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se ponovi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14 dana nakon prekida liječenja inhibitorom protonske pumpe.</w:t>
      </w:r>
    </w:p>
    <w:p w14:paraId="400A51C7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66F01A1B" w14:textId="77777777" w:rsidR="005321F8" w:rsidRPr="00490F97" w:rsidRDefault="005321F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u w:val="single"/>
          <w:lang w:val="sr-Latn-ME" w:eastAsia="bs-Latn-BA"/>
        </w:rPr>
        <w:t>Sljedeći dodatni rizici smatraju se relevantnim pri dugotrajnoj primjeni:</w:t>
      </w:r>
    </w:p>
    <w:p w14:paraId="24265D58" w14:textId="77777777" w:rsidR="005321F8" w:rsidRPr="00490F97" w:rsidRDefault="005321F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6ED7C325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Ovaj lijek namijenjen je samo za kratko</w:t>
      </w:r>
      <w:r w:rsidR="003F4700" w:rsidRPr="00490F97">
        <w:rPr>
          <w:rFonts w:eastAsia="TimesNewRoman"/>
          <w:noProof/>
          <w:sz w:val="22"/>
          <w:szCs w:val="22"/>
          <w:lang w:val="sr-Latn-ME" w:eastAsia="bs-Latn-BA"/>
        </w:rPr>
        <w:t>trajnu primjenu (do 4 nedjelje</w:t>
      </w:r>
      <w:r w:rsidR="00B826C3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) (pogledati 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dio 4.2,). Pacijente treba upozoriti na dodatne ri</w:t>
      </w:r>
      <w:r w:rsidR="00854F86" w:rsidRPr="00490F97">
        <w:rPr>
          <w:rFonts w:eastAsia="TimesNewRoman"/>
          <w:noProof/>
          <w:sz w:val="22"/>
          <w:szCs w:val="22"/>
          <w:lang w:val="sr-Latn-ME" w:eastAsia="bs-Latn-BA"/>
        </w:rPr>
        <w:t>zike kod dugotrajnog uzimanja l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jekova i naglasiti nužnost propisivanja i redovnog nadzora.</w:t>
      </w:r>
    </w:p>
    <w:p w14:paraId="66665BE6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7FE07153" w14:textId="77777777" w:rsidR="00763F2A" w:rsidRPr="00490F97" w:rsidRDefault="00664F99" w:rsidP="00D92429">
      <w:pPr>
        <w:autoSpaceDE w:val="0"/>
        <w:autoSpaceDN w:val="0"/>
        <w:adjustRightInd w:val="0"/>
        <w:jc w:val="both"/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  <w:t>Uticaj na re</w:t>
      </w:r>
      <w:r w:rsidR="00763F2A" w:rsidRPr="00490F97"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  <w:t>sorpciju vitamina B12</w:t>
      </w:r>
    </w:p>
    <w:p w14:paraId="60687722" w14:textId="77777777" w:rsidR="00763F2A" w:rsidRPr="00490F97" w:rsidRDefault="009170B6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Pantoprazol, kao i svi l</w:t>
      </w:r>
      <w:r w:rsidR="00763F2A" w:rsidRPr="00490F97">
        <w:rPr>
          <w:rFonts w:eastAsia="TimesNewRoman"/>
          <w:noProof/>
          <w:sz w:val="22"/>
          <w:szCs w:val="22"/>
          <w:lang w:val="sr-Latn-ME" w:eastAsia="bs-Latn-BA"/>
        </w:rPr>
        <w:t>jekovi koji blok</w:t>
      </w:r>
      <w:r w:rsidR="001D7837" w:rsidRPr="00490F97">
        <w:rPr>
          <w:rFonts w:eastAsia="TimesNewRoman"/>
          <w:noProof/>
          <w:sz w:val="22"/>
          <w:szCs w:val="22"/>
          <w:lang w:val="sr-Latn-ME" w:eastAsia="bs-Latn-BA"/>
        </w:rPr>
        <w:t>iraju kis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j</w:t>
      </w:r>
      <w:r w:rsidR="001D7837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elinu, može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smanji</w:t>
      </w:r>
      <w:r w:rsidR="001D7837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re</w:t>
      </w:r>
      <w:r w:rsidR="00763F2A" w:rsidRPr="00490F97">
        <w:rPr>
          <w:rFonts w:eastAsia="TimesNewRoman"/>
          <w:noProof/>
          <w:sz w:val="22"/>
          <w:szCs w:val="22"/>
          <w:lang w:val="sr-Latn-ME" w:eastAsia="bs-Latn-BA"/>
        </w:rPr>
        <w:t>sorpciju vitamina B12 (cijanokobalamin), usljed hipo</w:t>
      </w:r>
      <w:r w:rsidR="00B70F0A" w:rsidRPr="00490F97">
        <w:rPr>
          <w:rFonts w:eastAsia="TimesNewRoman"/>
          <w:noProof/>
          <w:sz w:val="22"/>
          <w:szCs w:val="22"/>
          <w:lang w:val="sr-Latn-ME" w:eastAsia="bs-Latn-BA"/>
        </w:rPr>
        <w:t>h</w:t>
      </w:r>
      <w:r w:rsidR="00763F2A" w:rsidRPr="00490F97">
        <w:rPr>
          <w:rFonts w:eastAsia="TimesNewRoman"/>
          <w:noProof/>
          <w:sz w:val="22"/>
          <w:szCs w:val="22"/>
          <w:lang w:val="sr-Latn-ME" w:eastAsia="bs-Latn-BA"/>
        </w:rPr>
        <w:t>lorhidrije ili ahlorh</w:t>
      </w:r>
      <w:r w:rsidR="00777F5A" w:rsidRPr="00490F97">
        <w:rPr>
          <w:rFonts w:eastAsia="TimesNewRoman"/>
          <w:noProof/>
          <w:sz w:val="22"/>
          <w:szCs w:val="22"/>
          <w:lang w:val="sr-Latn-ME" w:eastAsia="bs-Latn-BA"/>
        </w:rPr>
        <w:t>idrije. To treba uzeti u obzir kod</w:t>
      </w:r>
      <w:r w:rsidR="00763F2A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pacijenata sa smanjenim tjelesnim zalihama vitamina B12 ili s</w:t>
      </w:r>
      <w:r w:rsidR="00EA2B6C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faktorima rizika za smanjenu re</w:t>
      </w:r>
      <w:r w:rsidR="00763F2A" w:rsidRPr="00490F97">
        <w:rPr>
          <w:rFonts w:eastAsia="TimesNewRoman"/>
          <w:noProof/>
          <w:sz w:val="22"/>
          <w:szCs w:val="22"/>
          <w:lang w:val="sr-Latn-ME" w:eastAsia="bs-Latn-BA"/>
        </w:rPr>
        <w:t>sorpciju vitamina B12 pri dugotrajnoj terapiji, ili ako se odgovarajući klinički simptomi uoče.</w:t>
      </w:r>
    </w:p>
    <w:p w14:paraId="22AF4877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397BD366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  <w:t>Prijelom kostiju</w:t>
      </w:r>
    </w:p>
    <w:p w14:paraId="5E69C58C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Inhibitori protonske pumpe, posebno ako se primjenjuju u visokim dozama i tokom dužeg vremenskog perioda (&gt;1 godine), mogu umjereno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povećaju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rizik od prijeloma kuka, </w:t>
      </w:r>
      <w:r w:rsidR="00817F4C" w:rsidRPr="00490F97">
        <w:rPr>
          <w:rFonts w:eastAsia="TimesNewRoman"/>
          <w:noProof/>
          <w:sz w:val="22"/>
          <w:szCs w:val="22"/>
          <w:lang w:val="sr-Latn-ME" w:eastAsia="bs-Latn-BA"/>
        </w:rPr>
        <w:t>ručnog zgloba i kičme, posebno kod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starijih osoba ili kod prisutnih drugih poznatih faktora rizika. Opservacijska ispitivanja su pokazala da inhibitori protonske pumpe mogu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povećaju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ukupni rizik od prijeloma za 10–40%. Neka od ovih povećanja mogu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nastanu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zbog uticaja drugih faktora rizika. Pacijenti s rizikom od osteoporoze, trebaju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budu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zbrinuti u skladu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s važećim kliničkim preporukama i treba da  imaju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ade</w:t>
      </w:r>
      <w:r w:rsidR="00C03212" w:rsidRPr="00490F97">
        <w:rPr>
          <w:rFonts w:eastAsia="TimesNewRoman"/>
          <w:noProof/>
          <w:sz w:val="22"/>
          <w:szCs w:val="22"/>
          <w:lang w:val="sr-Latn-ME" w:eastAsia="bs-Latn-BA"/>
        </w:rPr>
        <w:t>kvatan unos vitamina D i kalcijuma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.</w:t>
      </w:r>
    </w:p>
    <w:p w14:paraId="1ACC6F5E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2FD92504" w14:textId="77777777" w:rsidR="00763F2A" w:rsidRPr="00490F97" w:rsidRDefault="00763F2A" w:rsidP="00D92429">
      <w:pPr>
        <w:autoSpaceDE w:val="0"/>
        <w:autoSpaceDN w:val="0"/>
        <w:adjustRightInd w:val="0"/>
        <w:jc w:val="both"/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i/>
          <w:noProof/>
          <w:sz w:val="22"/>
          <w:szCs w:val="22"/>
          <w:u w:val="single"/>
          <w:lang w:val="sr-Latn-ME" w:eastAsia="bs-Latn-BA"/>
        </w:rPr>
        <w:t>Hipomagnezijemija</w:t>
      </w:r>
    </w:p>
    <w:p w14:paraId="386DE950" w14:textId="79DF5BE5" w:rsidR="000E7ADF" w:rsidRPr="00490F97" w:rsidRDefault="00763F2A" w:rsidP="00D92429">
      <w:pPr>
        <w:tabs>
          <w:tab w:val="left" w:pos="540"/>
          <w:tab w:val="left" w:pos="569"/>
        </w:tabs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Prijavlj</w:t>
      </w:r>
      <w:r w:rsidR="00D443B5" w:rsidRPr="00490F97">
        <w:rPr>
          <w:rFonts w:eastAsia="TimesNewRoman"/>
          <w:noProof/>
          <w:sz w:val="22"/>
          <w:szCs w:val="22"/>
          <w:lang w:val="sr-Latn-ME" w:eastAsia="bs-Latn-BA"/>
        </w:rPr>
        <w:t>ena je teška hipomagnezijemija kod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pacijenata liječenih inhibitorima protonske pumpe, kao što je pantoprazol, tokom najmanje tri mjeseca, a u većini slučajeva tokom godinu dana. Mogu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</w:t>
      </w:r>
      <w:r w:rsidR="00A14D19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se pojave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ozbiljne manifestacije hipomagnezijemije, kao što su umor, tetanija, delirij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um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, konvulzije, omaglica i ventrikularna aritmija, što može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da 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z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apočne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</w:t>
      </w:r>
      <w:r w:rsidR="00D6403F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podmuklo i može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se previdi</w:t>
      </w:r>
      <w:r w:rsidR="00D6403F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. </w:t>
      </w:r>
      <w:r w:rsidR="00EF5615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Hipomagnezijemija može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dovede</w:t>
      </w:r>
      <w:r w:rsidR="00EF5615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do hipokalcemije i/ili hipokalemije (pogledati dio 4.8). </w:t>
      </w:r>
      <w:r w:rsidR="00D6403F" w:rsidRPr="00490F97">
        <w:rPr>
          <w:rFonts w:eastAsia="TimesNewRoman"/>
          <w:noProof/>
          <w:sz w:val="22"/>
          <w:szCs w:val="22"/>
          <w:lang w:val="sr-Latn-ME" w:eastAsia="bs-Latn-BA"/>
        </w:rPr>
        <w:t>Kod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većine pogođenih pacijenata,</w:t>
      </w:r>
      <w:r w:rsidR="000E7ADF" w:rsidRPr="00490F97">
        <w:rPr>
          <w:noProof/>
          <w:sz w:val="22"/>
          <w:szCs w:val="22"/>
          <w:lang w:val="sr-Latn-ME"/>
        </w:rPr>
        <w:t xml:space="preserve"> </w:t>
      </w:r>
      <w:r w:rsidR="000E7ADF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hipomagnezijemija </w:t>
      </w:r>
      <w:r w:rsidR="00D432AA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(i hipomagnezijemija povezana s hipokalcemijeom i/ili hipokalemijom) </w:t>
      </w:r>
      <w:r w:rsidR="000E7ADF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poboljšala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se </w:t>
      </w:r>
      <w:r w:rsidR="000E7ADF" w:rsidRPr="00490F97">
        <w:rPr>
          <w:rFonts w:eastAsia="TimesNewRoman"/>
          <w:noProof/>
          <w:sz w:val="22"/>
          <w:szCs w:val="22"/>
          <w:lang w:val="sr-Latn-ME" w:eastAsia="bs-Latn-BA"/>
        </w:rPr>
        <w:t>nakon nadoknade magnezij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um</w:t>
      </w:r>
      <w:r w:rsidR="000E7ADF" w:rsidRPr="00490F97">
        <w:rPr>
          <w:rFonts w:eastAsia="TimesNewRoman"/>
          <w:noProof/>
          <w:sz w:val="22"/>
          <w:szCs w:val="22"/>
          <w:lang w:val="sr-Latn-ME" w:eastAsia="bs-Latn-BA"/>
        </w:rPr>
        <w:t>a i prekida primjene inhibitora protonske pumpe.</w:t>
      </w:r>
    </w:p>
    <w:p w14:paraId="6B9C7A40" w14:textId="77777777" w:rsidR="000E7ADF" w:rsidRPr="00490F97" w:rsidRDefault="000E7ADF" w:rsidP="00D92429">
      <w:pPr>
        <w:tabs>
          <w:tab w:val="left" w:pos="540"/>
          <w:tab w:val="left" w:pos="569"/>
        </w:tabs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6D0AE16F" w14:textId="08D55CBA" w:rsidR="00763F2A" w:rsidRPr="00490F97" w:rsidRDefault="000E7ADF" w:rsidP="00D92429">
      <w:pPr>
        <w:tabs>
          <w:tab w:val="left" w:pos="540"/>
          <w:tab w:val="left" w:pos="569"/>
        </w:tabs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Kod pacijenata za koje se očekuje da će biti na produženoj terapiji inhibitorima protonske pumpe ili koji primjenjuju inhibitore protonske pumpe istovrem</w:t>
      </w:r>
      <w:r w:rsidR="009A661B" w:rsidRPr="00490F97">
        <w:rPr>
          <w:rFonts w:eastAsia="TimesNewRoman"/>
          <w:noProof/>
          <w:sz w:val="22"/>
          <w:szCs w:val="22"/>
          <w:lang w:val="sr-Latn-ME" w:eastAsia="bs-Latn-BA"/>
        </w:rPr>
        <w:t>eno s digoksinom ili s drugim l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jekovima koji mogu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da uzrokuju 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hipomagnezijemiju (npr. diuretici), ljekari trebaju 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da razmotre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praćenje nivoa magnezij</w:t>
      </w:r>
      <w:r w:rsidR="007E2BD6" w:rsidRPr="00490F97">
        <w:rPr>
          <w:rFonts w:eastAsia="TimesNewRoman"/>
          <w:noProof/>
          <w:sz w:val="22"/>
          <w:szCs w:val="22"/>
          <w:lang w:val="sr-Latn-ME" w:eastAsia="bs-Latn-BA"/>
        </w:rPr>
        <w:t>um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>a prije uvođenja inhibitora protonske pumpe u terapiju i periodično tokom liječenja.</w:t>
      </w:r>
    </w:p>
    <w:p w14:paraId="557746A6" w14:textId="77777777" w:rsidR="000E7ADF" w:rsidRPr="00490F97" w:rsidRDefault="000E7AD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5BDE3AB9" w14:textId="77777777" w:rsidR="005507B3" w:rsidRPr="00490F97" w:rsidRDefault="003C71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Lijek FENIX NEO sadrži natrijum</w:t>
      </w:r>
    </w:p>
    <w:p w14:paraId="777FC50A" w14:textId="77777777" w:rsidR="002F0033" w:rsidRPr="00490F97" w:rsidRDefault="00471A5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Ovaj lijek sadrži natrij</w:t>
      </w:r>
      <w:r w:rsidR="003C7129" w:rsidRPr="00490F97">
        <w:rPr>
          <w:bCs/>
          <w:noProof/>
          <w:sz w:val="22"/>
          <w:szCs w:val="22"/>
          <w:lang w:val="sr-Latn-ME"/>
        </w:rPr>
        <w:t>um</w:t>
      </w:r>
      <w:r w:rsidRPr="00490F97">
        <w:rPr>
          <w:bCs/>
          <w:noProof/>
          <w:sz w:val="22"/>
          <w:szCs w:val="22"/>
          <w:lang w:val="sr-Latn-ME"/>
        </w:rPr>
        <w:t>, manje od 1 mmola (23 mg) po jednoj dozi, u osnovi ne sadrži natrij</w:t>
      </w:r>
      <w:r w:rsidR="003C7129" w:rsidRPr="00490F97">
        <w:rPr>
          <w:bCs/>
          <w:noProof/>
          <w:sz w:val="22"/>
          <w:szCs w:val="22"/>
          <w:lang w:val="sr-Latn-ME"/>
        </w:rPr>
        <w:t>um</w:t>
      </w:r>
      <w:r w:rsidRPr="00490F97">
        <w:rPr>
          <w:bCs/>
          <w:noProof/>
          <w:sz w:val="22"/>
          <w:szCs w:val="22"/>
          <w:lang w:val="sr-Latn-ME"/>
        </w:rPr>
        <w:t>.</w:t>
      </w:r>
    </w:p>
    <w:p w14:paraId="7BB6F7CE" w14:textId="77777777" w:rsidR="005507B3" w:rsidRPr="00490F97" w:rsidRDefault="005507B3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54D9EAF" w14:textId="77777777" w:rsidR="00411B4B" w:rsidRPr="00490F97" w:rsidRDefault="00411B4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>4.5.</w:t>
      </w:r>
      <w:r w:rsidR="000D60CC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Interakcije sa drugim ljekovima i druge vrste interakcija</w:t>
      </w:r>
    </w:p>
    <w:p w14:paraId="7DCD7B5C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5140FDD" w14:textId="77777777" w:rsidR="00EA5C44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4F0265D1" w14:textId="5CEB2C6C" w:rsidR="002F0033" w:rsidRPr="00490F97" w:rsidRDefault="007E30B7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lastRenderedPageBreak/>
        <w:t>L</w:t>
      </w:r>
      <w:r w:rsidR="002F0033" w:rsidRPr="00490F97">
        <w:rPr>
          <w:bCs/>
          <w:noProof/>
          <w:sz w:val="22"/>
          <w:szCs w:val="22"/>
          <w:u w:val="single"/>
          <w:lang w:val="sr-Latn-ME"/>
        </w:rPr>
        <w:t>jekovi</w:t>
      </w:r>
      <w:r w:rsidR="007724E4" w:rsidRPr="00490F97">
        <w:rPr>
          <w:bCs/>
          <w:noProof/>
          <w:sz w:val="22"/>
          <w:szCs w:val="22"/>
          <w:u w:val="single"/>
          <w:lang w:val="sr-Latn-ME"/>
        </w:rPr>
        <w:t xml:space="preserve"> s farmakokinetikom resorpcije zavisnih</w:t>
      </w:r>
      <w:r w:rsidR="002F0033" w:rsidRPr="00490F97">
        <w:rPr>
          <w:bCs/>
          <w:noProof/>
          <w:sz w:val="22"/>
          <w:szCs w:val="22"/>
          <w:u w:val="single"/>
          <w:lang w:val="sr-Latn-ME"/>
        </w:rPr>
        <w:t xml:space="preserve"> o</w:t>
      </w:r>
      <w:r w:rsidR="007724E4" w:rsidRPr="00490F97">
        <w:rPr>
          <w:bCs/>
          <w:noProof/>
          <w:sz w:val="22"/>
          <w:szCs w:val="22"/>
          <w:u w:val="single"/>
          <w:lang w:val="sr-Latn-ME"/>
        </w:rPr>
        <w:t>d</w:t>
      </w:r>
      <w:r w:rsidR="002F0033" w:rsidRPr="00490F97">
        <w:rPr>
          <w:bCs/>
          <w:noProof/>
          <w:sz w:val="22"/>
          <w:szCs w:val="22"/>
          <w:u w:val="single"/>
          <w:lang w:val="sr-Latn-ME"/>
        </w:rPr>
        <w:t xml:space="preserve"> pH</w:t>
      </w:r>
    </w:p>
    <w:p w14:paraId="2A08E442" w14:textId="77777777" w:rsidR="002F0033" w:rsidRPr="00490F97" w:rsidRDefault="002F0033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2298FF2" w14:textId="77777777" w:rsidR="00421029" w:rsidRPr="00490F97" w:rsidRDefault="009F15C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Lijek </w:t>
      </w:r>
      <w:r w:rsidR="007C4FF0" w:rsidRPr="00490F97">
        <w:rPr>
          <w:bCs/>
          <w:noProof/>
          <w:sz w:val="22"/>
          <w:szCs w:val="22"/>
          <w:lang w:val="sr-Latn-ME"/>
        </w:rPr>
        <w:t xml:space="preserve">FENIX NEO može </w:t>
      </w:r>
      <w:r w:rsidR="00A31CBB" w:rsidRPr="00490F97">
        <w:rPr>
          <w:bCs/>
          <w:noProof/>
          <w:sz w:val="22"/>
          <w:szCs w:val="22"/>
          <w:lang w:val="sr-Latn-ME"/>
        </w:rPr>
        <w:t>da smanji</w:t>
      </w:r>
      <w:r w:rsidR="007C4FF0" w:rsidRPr="00490F97">
        <w:rPr>
          <w:bCs/>
          <w:noProof/>
          <w:sz w:val="22"/>
          <w:szCs w:val="22"/>
          <w:lang w:val="sr-Latn-ME"/>
        </w:rPr>
        <w:t xml:space="preserve"> re</w:t>
      </w:r>
      <w:r w:rsidR="00421029" w:rsidRPr="00490F97">
        <w:rPr>
          <w:bCs/>
          <w:noProof/>
          <w:sz w:val="22"/>
          <w:szCs w:val="22"/>
          <w:lang w:val="sr-Latn-ME"/>
        </w:rPr>
        <w:t>sorpciju aktivnih supstanci čija bioraspoloživost zavisi od pH želuca (npr. ketokonazol).</w:t>
      </w:r>
    </w:p>
    <w:p w14:paraId="7F83F3D4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42DFFB5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Inhibitori HIV proteaze</w:t>
      </w:r>
    </w:p>
    <w:p w14:paraId="73B7879C" w14:textId="77777777" w:rsidR="00CB1982" w:rsidRPr="00490F97" w:rsidRDefault="00CB1982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62DA691A" w14:textId="7C52FAD9" w:rsidR="00421029" w:rsidRPr="00490F97" w:rsidRDefault="0075204C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Kontraindikovana</w:t>
      </w:r>
      <w:r w:rsidR="00421029" w:rsidRPr="00490F97">
        <w:rPr>
          <w:bCs/>
          <w:noProof/>
          <w:sz w:val="22"/>
          <w:szCs w:val="22"/>
          <w:lang w:val="sr-Latn-ME"/>
        </w:rPr>
        <w:t xml:space="preserve"> je primjena pantoprazola s inhibitorima HIV </w:t>
      </w:r>
      <w:r w:rsidR="000771BB" w:rsidRPr="00490F97">
        <w:rPr>
          <w:bCs/>
          <w:noProof/>
          <w:sz w:val="22"/>
          <w:szCs w:val="22"/>
          <w:lang w:val="sr-Latn-ME"/>
        </w:rPr>
        <w:t>proteaze čija je re</w:t>
      </w:r>
      <w:r w:rsidR="00CF0C9F" w:rsidRPr="00490F97">
        <w:rPr>
          <w:bCs/>
          <w:noProof/>
          <w:sz w:val="22"/>
          <w:szCs w:val="22"/>
          <w:lang w:val="sr-Latn-ME"/>
        </w:rPr>
        <w:t>sorpcija za</w:t>
      </w:r>
      <w:r w:rsidR="00421029" w:rsidRPr="00490F97">
        <w:rPr>
          <w:bCs/>
          <w:noProof/>
          <w:sz w:val="22"/>
          <w:szCs w:val="22"/>
          <w:lang w:val="sr-Latn-ME"/>
        </w:rPr>
        <w:t>visna o</w:t>
      </w:r>
      <w:r w:rsidR="00CF0C9F" w:rsidRPr="00490F97">
        <w:rPr>
          <w:bCs/>
          <w:noProof/>
          <w:sz w:val="22"/>
          <w:szCs w:val="22"/>
          <w:lang w:val="sr-Latn-ME"/>
        </w:rPr>
        <w:t>d</w:t>
      </w:r>
      <w:r w:rsidR="00421029" w:rsidRPr="00490F97">
        <w:rPr>
          <w:bCs/>
          <w:noProof/>
          <w:sz w:val="22"/>
          <w:szCs w:val="22"/>
          <w:lang w:val="sr-Latn-ME"/>
        </w:rPr>
        <w:t xml:space="preserve"> kis</w:t>
      </w:r>
      <w:r w:rsidR="00082141" w:rsidRPr="00490F97">
        <w:rPr>
          <w:bCs/>
          <w:noProof/>
          <w:sz w:val="22"/>
          <w:szCs w:val="22"/>
          <w:lang w:val="sr-Latn-ME"/>
        </w:rPr>
        <w:t xml:space="preserve">jelog </w:t>
      </w:r>
      <w:r w:rsidR="00CF0C9F" w:rsidRPr="00490F97">
        <w:rPr>
          <w:bCs/>
          <w:noProof/>
          <w:sz w:val="22"/>
          <w:szCs w:val="22"/>
          <w:lang w:val="sr-Latn-ME"/>
        </w:rPr>
        <w:t>intragastričnog</w:t>
      </w:r>
      <w:r w:rsidR="00421029" w:rsidRPr="00490F97">
        <w:rPr>
          <w:bCs/>
          <w:noProof/>
          <w:sz w:val="22"/>
          <w:szCs w:val="22"/>
          <w:lang w:val="sr-Latn-ME"/>
        </w:rPr>
        <w:t xml:space="preserve"> pH, kao što su atazanavir i nelfinavir, zbog značajnog smanjenja nj</w:t>
      </w:r>
      <w:r w:rsidR="008E295E" w:rsidRPr="00490F97">
        <w:rPr>
          <w:bCs/>
          <w:noProof/>
          <w:sz w:val="22"/>
          <w:szCs w:val="22"/>
          <w:lang w:val="sr-Latn-ME"/>
        </w:rPr>
        <w:t>ihove bioraspoloživosti (pogledati</w:t>
      </w:r>
      <w:r w:rsidR="00421029" w:rsidRPr="00490F97">
        <w:rPr>
          <w:bCs/>
          <w:noProof/>
          <w:sz w:val="22"/>
          <w:szCs w:val="22"/>
          <w:lang w:val="sr-Latn-ME"/>
        </w:rPr>
        <w:t xml:space="preserve"> dio 4.3.).</w:t>
      </w:r>
    </w:p>
    <w:p w14:paraId="6FFEE6FB" w14:textId="77777777" w:rsidR="00807C75" w:rsidRPr="00490F97" w:rsidRDefault="00807C75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0F0118A" w14:textId="77777777" w:rsidR="00421029" w:rsidRPr="00490F97" w:rsidRDefault="00CF0C9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Antikoagulansi iz grupe</w:t>
      </w:r>
      <w:r w:rsidR="00807C75" w:rsidRPr="00490F97">
        <w:rPr>
          <w:bCs/>
          <w:noProof/>
          <w:sz w:val="22"/>
          <w:szCs w:val="22"/>
          <w:u w:val="single"/>
          <w:lang w:val="sr-Latn-ME"/>
        </w:rPr>
        <w:t xml:space="preserve"> kumarina (fenprokumon ili varfarin)</w:t>
      </w:r>
    </w:p>
    <w:p w14:paraId="34DD9368" w14:textId="77777777" w:rsidR="00807C75" w:rsidRPr="00490F97" w:rsidRDefault="00807C75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336CC011" w14:textId="166E484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Iako u kliničkim farmakokinetičkim ispitivanjima ni</w:t>
      </w:r>
      <w:r w:rsidR="00894FF3" w:rsidRPr="00490F97">
        <w:rPr>
          <w:bCs/>
          <w:noProof/>
          <w:sz w:val="22"/>
          <w:szCs w:val="22"/>
          <w:lang w:val="sr-Latn-ME"/>
        </w:rPr>
        <w:t>je</w:t>
      </w:r>
      <w:r w:rsidRPr="00490F97">
        <w:rPr>
          <w:bCs/>
          <w:noProof/>
          <w:sz w:val="22"/>
          <w:szCs w:val="22"/>
          <w:lang w:val="sr-Latn-ME"/>
        </w:rPr>
        <w:t>su primijećene interakcije kod istovremene primjene fenprokumona ili varfarina, nakon stavljanja lijeka u promet za</w:t>
      </w:r>
      <w:r w:rsidR="00CF0C9F" w:rsidRPr="00490F97">
        <w:rPr>
          <w:bCs/>
          <w:noProof/>
          <w:sz w:val="22"/>
          <w:szCs w:val="22"/>
          <w:lang w:val="sr-Latn-ME"/>
        </w:rPr>
        <w:t>b</w:t>
      </w:r>
      <w:r w:rsidR="000A21B2" w:rsidRPr="00490F97">
        <w:rPr>
          <w:bCs/>
          <w:noProof/>
          <w:sz w:val="22"/>
          <w:szCs w:val="22"/>
          <w:lang w:val="sr-Latn-ME"/>
        </w:rPr>
        <w:t>ilježeno je nekoliko izolovanih</w:t>
      </w:r>
      <w:r w:rsidRPr="00490F97">
        <w:rPr>
          <w:bCs/>
          <w:noProof/>
          <w:sz w:val="22"/>
          <w:szCs w:val="22"/>
          <w:lang w:val="sr-Latn-ME"/>
        </w:rPr>
        <w:t xml:space="preserve"> slučajeva promjene INR-a (INR, od engl. International Normalised Ratio).</w:t>
      </w:r>
      <w:r w:rsidR="00A31972" w:rsidRPr="00490F97">
        <w:rPr>
          <w:bCs/>
          <w:noProof/>
          <w:sz w:val="22"/>
          <w:szCs w:val="22"/>
          <w:lang w:val="sr-Latn-ME"/>
        </w:rPr>
        <w:t xml:space="preserve"> Stoga se kod</w:t>
      </w:r>
      <w:r w:rsidRPr="00490F97">
        <w:rPr>
          <w:bCs/>
          <w:noProof/>
          <w:sz w:val="22"/>
          <w:szCs w:val="22"/>
          <w:lang w:val="sr-Latn-ME"/>
        </w:rPr>
        <w:t xml:space="preserve"> pacijenata koji se liječe kumarinskim antikoagulansima (npr. fenprokumon ili varfarin), preporučuje praćenje protrombinskog vremena/INR-a nakon početka liječenja, po završetku liječenja ili tokom neredovne primjene pantoprazola.</w:t>
      </w:r>
    </w:p>
    <w:p w14:paraId="6E112A5C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392F1A0" w14:textId="77777777" w:rsidR="00FB3962" w:rsidRPr="00490F97" w:rsidRDefault="00FB3962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Metotreksat</w:t>
      </w:r>
    </w:p>
    <w:p w14:paraId="574C57AC" w14:textId="77777777" w:rsidR="00FB3962" w:rsidRPr="00490F97" w:rsidRDefault="00FB3962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6CC4571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Zabilježeno j</w:t>
      </w:r>
      <w:r w:rsidR="001A5CA8" w:rsidRPr="00490F97">
        <w:rPr>
          <w:bCs/>
          <w:noProof/>
          <w:sz w:val="22"/>
          <w:szCs w:val="22"/>
          <w:lang w:val="sr-Latn-ME"/>
        </w:rPr>
        <w:t>e povećanje nivoa metotreksata kod</w:t>
      </w:r>
      <w:r w:rsidRPr="00490F97">
        <w:rPr>
          <w:bCs/>
          <w:noProof/>
          <w:sz w:val="22"/>
          <w:szCs w:val="22"/>
          <w:lang w:val="sr-Latn-ME"/>
        </w:rPr>
        <w:t xml:space="preserve"> nekih pacijenata, pri istovremenoj primjeni visokih doza metotreksata (npr. 300 mg) i inhibitora protonske pumpe. Zbog toga, u slučajevima gdje se primjenjuju visoke doze metotreksata, kao što su karcinom i psorijaza, može </w:t>
      </w:r>
      <w:r w:rsidR="00CF0C9F" w:rsidRPr="00490F97">
        <w:rPr>
          <w:bCs/>
          <w:noProof/>
          <w:sz w:val="22"/>
          <w:szCs w:val="22"/>
          <w:lang w:val="sr-Latn-ME"/>
        </w:rPr>
        <w:t>da se razmotri</w:t>
      </w:r>
      <w:r w:rsidRPr="00490F97">
        <w:rPr>
          <w:bCs/>
          <w:noProof/>
          <w:sz w:val="22"/>
          <w:szCs w:val="22"/>
          <w:lang w:val="sr-Latn-ME"/>
        </w:rPr>
        <w:t xml:space="preserve"> privremeno povlačenje pantoprazola.</w:t>
      </w:r>
    </w:p>
    <w:p w14:paraId="0590BF5E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D0A3F49" w14:textId="77777777" w:rsidR="009D3D9F" w:rsidRPr="00490F97" w:rsidRDefault="009D3D9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Druga ispitivanja interakcija</w:t>
      </w:r>
    </w:p>
    <w:p w14:paraId="2D2A8799" w14:textId="77777777" w:rsidR="009D3D9F" w:rsidRPr="00490F97" w:rsidRDefault="009D3D9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3A0B546" w14:textId="77777777" w:rsidR="00421029" w:rsidRPr="00490F97" w:rsidRDefault="00CF0C9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Pantoprazol se metabolizuje</w:t>
      </w:r>
      <w:r w:rsidR="00421029" w:rsidRPr="00490F97">
        <w:rPr>
          <w:bCs/>
          <w:noProof/>
          <w:sz w:val="22"/>
          <w:szCs w:val="22"/>
          <w:lang w:val="sr-Latn-ME"/>
        </w:rPr>
        <w:t xml:space="preserve"> u jetri putem citohrom P450 enzimskog sistema.  Ispitivanja interakcija s karbamazepinom, kofeinom, diazepamom, diklofenakom, digoksinom, etanolom, glibenklamidom, metoprololom, naproksenom, nifedipinom, fenitoinom, piroksikamom, teofilinom i oralnim kontraceptivom koji sadrži levonorgestrel i etinilestradiol, ni</w:t>
      </w:r>
      <w:r w:rsidR="00E520FA" w:rsidRPr="00490F97">
        <w:rPr>
          <w:bCs/>
          <w:noProof/>
          <w:sz w:val="22"/>
          <w:szCs w:val="22"/>
          <w:lang w:val="sr-Latn-ME"/>
        </w:rPr>
        <w:t>je</w:t>
      </w:r>
      <w:r w:rsidR="00421029" w:rsidRPr="00490F97">
        <w:rPr>
          <w:bCs/>
          <w:noProof/>
          <w:sz w:val="22"/>
          <w:szCs w:val="22"/>
          <w:lang w:val="sr-Latn-ME"/>
        </w:rPr>
        <w:t>su pokazala klinički značajne interakcije. Međutim, interakcija pantopraz</w:t>
      </w:r>
      <w:r w:rsidR="00FB0B6E" w:rsidRPr="00490F97">
        <w:rPr>
          <w:bCs/>
          <w:noProof/>
          <w:sz w:val="22"/>
          <w:szCs w:val="22"/>
          <w:lang w:val="sr-Latn-ME"/>
        </w:rPr>
        <w:t>ola s drugim l</w:t>
      </w:r>
      <w:r w:rsidRPr="00490F97">
        <w:rPr>
          <w:bCs/>
          <w:noProof/>
          <w:sz w:val="22"/>
          <w:szCs w:val="22"/>
          <w:lang w:val="sr-Latn-ME"/>
        </w:rPr>
        <w:t>jekovima koji se metabolizuju</w:t>
      </w:r>
      <w:r w:rsidR="00421029" w:rsidRPr="00490F97">
        <w:rPr>
          <w:bCs/>
          <w:noProof/>
          <w:sz w:val="22"/>
          <w:szCs w:val="22"/>
          <w:lang w:val="sr-Latn-ME"/>
        </w:rPr>
        <w:t xml:space="preserve"> istim enzimskim sistemom, ne može </w:t>
      </w:r>
      <w:r w:rsidRPr="00490F97">
        <w:rPr>
          <w:bCs/>
          <w:noProof/>
          <w:sz w:val="22"/>
          <w:szCs w:val="22"/>
          <w:lang w:val="sr-Latn-ME"/>
        </w:rPr>
        <w:t xml:space="preserve">da </w:t>
      </w:r>
      <w:r w:rsidR="00421029" w:rsidRPr="00490F97">
        <w:rPr>
          <w:bCs/>
          <w:noProof/>
          <w:sz w:val="22"/>
          <w:szCs w:val="22"/>
          <w:lang w:val="sr-Latn-ME"/>
        </w:rPr>
        <w:t xml:space="preserve">se </w:t>
      </w:r>
      <w:r w:rsidRPr="00490F97">
        <w:rPr>
          <w:bCs/>
          <w:noProof/>
          <w:sz w:val="22"/>
          <w:szCs w:val="22"/>
          <w:lang w:val="sr-Latn-ME"/>
        </w:rPr>
        <w:t>isključi</w:t>
      </w:r>
      <w:r w:rsidR="00421029" w:rsidRPr="00490F97">
        <w:rPr>
          <w:bCs/>
          <w:noProof/>
          <w:sz w:val="22"/>
          <w:szCs w:val="22"/>
          <w:lang w:val="sr-Latn-ME"/>
        </w:rPr>
        <w:t>.</w:t>
      </w:r>
    </w:p>
    <w:p w14:paraId="57571D36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4089834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Nije bilo interakcija s istovremeno primijenjenim antacidima.</w:t>
      </w:r>
    </w:p>
    <w:p w14:paraId="18C3D8D6" w14:textId="77777777" w:rsidR="00421029" w:rsidRPr="00490F97" w:rsidRDefault="00421029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C624A55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4.6.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="006D20A5" w:rsidRPr="00490F97">
        <w:rPr>
          <w:b/>
          <w:noProof/>
          <w:sz w:val="22"/>
          <w:szCs w:val="22"/>
          <w:lang w:val="sr-Latn-ME"/>
        </w:rPr>
        <w:t>Plodnost, trudnoća i dojenje</w:t>
      </w:r>
    </w:p>
    <w:p w14:paraId="51CA6862" w14:textId="77777777" w:rsidR="00DF7859" w:rsidRPr="00490F97" w:rsidRDefault="00DF7859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5D1358B5" w14:textId="77777777" w:rsidR="007A3ECB" w:rsidRPr="00490F97" w:rsidRDefault="007A3ECB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  <w:r w:rsidRPr="00490F97">
        <w:rPr>
          <w:noProof/>
          <w:sz w:val="22"/>
          <w:szCs w:val="22"/>
          <w:u w:val="single"/>
          <w:lang w:val="sr-Latn-ME"/>
        </w:rPr>
        <w:t>Trudnoća</w:t>
      </w:r>
    </w:p>
    <w:p w14:paraId="4A3F012D" w14:textId="77777777" w:rsidR="00B35C92" w:rsidRPr="00490F97" w:rsidRDefault="00B35C92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6E1D0AFD" w14:textId="77777777" w:rsidR="0019280D" w:rsidRPr="00490F97" w:rsidRDefault="0019280D" w:rsidP="00D92429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Nema adekvatnih po</w:t>
      </w:r>
      <w:r w:rsidR="00E32DE9" w:rsidRPr="00490F97">
        <w:rPr>
          <w:noProof/>
          <w:sz w:val="22"/>
          <w:szCs w:val="22"/>
          <w:lang w:val="sr-Latn-ME"/>
        </w:rPr>
        <w:t>dataka o primjeni pantoprazola kod</w:t>
      </w:r>
      <w:r w:rsidRPr="00490F97">
        <w:rPr>
          <w:noProof/>
          <w:sz w:val="22"/>
          <w:szCs w:val="22"/>
          <w:lang w:val="sr-Latn-ME"/>
        </w:rPr>
        <w:t xml:space="preserve"> trudnica. Ispitivanja na životinjama su pokazala reproduktivnu toksičnost. Pretklinička ispitivanja ni</w:t>
      </w:r>
      <w:r w:rsidR="005F1F2A" w:rsidRPr="00490F97">
        <w:rPr>
          <w:noProof/>
          <w:sz w:val="22"/>
          <w:szCs w:val="22"/>
          <w:lang w:val="sr-Latn-ME"/>
        </w:rPr>
        <w:t>je</w:t>
      </w:r>
      <w:r w:rsidRPr="00490F97">
        <w:rPr>
          <w:noProof/>
          <w:sz w:val="22"/>
          <w:szCs w:val="22"/>
          <w:lang w:val="sr-Latn-ME"/>
        </w:rPr>
        <w:t>su otkrila oštećenu plodnos</w:t>
      </w:r>
      <w:r w:rsidR="003E203E" w:rsidRPr="00490F97">
        <w:rPr>
          <w:noProof/>
          <w:sz w:val="22"/>
          <w:szCs w:val="22"/>
          <w:lang w:val="sr-Latn-ME"/>
        </w:rPr>
        <w:t>t ili teratogene efekte (pogledati</w:t>
      </w:r>
      <w:r w:rsidRPr="00490F97">
        <w:rPr>
          <w:noProof/>
          <w:sz w:val="22"/>
          <w:szCs w:val="22"/>
          <w:lang w:val="sr-Latn-ME"/>
        </w:rPr>
        <w:t xml:space="preserve"> dio 5.3.). Mogući rizik za ljude nije poznat. Pantoprazol ne bi trebalo</w:t>
      </w:r>
      <w:r w:rsidR="00CF0C9F" w:rsidRPr="00490F97">
        <w:rPr>
          <w:noProof/>
          <w:sz w:val="22"/>
          <w:szCs w:val="22"/>
          <w:lang w:val="sr-Latn-ME"/>
        </w:rPr>
        <w:t xml:space="preserve"> da se primjenjuje</w:t>
      </w:r>
      <w:r w:rsidRPr="00490F97">
        <w:rPr>
          <w:noProof/>
          <w:sz w:val="22"/>
          <w:szCs w:val="22"/>
          <w:lang w:val="sr-Latn-ME"/>
        </w:rPr>
        <w:t xml:space="preserve"> tokom trudnoće.</w:t>
      </w:r>
    </w:p>
    <w:p w14:paraId="6B3B7E79" w14:textId="77777777" w:rsidR="002031B3" w:rsidRPr="00490F97" w:rsidRDefault="002031B3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646FDDD1" w14:textId="77777777" w:rsidR="0072020E" w:rsidRPr="00490F97" w:rsidRDefault="007A3ECB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  <w:r w:rsidRPr="00490F97">
        <w:rPr>
          <w:noProof/>
          <w:sz w:val="22"/>
          <w:szCs w:val="22"/>
          <w:u w:val="single"/>
          <w:lang w:val="sr-Latn-ME"/>
        </w:rPr>
        <w:t xml:space="preserve">Dojenje </w:t>
      </w:r>
    </w:p>
    <w:p w14:paraId="329D907D" w14:textId="77777777" w:rsidR="00BA5C0F" w:rsidRPr="00490F97" w:rsidRDefault="00BA5C0F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1BCE506" w14:textId="77777777" w:rsidR="0019280D" w:rsidRPr="00490F97" w:rsidRDefault="0019280D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Panto</w:t>
      </w:r>
      <w:r w:rsidR="00217C44" w:rsidRPr="00490F97">
        <w:rPr>
          <w:noProof/>
          <w:sz w:val="22"/>
          <w:szCs w:val="22"/>
          <w:lang w:val="sr-Latn-ME" w:eastAsia="bs-Latn-BA"/>
        </w:rPr>
        <w:t>prazol/metaboliti identifikovani</w:t>
      </w:r>
      <w:r w:rsidRPr="00490F97">
        <w:rPr>
          <w:noProof/>
          <w:sz w:val="22"/>
          <w:szCs w:val="22"/>
          <w:lang w:val="sr-Latn-ME" w:eastAsia="bs-Latn-BA"/>
        </w:rPr>
        <w:t xml:space="preserve"> su u humanom majčinom mlijeku. Uticaj pantoprazola na novorođenčad/dojenčad nije poznat. Pantoprazol ne bi trebalo </w:t>
      </w:r>
      <w:r w:rsidR="00CF0C9F" w:rsidRPr="00490F97">
        <w:rPr>
          <w:noProof/>
          <w:sz w:val="22"/>
          <w:szCs w:val="22"/>
          <w:lang w:val="sr-Latn-ME" w:eastAsia="bs-Latn-BA"/>
        </w:rPr>
        <w:t>da se primjenjuje</w:t>
      </w:r>
      <w:r w:rsidRPr="00490F97">
        <w:rPr>
          <w:noProof/>
          <w:sz w:val="22"/>
          <w:szCs w:val="22"/>
          <w:lang w:val="sr-Latn-ME" w:eastAsia="bs-Latn-BA"/>
        </w:rPr>
        <w:t xml:space="preserve"> tokom dojenja.</w:t>
      </w:r>
    </w:p>
    <w:p w14:paraId="26AAFA50" w14:textId="77777777" w:rsidR="00227BDB" w:rsidRPr="00490F97" w:rsidRDefault="00227BDB" w:rsidP="00D9242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</w:p>
    <w:p w14:paraId="08518E75" w14:textId="77777777" w:rsidR="00480E63" w:rsidRPr="00490F97" w:rsidRDefault="00480E63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  <w:r w:rsidRPr="00490F97">
        <w:rPr>
          <w:noProof/>
          <w:sz w:val="22"/>
          <w:szCs w:val="22"/>
          <w:u w:val="single"/>
          <w:lang w:val="sr-Latn-ME"/>
        </w:rPr>
        <w:t>Plodnost</w:t>
      </w:r>
    </w:p>
    <w:p w14:paraId="3BD2C53E" w14:textId="77777777" w:rsidR="00912A37" w:rsidRPr="00490F97" w:rsidRDefault="00912A37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1FE5B1D8" w14:textId="77777777" w:rsidR="00480E63" w:rsidRPr="00490F97" w:rsidRDefault="00480E63" w:rsidP="00D9242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U studijama na životinjama nije bilo dokaza o oštećenoj plodnosti nako</w:t>
      </w:r>
      <w:r w:rsidR="0097545A" w:rsidRPr="00490F97">
        <w:rPr>
          <w:noProof/>
          <w:sz w:val="22"/>
          <w:szCs w:val="22"/>
          <w:lang w:val="sr-Latn-ME"/>
        </w:rPr>
        <w:t>n primjene pantoprazola (pogledati</w:t>
      </w:r>
      <w:r w:rsidRPr="00490F97">
        <w:rPr>
          <w:noProof/>
          <w:sz w:val="22"/>
          <w:szCs w:val="22"/>
          <w:lang w:val="sr-Latn-ME"/>
        </w:rPr>
        <w:t xml:space="preserve"> dio 5.3.).</w:t>
      </w:r>
    </w:p>
    <w:p w14:paraId="49E46889" w14:textId="77777777" w:rsidR="0019280D" w:rsidRPr="00490F97" w:rsidRDefault="0019280D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5A8B2B08" w14:textId="77777777" w:rsidR="0072020E" w:rsidRPr="00490F97" w:rsidRDefault="0072020E" w:rsidP="00D9242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lastRenderedPageBreak/>
        <w:t xml:space="preserve">4.7.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 xml:space="preserve">Uticaj na </w:t>
      </w:r>
      <w:r w:rsidR="002031B3" w:rsidRPr="00490F97">
        <w:rPr>
          <w:b/>
          <w:bCs/>
          <w:noProof/>
          <w:sz w:val="22"/>
          <w:szCs w:val="22"/>
          <w:lang w:val="sr-Latn-ME"/>
        </w:rPr>
        <w:t xml:space="preserve">sposobnost </w:t>
      </w:r>
      <w:r w:rsidR="00F34554" w:rsidRPr="00490F97">
        <w:rPr>
          <w:b/>
          <w:bCs/>
          <w:noProof/>
          <w:sz w:val="22"/>
          <w:szCs w:val="22"/>
          <w:lang w:val="sr-Latn-ME"/>
        </w:rPr>
        <w:t>upravljanja vozili</w:t>
      </w:r>
      <w:r w:rsidRPr="00490F97">
        <w:rPr>
          <w:b/>
          <w:bCs/>
          <w:noProof/>
          <w:sz w:val="22"/>
          <w:szCs w:val="22"/>
          <w:lang w:val="sr-Latn-ME"/>
        </w:rPr>
        <w:t>m</w:t>
      </w:r>
      <w:r w:rsidR="00F34554" w:rsidRPr="00490F97">
        <w:rPr>
          <w:b/>
          <w:bCs/>
          <w:noProof/>
          <w:sz w:val="22"/>
          <w:szCs w:val="22"/>
          <w:lang w:val="sr-Latn-ME"/>
        </w:rPr>
        <w:t>a</w:t>
      </w:r>
      <w:r w:rsidRPr="00490F97">
        <w:rPr>
          <w:b/>
          <w:bCs/>
          <w:noProof/>
          <w:sz w:val="22"/>
          <w:szCs w:val="22"/>
          <w:lang w:val="sr-Latn-ME"/>
        </w:rPr>
        <w:t xml:space="preserve"> i </w:t>
      </w:r>
      <w:r w:rsidR="000D3449" w:rsidRPr="00490F97">
        <w:rPr>
          <w:b/>
          <w:bCs/>
          <w:noProof/>
          <w:sz w:val="22"/>
          <w:szCs w:val="22"/>
          <w:lang w:val="sr-Latn-ME"/>
        </w:rPr>
        <w:t xml:space="preserve">rukovanje </w:t>
      </w:r>
      <w:r w:rsidRPr="00490F97">
        <w:rPr>
          <w:b/>
          <w:bCs/>
          <w:noProof/>
          <w:sz w:val="22"/>
          <w:szCs w:val="22"/>
          <w:lang w:val="sr-Latn-ME"/>
        </w:rPr>
        <w:t>mašinama</w:t>
      </w:r>
    </w:p>
    <w:p w14:paraId="0F4D7430" w14:textId="77777777" w:rsidR="00EA5C44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7FEB4E3" w14:textId="61FBADF5" w:rsidR="00C11A6E" w:rsidRPr="00490F97" w:rsidRDefault="0072769B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Lijek </w:t>
      </w:r>
      <w:r w:rsidR="00C11A6E" w:rsidRPr="00490F97">
        <w:rPr>
          <w:bCs/>
          <w:noProof/>
          <w:sz w:val="22"/>
          <w:szCs w:val="22"/>
          <w:lang w:val="sr-Latn-ME"/>
        </w:rPr>
        <w:t>FENIX NEO nema uticaja ili je zanemariv njegov uticaj na sposobnost upravljanja vozilima i rada na mašinama.</w:t>
      </w:r>
    </w:p>
    <w:p w14:paraId="716E4047" w14:textId="1FD77F92" w:rsidR="0072020E" w:rsidRPr="00490F97" w:rsidRDefault="00C11A6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Međutim, mog</w:t>
      </w:r>
      <w:r w:rsidR="004A1F48" w:rsidRPr="00490F97">
        <w:rPr>
          <w:bCs/>
          <w:noProof/>
          <w:sz w:val="22"/>
          <w:szCs w:val="22"/>
          <w:lang w:val="sr-Latn-ME"/>
        </w:rPr>
        <w:t>u</w:t>
      </w:r>
      <w:r w:rsidR="002E3CFE" w:rsidRPr="00490F97">
        <w:rPr>
          <w:bCs/>
          <w:noProof/>
          <w:sz w:val="22"/>
          <w:szCs w:val="22"/>
          <w:lang w:val="sr-Latn-ME"/>
        </w:rPr>
        <w:t xml:space="preserve"> da</w:t>
      </w:r>
      <w:r w:rsidR="00A93A49" w:rsidRPr="00490F97">
        <w:rPr>
          <w:bCs/>
          <w:noProof/>
          <w:sz w:val="22"/>
          <w:szCs w:val="22"/>
          <w:lang w:val="sr-Latn-ME"/>
        </w:rPr>
        <w:t xml:space="preserve"> se jave</w:t>
      </w:r>
      <w:r w:rsidR="004A1F48" w:rsidRPr="00490F97">
        <w:rPr>
          <w:bCs/>
          <w:noProof/>
          <w:sz w:val="22"/>
          <w:szCs w:val="22"/>
          <w:lang w:val="sr-Latn-ME"/>
        </w:rPr>
        <w:t xml:space="preserve"> neželjena dejstva</w:t>
      </w:r>
      <w:r w:rsidRPr="00490F97">
        <w:rPr>
          <w:bCs/>
          <w:noProof/>
          <w:sz w:val="22"/>
          <w:szCs w:val="22"/>
          <w:lang w:val="sr-Latn-ME"/>
        </w:rPr>
        <w:t xml:space="preserve"> poput </w:t>
      </w:r>
      <w:r w:rsidR="005C636D" w:rsidRPr="00490F97">
        <w:rPr>
          <w:bCs/>
          <w:noProof/>
          <w:sz w:val="22"/>
          <w:szCs w:val="22"/>
          <w:lang w:val="sr-Latn-ME"/>
        </w:rPr>
        <w:t>omaglice i smetnji vida (pogledati</w:t>
      </w:r>
      <w:r w:rsidRPr="00490F97">
        <w:rPr>
          <w:bCs/>
          <w:noProof/>
          <w:sz w:val="22"/>
          <w:szCs w:val="22"/>
          <w:lang w:val="sr-Latn-ME"/>
        </w:rPr>
        <w:t xml:space="preserve"> dio 4.8.). Ako su ovim pogođeni, pacijenti ne bi trebali </w:t>
      </w:r>
      <w:r w:rsidR="00A93A49" w:rsidRPr="00490F97">
        <w:rPr>
          <w:bCs/>
          <w:noProof/>
          <w:sz w:val="22"/>
          <w:szCs w:val="22"/>
          <w:lang w:val="sr-Latn-ME"/>
        </w:rPr>
        <w:t>da upravljaju</w:t>
      </w:r>
      <w:r w:rsidRPr="00490F97">
        <w:rPr>
          <w:bCs/>
          <w:noProof/>
          <w:sz w:val="22"/>
          <w:szCs w:val="22"/>
          <w:lang w:val="sr-Latn-ME"/>
        </w:rPr>
        <w:t xml:space="preserve"> vozilima ili </w:t>
      </w:r>
      <w:r w:rsidR="00A93A49" w:rsidRPr="00490F97">
        <w:rPr>
          <w:bCs/>
          <w:noProof/>
          <w:sz w:val="22"/>
          <w:szCs w:val="22"/>
          <w:lang w:val="sr-Latn-ME"/>
        </w:rPr>
        <w:t>da rukuju</w:t>
      </w:r>
      <w:r w:rsidRPr="00490F97">
        <w:rPr>
          <w:bCs/>
          <w:noProof/>
          <w:sz w:val="22"/>
          <w:szCs w:val="22"/>
          <w:lang w:val="sr-Latn-ME"/>
        </w:rPr>
        <w:t xml:space="preserve"> mašinama.</w:t>
      </w:r>
    </w:p>
    <w:p w14:paraId="2DA4DF80" w14:textId="77777777" w:rsidR="00C11A6E" w:rsidRPr="00490F97" w:rsidRDefault="00C11A6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91F0725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4.8.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Neželjena dejstva</w:t>
      </w:r>
    </w:p>
    <w:p w14:paraId="2661E185" w14:textId="77777777" w:rsidR="004E70AD" w:rsidRPr="00490F97" w:rsidRDefault="004E70AD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1415854F" w14:textId="77777777" w:rsidR="00811228" w:rsidRPr="00490F97" w:rsidRDefault="00834B34" w:rsidP="00D92429">
      <w:pPr>
        <w:jc w:val="both"/>
        <w:rPr>
          <w:noProof/>
          <w:sz w:val="22"/>
          <w:szCs w:val="22"/>
          <w:u w:val="single"/>
          <w:lang w:val="sr-Latn-ME"/>
        </w:rPr>
      </w:pPr>
      <w:r w:rsidRPr="00490F97">
        <w:rPr>
          <w:noProof/>
          <w:sz w:val="22"/>
          <w:szCs w:val="22"/>
          <w:u w:val="single"/>
          <w:lang w:val="sr-Latn-ME"/>
        </w:rPr>
        <w:t>Sažetak bezbjednosnog</w:t>
      </w:r>
      <w:r w:rsidR="00811228" w:rsidRPr="00490F97">
        <w:rPr>
          <w:noProof/>
          <w:sz w:val="22"/>
          <w:szCs w:val="22"/>
          <w:u w:val="single"/>
          <w:lang w:val="sr-Latn-ME"/>
        </w:rPr>
        <w:t xml:space="preserve"> profila</w:t>
      </w:r>
    </w:p>
    <w:p w14:paraId="18A7E0F2" w14:textId="77777777" w:rsidR="00811228" w:rsidRPr="00490F97" w:rsidRDefault="00811228" w:rsidP="00D92429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7B6D750F" w14:textId="77777777" w:rsidR="008A42B5" w:rsidRPr="00490F97" w:rsidRDefault="00811228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 xml:space="preserve">Može </w:t>
      </w:r>
      <w:r w:rsidR="00A93A49" w:rsidRPr="00490F97">
        <w:rPr>
          <w:noProof/>
          <w:sz w:val="22"/>
          <w:szCs w:val="22"/>
          <w:lang w:val="sr-Latn-ME" w:eastAsia="bs-Latn-BA"/>
        </w:rPr>
        <w:t>da se očekuje</w:t>
      </w:r>
      <w:r w:rsidRPr="00490F97">
        <w:rPr>
          <w:noProof/>
          <w:sz w:val="22"/>
          <w:szCs w:val="22"/>
          <w:lang w:val="sr-Latn-ME" w:eastAsia="bs-Latn-BA"/>
        </w:rPr>
        <w:t xml:space="preserve"> da će približno </w:t>
      </w:r>
      <w:r w:rsidR="00A67E27" w:rsidRPr="00490F97">
        <w:rPr>
          <w:noProof/>
          <w:sz w:val="22"/>
          <w:szCs w:val="22"/>
          <w:lang w:val="sr-Latn-ME" w:eastAsia="bs-Latn-BA"/>
        </w:rPr>
        <w:t>5% pacijenata imati neželjena dejstva</w:t>
      </w:r>
      <w:r w:rsidRPr="00490F97">
        <w:rPr>
          <w:noProof/>
          <w:sz w:val="22"/>
          <w:szCs w:val="22"/>
          <w:lang w:val="sr-Latn-ME" w:eastAsia="bs-Latn-BA"/>
        </w:rPr>
        <w:t xml:space="preserve">. </w:t>
      </w:r>
    </w:p>
    <w:p w14:paraId="3130B5CA" w14:textId="77777777" w:rsidR="008A42B5" w:rsidRPr="00490F97" w:rsidRDefault="008A42B5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34BACB3E" w14:textId="77777777" w:rsidR="00811228" w:rsidRPr="00490F97" w:rsidRDefault="0081122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u w:val="single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u w:val="single"/>
          <w:lang w:val="sr-Latn-ME" w:eastAsia="bs-Latn-BA"/>
        </w:rPr>
        <w:t>Tabela</w:t>
      </w:r>
      <w:r w:rsidR="001B43A0" w:rsidRPr="00490F97">
        <w:rPr>
          <w:rFonts w:eastAsia="TimesNewRoman"/>
          <w:noProof/>
          <w:sz w:val="22"/>
          <w:szCs w:val="22"/>
          <w:u w:val="single"/>
          <w:lang w:val="sr-Latn-ME" w:eastAsia="bs-Latn-BA"/>
        </w:rPr>
        <w:t>rni prikaz neželjenih dejstava</w:t>
      </w:r>
    </w:p>
    <w:p w14:paraId="7D13E096" w14:textId="77777777" w:rsidR="00811228" w:rsidRPr="00490F97" w:rsidRDefault="0081122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</w:p>
    <w:p w14:paraId="7E9BDD3D" w14:textId="77777777" w:rsidR="00811228" w:rsidRPr="00490F97" w:rsidRDefault="008A42B5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Sljedeća neželjena dejstva su prijavljena uz primjen</w:t>
      </w:r>
      <w:r w:rsidR="00811228" w:rsidRPr="00490F97">
        <w:rPr>
          <w:rFonts w:eastAsia="TimesNewRoman"/>
          <w:noProof/>
          <w:sz w:val="22"/>
          <w:szCs w:val="22"/>
          <w:lang w:val="sr-Latn-ME" w:eastAsia="bs-Latn-BA"/>
        </w:rPr>
        <w:t>u pantoprazola.</w:t>
      </w:r>
    </w:p>
    <w:p w14:paraId="3C836C04" w14:textId="77777777" w:rsidR="00811228" w:rsidRPr="00490F97" w:rsidRDefault="00811228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U sljede</w:t>
      </w:r>
      <w:r w:rsidR="00551BDD" w:rsidRPr="00490F97">
        <w:rPr>
          <w:rFonts w:eastAsia="TimesNewRoman"/>
          <w:noProof/>
          <w:sz w:val="22"/>
          <w:szCs w:val="22"/>
          <w:lang w:val="sr-Latn-ME" w:eastAsia="bs-Latn-BA"/>
        </w:rPr>
        <w:t>ćoj tabeli, neželjena dejstva</w:t>
      </w:r>
      <w:r w:rsidRPr="00490F97">
        <w:rPr>
          <w:rFonts w:eastAsia="TimesNewRoman"/>
          <w:noProof/>
          <w:sz w:val="22"/>
          <w:szCs w:val="22"/>
          <w:lang w:val="sr-Latn-ME" w:eastAsia="bs-Latn-BA"/>
        </w:rPr>
        <w:t xml:space="preserve"> su razvrstana prema MedDRA klasifikaciji učestalosti:</w:t>
      </w:r>
    </w:p>
    <w:p w14:paraId="18D39CDD" w14:textId="2945CB39" w:rsidR="00811228" w:rsidRPr="00490F97" w:rsidRDefault="001B43A0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veoma</w:t>
      </w:r>
      <w:r w:rsidR="00811228" w:rsidRPr="00490F97">
        <w:rPr>
          <w:noProof/>
          <w:sz w:val="22"/>
          <w:szCs w:val="22"/>
          <w:lang w:val="sr-Latn-ME" w:eastAsia="bs-Latn-BA"/>
        </w:rPr>
        <w:t xml:space="preserve"> česta (≥1/10), čest</w:t>
      </w:r>
      <w:r w:rsidR="003F1A28" w:rsidRPr="00490F97">
        <w:rPr>
          <w:noProof/>
          <w:sz w:val="22"/>
          <w:szCs w:val="22"/>
          <w:lang w:val="sr-Latn-ME" w:eastAsia="bs-Latn-BA"/>
        </w:rPr>
        <w:t>a (≥1/100 do &lt;1/10), povremena</w:t>
      </w:r>
      <w:r w:rsidR="00811228" w:rsidRPr="00490F97">
        <w:rPr>
          <w:noProof/>
          <w:sz w:val="22"/>
          <w:szCs w:val="22"/>
          <w:lang w:val="sr-Latn-ME" w:eastAsia="bs-Latn-BA"/>
        </w:rPr>
        <w:t xml:space="preserve"> (≥1/1.000 do &lt;1/100), rije</w:t>
      </w:r>
      <w:r w:rsidR="00A4759F" w:rsidRPr="00490F97">
        <w:rPr>
          <w:noProof/>
          <w:sz w:val="22"/>
          <w:szCs w:val="22"/>
          <w:lang w:val="sr-Latn-ME" w:eastAsia="bs-Latn-BA"/>
        </w:rPr>
        <w:t>tka (≥1/10.000 do &lt;1/1.000), ve</w:t>
      </w:r>
      <w:r w:rsidR="00811228" w:rsidRPr="00490F97">
        <w:rPr>
          <w:noProof/>
          <w:sz w:val="22"/>
          <w:szCs w:val="22"/>
          <w:lang w:val="sr-Latn-ME" w:eastAsia="bs-Latn-BA"/>
        </w:rPr>
        <w:t>o</w:t>
      </w:r>
      <w:r w:rsidR="00A4759F" w:rsidRPr="00490F97">
        <w:rPr>
          <w:noProof/>
          <w:sz w:val="22"/>
          <w:szCs w:val="22"/>
          <w:lang w:val="sr-Latn-ME" w:eastAsia="bs-Latn-BA"/>
        </w:rPr>
        <w:t>ma</w:t>
      </w:r>
      <w:r w:rsidR="00811228" w:rsidRPr="00490F97">
        <w:rPr>
          <w:noProof/>
          <w:sz w:val="22"/>
          <w:szCs w:val="22"/>
          <w:lang w:val="sr-Latn-ME" w:eastAsia="bs-Latn-BA"/>
        </w:rPr>
        <w:t xml:space="preserve"> rijetka (&lt;1/10.000), nepoznat</w:t>
      </w:r>
      <w:r w:rsidR="00A4759F" w:rsidRPr="00490F97">
        <w:rPr>
          <w:noProof/>
          <w:sz w:val="22"/>
          <w:szCs w:val="22"/>
          <w:lang w:val="sr-Latn-ME" w:eastAsia="bs-Latn-BA"/>
        </w:rPr>
        <w:t>a</w:t>
      </w:r>
      <w:r w:rsidR="00305151" w:rsidRPr="00490F97">
        <w:rPr>
          <w:noProof/>
          <w:sz w:val="22"/>
          <w:szCs w:val="22"/>
          <w:lang w:val="sr-Latn-ME" w:eastAsia="bs-Latn-BA"/>
        </w:rPr>
        <w:t xml:space="preserve"> (učestalost</w:t>
      </w:r>
      <w:r w:rsidR="00811228" w:rsidRPr="00490F97">
        <w:rPr>
          <w:noProof/>
          <w:sz w:val="22"/>
          <w:szCs w:val="22"/>
          <w:lang w:val="sr-Latn-ME" w:eastAsia="bs-Latn-BA"/>
        </w:rPr>
        <w:t xml:space="preserve"> ne može </w:t>
      </w:r>
      <w:r w:rsidR="00A93A49" w:rsidRPr="00490F97">
        <w:rPr>
          <w:noProof/>
          <w:sz w:val="22"/>
          <w:szCs w:val="22"/>
          <w:lang w:val="sr-Latn-ME" w:eastAsia="bs-Latn-BA"/>
        </w:rPr>
        <w:t>da se procijeni</w:t>
      </w:r>
      <w:r w:rsidR="00811228" w:rsidRPr="00490F97">
        <w:rPr>
          <w:noProof/>
          <w:sz w:val="22"/>
          <w:szCs w:val="22"/>
          <w:lang w:val="sr-Latn-ME" w:eastAsia="bs-Latn-BA"/>
        </w:rPr>
        <w:t xml:space="preserve"> iz dostupnih podataka).</w:t>
      </w:r>
    </w:p>
    <w:p w14:paraId="093581BC" w14:textId="77777777" w:rsidR="00811228" w:rsidRPr="00490F97" w:rsidRDefault="00811228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 xml:space="preserve">Unutar svake grupe </w:t>
      </w:r>
      <w:r w:rsidR="009B5314" w:rsidRPr="00490F97">
        <w:rPr>
          <w:noProof/>
          <w:sz w:val="22"/>
          <w:szCs w:val="22"/>
          <w:lang w:val="sr-Latn-ME" w:eastAsia="bs-Latn-BA"/>
        </w:rPr>
        <w:t>učestalosti, neželjena dejstv</w:t>
      </w:r>
      <w:r w:rsidRPr="00490F97">
        <w:rPr>
          <w:noProof/>
          <w:sz w:val="22"/>
          <w:szCs w:val="22"/>
          <w:lang w:val="sr-Latn-ME" w:eastAsia="bs-Latn-BA"/>
        </w:rPr>
        <w:t>a su prikazana redoslijedom smanjenja ozbiljnosti.</w:t>
      </w:r>
    </w:p>
    <w:p w14:paraId="64BECCA8" w14:textId="77777777" w:rsidR="00811228" w:rsidRPr="00490F97" w:rsidRDefault="00811228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06BE2E30" w14:textId="77777777" w:rsidR="00811228" w:rsidRPr="00490F97" w:rsidRDefault="004D13EF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lang w:val="sr-Latn-ME" w:eastAsia="bs-Latn-BA"/>
        </w:rPr>
      </w:pPr>
      <w:r w:rsidRPr="00490F97">
        <w:rPr>
          <w:bCs/>
          <w:noProof/>
          <w:sz w:val="22"/>
          <w:szCs w:val="22"/>
          <w:lang w:val="sr-Latn-ME" w:eastAsia="bs-Latn-BA"/>
        </w:rPr>
        <w:t xml:space="preserve">Tabela 1. Neželjena dejstva </w:t>
      </w:r>
      <w:r w:rsidR="00811228" w:rsidRPr="00490F97">
        <w:rPr>
          <w:bCs/>
          <w:noProof/>
          <w:sz w:val="22"/>
          <w:szCs w:val="22"/>
          <w:lang w:val="sr-Latn-ME" w:eastAsia="bs-Latn-BA"/>
        </w:rPr>
        <w:t>pantoprazola u kliničkim ispitivanjima i nakon stavljanja lijeka u promet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365"/>
        <w:gridCol w:w="1385"/>
        <w:gridCol w:w="1821"/>
        <w:gridCol w:w="1854"/>
        <w:gridCol w:w="1995"/>
      </w:tblGrid>
      <w:tr w:rsidR="00811228" w:rsidRPr="00490F97" w14:paraId="1EFE3D84" w14:textId="77777777" w:rsidTr="00EC5964">
        <w:tc>
          <w:tcPr>
            <w:tcW w:w="1781" w:type="dxa"/>
            <w:shd w:val="clear" w:color="auto" w:fill="auto"/>
          </w:tcPr>
          <w:p w14:paraId="48FEA328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/>
                <w:noProof/>
                <w:sz w:val="22"/>
                <w:szCs w:val="22"/>
                <w:lang w:val="sr-Latn-ME" w:eastAsia="bs-Latn-BA"/>
              </w:rPr>
              <w:t>Učestalost</w:t>
            </w:r>
            <w:r w:rsidR="00FC7E3E" w:rsidRPr="00490F97">
              <w:rPr>
                <w:b/>
                <w:noProof/>
                <w:sz w:val="22"/>
                <w:szCs w:val="22"/>
                <w:lang w:val="sr-Latn-ME" w:eastAsia="bs-Latn-BA"/>
              </w:rPr>
              <w:t>/</w:t>
            </w:r>
          </w:p>
          <w:p w14:paraId="6BC6067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/>
                <w:noProof/>
                <w:sz w:val="22"/>
                <w:szCs w:val="22"/>
                <w:lang w:val="sr-Latn-ME" w:eastAsia="bs-Latn-BA"/>
              </w:rPr>
              <w:t>Organski sistem</w:t>
            </w:r>
          </w:p>
        </w:tc>
        <w:tc>
          <w:tcPr>
            <w:tcW w:w="1365" w:type="dxa"/>
          </w:tcPr>
          <w:p w14:paraId="26F2709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/>
                <w:noProof/>
                <w:sz w:val="22"/>
                <w:szCs w:val="22"/>
                <w:lang w:val="sr-Latn-ME" w:eastAsia="bs-Latn-BA"/>
              </w:rPr>
              <w:t xml:space="preserve">Često </w:t>
            </w:r>
          </w:p>
        </w:tc>
        <w:tc>
          <w:tcPr>
            <w:tcW w:w="1385" w:type="dxa"/>
            <w:shd w:val="clear" w:color="auto" w:fill="auto"/>
          </w:tcPr>
          <w:p w14:paraId="3DD5888D" w14:textId="77777777" w:rsidR="00811228" w:rsidRPr="00490F97" w:rsidRDefault="001D2369" w:rsidP="00D92429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/>
                <w:noProof/>
                <w:sz w:val="22"/>
                <w:szCs w:val="22"/>
                <w:lang w:val="sr-Latn-ME" w:eastAsia="bs-Latn-BA"/>
              </w:rPr>
              <w:t>Povremeno</w:t>
            </w:r>
          </w:p>
        </w:tc>
        <w:tc>
          <w:tcPr>
            <w:tcW w:w="1821" w:type="dxa"/>
            <w:shd w:val="clear" w:color="auto" w:fill="auto"/>
          </w:tcPr>
          <w:p w14:paraId="43E4583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/>
                <w:noProof/>
                <w:sz w:val="22"/>
                <w:szCs w:val="22"/>
                <w:lang w:val="sr-Latn-ME" w:eastAsia="bs-Latn-BA"/>
              </w:rPr>
              <w:t>Rijetko</w:t>
            </w:r>
          </w:p>
        </w:tc>
        <w:tc>
          <w:tcPr>
            <w:tcW w:w="1854" w:type="dxa"/>
            <w:shd w:val="clear" w:color="auto" w:fill="auto"/>
          </w:tcPr>
          <w:p w14:paraId="2A18613D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/>
                <w:noProof/>
                <w:sz w:val="22"/>
                <w:szCs w:val="22"/>
                <w:lang w:val="sr-Latn-ME" w:eastAsia="bs-Latn-BA"/>
              </w:rPr>
              <w:t>Vrlo rijetko</w:t>
            </w:r>
          </w:p>
        </w:tc>
        <w:tc>
          <w:tcPr>
            <w:tcW w:w="1995" w:type="dxa"/>
            <w:shd w:val="clear" w:color="auto" w:fill="auto"/>
          </w:tcPr>
          <w:p w14:paraId="04572A4B" w14:textId="77777777" w:rsidR="00811228" w:rsidRPr="00490F97" w:rsidRDefault="003761F5" w:rsidP="00D92429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/>
                <w:noProof/>
                <w:sz w:val="22"/>
                <w:szCs w:val="22"/>
                <w:lang w:val="sr-Latn-ME" w:eastAsia="bs-Latn-BA"/>
              </w:rPr>
              <w:t>Nepoznato</w:t>
            </w:r>
          </w:p>
        </w:tc>
      </w:tr>
      <w:tr w:rsidR="00811228" w:rsidRPr="00490F97" w14:paraId="54077357" w14:textId="77777777" w:rsidTr="00EC5964">
        <w:tc>
          <w:tcPr>
            <w:tcW w:w="1781" w:type="dxa"/>
            <w:shd w:val="clear" w:color="auto" w:fill="auto"/>
          </w:tcPr>
          <w:p w14:paraId="1A8AA24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 krvi i</w:t>
            </w:r>
          </w:p>
          <w:p w14:paraId="537F856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limfnog sistema</w:t>
            </w:r>
          </w:p>
        </w:tc>
        <w:tc>
          <w:tcPr>
            <w:tcW w:w="1365" w:type="dxa"/>
          </w:tcPr>
          <w:p w14:paraId="5E2CDE6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7A5D4BDD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21" w:type="dxa"/>
            <w:shd w:val="clear" w:color="auto" w:fill="auto"/>
          </w:tcPr>
          <w:p w14:paraId="683468CD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Agranulocitoza</w:t>
            </w:r>
          </w:p>
        </w:tc>
        <w:tc>
          <w:tcPr>
            <w:tcW w:w="1854" w:type="dxa"/>
            <w:shd w:val="clear" w:color="auto" w:fill="auto"/>
          </w:tcPr>
          <w:p w14:paraId="3DA562B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Trombocitopenija;</w:t>
            </w:r>
          </w:p>
          <w:p w14:paraId="0CC87241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Leukopenija,</w:t>
            </w:r>
          </w:p>
          <w:p w14:paraId="00D3D97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Pancitopenija</w:t>
            </w:r>
          </w:p>
        </w:tc>
        <w:tc>
          <w:tcPr>
            <w:tcW w:w="1995" w:type="dxa"/>
            <w:shd w:val="clear" w:color="auto" w:fill="auto"/>
          </w:tcPr>
          <w:p w14:paraId="5A4995DF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  <w:tr w:rsidR="00811228" w:rsidRPr="00490F97" w14:paraId="6A32BBD0" w14:textId="77777777" w:rsidTr="00EC5964">
        <w:tc>
          <w:tcPr>
            <w:tcW w:w="1781" w:type="dxa"/>
            <w:shd w:val="clear" w:color="auto" w:fill="auto"/>
          </w:tcPr>
          <w:p w14:paraId="3CE0A20E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Poremećaji imunološkog sistema</w:t>
            </w:r>
          </w:p>
        </w:tc>
        <w:tc>
          <w:tcPr>
            <w:tcW w:w="1365" w:type="dxa"/>
          </w:tcPr>
          <w:p w14:paraId="10B5B79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265036A1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21" w:type="dxa"/>
            <w:shd w:val="clear" w:color="auto" w:fill="auto"/>
          </w:tcPr>
          <w:p w14:paraId="6E4C891D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Preosjetljivost</w:t>
            </w:r>
          </w:p>
          <w:p w14:paraId="09351A7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(uključujući i</w:t>
            </w:r>
          </w:p>
          <w:p w14:paraId="5544331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anafilaktičke</w:t>
            </w:r>
          </w:p>
          <w:p w14:paraId="34691BF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reakcije i</w:t>
            </w:r>
          </w:p>
          <w:p w14:paraId="3F62194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anafilaktički šok)</w:t>
            </w:r>
          </w:p>
        </w:tc>
        <w:tc>
          <w:tcPr>
            <w:tcW w:w="1854" w:type="dxa"/>
            <w:shd w:val="clear" w:color="auto" w:fill="auto"/>
          </w:tcPr>
          <w:p w14:paraId="316FECF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2DE2A07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  <w:tr w:rsidR="00811228" w:rsidRPr="00490F97" w14:paraId="731DBD5F" w14:textId="77777777" w:rsidTr="00EC5964">
        <w:tc>
          <w:tcPr>
            <w:tcW w:w="1781" w:type="dxa"/>
            <w:shd w:val="clear" w:color="auto" w:fill="auto"/>
          </w:tcPr>
          <w:p w14:paraId="375BF87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bCs/>
                <w:iCs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Cs/>
                <w:iCs/>
                <w:noProof/>
                <w:sz w:val="22"/>
                <w:szCs w:val="22"/>
                <w:lang w:val="sr-Latn-ME" w:eastAsia="bs-Latn-BA"/>
              </w:rPr>
              <w:t>Poremećaji</w:t>
            </w:r>
          </w:p>
          <w:p w14:paraId="5E571E1B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bCs/>
                <w:iCs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Cs/>
                <w:iCs/>
                <w:noProof/>
                <w:sz w:val="22"/>
                <w:szCs w:val="22"/>
                <w:lang w:val="sr-Latn-ME" w:eastAsia="bs-Latn-BA"/>
              </w:rPr>
              <w:t>metabolizma i</w:t>
            </w:r>
          </w:p>
          <w:p w14:paraId="4F2AD2D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bCs/>
                <w:iCs/>
                <w:noProof/>
                <w:sz w:val="22"/>
                <w:szCs w:val="22"/>
                <w:lang w:val="sr-Latn-ME" w:eastAsia="bs-Latn-BA"/>
              </w:rPr>
              <w:t>prehrane</w:t>
            </w:r>
          </w:p>
        </w:tc>
        <w:tc>
          <w:tcPr>
            <w:tcW w:w="1365" w:type="dxa"/>
          </w:tcPr>
          <w:p w14:paraId="38E76490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2009B5B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21" w:type="dxa"/>
            <w:shd w:val="clear" w:color="auto" w:fill="auto"/>
          </w:tcPr>
          <w:p w14:paraId="2F8CF94F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Hiperlipidemije i</w:t>
            </w:r>
          </w:p>
          <w:p w14:paraId="4E451EA5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povećanja lipida</w:t>
            </w:r>
          </w:p>
          <w:p w14:paraId="4CB57CB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(trigliceridi,</w:t>
            </w:r>
          </w:p>
          <w:p w14:paraId="697DDA48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holesterol);</w:t>
            </w:r>
          </w:p>
          <w:p w14:paraId="1C2BF4A5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Promjene tjelesne</w:t>
            </w:r>
          </w:p>
          <w:p w14:paraId="5D55146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težine</w:t>
            </w:r>
          </w:p>
        </w:tc>
        <w:tc>
          <w:tcPr>
            <w:tcW w:w="1854" w:type="dxa"/>
            <w:shd w:val="clear" w:color="auto" w:fill="auto"/>
          </w:tcPr>
          <w:p w14:paraId="23FD025F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3C50C48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Hiponatrijemija,</w:t>
            </w:r>
          </w:p>
          <w:p w14:paraId="018FB2CE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Hipomagnezijemija</w:t>
            </w:r>
          </w:p>
          <w:p w14:paraId="00CB3AD1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Hipokalcijemija</w:t>
            </w:r>
            <w:r w:rsidRPr="00490F97">
              <w:rPr>
                <w:rFonts w:eastAsia="TimesNewRoman"/>
                <w:noProof/>
                <w:sz w:val="22"/>
                <w:szCs w:val="22"/>
                <w:vertAlign w:val="superscript"/>
                <w:lang w:val="sr-Latn-ME" w:eastAsia="bs-Latn-BA"/>
              </w:rPr>
              <w:t>(1)</w:t>
            </w:r>
          </w:p>
          <w:p w14:paraId="0F9C1D53" w14:textId="77777777" w:rsidR="005362D9" w:rsidRPr="00490F97" w:rsidRDefault="005362D9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hipokalemija</w:t>
            </w:r>
            <w:r w:rsidRPr="00490F97">
              <w:rPr>
                <w:noProof/>
                <w:sz w:val="22"/>
                <w:szCs w:val="22"/>
                <w:vertAlign w:val="superscript"/>
                <w:lang w:val="sr-Latn-ME" w:eastAsia="bs-Latn-BA"/>
              </w:rPr>
              <w:t>(1)</w:t>
            </w:r>
          </w:p>
        </w:tc>
      </w:tr>
      <w:tr w:rsidR="00811228" w:rsidRPr="00490F97" w14:paraId="07A574AD" w14:textId="77777777" w:rsidTr="00EC5964">
        <w:tc>
          <w:tcPr>
            <w:tcW w:w="1781" w:type="dxa"/>
            <w:shd w:val="clear" w:color="auto" w:fill="auto"/>
          </w:tcPr>
          <w:p w14:paraId="56F6CA40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Psihijatrijski</w:t>
            </w:r>
          </w:p>
          <w:p w14:paraId="54B9EEA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</w:t>
            </w:r>
          </w:p>
        </w:tc>
        <w:tc>
          <w:tcPr>
            <w:tcW w:w="1365" w:type="dxa"/>
          </w:tcPr>
          <w:p w14:paraId="7C05BB6F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02F47CB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 s</w:t>
            </w:r>
            <w:r w:rsidR="0061566B"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na</w:t>
            </w:r>
          </w:p>
        </w:tc>
        <w:tc>
          <w:tcPr>
            <w:tcW w:w="1821" w:type="dxa"/>
            <w:shd w:val="clear" w:color="auto" w:fill="auto"/>
          </w:tcPr>
          <w:p w14:paraId="78609DBD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Depresija (i sva pogoršanja bolesti)</w:t>
            </w:r>
          </w:p>
        </w:tc>
        <w:tc>
          <w:tcPr>
            <w:tcW w:w="1854" w:type="dxa"/>
            <w:shd w:val="clear" w:color="auto" w:fill="auto"/>
          </w:tcPr>
          <w:p w14:paraId="2D905D2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Dezorijentacija (i</w:t>
            </w:r>
          </w:p>
          <w:p w14:paraId="1651F3D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sva pogoršanja bolesti)</w:t>
            </w:r>
          </w:p>
        </w:tc>
        <w:tc>
          <w:tcPr>
            <w:tcW w:w="1995" w:type="dxa"/>
            <w:shd w:val="clear" w:color="auto" w:fill="auto"/>
          </w:tcPr>
          <w:p w14:paraId="610436B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Halucinacija,</w:t>
            </w:r>
          </w:p>
          <w:p w14:paraId="79B368AF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Konfuzija, (posebno</w:t>
            </w:r>
          </w:p>
          <w:p w14:paraId="72C404D9" w14:textId="77777777" w:rsidR="00811228" w:rsidRPr="00490F97" w:rsidRDefault="00456577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kod</w:t>
            </w:r>
            <w:r w:rsidR="00811228"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 xml:space="preserve"> pacijenata s</w:t>
            </w:r>
          </w:p>
          <w:p w14:paraId="64FADBA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predispozicijom,</w:t>
            </w:r>
          </w:p>
          <w:p w14:paraId="06C9D2B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kao i pogoršanje ovih simptoma u slučaju prethodnog postojanja)</w:t>
            </w:r>
          </w:p>
        </w:tc>
      </w:tr>
      <w:tr w:rsidR="00811228" w:rsidRPr="00490F97" w14:paraId="3ADAC14A" w14:textId="77777777" w:rsidTr="00EC5964">
        <w:tc>
          <w:tcPr>
            <w:tcW w:w="1781" w:type="dxa"/>
            <w:shd w:val="clear" w:color="auto" w:fill="auto"/>
          </w:tcPr>
          <w:p w14:paraId="7179BB2E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 nervnog</w:t>
            </w:r>
          </w:p>
          <w:p w14:paraId="660EC59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sistema</w:t>
            </w:r>
          </w:p>
        </w:tc>
        <w:tc>
          <w:tcPr>
            <w:tcW w:w="1365" w:type="dxa"/>
          </w:tcPr>
          <w:p w14:paraId="5FBF8261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50F9B07C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Glavobolja;</w:t>
            </w:r>
          </w:p>
          <w:p w14:paraId="15F4587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Omaglica</w:t>
            </w:r>
          </w:p>
        </w:tc>
        <w:tc>
          <w:tcPr>
            <w:tcW w:w="1821" w:type="dxa"/>
            <w:shd w:val="clear" w:color="auto" w:fill="auto"/>
          </w:tcPr>
          <w:p w14:paraId="59F1C74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Poremećaji ukusa</w:t>
            </w:r>
          </w:p>
        </w:tc>
        <w:tc>
          <w:tcPr>
            <w:tcW w:w="1854" w:type="dxa"/>
            <w:shd w:val="clear" w:color="auto" w:fill="auto"/>
          </w:tcPr>
          <w:p w14:paraId="2B76118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6B8A7C98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Parestezija</w:t>
            </w:r>
          </w:p>
        </w:tc>
      </w:tr>
      <w:tr w:rsidR="00811228" w:rsidRPr="00490F97" w14:paraId="6BD74D31" w14:textId="77777777" w:rsidTr="00EC5964">
        <w:tc>
          <w:tcPr>
            <w:tcW w:w="1781" w:type="dxa"/>
            <w:shd w:val="clear" w:color="auto" w:fill="auto"/>
          </w:tcPr>
          <w:p w14:paraId="75360746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Poremećaji oka</w:t>
            </w:r>
          </w:p>
        </w:tc>
        <w:tc>
          <w:tcPr>
            <w:tcW w:w="1365" w:type="dxa"/>
          </w:tcPr>
          <w:p w14:paraId="34C20F00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13C6558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21" w:type="dxa"/>
            <w:shd w:val="clear" w:color="auto" w:fill="auto"/>
          </w:tcPr>
          <w:p w14:paraId="3ACC16C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Smetnje</w:t>
            </w:r>
          </w:p>
          <w:p w14:paraId="42929800" w14:textId="77777777" w:rsidR="001013A2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vida/Zam</w:t>
            </w:r>
            <w:r w:rsidR="00AB5301" w:rsidRPr="00490F97">
              <w:rPr>
                <w:noProof/>
                <w:sz w:val="22"/>
                <w:szCs w:val="22"/>
                <w:lang w:val="sr-Latn-ME" w:eastAsia="bs-Latn-BA"/>
              </w:rPr>
              <w:t>ućen</w:t>
            </w:r>
            <w:r w:rsidR="001013A2" w:rsidRPr="00490F97">
              <w:rPr>
                <w:noProof/>
                <w:sz w:val="22"/>
                <w:szCs w:val="22"/>
                <w:lang w:val="sr-Latn-ME" w:eastAsia="bs-Latn-BA"/>
              </w:rPr>
              <w:t xml:space="preserve"> vid</w:t>
            </w:r>
          </w:p>
        </w:tc>
        <w:tc>
          <w:tcPr>
            <w:tcW w:w="1854" w:type="dxa"/>
            <w:shd w:val="clear" w:color="auto" w:fill="auto"/>
          </w:tcPr>
          <w:p w14:paraId="0CDE0B5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3D65220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  <w:tr w:rsidR="00811228" w:rsidRPr="00490F97" w14:paraId="3D1E1E01" w14:textId="77777777" w:rsidTr="00EC5964">
        <w:tc>
          <w:tcPr>
            <w:tcW w:w="1781" w:type="dxa"/>
            <w:shd w:val="clear" w:color="auto" w:fill="auto"/>
          </w:tcPr>
          <w:p w14:paraId="3DB94B2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Gastrointestinalni</w:t>
            </w:r>
          </w:p>
          <w:p w14:paraId="08852F3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</w:t>
            </w:r>
          </w:p>
        </w:tc>
        <w:tc>
          <w:tcPr>
            <w:tcW w:w="1365" w:type="dxa"/>
          </w:tcPr>
          <w:p w14:paraId="7870800E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Polipi fundusnih žlijezda</w:t>
            </w:r>
          </w:p>
          <w:p w14:paraId="0EED92B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(dobroćudni)</w:t>
            </w:r>
          </w:p>
        </w:tc>
        <w:tc>
          <w:tcPr>
            <w:tcW w:w="1385" w:type="dxa"/>
            <w:shd w:val="clear" w:color="auto" w:fill="auto"/>
          </w:tcPr>
          <w:p w14:paraId="4B21890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Dijareja;</w:t>
            </w:r>
          </w:p>
          <w:p w14:paraId="6092037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Mučnina /povraćanje;</w:t>
            </w:r>
          </w:p>
          <w:p w14:paraId="5C9BE21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Distenzija</w:t>
            </w:r>
          </w:p>
          <w:p w14:paraId="633D81D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lastRenderedPageBreak/>
              <w:t>abdomena i nadimanje;</w:t>
            </w:r>
          </w:p>
          <w:p w14:paraId="49AB0E1D" w14:textId="77777777" w:rsidR="00811228" w:rsidRPr="00490F97" w:rsidRDefault="00E640E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Konstipacija; Suv</w:t>
            </w:r>
            <w:r w:rsidR="00811228"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 xml:space="preserve">a usta; </w:t>
            </w:r>
          </w:p>
          <w:p w14:paraId="424955C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Bol u</w:t>
            </w:r>
          </w:p>
          <w:p w14:paraId="126CE56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abdomenu i nelagoda.</w:t>
            </w:r>
          </w:p>
        </w:tc>
        <w:tc>
          <w:tcPr>
            <w:tcW w:w="1821" w:type="dxa"/>
            <w:shd w:val="clear" w:color="auto" w:fill="auto"/>
          </w:tcPr>
          <w:p w14:paraId="76A94AAD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54" w:type="dxa"/>
            <w:shd w:val="clear" w:color="auto" w:fill="auto"/>
          </w:tcPr>
          <w:p w14:paraId="57A2B9C5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18BD9C3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Mikroskopski kolitis</w:t>
            </w:r>
          </w:p>
        </w:tc>
      </w:tr>
      <w:tr w:rsidR="00811228" w:rsidRPr="00490F97" w14:paraId="2FF0A25C" w14:textId="77777777" w:rsidTr="00EC5964">
        <w:tc>
          <w:tcPr>
            <w:tcW w:w="1781" w:type="dxa"/>
            <w:shd w:val="clear" w:color="auto" w:fill="auto"/>
          </w:tcPr>
          <w:p w14:paraId="4771DF2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Hepatobilijarni poremećaji</w:t>
            </w:r>
          </w:p>
        </w:tc>
        <w:tc>
          <w:tcPr>
            <w:tcW w:w="1365" w:type="dxa"/>
          </w:tcPr>
          <w:p w14:paraId="768AF6B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4C27CDFB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Povećani</w:t>
            </w:r>
          </w:p>
          <w:p w14:paraId="2E15E7A2" w14:textId="711B5681" w:rsidR="00811228" w:rsidRPr="00490F97" w:rsidRDefault="00B6151C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e</w:t>
            </w:r>
            <w:r w:rsidR="00811228"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nzimi</w:t>
            </w:r>
            <w:r w:rsidR="001510B1"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 xml:space="preserve"> jetre</w:t>
            </w:r>
          </w:p>
          <w:p w14:paraId="1963F65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(transaminaze, γ-GT)</w:t>
            </w:r>
          </w:p>
        </w:tc>
        <w:tc>
          <w:tcPr>
            <w:tcW w:w="1821" w:type="dxa"/>
            <w:shd w:val="clear" w:color="auto" w:fill="auto"/>
          </w:tcPr>
          <w:p w14:paraId="2AEE1BD5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Povećan</w:t>
            </w:r>
          </w:p>
          <w:p w14:paraId="0BAE850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bilirubin</w:t>
            </w:r>
          </w:p>
        </w:tc>
        <w:tc>
          <w:tcPr>
            <w:tcW w:w="1854" w:type="dxa"/>
            <w:shd w:val="clear" w:color="auto" w:fill="auto"/>
          </w:tcPr>
          <w:p w14:paraId="41317445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21464D0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 xml:space="preserve">Hepatocelularno oštećenje, </w:t>
            </w:r>
          </w:p>
          <w:p w14:paraId="2106478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Žutica,</w:t>
            </w:r>
          </w:p>
          <w:p w14:paraId="08F3108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Hepatocelularno zatajenje</w:t>
            </w:r>
          </w:p>
          <w:p w14:paraId="6FCD3ED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  <w:tr w:rsidR="00811228" w:rsidRPr="00490F97" w14:paraId="73863EC1" w14:textId="77777777" w:rsidTr="00EC5964">
        <w:tc>
          <w:tcPr>
            <w:tcW w:w="1781" w:type="dxa"/>
            <w:shd w:val="clear" w:color="auto" w:fill="auto"/>
          </w:tcPr>
          <w:p w14:paraId="3D917EC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 kože i potkožnog tkiva</w:t>
            </w:r>
          </w:p>
        </w:tc>
        <w:tc>
          <w:tcPr>
            <w:tcW w:w="1365" w:type="dxa"/>
          </w:tcPr>
          <w:p w14:paraId="11B8C26E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7807A34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Osip/egzantem/</w:t>
            </w:r>
          </w:p>
          <w:p w14:paraId="581049F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erupcija; Pruritus</w:t>
            </w:r>
          </w:p>
        </w:tc>
        <w:tc>
          <w:tcPr>
            <w:tcW w:w="1821" w:type="dxa"/>
            <w:shd w:val="clear" w:color="auto" w:fill="auto"/>
          </w:tcPr>
          <w:p w14:paraId="03F25AC8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Urtikarija;</w:t>
            </w:r>
          </w:p>
          <w:p w14:paraId="03915A2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Angioedem</w:t>
            </w:r>
          </w:p>
        </w:tc>
        <w:tc>
          <w:tcPr>
            <w:tcW w:w="1854" w:type="dxa"/>
            <w:shd w:val="clear" w:color="auto" w:fill="auto"/>
          </w:tcPr>
          <w:p w14:paraId="7A3CB6E0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0640A35E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Stevens-Johnsonov sindrom; Lyellov sindrom; Multiformni eritem;</w:t>
            </w:r>
          </w:p>
          <w:p w14:paraId="78C8078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Fotosenzitivnost;</w:t>
            </w:r>
          </w:p>
          <w:p w14:paraId="2CD53FE6" w14:textId="77777777" w:rsidR="0083620B" w:rsidRPr="00490F97" w:rsidRDefault="0083620B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reakcija na lijek s</w:t>
            </w:r>
          </w:p>
          <w:p w14:paraId="0C013898" w14:textId="77777777" w:rsidR="0083620B" w:rsidRPr="00490F97" w:rsidRDefault="0083620B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eozinofilijom i</w:t>
            </w:r>
          </w:p>
          <w:p w14:paraId="25E4D11F" w14:textId="77777777" w:rsidR="0083620B" w:rsidRPr="00490F97" w:rsidRDefault="0083620B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sistemskim</w:t>
            </w:r>
          </w:p>
          <w:p w14:paraId="56376B0D" w14:textId="77777777" w:rsidR="0083620B" w:rsidRPr="00490F97" w:rsidRDefault="0083620B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simptomima</w:t>
            </w:r>
          </w:p>
          <w:p w14:paraId="2712B4EE" w14:textId="77777777" w:rsidR="0083620B" w:rsidRPr="00490F97" w:rsidRDefault="0083620B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(DRESS);</w:t>
            </w:r>
          </w:p>
          <w:p w14:paraId="13B3D4D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Subakutni ko</w:t>
            </w:r>
            <w:r w:rsidR="0000038A"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 xml:space="preserve">žni lupus eritematozus (pogledati </w:t>
            </w: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dio 4.4.)</w:t>
            </w:r>
          </w:p>
          <w:p w14:paraId="74F8454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  <w:tr w:rsidR="00811228" w:rsidRPr="00490F97" w14:paraId="06D577C0" w14:textId="77777777" w:rsidTr="00EC5964">
        <w:tc>
          <w:tcPr>
            <w:tcW w:w="1781" w:type="dxa"/>
            <w:shd w:val="clear" w:color="auto" w:fill="auto"/>
          </w:tcPr>
          <w:p w14:paraId="0022787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</w:t>
            </w:r>
          </w:p>
          <w:p w14:paraId="45741491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mišićno-koštanog i</w:t>
            </w:r>
          </w:p>
          <w:p w14:paraId="1145E66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vezivnog tkiva</w:t>
            </w:r>
          </w:p>
        </w:tc>
        <w:tc>
          <w:tcPr>
            <w:tcW w:w="1365" w:type="dxa"/>
          </w:tcPr>
          <w:p w14:paraId="41A3E816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480B6D75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Prijelom ručnog zgloba, kuka i kičme</w:t>
            </w:r>
          </w:p>
        </w:tc>
        <w:tc>
          <w:tcPr>
            <w:tcW w:w="1821" w:type="dxa"/>
            <w:shd w:val="clear" w:color="auto" w:fill="auto"/>
          </w:tcPr>
          <w:p w14:paraId="7972F6B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Artralgija; Mijalgija</w:t>
            </w:r>
          </w:p>
        </w:tc>
        <w:tc>
          <w:tcPr>
            <w:tcW w:w="1854" w:type="dxa"/>
            <w:shd w:val="clear" w:color="auto" w:fill="auto"/>
          </w:tcPr>
          <w:p w14:paraId="4A6EF8A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1E4637C0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  <w:tr w:rsidR="00811228" w:rsidRPr="00490F97" w14:paraId="6745B5BD" w14:textId="77777777" w:rsidTr="00EC5964">
        <w:tc>
          <w:tcPr>
            <w:tcW w:w="1781" w:type="dxa"/>
            <w:shd w:val="clear" w:color="auto" w:fill="auto"/>
          </w:tcPr>
          <w:p w14:paraId="465FC0A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 bubrega</w:t>
            </w:r>
          </w:p>
          <w:p w14:paraId="626F1146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i urinarnog sistema</w:t>
            </w:r>
          </w:p>
        </w:tc>
        <w:tc>
          <w:tcPr>
            <w:tcW w:w="1365" w:type="dxa"/>
          </w:tcPr>
          <w:p w14:paraId="59F68A43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6223126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21" w:type="dxa"/>
            <w:shd w:val="clear" w:color="auto" w:fill="auto"/>
          </w:tcPr>
          <w:p w14:paraId="76856F4D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54" w:type="dxa"/>
            <w:shd w:val="clear" w:color="auto" w:fill="auto"/>
          </w:tcPr>
          <w:p w14:paraId="780BC92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77315B8C" w14:textId="77777777" w:rsidR="00EC538B" w:rsidRPr="00490F97" w:rsidRDefault="00EC538B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tubulointersticijski nefritis (TIN) (s</w:t>
            </w:r>
          </w:p>
          <w:p w14:paraId="3B91FD79" w14:textId="77777777" w:rsidR="00EC538B" w:rsidRPr="00490F97" w:rsidRDefault="00EC538B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mogućom</w:t>
            </w:r>
          </w:p>
          <w:p w14:paraId="6AB5EF49" w14:textId="77777777" w:rsidR="00EC538B" w:rsidRPr="00490F97" w:rsidRDefault="00EC538B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progresijom do</w:t>
            </w:r>
          </w:p>
          <w:p w14:paraId="60A9A5AD" w14:textId="77777777" w:rsidR="00811228" w:rsidRPr="00490F97" w:rsidRDefault="00443FA3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noProof/>
                <w:sz w:val="22"/>
                <w:szCs w:val="22"/>
                <w:lang w:val="sr-Latn-ME" w:eastAsia="bs-Latn-BA"/>
              </w:rPr>
              <w:t>zastoja u radu</w:t>
            </w:r>
            <w:r w:rsidR="00EC538B" w:rsidRPr="00490F97">
              <w:rPr>
                <w:noProof/>
                <w:sz w:val="22"/>
                <w:szCs w:val="22"/>
                <w:lang w:val="sr-Latn-ME" w:eastAsia="bs-Latn-BA"/>
              </w:rPr>
              <w:t xml:space="preserve"> bubrega)</w:t>
            </w:r>
          </w:p>
        </w:tc>
      </w:tr>
      <w:tr w:rsidR="00811228" w:rsidRPr="00490F97" w14:paraId="2F8B8169" w14:textId="77777777" w:rsidTr="00EC5964">
        <w:tc>
          <w:tcPr>
            <w:tcW w:w="1781" w:type="dxa"/>
            <w:shd w:val="clear" w:color="auto" w:fill="auto"/>
          </w:tcPr>
          <w:p w14:paraId="7859EFF8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Poremećaji</w:t>
            </w:r>
          </w:p>
          <w:p w14:paraId="2D57F4E8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reproduktivnog</w:t>
            </w:r>
          </w:p>
          <w:p w14:paraId="225B2CD8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sistema i dojki</w:t>
            </w:r>
          </w:p>
        </w:tc>
        <w:tc>
          <w:tcPr>
            <w:tcW w:w="1365" w:type="dxa"/>
          </w:tcPr>
          <w:p w14:paraId="1ED415A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494FE14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821" w:type="dxa"/>
            <w:shd w:val="clear" w:color="auto" w:fill="auto"/>
          </w:tcPr>
          <w:p w14:paraId="1881C49F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Ginekomastija</w:t>
            </w:r>
          </w:p>
        </w:tc>
        <w:tc>
          <w:tcPr>
            <w:tcW w:w="1854" w:type="dxa"/>
            <w:shd w:val="clear" w:color="auto" w:fill="auto"/>
          </w:tcPr>
          <w:p w14:paraId="4560D636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2F06B647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  <w:tr w:rsidR="00811228" w:rsidRPr="00490F97" w14:paraId="039006C4" w14:textId="77777777" w:rsidTr="00EC5964">
        <w:tc>
          <w:tcPr>
            <w:tcW w:w="1781" w:type="dxa"/>
            <w:shd w:val="clear" w:color="auto" w:fill="auto"/>
          </w:tcPr>
          <w:p w14:paraId="15F054CA" w14:textId="77777777" w:rsidR="00811228" w:rsidRPr="00490F97" w:rsidRDefault="001510B1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Opšt</w:t>
            </w:r>
            <w:r w:rsidR="00811228"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i poremećaji i</w:t>
            </w:r>
          </w:p>
          <w:p w14:paraId="3FF19356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stanja na</w:t>
            </w:r>
          </w:p>
          <w:p w14:paraId="31AE2ECC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mjestu primjene</w:t>
            </w:r>
          </w:p>
        </w:tc>
        <w:tc>
          <w:tcPr>
            <w:tcW w:w="1365" w:type="dxa"/>
          </w:tcPr>
          <w:p w14:paraId="024618D0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85" w:type="dxa"/>
            <w:shd w:val="clear" w:color="auto" w:fill="auto"/>
          </w:tcPr>
          <w:p w14:paraId="563288BA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 xml:space="preserve">Astenija, </w:t>
            </w:r>
          </w:p>
          <w:p w14:paraId="6BB4250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umor i malaksalost</w:t>
            </w:r>
          </w:p>
        </w:tc>
        <w:tc>
          <w:tcPr>
            <w:tcW w:w="1821" w:type="dxa"/>
            <w:shd w:val="clear" w:color="auto" w:fill="auto"/>
          </w:tcPr>
          <w:p w14:paraId="78FC9B9C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Povećanje tjelesne</w:t>
            </w:r>
          </w:p>
          <w:p w14:paraId="0DEAA071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temperature,</w:t>
            </w:r>
          </w:p>
          <w:p w14:paraId="7D19D0C2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</w:pPr>
            <w:r w:rsidRPr="00490F97">
              <w:rPr>
                <w:rFonts w:eastAsia="TimesNewRoman"/>
                <w:noProof/>
                <w:sz w:val="22"/>
                <w:szCs w:val="22"/>
                <w:lang w:val="sr-Latn-ME" w:eastAsia="bs-Latn-BA"/>
              </w:rPr>
              <w:t>Periferni Edem</w:t>
            </w:r>
          </w:p>
        </w:tc>
        <w:tc>
          <w:tcPr>
            <w:tcW w:w="1854" w:type="dxa"/>
            <w:shd w:val="clear" w:color="auto" w:fill="auto"/>
          </w:tcPr>
          <w:p w14:paraId="626AAE24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995" w:type="dxa"/>
            <w:shd w:val="clear" w:color="auto" w:fill="auto"/>
          </w:tcPr>
          <w:p w14:paraId="31A78B19" w14:textId="77777777" w:rsidR="00811228" w:rsidRPr="00490F97" w:rsidRDefault="00811228" w:rsidP="00D92429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 w:eastAsia="bs-Latn-BA"/>
              </w:rPr>
            </w:pPr>
          </w:p>
        </w:tc>
      </w:tr>
    </w:tbl>
    <w:p w14:paraId="47604806" w14:textId="77777777" w:rsidR="00811228" w:rsidRPr="00490F97" w:rsidRDefault="00811228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vertAlign w:val="superscript"/>
          <w:lang w:val="sr-Latn-ME" w:eastAsia="bs-Latn-BA"/>
        </w:rPr>
        <w:t>(1)</w:t>
      </w:r>
      <w:r w:rsidRPr="00490F97">
        <w:rPr>
          <w:noProof/>
          <w:sz w:val="22"/>
          <w:szCs w:val="22"/>
          <w:lang w:val="sr-Latn-ME" w:eastAsia="bs-Latn-BA"/>
        </w:rPr>
        <w:t xml:space="preserve">Hipokalcijemija </w:t>
      </w:r>
      <w:r w:rsidR="006915CC" w:rsidRPr="00490F97">
        <w:rPr>
          <w:noProof/>
          <w:sz w:val="22"/>
          <w:szCs w:val="22"/>
          <w:lang w:val="sr-Latn-ME" w:eastAsia="bs-Latn-BA"/>
        </w:rPr>
        <w:t xml:space="preserve">i/ili hipokalemija mogu biti povezane s </w:t>
      </w:r>
      <w:r w:rsidR="00A81EC5" w:rsidRPr="00490F97">
        <w:rPr>
          <w:noProof/>
          <w:sz w:val="22"/>
          <w:szCs w:val="22"/>
          <w:lang w:val="sr-Latn-ME" w:eastAsia="bs-Latn-BA"/>
        </w:rPr>
        <w:t>pojavom hipomagnezijeme (pogledati</w:t>
      </w:r>
      <w:r w:rsidR="00C32669" w:rsidRPr="00490F97">
        <w:rPr>
          <w:noProof/>
          <w:sz w:val="22"/>
          <w:szCs w:val="22"/>
          <w:lang w:val="sr-Latn-ME" w:eastAsia="bs-Latn-BA"/>
        </w:rPr>
        <w:t xml:space="preserve"> dio </w:t>
      </w:r>
      <w:r w:rsidR="006915CC" w:rsidRPr="00490F97">
        <w:rPr>
          <w:noProof/>
          <w:sz w:val="22"/>
          <w:szCs w:val="22"/>
          <w:lang w:val="sr-Latn-ME" w:eastAsia="bs-Latn-BA"/>
        </w:rPr>
        <w:t>4.4)</w:t>
      </w:r>
    </w:p>
    <w:p w14:paraId="53B7D835" w14:textId="77777777" w:rsidR="00811228" w:rsidRPr="00490F97" w:rsidRDefault="00811228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4EEE54C7" w14:textId="77777777" w:rsidR="005A23D2" w:rsidRPr="00490F97" w:rsidRDefault="005A23D2" w:rsidP="00D92429">
      <w:pPr>
        <w:spacing w:after="200" w:line="276" w:lineRule="auto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490F97">
        <w:rPr>
          <w:rFonts w:eastAsia="Calibri"/>
          <w:noProof/>
          <w:sz w:val="22"/>
          <w:szCs w:val="22"/>
          <w:u w:val="single"/>
          <w:lang w:val="sr-Latn-ME"/>
        </w:rPr>
        <w:t>Prijavljivanje sumnji na neželjena dejstva</w:t>
      </w:r>
    </w:p>
    <w:p w14:paraId="283722DF" w14:textId="77777777" w:rsidR="005A23D2" w:rsidRPr="00490F97" w:rsidRDefault="005A23D2" w:rsidP="00D92429">
      <w:pPr>
        <w:spacing w:after="200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rFonts w:eastAsia="Calibri"/>
          <w:noProof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90F97">
        <w:rPr>
          <w:rFonts w:eastAsia="Calibri"/>
          <w:noProof/>
          <w:sz w:val="22"/>
          <w:szCs w:val="22"/>
          <w:lang w:val="sr-Latn-ME"/>
        </w:rPr>
        <w:t>inuirano praćenje odnosa korist</w:t>
      </w:r>
      <w:r w:rsidRPr="00490F97">
        <w:rPr>
          <w:rFonts w:eastAsia="Calibri"/>
          <w:noProof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90F97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490F97">
        <w:rPr>
          <w:rFonts w:eastAsia="Calibri"/>
          <w:noProof/>
          <w:sz w:val="22"/>
          <w:szCs w:val="22"/>
          <w:lang w:val="sr-Latn-ME"/>
        </w:rPr>
        <w:t xml:space="preserve">dejstvo ovog lijeka </w:t>
      </w:r>
      <w:r w:rsidR="004E70AD" w:rsidRPr="00490F97">
        <w:rPr>
          <w:rFonts w:eastAsia="Calibri"/>
          <w:noProof/>
          <w:sz w:val="22"/>
          <w:szCs w:val="22"/>
          <w:lang w:val="sr-Latn-ME"/>
        </w:rPr>
        <w:t>Institutu</w:t>
      </w:r>
      <w:r w:rsidRPr="00490F97">
        <w:rPr>
          <w:rFonts w:eastAsia="Calibri"/>
          <w:noProof/>
          <w:sz w:val="22"/>
          <w:szCs w:val="22"/>
          <w:lang w:val="sr-Latn-ME"/>
        </w:rPr>
        <w:t xml:space="preserve"> za ljekove i medicinska sredstva</w:t>
      </w:r>
      <w:r w:rsidR="004E70AD" w:rsidRPr="00490F97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490F97">
        <w:rPr>
          <w:rFonts w:eastAsia="Calibri"/>
          <w:noProof/>
          <w:sz w:val="22"/>
          <w:szCs w:val="22"/>
          <w:lang w:val="sr-Latn-ME"/>
        </w:rPr>
        <w:t>(</w:t>
      </w:r>
      <w:r w:rsidR="004E70AD" w:rsidRPr="00490F97">
        <w:rPr>
          <w:rFonts w:eastAsia="Calibri"/>
          <w:noProof/>
          <w:sz w:val="22"/>
          <w:szCs w:val="22"/>
          <w:lang w:val="sr-Latn-ME"/>
        </w:rPr>
        <w:t>CInMED</w:t>
      </w:r>
      <w:r w:rsidRPr="00490F97">
        <w:rPr>
          <w:rFonts w:eastAsia="Calibri"/>
          <w:noProof/>
          <w:sz w:val="22"/>
          <w:szCs w:val="22"/>
          <w:lang w:val="sr-Latn-ME"/>
        </w:rPr>
        <w:t>):</w:t>
      </w:r>
    </w:p>
    <w:p w14:paraId="664190E9" w14:textId="77777777" w:rsidR="005A23D2" w:rsidRPr="00490F97" w:rsidRDefault="004E70AD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rFonts w:eastAsia="Calibri"/>
          <w:noProof/>
          <w:sz w:val="22"/>
          <w:szCs w:val="22"/>
          <w:lang w:val="sr-Latn-ME"/>
        </w:rPr>
        <w:t xml:space="preserve">Institut </w:t>
      </w:r>
      <w:r w:rsidR="005A23D2" w:rsidRPr="00490F97">
        <w:rPr>
          <w:rFonts w:eastAsia="Calibri"/>
          <w:noProof/>
          <w:sz w:val="22"/>
          <w:szCs w:val="22"/>
          <w:lang w:val="sr-Latn-ME"/>
        </w:rPr>
        <w:t xml:space="preserve">za ljekove i medicinska sredstva </w:t>
      </w:r>
    </w:p>
    <w:p w14:paraId="7C613AEB" w14:textId="77777777" w:rsidR="005A23D2" w:rsidRPr="00490F97" w:rsidRDefault="005A23D2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rFonts w:eastAsia="Calibri"/>
          <w:noProof/>
          <w:sz w:val="22"/>
          <w:szCs w:val="22"/>
          <w:lang w:val="sr-Latn-ME"/>
        </w:rPr>
        <w:t>Odjeljenje za farmakovigilancu</w:t>
      </w:r>
    </w:p>
    <w:p w14:paraId="391E4860" w14:textId="77777777" w:rsidR="00EA5765" w:rsidRPr="00490F97" w:rsidRDefault="005A23D2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rFonts w:eastAsia="Calibri"/>
          <w:noProof/>
          <w:sz w:val="22"/>
          <w:szCs w:val="22"/>
          <w:lang w:val="sr-Latn-ME"/>
        </w:rPr>
        <w:t>Bulevar Ivana Crnojevića 64a, 81000 Podgorica</w:t>
      </w:r>
    </w:p>
    <w:p w14:paraId="59CB6038" w14:textId="77777777" w:rsidR="00EA5765" w:rsidRPr="00490F97" w:rsidRDefault="00EA5765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19ADE7B9" w14:textId="77777777" w:rsidR="00EA5C44" w:rsidRDefault="00EA5C44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6A3719E9" w14:textId="578B64FB" w:rsidR="005A23D2" w:rsidRPr="00490F97" w:rsidRDefault="005A23D2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rFonts w:eastAsia="Calibri"/>
          <w:noProof/>
          <w:sz w:val="22"/>
          <w:szCs w:val="22"/>
          <w:lang w:val="sr-Latn-ME"/>
        </w:rPr>
        <w:lastRenderedPageBreak/>
        <w:t>tel: +382 (0) 20 310 280</w:t>
      </w:r>
    </w:p>
    <w:p w14:paraId="5EE9EA1E" w14:textId="77777777" w:rsidR="00EA5765" w:rsidRPr="00490F97" w:rsidRDefault="005A23D2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rFonts w:eastAsia="Calibri"/>
          <w:noProof/>
          <w:sz w:val="22"/>
          <w:szCs w:val="22"/>
          <w:lang w:val="sr-Latn-ME"/>
        </w:rPr>
        <w:t>fax:</w:t>
      </w:r>
      <w:r w:rsidR="00EA5765" w:rsidRPr="00490F97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490F97">
        <w:rPr>
          <w:rFonts w:eastAsia="Calibri"/>
          <w:noProof/>
          <w:sz w:val="22"/>
          <w:szCs w:val="22"/>
          <w:lang w:val="sr-Latn-ME"/>
        </w:rPr>
        <w:t>+382 (0) 20 310 581</w:t>
      </w:r>
    </w:p>
    <w:p w14:paraId="4EC75F02" w14:textId="77777777" w:rsidR="005A23D2" w:rsidRPr="00490F97" w:rsidRDefault="00C442C2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hyperlink r:id="rId8" w:history="1">
        <w:r w:rsidR="004E70AD" w:rsidRPr="00490F97">
          <w:rPr>
            <w:rStyle w:val="Hyperlink"/>
            <w:rFonts w:eastAsia="Calibri"/>
            <w:noProof/>
            <w:sz w:val="22"/>
            <w:szCs w:val="22"/>
            <w:lang w:val="sr-Latn-ME"/>
          </w:rPr>
          <w:t>www.cinmed.me</w:t>
        </w:r>
      </w:hyperlink>
    </w:p>
    <w:p w14:paraId="5194AEF6" w14:textId="77777777" w:rsidR="00EA5765" w:rsidRPr="00490F97" w:rsidRDefault="00C442C2" w:rsidP="00D92429">
      <w:pPr>
        <w:pStyle w:val="NoSpacing"/>
        <w:jc w:val="both"/>
        <w:rPr>
          <w:rFonts w:eastAsia="Calibri"/>
          <w:noProof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90F97">
          <w:rPr>
            <w:rStyle w:val="Hyperlink"/>
            <w:rFonts w:eastAsia="Calibri"/>
            <w:noProof/>
            <w:sz w:val="22"/>
            <w:szCs w:val="22"/>
            <w:lang w:val="sr-Latn-ME"/>
          </w:rPr>
          <w:t>nezeljenadejstva@cinmed.me</w:t>
        </w:r>
      </w:hyperlink>
    </w:p>
    <w:p w14:paraId="5008E809" w14:textId="77777777" w:rsidR="005A23D2" w:rsidRPr="00490F97" w:rsidRDefault="005A23D2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rFonts w:eastAsia="Calibri"/>
          <w:noProof/>
          <w:sz w:val="22"/>
          <w:szCs w:val="22"/>
          <w:lang w:val="sr-Latn-ME"/>
        </w:rPr>
        <w:t>putem IS zdravstvene zaštite</w:t>
      </w:r>
    </w:p>
    <w:p w14:paraId="00BA84DA" w14:textId="77777777" w:rsidR="003A06F7" w:rsidRPr="00490F97" w:rsidRDefault="003A06F7" w:rsidP="003A06F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490F97">
        <w:rPr>
          <w:rFonts w:eastAsia="Calibri"/>
          <w:sz w:val="22"/>
          <w:szCs w:val="22"/>
          <w:lang w:val="sr-Latn-ME"/>
        </w:rPr>
        <w:t>QR</w:t>
      </w:r>
      <w:proofErr w:type="spellEnd"/>
      <w:r w:rsidRPr="00490F97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490F97">
        <w:rPr>
          <w:rFonts w:eastAsia="Calibri"/>
          <w:sz w:val="22"/>
          <w:szCs w:val="22"/>
          <w:lang w:val="sr-Latn-ME"/>
        </w:rPr>
        <w:t>online</w:t>
      </w:r>
      <w:proofErr w:type="spellEnd"/>
      <w:r w:rsidRPr="00490F97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0E876209" w14:textId="77777777" w:rsidR="003A06F7" w:rsidRPr="00490F97" w:rsidRDefault="003A06F7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7AC8A7A4" w14:textId="77777777" w:rsidR="003A06F7" w:rsidRPr="00490F97" w:rsidRDefault="003A06F7" w:rsidP="00D9242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 w:eastAsia="sr-Latn-ME"/>
        </w:rPr>
        <w:drawing>
          <wp:inline distT="0" distB="0" distL="0" distR="0" wp14:anchorId="4A128211" wp14:editId="4314A748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4901" w14:textId="77777777" w:rsidR="00836B35" w:rsidRPr="00490F97" w:rsidRDefault="00836B35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101AEB7" w14:textId="77777777" w:rsidR="00CD6F02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4.9.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Predoziranje</w:t>
      </w:r>
      <w:r w:rsidR="002846DB" w:rsidRPr="00490F97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289865FE" w14:textId="77777777" w:rsidR="003A06F7" w:rsidRPr="00490F97" w:rsidRDefault="003A06F7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98D8DFF" w14:textId="77777777" w:rsidR="00B60CAD" w:rsidRPr="00490F97" w:rsidRDefault="00B60CAD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Doze do 240 mg, koje su davane intravenski tokom 2 minute, dobro su podnošene. Budući da se pantoprazol ekstenzivno veže </w:t>
      </w:r>
      <w:r w:rsidR="005B1B93" w:rsidRPr="00490F97">
        <w:rPr>
          <w:bCs/>
          <w:noProof/>
          <w:sz w:val="22"/>
          <w:szCs w:val="22"/>
          <w:lang w:val="sr-Latn-ME"/>
        </w:rPr>
        <w:t>za proteine, slabo se dijalizuje</w:t>
      </w:r>
      <w:r w:rsidRPr="00490F97">
        <w:rPr>
          <w:bCs/>
          <w:noProof/>
          <w:sz w:val="22"/>
          <w:szCs w:val="22"/>
          <w:lang w:val="sr-Latn-ME"/>
        </w:rPr>
        <w:t>.</w:t>
      </w:r>
    </w:p>
    <w:p w14:paraId="468D6FD7" w14:textId="77777777" w:rsidR="00B60CAD" w:rsidRPr="00490F97" w:rsidRDefault="00B60CAD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B085CDA" w14:textId="77777777" w:rsidR="00CD6F02" w:rsidRPr="00490F97" w:rsidRDefault="00B60CAD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U slučaju predoziranja s kliničkim znacima intoksikacije, osim simptomatskog i suportivnog liječenja, ne mogu </w:t>
      </w:r>
      <w:r w:rsidR="005B1B93" w:rsidRPr="00490F97">
        <w:rPr>
          <w:bCs/>
          <w:noProof/>
          <w:sz w:val="22"/>
          <w:szCs w:val="22"/>
          <w:lang w:val="sr-Latn-ME"/>
        </w:rPr>
        <w:t>da se daju</w:t>
      </w:r>
      <w:r w:rsidRPr="00490F97">
        <w:rPr>
          <w:bCs/>
          <w:noProof/>
          <w:sz w:val="22"/>
          <w:szCs w:val="22"/>
          <w:lang w:val="sr-Latn-ME"/>
        </w:rPr>
        <w:t xml:space="preserve"> specifične terapijske preporuke.</w:t>
      </w:r>
    </w:p>
    <w:p w14:paraId="4ADEF78E" w14:textId="394C02C6" w:rsidR="00227BDB" w:rsidRDefault="00227BDB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4132A57" w14:textId="77777777" w:rsidR="00EA5C44" w:rsidRPr="00490F97" w:rsidRDefault="00EA5C44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6CBCCB0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5.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FARMAKOLOŠK</w:t>
      </w:r>
      <w:r w:rsidR="000D425A" w:rsidRPr="00490F97">
        <w:rPr>
          <w:b/>
          <w:bCs/>
          <w:noProof/>
          <w:sz w:val="22"/>
          <w:szCs w:val="22"/>
          <w:lang w:val="sr-Latn-ME"/>
        </w:rPr>
        <w:t>I</w:t>
      </w:r>
      <w:r w:rsidRPr="00490F97">
        <w:rPr>
          <w:b/>
          <w:bCs/>
          <w:noProof/>
          <w:sz w:val="22"/>
          <w:szCs w:val="22"/>
          <w:lang w:val="sr-Latn-ME"/>
        </w:rPr>
        <w:t xml:space="preserve"> PODACI</w:t>
      </w:r>
    </w:p>
    <w:p w14:paraId="33786E6E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E313A6B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5.1.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Farmakodinamski podaci</w:t>
      </w:r>
      <w:r w:rsidR="003A7059" w:rsidRPr="00490F97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319AE726" w14:textId="77777777" w:rsidR="00F45F77" w:rsidRPr="00490F97" w:rsidRDefault="00F45F77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1EA27333" w14:textId="77777777" w:rsidR="002E37A5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Farmakoterapijska grupa:</w:t>
      </w:r>
      <w:r w:rsidR="00E15EC2" w:rsidRPr="00490F97">
        <w:rPr>
          <w:bCs/>
          <w:noProof/>
          <w:sz w:val="22"/>
          <w:szCs w:val="22"/>
          <w:lang w:val="sr-Latn-ME"/>
        </w:rPr>
        <w:t xml:space="preserve"> </w:t>
      </w:r>
      <w:r w:rsidRPr="00490F97">
        <w:rPr>
          <w:bCs/>
          <w:noProof/>
          <w:sz w:val="22"/>
          <w:szCs w:val="22"/>
          <w:lang w:val="sr-Latn-ME"/>
        </w:rPr>
        <w:t>Inhibitori protonske pumpe.</w:t>
      </w:r>
    </w:p>
    <w:p w14:paraId="592A2F90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26F7E74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ATC kod: A02BC02</w:t>
      </w:r>
    </w:p>
    <w:p w14:paraId="4A530B7F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EECDB6E" w14:textId="77777777" w:rsidR="00024F26" w:rsidRPr="00490F97" w:rsidRDefault="006341F0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Mehanizam dejstva</w:t>
      </w:r>
    </w:p>
    <w:p w14:paraId="0FAAF211" w14:textId="77777777" w:rsidR="004250DA" w:rsidRPr="00490F97" w:rsidRDefault="004250DA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2C152741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Pantoprazol je supstituirani benzimidazol koji, specifičnom blokadom protonske pumpe parijetalnih ćelija želuca, inhibira izlučivanje hlorovodonične kis</w:t>
      </w:r>
      <w:r w:rsidR="005B1B93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>eline u želucu.</w:t>
      </w:r>
    </w:p>
    <w:p w14:paraId="428FC17A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FFE4F7F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Pantoprazol prelazi u svoj aktivni oblik, ciklički sulfenamid, u kis</w:t>
      </w:r>
      <w:r w:rsidR="005B1B93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>eloj sredini parijetalnih ćelija, gdje inhibira enzim H+,K+-ATP-azu, tj. završnu fazu stvaranja hlorovodonične kis</w:t>
      </w:r>
      <w:r w:rsidR="005B1B93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 xml:space="preserve">eline u želucu. </w:t>
      </w:r>
    </w:p>
    <w:p w14:paraId="7A3C7D5F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DA2953A" w14:textId="77777777" w:rsidR="00024F26" w:rsidRPr="00490F97" w:rsidRDefault="005B1B93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Inhibicija je za</w:t>
      </w:r>
      <w:r w:rsidR="00024F26" w:rsidRPr="00490F97">
        <w:rPr>
          <w:bCs/>
          <w:noProof/>
          <w:sz w:val="22"/>
          <w:szCs w:val="22"/>
          <w:lang w:val="sr-Latn-ME"/>
        </w:rPr>
        <w:t>visna o</w:t>
      </w:r>
      <w:r w:rsidRPr="00490F97">
        <w:rPr>
          <w:bCs/>
          <w:noProof/>
          <w:sz w:val="22"/>
          <w:szCs w:val="22"/>
          <w:lang w:val="sr-Latn-ME"/>
        </w:rPr>
        <w:t>d doze</w:t>
      </w:r>
      <w:r w:rsidR="00024F26" w:rsidRPr="00490F97">
        <w:rPr>
          <w:bCs/>
          <w:noProof/>
          <w:sz w:val="22"/>
          <w:szCs w:val="22"/>
          <w:lang w:val="sr-Latn-ME"/>
        </w:rPr>
        <w:t xml:space="preserve"> i utiče na bazalnu, kao i na st</w:t>
      </w:r>
      <w:r w:rsidRPr="00490F97">
        <w:rPr>
          <w:bCs/>
          <w:noProof/>
          <w:sz w:val="22"/>
          <w:szCs w:val="22"/>
          <w:lang w:val="sr-Latn-ME"/>
        </w:rPr>
        <w:t>imulisanu</w:t>
      </w:r>
      <w:r w:rsidR="00063B47" w:rsidRPr="00490F97">
        <w:rPr>
          <w:bCs/>
          <w:noProof/>
          <w:sz w:val="22"/>
          <w:szCs w:val="22"/>
          <w:lang w:val="sr-Latn-ME"/>
        </w:rPr>
        <w:t xml:space="preserve"> sekreciju kis</w:t>
      </w:r>
      <w:r w:rsidRPr="00490F97">
        <w:rPr>
          <w:bCs/>
          <w:noProof/>
          <w:sz w:val="22"/>
          <w:szCs w:val="22"/>
          <w:lang w:val="sr-Latn-ME"/>
        </w:rPr>
        <w:t>j</w:t>
      </w:r>
      <w:r w:rsidR="00063B47" w:rsidRPr="00490F97">
        <w:rPr>
          <w:bCs/>
          <w:noProof/>
          <w:sz w:val="22"/>
          <w:szCs w:val="22"/>
          <w:lang w:val="sr-Latn-ME"/>
        </w:rPr>
        <w:t xml:space="preserve">eline. Kod </w:t>
      </w:r>
      <w:r w:rsidR="00024F26" w:rsidRPr="00490F97">
        <w:rPr>
          <w:bCs/>
          <w:noProof/>
          <w:sz w:val="22"/>
          <w:szCs w:val="22"/>
          <w:lang w:val="sr-Latn-ME"/>
        </w:rPr>
        <w:t>većine pacijenata, nestanak simptoma žgaravice i refluksa kis</w:t>
      </w:r>
      <w:r w:rsidRPr="00490F97">
        <w:rPr>
          <w:bCs/>
          <w:noProof/>
          <w:sz w:val="22"/>
          <w:szCs w:val="22"/>
          <w:lang w:val="sr-Latn-ME"/>
        </w:rPr>
        <w:t>j</w:t>
      </w:r>
      <w:r w:rsidR="00024F26" w:rsidRPr="00490F97">
        <w:rPr>
          <w:bCs/>
          <w:noProof/>
          <w:sz w:val="22"/>
          <w:szCs w:val="22"/>
          <w:lang w:val="sr-Latn-ME"/>
        </w:rPr>
        <w:t>eline</w:t>
      </w:r>
      <w:r w:rsidRPr="00490F97">
        <w:rPr>
          <w:bCs/>
          <w:noProof/>
          <w:sz w:val="22"/>
          <w:szCs w:val="22"/>
          <w:lang w:val="sr-Latn-ME"/>
        </w:rPr>
        <w:t xml:space="preserve"> postiže se u toku</w:t>
      </w:r>
      <w:r w:rsidR="002727A3" w:rsidRPr="00490F97">
        <w:rPr>
          <w:bCs/>
          <w:noProof/>
          <w:sz w:val="22"/>
          <w:szCs w:val="22"/>
          <w:lang w:val="sr-Latn-ME"/>
        </w:rPr>
        <w:t xml:space="preserve"> jedne nedjelje</w:t>
      </w:r>
      <w:r w:rsidR="00024F26" w:rsidRPr="00490F97">
        <w:rPr>
          <w:bCs/>
          <w:noProof/>
          <w:sz w:val="22"/>
          <w:szCs w:val="22"/>
          <w:lang w:val="sr-Latn-ME"/>
        </w:rPr>
        <w:t>. Pantoprazol smanjuje kis</w:t>
      </w:r>
      <w:r w:rsidRPr="00490F97">
        <w:rPr>
          <w:bCs/>
          <w:noProof/>
          <w:sz w:val="22"/>
          <w:szCs w:val="22"/>
          <w:lang w:val="sr-Latn-ME"/>
        </w:rPr>
        <w:t>j</w:t>
      </w:r>
      <w:r w:rsidR="00024F26" w:rsidRPr="00490F97">
        <w:rPr>
          <w:bCs/>
          <w:noProof/>
          <w:sz w:val="22"/>
          <w:szCs w:val="22"/>
          <w:lang w:val="sr-Latn-ME"/>
        </w:rPr>
        <w:t>elost u želucu i na taj način povećava gastrin pro</w:t>
      </w:r>
      <w:r w:rsidR="00376034" w:rsidRPr="00490F97">
        <w:rPr>
          <w:bCs/>
          <w:noProof/>
          <w:sz w:val="22"/>
          <w:szCs w:val="22"/>
          <w:lang w:val="sr-Latn-ME"/>
        </w:rPr>
        <w:t>porcionalno smanjenju kis</w:t>
      </w:r>
      <w:r w:rsidRPr="00490F97">
        <w:rPr>
          <w:bCs/>
          <w:noProof/>
          <w:sz w:val="22"/>
          <w:szCs w:val="22"/>
          <w:lang w:val="sr-Latn-ME"/>
        </w:rPr>
        <w:t>j</w:t>
      </w:r>
      <w:r w:rsidR="00376034" w:rsidRPr="00490F97">
        <w:rPr>
          <w:bCs/>
          <w:noProof/>
          <w:sz w:val="22"/>
          <w:szCs w:val="22"/>
          <w:lang w:val="sr-Latn-ME"/>
        </w:rPr>
        <w:t xml:space="preserve">elosti. </w:t>
      </w:r>
      <w:r w:rsidR="00024F26" w:rsidRPr="00490F97">
        <w:rPr>
          <w:bCs/>
          <w:noProof/>
          <w:sz w:val="22"/>
          <w:szCs w:val="22"/>
          <w:lang w:val="sr-Latn-ME"/>
        </w:rPr>
        <w:t xml:space="preserve">Povećanje gastrina je reverzibilno. Budući da se pantoprazol veže za enzime distalno od nivoa receptora, može </w:t>
      </w:r>
      <w:r w:rsidRPr="00490F97">
        <w:rPr>
          <w:bCs/>
          <w:noProof/>
          <w:sz w:val="22"/>
          <w:szCs w:val="22"/>
          <w:lang w:val="sr-Latn-ME"/>
        </w:rPr>
        <w:t>da inhibira</w:t>
      </w:r>
      <w:r w:rsidR="00024F26" w:rsidRPr="00490F97">
        <w:rPr>
          <w:bCs/>
          <w:noProof/>
          <w:sz w:val="22"/>
          <w:szCs w:val="22"/>
          <w:lang w:val="sr-Latn-ME"/>
        </w:rPr>
        <w:t xml:space="preserve"> lučenje hlorovodonične kis</w:t>
      </w:r>
      <w:r w:rsidRPr="00490F97">
        <w:rPr>
          <w:bCs/>
          <w:noProof/>
          <w:sz w:val="22"/>
          <w:szCs w:val="22"/>
          <w:lang w:val="sr-Latn-ME"/>
        </w:rPr>
        <w:t>jeline neza</w:t>
      </w:r>
      <w:r w:rsidR="00024F26" w:rsidRPr="00490F97">
        <w:rPr>
          <w:bCs/>
          <w:noProof/>
          <w:sz w:val="22"/>
          <w:szCs w:val="22"/>
          <w:lang w:val="sr-Latn-ME"/>
        </w:rPr>
        <w:t>visno o</w:t>
      </w:r>
      <w:r w:rsidRPr="00490F97">
        <w:rPr>
          <w:bCs/>
          <w:noProof/>
          <w:sz w:val="22"/>
          <w:szCs w:val="22"/>
          <w:lang w:val="sr-Latn-ME"/>
        </w:rPr>
        <w:t>d stimulacije</w:t>
      </w:r>
      <w:r w:rsidR="00024F26" w:rsidRPr="00490F97">
        <w:rPr>
          <w:bCs/>
          <w:noProof/>
          <w:sz w:val="22"/>
          <w:szCs w:val="22"/>
          <w:lang w:val="sr-Latn-ME"/>
        </w:rPr>
        <w:t xml:space="preserve"> s drugim supstancama (s acetilholinom</w:t>
      </w:r>
      <w:r w:rsidR="00D75057" w:rsidRPr="00490F97">
        <w:rPr>
          <w:bCs/>
          <w:noProof/>
          <w:sz w:val="22"/>
          <w:szCs w:val="22"/>
          <w:lang w:val="sr-Latn-ME"/>
        </w:rPr>
        <w:t>, histaminom, gastrinom). Efekat</w:t>
      </w:r>
      <w:r w:rsidR="00024F26" w:rsidRPr="00490F97">
        <w:rPr>
          <w:bCs/>
          <w:noProof/>
          <w:sz w:val="22"/>
          <w:szCs w:val="22"/>
          <w:lang w:val="sr-Latn-ME"/>
        </w:rPr>
        <w:t xml:space="preserve"> je jednak bez obzira da li se aktivna supstanca primjenjuje oralno ili intravenski.</w:t>
      </w:r>
    </w:p>
    <w:p w14:paraId="6143CBAD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0E9A490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Vrijednosti gastrina natašte povećavaju se kod primjene pantoprazola. Pri kratkotrajnoj primjeni, u većini slučajeva, vrijednosti ne prelaze gornju granicu normale. Tokom dugotrajnog liječenja, u većini slučajeva se nivoi gastrina udvostručuju. Međutim, izrazito poveć</w:t>
      </w:r>
      <w:r w:rsidR="001839A8" w:rsidRPr="00490F97">
        <w:rPr>
          <w:bCs/>
          <w:noProof/>
          <w:sz w:val="22"/>
          <w:szCs w:val="22"/>
          <w:lang w:val="sr-Latn-ME"/>
        </w:rPr>
        <w:t>anje javlja se samo u izolovanim</w:t>
      </w:r>
      <w:r w:rsidRPr="00490F97">
        <w:rPr>
          <w:bCs/>
          <w:noProof/>
          <w:sz w:val="22"/>
          <w:szCs w:val="22"/>
          <w:lang w:val="sr-Latn-ME"/>
        </w:rPr>
        <w:t xml:space="preserve"> slučajevima. Kao posljedica toga, u manjem broju slučajeva je k</w:t>
      </w:r>
      <w:r w:rsidR="001839A8" w:rsidRPr="00490F97">
        <w:rPr>
          <w:bCs/>
          <w:noProof/>
          <w:sz w:val="22"/>
          <w:szCs w:val="22"/>
          <w:lang w:val="sr-Latn-ME"/>
        </w:rPr>
        <w:t>od dugotrajnog liječenja primijećeno</w:t>
      </w:r>
      <w:r w:rsidRPr="00490F97">
        <w:rPr>
          <w:bCs/>
          <w:noProof/>
          <w:sz w:val="22"/>
          <w:szCs w:val="22"/>
          <w:lang w:val="sr-Latn-ME"/>
        </w:rPr>
        <w:t xml:space="preserve"> blago do umjereno povećanje broja specifičnih endokrinih ćelija (ECL) u želucu (jednostavna do adenomatoidna hiperplazija). Međutim, prema dosadašnjim istraživanjima, stvaranje karcinoidnih prekursora (a</w:t>
      </w:r>
      <w:r w:rsidR="001839A8" w:rsidRPr="00490F97">
        <w:rPr>
          <w:bCs/>
          <w:noProof/>
          <w:sz w:val="22"/>
          <w:szCs w:val="22"/>
          <w:lang w:val="sr-Latn-ME"/>
        </w:rPr>
        <w:t>tipična hiperplazija) ili želudač</w:t>
      </w:r>
      <w:r w:rsidRPr="00490F97">
        <w:rPr>
          <w:bCs/>
          <w:noProof/>
          <w:sz w:val="22"/>
          <w:szCs w:val="22"/>
          <w:lang w:val="sr-Latn-ME"/>
        </w:rPr>
        <w:t>nih karcinoida, koji su ustanovljeni u eksp</w:t>
      </w:r>
      <w:r w:rsidR="001E0CFA" w:rsidRPr="00490F97">
        <w:rPr>
          <w:bCs/>
          <w:noProof/>
          <w:sz w:val="22"/>
          <w:szCs w:val="22"/>
          <w:lang w:val="sr-Latn-ME"/>
        </w:rPr>
        <w:t>erimentima na životinjama (pogledati</w:t>
      </w:r>
      <w:r w:rsidR="001839A8" w:rsidRPr="00490F97">
        <w:rPr>
          <w:bCs/>
          <w:noProof/>
          <w:sz w:val="22"/>
          <w:szCs w:val="22"/>
          <w:lang w:val="sr-Latn-ME"/>
        </w:rPr>
        <w:t xml:space="preserve"> dio 5.3.), nije primijećeno</w:t>
      </w:r>
      <w:r w:rsidR="008E39D2" w:rsidRPr="00490F97">
        <w:rPr>
          <w:bCs/>
          <w:noProof/>
          <w:sz w:val="22"/>
          <w:szCs w:val="22"/>
          <w:lang w:val="sr-Latn-ME"/>
        </w:rPr>
        <w:t xml:space="preserve"> kod</w:t>
      </w:r>
      <w:r w:rsidRPr="00490F97">
        <w:rPr>
          <w:bCs/>
          <w:noProof/>
          <w:sz w:val="22"/>
          <w:szCs w:val="22"/>
          <w:lang w:val="sr-Latn-ME"/>
        </w:rPr>
        <w:t xml:space="preserve"> ljudi.</w:t>
      </w:r>
    </w:p>
    <w:p w14:paraId="1E5ACD54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C83DF05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lastRenderedPageBreak/>
        <w:t>Vrijednosti serumskog gastrina se povećavaju to</w:t>
      </w:r>
      <w:r w:rsidR="00137A34" w:rsidRPr="00490F97">
        <w:rPr>
          <w:bCs/>
          <w:noProof/>
          <w:sz w:val="22"/>
          <w:szCs w:val="22"/>
          <w:lang w:val="sr-Latn-ME"/>
        </w:rPr>
        <w:t>kom liječenja antisekretornim l</w:t>
      </w:r>
      <w:r w:rsidRPr="00490F97">
        <w:rPr>
          <w:bCs/>
          <w:noProof/>
          <w:sz w:val="22"/>
          <w:szCs w:val="22"/>
          <w:lang w:val="sr-Latn-ME"/>
        </w:rPr>
        <w:t>jekovima, kao odgovor na smanjeno lučenje kis</w:t>
      </w:r>
      <w:r w:rsidR="001839A8" w:rsidRPr="00490F97">
        <w:rPr>
          <w:bCs/>
          <w:noProof/>
          <w:sz w:val="22"/>
          <w:szCs w:val="22"/>
          <w:lang w:val="sr-Latn-ME"/>
        </w:rPr>
        <w:t>jeline. CgA takođe raste zbog smanjene želudač</w:t>
      </w:r>
      <w:r w:rsidRPr="00490F97">
        <w:rPr>
          <w:bCs/>
          <w:noProof/>
          <w:sz w:val="22"/>
          <w:szCs w:val="22"/>
          <w:lang w:val="sr-Latn-ME"/>
        </w:rPr>
        <w:t>ne kis</w:t>
      </w:r>
      <w:r w:rsidR="001839A8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 xml:space="preserve">elosti. Povišen nivo CgA može </w:t>
      </w:r>
      <w:r w:rsidR="001839A8" w:rsidRPr="00490F97">
        <w:rPr>
          <w:bCs/>
          <w:noProof/>
          <w:sz w:val="22"/>
          <w:szCs w:val="22"/>
          <w:lang w:val="sr-Latn-ME"/>
        </w:rPr>
        <w:t>da interferira</w:t>
      </w:r>
      <w:r w:rsidRPr="00490F97">
        <w:rPr>
          <w:bCs/>
          <w:noProof/>
          <w:sz w:val="22"/>
          <w:szCs w:val="22"/>
          <w:lang w:val="sr-Latn-ME"/>
        </w:rPr>
        <w:t xml:space="preserve"> s pretragama na neuroendokrine tumore.</w:t>
      </w:r>
    </w:p>
    <w:p w14:paraId="0A0F7715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E581B90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Dostupni objavljeni dokazi ukazuju na to da primjenu inhibitora protonske pumpe treba pre</w:t>
      </w:r>
      <w:r w:rsidR="00FB3151" w:rsidRPr="00490F97">
        <w:rPr>
          <w:bCs/>
          <w:noProof/>
          <w:sz w:val="22"/>
          <w:szCs w:val="22"/>
          <w:lang w:val="sr-Latn-ME"/>
        </w:rPr>
        <w:t>kinuti između 5 dana i 2 nedjelje</w:t>
      </w:r>
      <w:r w:rsidRPr="00490F97">
        <w:rPr>
          <w:bCs/>
          <w:noProof/>
          <w:sz w:val="22"/>
          <w:szCs w:val="22"/>
          <w:lang w:val="sr-Latn-ME"/>
        </w:rPr>
        <w:t xml:space="preserve"> prije mjerenja CgA. Time se omogućava da se nivoi CgA, koji mogu biti l</w:t>
      </w:r>
      <w:r w:rsidR="00DE61FF" w:rsidRPr="00490F97">
        <w:rPr>
          <w:bCs/>
          <w:noProof/>
          <w:sz w:val="22"/>
          <w:szCs w:val="22"/>
          <w:lang w:val="sr-Latn-ME"/>
        </w:rPr>
        <w:t xml:space="preserve">ažno povišeni nakon liječenja </w:t>
      </w:r>
      <w:r w:rsidRPr="00490F97">
        <w:rPr>
          <w:bCs/>
          <w:noProof/>
          <w:sz w:val="22"/>
          <w:szCs w:val="22"/>
          <w:lang w:val="sr-Latn-ME"/>
        </w:rPr>
        <w:t>inhibitorom protonske pumpe, vrate unutar referentnog raspona.</w:t>
      </w:r>
    </w:p>
    <w:p w14:paraId="6526249C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3576D33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490F97">
        <w:rPr>
          <w:bCs/>
          <w:noProof/>
          <w:sz w:val="22"/>
          <w:szCs w:val="22"/>
          <w:u w:val="single"/>
          <w:lang w:val="sr-Latn-ME"/>
        </w:rPr>
        <w:t>Klinička efikasnost</w:t>
      </w:r>
      <w:r w:rsidR="008E5B74" w:rsidRPr="00490F97">
        <w:rPr>
          <w:bCs/>
          <w:noProof/>
          <w:sz w:val="22"/>
          <w:szCs w:val="22"/>
          <w:u w:val="single"/>
          <w:lang w:val="sr-Latn-ME"/>
        </w:rPr>
        <w:t xml:space="preserve"> i bezbjednost</w:t>
      </w:r>
    </w:p>
    <w:p w14:paraId="4C04E457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Retrospektivnom analizom 17 ispit</w:t>
      </w:r>
      <w:r w:rsidR="00B314D3" w:rsidRPr="00490F97">
        <w:rPr>
          <w:bCs/>
          <w:noProof/>
          <w:sz w:val="22"/>
          <w:szCs w:val="22"/>
          <w:lang w:val="sr-Latn-ME"/>
        </w:rPr>
        <w:t>ivanja kod</w:t>
      </w:r>
      <w:r w:rsidRPr="00490F97">
        <w:rPr>
          <w:bCs/>
          <w:noProof/>
          <w:sz w:val="22"/>
          <w:szCs w:val="22"/>
          <w:lang w:val="sr-Latn-ME"/>
        </w:rPr>
        <w:t xml:space="preserve"> 5960 pacijenata s gastroezofagealnom refluksnom bolešću (GERB), koji su bili liječeni s 20 mg pantoprazola (monoterapija), standardiziranim metodama su procjenjivani simptomi povezani s refluksom kis</w:t>
      </w:r>
      <w:r w:rsidR="00B314D3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>eline, npr. žgaravica i regurgitacija kis</w:t>
      </w:r>
      <w:r w:rsidR="00B314D3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>eline. Odabrane studije morale su imati najm</w:t>
      </w:r>
      <w:r w:rsidR="003502F4" w:rsidRPr="00490F97">
        <w:rPr>
          <w:bCs/>
          <w:noProof/>
          <w:sz w:val="22"/>
          <w:szCs w:val="22"/>
          <w:lang w:val="sr-Latn-ME"/>
        </w:rPr>
        <w:t xml:space="preserve">anje jednu tačku evidentiranja </w:t>
      </w:r>
      <w:r w:rsidRPr="00490F97">
        <w:rPr>
          <w:bCs/>
          <w:noProof/>
          <w:sz w:val="22"/>
          <w:szCs w:val="22"/>
          <w:lang w:val="sr-Latn-ME"/>
        </w:rPr>
        <w:t>simpto</w:t>
      </w:r>
      <w:r w:rsidR="00255B8E" w:rsidRPr="00490F97">
        <w:rPr>
          <w:bCs/>
          <w:noProof/>
          <w:sz w:val="22"/>
          <w:szCs w:val="22"/>
          <w:lang w:val="sr-Latn-ME"/>
        </w:rPr>
        <w:t>ma refluksa kis</w:t>
      </w:r>
      <w:r w:rsidR="00D353DC" w:rsidRPr="00490F97">
        <w:rPr>
          <w:bCs/>
          <w:noProof/>
          <w:sz w:val="22"/>
          <w:szCs w:val="22"/>
          <w:lang w:val="sr-Latn-ME"/>
        </w:rPr>
        <w:t>j</w:t>
      </w:r>
      <w:r w:rsidR="00255B8E" w:rsidRPr="00490F97">
        <w:rPr>
          <w:bCs/>
          <w:noProof/>
          <w:sz w:val="22"/>
          <w:szCs w:val="22"/>
          <w:lang w:val="sr-Latn-ME"/>
        </w:rPr>
        <w:t>eline u 2 nedjelje</w:t>
      </w:r>
      <w:r w:rsidRPr="00490F97">
        <w:rPr>
          <w:bCs/>
          <w:noProof/>
          <w:sz w:val="22"/>
          <w:szCs w:val="22"/>
          <w:lang w:val="sr-Latn-ME"/>
        </w:rPr>
        <w:t>. Di</w:t>
      </w:r>
      <w:r w:rsidR="00F17911" w:rsidRPr="00490F97">
        <w:rPr>
          <w:bCs/>
          <w:noProof/>
          <w:sz w:val="22"/>
          <w:szCs w:val="22"/>
          <w:lang w:val="sr-Latn-ME"/>
        </w:rPr>
        <w:t>jagnoza GERB-a u ovim studijama</w:t>
      </w:r>
      <w:r w:rsidR="00D353DC" w:rsidRPr="00490F97">
        <w:rPr>
          <w:bCs/>
          <w:noProof/>
          <w:sz w:val="22"/>
          <w:szCs w:val="22"/>
          <w:lang w:val="sr-Latn-ME"/>
        </w:rPr>
        <w:t xml:space="preserve"> zasnivala</w:t>
      </w:r>
      <w:r w:rsidRPr="00490F97">
        <w:rPr>
          <w:bCs/>
          <w:noProof/>
          <w:sz w:val="22"/>
          <w:szCs w:val="22"/>
          <w:lang w:val="sr-Latn-ME"/>
        </w:rPr>
        <w:t xml:space="preserve"> se na endoskopskoj procjeni, </w:t>
      </w:r>
      <w:r w:rsidR="00D353DC" w:rsidRPr="00490F97">
        <w:rPr>
          <w:bCs/>
          <w:noProof/>
          <w:sz w:val="22"/>
          <w:szCs w:val="22"/>
          <w:lang w:val="sr-Latn-ME"/>
        </w:rPr>
        <w:t>s izuzetkom jednog ispitivanja kod</w:t>
      </w:r>
      <w:r w:rsidRPr="00490F97">
        <w:rPr>
          <w:bCs/>
          <w:noProof/>
          <w:sz w:val="22"/>
          <w:szCs w:val="22"/>
          <w:lang w:val="sr-Latn-ME"/>
        </w:rPr>
        <w:t xml:space="preserve"> kojeg su pacijenti bili uključeni samo na temelju simptomatologije. </w:t>
      </w:r>
    </w:p>
    <w:p w14:paraId="72B8BAE3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3E69C23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U ovim ispit</w:t>
      </w:r>
      <w:r w:rsidR="00D353DC" w:rsidRPr="00490F97">
        <w:rPr>
          <w:bCs/>
          <w:noProof/>
          <w:sz w:val="22"/>
          <w:szCs w:val="22"/>
          <w:lang w:val="sr-Latn-ME"/>
        </w:rPr>
        <w:t>ivanjima, procenat</w:t>
      </w:r>
      <w:r w:rsidR="00272EC6" w:rsidRPr="00490F97">
        <w:rPr>
          <w:bCs/>
          <w:noProof/>
          <w:sz w:val="22"/>
          <w:szCs w:val="22"/>
          <w:lang w:val="sr-Latn-ME"/>
        </w:rPr>
        <w:t xml:space="preserve"> pacijenata, kod</w:t>
      </w:r>
      <w:r w:rsidRPr="00490F97">
        <w:rPr>
          <w:bCs/>
          <w:noProof/>
          <w:sz w:val="22"/>
          <w:szCs w:val="22"/>
          <w:lang w:val="sr-Latn-ME"/>
        </w:rPr>
        <w:t xml:space="preserve"> kojih je zabilježen potpuni nestanak žgaravice, </w:t>
      </w:r>
      <w:r w:rsidR="00771FB3" w:rsidRPr="00490F97">
        <w:rPr>
          <w:bCs/>
          <w:noProof/>
          <w:sz w:val="22"/>
          <w:szCs w:val="22"/>
          <w:lang w:val="sr-Latn-ME"/>
        </w:rPr>
        <w:t xml:space="preserve">nakon 7 dana liječenja </w:t>
      </w:r>
      <w:r w:rsidRPr="00490F97">
        <w:rPr>
          <w:bCs/>
          <w:noProof/>
          <w:sz w:val="22"/>
          <w:szCs w:val="22"/>
          <w:lang w:val="sr-Latn-ME"/>
        </w:rPr>
        <w:t>iznosio je između 54,0% i 80,6%</w:t>
      </w:r>
      <w:r w:rsidR="00D353DC" w:rsidRPr="00490F97">
        <w:rPr>
          <w:bCs/>
          <w:noProof/>
          <w:sz w:val="22"/>
          <w:szCs w:val="22"/>
          <w:lang w:val="sr-Latn-ME"/>
        </w:rPr>
        <w:t xml:space="preserve"> u grupi</w:t>
      </w:r>
      <w:r w:rsidR="00771FB3" w:rsidRPr="00490F97">
        <w:rPr>
          <w:bCs/>
          <w:noProof/>
          <w:sz w:val="22"/>
          <w:szCs w:val="22"/>
          <w:lang w:val="sr-Latn-ME"/>
        </w:rPr>
        <w:t xml:space="preserve"> pacijenata na pantoprazolu</w:t>
      </w:r>
      <w:r w:rsidRPr="00490F97">
        <w:rPr>
          <w:bCs/>
          <w:noProof/>
          <w:sz w:val="22"/>
          <w:szCs w:val="22"/>
          <w:lang w:val="sr-Latn-ME"/>
        </w:rPr>
        <w:t>. Nakon 14 i 28 dana, potpuni nestanak žg</w:t>
      </w:r>
      <w:r w:rsidR="00551AF7" w:rsidRPr="00490F97">
        <w:rPr>
          <w:bCs/>
          <w:noProof/>
          <w:sz w:val="22"/>
          <w:szCs w:val="22"/>
          <w:lang w:val="sr-Latn-ME"/>
        </w:rPr>
        <w:t>aravice zabilježen je kod 62,9% do 88,6% pacijenata i kod</w:t>
      </w:r>
      <w:r w:rsidRPr="00490F97">
        <w:rPr>
          <w:bCs/>
          <w:noProof/>
          <w:sz w:val="22"/>
          <w:szCs w:val="22"/>
          <w:lang w:val="sr-Latn-ME"/>
        </w:rPr>
        <w:t xml:space="preserve"> 68,1% do 92,3% pacijenata.</w:t>
      </w:r>
    </w:p>
    <w:p w14:paraId="3100C65A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5C64A28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Za potpuni nestanak regurgitacije kis</w:t>
      </w:r>
      <w:r w:rsidR="00551AF7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>eline, dobiveni su slični rezultati kao i za ž</w:t>
      </w:r>
      <w:r w:rsidR="00551AF7" w:rsidRPr="00490F97">
        <w:rPr>
          <w:bCs/>
          <w:noProof/>
          <w:sz w:val="22"/>
          <w:szCs w:val="22"/>
          <w:lang w:val="sr-Latn-ME"/>
        </w:rPr>
        <w:t>garavicu. Nakon 7 dana, procenat pacijenata kod</w:t>
      </w:r>
      <w:r w:rsidRPr="00490F97">
        <w:rPr>
          <w:bCs/>
          <w:noProof/>
          <w:sz w:val="22"/>
          <w:szCs w:val="22"/>
          <w:lang w:val="sr-Latn-ME"/>
        </w:rPr>
        <w:t xml:space="preserve"> kojih je došlo do potpunog nestanka regurgitacije kis</w:t>
      </w:r>
      <w:r w:rsidR="00551AF7" w:rsidRPr="00490F97">
        <w:rPr>
          <w:bCs/>
          <w:noProof/>
          <w:sz w:val="22"/>
          <w:szCs w:val="22"/>
          <w:lang w:val="sr-Latn-ME"/>
        </w:rPr>
        <w:t>j</w:t>
      </w:r>
      <w:r w:rsidRPr="00490F97">
        <w:rPr>
          <w:bCs/>
          <w:noProof/>
          <w:sz w:val="22"/>
          <w:szCs w:val="22"/>
          <w:lang w:val="sr-Latn-ME"/>
        </w:rPr>
        <w:t>eline iznosio je između 61,5% i 84,4%, nakon 14 dana iznosio je između 67,7% i 90,4%, a nakon 28 dana iznosio je između 75,2% i 94,5%.</w:t>
      </w:r>
    </w:p>
    <w:p w14:paraId="2317A3BE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CF1873D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Pantoprazol se pokazao dosljedno boljim od placeba i antagonista H2-receptora, a nije bio inferioran u odnosu na druge inhibitore protonske pumpe. Stope nestanka simptoma refluksa kis</w:t>
      </w:r>
      <w:r w:rsidR="00D32812" w:rsidRPr="00490F97">
        <w:rPr>
          <w:bCs/>
          <w:noProof/>
          <w:sz w:val="22"/>
          <w:szCs w:val="22"/>
          <w:lang w:val="sr-Latn-ME"/>
        </w:rPr>
        <w:t>jeline bile su u velikoj mjeri neza</w:t>
      </w:r>
      <w:r w:rsidRPr="00490F97">
        <w:rPr>
          <w:bCs/>
          <w:noProof/>
          <w:sz w:val="22"/>
          <w:szCs w:val="22"/>
          <w:lang w:val="sr-Latn-ME"/>
        </w:rPr>
        <w:t>visne o</w:t>
      </w:r>
      <w:r w:rsidR="00D32812" w:rsidRPr="00490F97">
        <w:rPr>
          <w:bCs/>
          <w:noProof/>
          <w:sz w:val="22"/>
          <w:szCs w:val="22"/>
          <w:lang w:val="sr-Latn-ME"/>
        </w:rPr>
        <w:t>d početnog stanja</w:t>
      </w:r>
      <w:r w:rsidRPr="00490F97">
        <w:rPr>
          <w:bCs/>
          <w:noProof/>
          <w:sz w:val="22"/>
          <w:szCs w:val="22"/>
          <w:lang w:val="sr-Latn-ME"/>
        </w:rPr>
        <w:t xml:space="preserve"> GERB-a.</w:t>
      </w:r>
    </w:p>
    <w:p w14:paraId="38DE197C" w14:textId="77777777" w:rsidR="00024F26" w:rsidRPr="00490F97" w:rsidRDefault="00024F26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B847A39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5.2.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Farmakokinetički podaci</w:t>
      </w:r>
      <w:r w:rsidR="003A7059" w:rsidRPr="00490F97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64519DD1" w14:textId="77777777" w:rsidR="00000147" w:rsidRPr="00490F97" w:rsidRDefault="00000147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A205536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Farmakokinetika pantoprazola se ne razlikuje nakon pojedinačne ili ponovljene primjene. U rasponu doza od 10 do 80 mg, kinetika pantoprazola u plazmi linearna je i nakon oralne i nakon intravenske primjene.</w:t>
      </w:r>
      <w:r w:rsidRPr="00490F97">
        <w:rPr>
          <w:b/>
          <w:bCs/>
          <w:noProof/>
          <w:sz w:val="22"/>
          <w:szCs w:val="22"/>
          <w:lang w:val="sr-Latn-ME" w:eastAsia="bs-Latn-BA"/>
        </w:rPr>
        <w:t xml:space="preserve"> </w:t>
      </w:r>
    </w:p>
    <w:p w14:paraId="3571BCE1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ME" w:eastAsia="bs-Latn-BA"/>
        </w:rPr>
      </w:pPr>
    </w:p>
    <w:p w14:paraId="6767C96B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  <w:r w:rsidRPr="00490F97">
        <w:rPr>
          <w:bCs/>
          <w:noProof/>
          <w:sz w:val="22"/>
          <w:szCs w:val="22"/>
          <w:u w:val="single"/>
          <w:lang w:val="sr-Latn-ME" w:eastAsia="bs-Latn-BA"/>
        </w:rPr>
        <w:t>Resorpcija</w:t>
      </w:r>
    </w:p>
    <w:p w14:paraId="13A70B3B" w14:textId="77777777" w:rsidR="00C84C42" w:rsidRPr="00490F97" w:rsidRDefault="00C84C42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</w:p>
    <w:p w14:paraId="0A66857E" w14:textId="77777777" w:rsidR="00312E2D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Pa</w:t>
      </w:r>
      <w:r w:rsidR="00B55BDA" w:rsidRPr="00490F97">
        <w:rPr>
          <w:noProof/>
          <w:sz w:val="22"/>
          <w:szCs w:val="22"/>
          <w:lang w:val="sr-Latn-ME" w:eastAsia="bs-Latn-BA"/>
        </w:rPr>
        <w:t>ntoprazol se potpuno i brzo resorbuje</w:t>
      </w:r>
      <w:r w:rsidRPr="00490F97">
        <w:rPr>
          <w:noProof/>
          <w:sz w:val="22"/>
          <w:szCs w:val="22"/>
          <w:lang w:val="sr-Latn-ME" w:eastAsia="bs-Latn-BA"/>
        </w:rPr>
        <w:t xml:space="preserve"> nakon oralne primjene. Apsolutna bioraspoloživost tableta iznosi oko 77%. U prosjeku, nakon jedne oralne doze od 20 mg, maksimalne koncentracije u serumu</w:t>
      </w:r>
    </w:p>
    <w:p w14:paraId="1A1BE8F3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 xml:space="preserve"> (C</w:t>
      </w:r>
      <w:r w:rsidRPr="00490F97">
        <w:rPr>
          <w:noProof/>
          <w:sz w:val="22"/>
          <w:szCs w:val="22"/>
          <w:vertAlign w:val="subscript"/>
          <w:lang w:val="sr-Latn-ME" w:eastAsia="bs-Latn-BA"/>
        </w:rPr>
        <w:t>max</w:t>
      </w:r>
      <w:r w:rsidRPr="00490F97">
        <w:rPr>
          <w:noProof/>
          <w:sz w:val="22"/>
          <w:szCs w:val="22"/>
          <w:lang w:val="sr-Latn-ME" w:eastAsia="bs-Latn-BA"/>
        </w:rPr>
        <w:t xml:space="preserve">) od oko 1-1,5 μg/ml, postižu se za </w:t>
      </w:r>
      <w:r w:rsidR="00A7604E" w:rsidRPr="00490F97">
        <w:rPr>
          <w:noProof/>
          <w:sz w:val="22"/>
          <w:szCs w:val="22"/>
          <w:lang w:val="sr-Latn-ME" w:eastAsia="bs-Latn-BA"/>
        </w:rPr>
        <w:t>oko 2-2,5 sata nakon primjene (t</w:t>
      </w:r>
      <w:r w:rsidRPr="00490F97">
        <w:rPr>
          <w:noProof/>
          <w:sz w:val="22"/>
          <w:szCs w:val="22"/>
          <w:vertAlign w:val="subscript"/>
          <w:lang w:val="sr-Latn-ME" w:eastAsia="bs-Latn-BA"/>
        </w:rPr>
        <w:t>max</w:t>
      </w:r>
      <w:r w:rsidRPr="00490F97">
        <w:rPr>
          <w:noProof/>
          <w:sz w:val="22"/>
          <w:szCs w:val="22"/>
          <w:lang w:val="sr-Latn-ME" w:eastAsia="bs-Latn-BA"/>
        </w:rPr>
        <w:t>), a ove vrijednosti ostaju konstantne nakon višekratne primjene. Istovremeno uzimanje hrane ne utiče na bioraspoloživost (AUC ili C</w:t>
      </w:r>
      <w:r w:rsidRPr="00490F97">
        <w:rPr>
          <w:noProof/>
          <w:sz w:val="22"/>
          <w:szCs w:val="22"/>
          <w:vertAlign w:val="subscript"/>
          <w:lang w:val="sr-Latn-ME" w:eastAsia="bs-Latn-BA"/>
        </w:rPr>
        <w:t>max</w:t>
      </w:r>
      <w:r w:rsidRPr="00490F97">
        <w:rPr>
          <w:noProof/>
          <w:sz w:val="22"/>
          <w:szCs w:val="22"/>
          <w:lang w:val="sr-Latn-ME" w:eastAsia="bs-Latn-BA"/>
        </w:rPr>
        <w:t>), ali se povećava varijabilno</w:t>
      </w:r>
      <w:r w:rsidR="00C1164E" w:rsidRPr="00490F97">
        <w:rPr>
          <w:noProof/>
          <w:sz w:val="22"/>
          <w:szCs w:val="22"/>
          <w:lang w:val="sr-Latn-ME" w:eastAsia="bs-Latn-BA"/>
        </w:rPr>
        <w:t>st vremena početka re</w:t>
      </w:r>
      <w:r w:rsidR="004F07EC" w:rsidRPr="00490F97">
        <w:rPr>
          <w:noProof/>
          <w:sz w:val="22"/>
          <w:szCs w:val="22"/>
          <w:lang w:val="sr-Latn-ME" w:eastAsia="bs-Latn-BA"/>
        </w:rPr>
        <w:t>sorpcije (t</w:t>
      </w:r>
      <w:r w:rsidRPr="00490F97">
        <w:rPr>
          <w:noProof/>
          <w:sz w:val="22"/>
          <w:szCs w:val="22"/>
          <w:vertAlign w:val="subscript"/>
          <w:lang w:val="sr-Latn-ME" w:eastAsia="bs-Latn-BA"/>
        </w:rPr>
        <w:t>lag</w:t>
      </w:r>
      <w:r w:rsidRPr="00490F97">
        <w:rPr>
          <w:noProof/>
          <w:sz w:val="22"/>
          <w:szCs w:val="22"/>
          <w:lang w:val="sr-Latn-ME" w:eastAsia="bs-Latn-BA"/>
        </w:rPr>
        <w:t>).</w:t>
      </w:r>
    </w:p>
    <w:p w14:paraId="3BC47244" w14:textId="77777777" w:rsidR="00024F26" w:rsidRPr="00490F97" w:rsidRDefault="00024F26" w:rsidP="00D92429">
      <w:pPr>
        <w:shd w:val="clear" w:color="auto" w:fill="FFFFFF"/>
        <w:jc w:val="both"/>
        <w:rPr>
          <w:noProof/>
          <w:sz w:val="22"/>
          <w:szCs w:val="22"/>
          <w:lang w:val="sr-Latn-ME" w:eastAsia="bs-Latn-BA"/>
        </w:rPr>
      </w:pPr>
    </w:p>
    <w:p w14:paraId="7A60792F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  <w:r w:rsidRPr="00490F97">
        <w:rPr>
          <w:bCs/>
          <w:noProof/>
          <w:sz w:val="22"/>
          <w:szCs w:val="22"/>
          <w:u w:val="single"/>
          <w:lang w:val="sr-Latn-ME" w:eastAsia="bs-Latn-BA"/>
        </w:rPr>
        <w:t>Distribucija</w:t>
      </w:r>
    </w:p>
    <w:p w14:paraId="62160226" w14:textId="77777777" w:rsidR="001A5F85" w:rsidRPr="00490F97" w:rsidRDefault="001A5F85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</w:p>
    <w:p w14:paraId="015D523C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rFonts w:eastAsia="TimesNewRoman"/>
          <w:noProof/>
          <w:sz w:val="22"/>
          <w:szCs w:val="22"/>
          <w:lang w:val="sr-Latn-ME" w:eastAsia="bs-Latn-BA"/>
        </w:rPr>
      </w:pPr>
      <w:r w:rsidRPr="00490F97">
        <w:rPr>
          <w:rFonts w:eastAsia="TimesNewRoman"/>
          <w:noProof/>
          <w:sz w:val="22"/>
          <w:szCs w:val="22"/>
          <w:lang w:val="sr-Latn-ME" w:eastAsia="bs-Latn-BA"/>
        </w:rPr>
        <w:t>Volumen distribucije je oko 0.15 l/kg, a vezivanje za serumske proteine iznosi oko 98%.</w:t>
      </w:r>
    </w:p>
    <w:p w14:paraId="742886E2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51CB8A0E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  <w:r w:rsidRPr="00490F97">
        <w:rPr>
          <w:bCs/>
          <w:noProof/>
          <w:sz w:val="22"/>
          <w:szCs w:val="22"/>
          <w:u w:val="single"/>
          <w:lang w:val="sr-Latn-ME" w:eastAsia="bs-Latn-BA"/>
        </w:rPr>
        <w:t>Metabolizam</w:t>
      </w:r>
    </w:p>
    <w:p w14:paraId="087C2D81" w14:textId="77777777" w:rsidR="001A5F85" w:rsidRPr="00490F97" w:rsidRDefault="001A5F85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</w:p>
    <w:p w14:paraId="1EEA6F5A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Pantoprazol se gotovo isključivo metaboliz</w:t>
      </w:r>
      <w:r w:rsidR="00312E2D" w:rsidRPr="00490F97">
        <w:rPr>
          <w:noProof/>
          <w:sz w:val="22"/>
          <w:szCs w:val="22"/>
          <w:lang w:val="sr-Latn-ME" w:eastAsia="bs-Latn-BA"/>
        </w:rPr>
        <w:t>uje</w:t>
      </w:r>
      <w:r w:rsidRPr="00490F97">
        <w:rPr>
          <w:noProof/>
          <w:sz w:val="22"/>
          <w:szCs w:val="22"/>
          <w:lang w:val="sr-Latn-ME" w:eastAsia="bs-Latn-BA"/>
        </w:rPr>
        <w:t xml:space="preserve"> u jetri.</w:t>
      </w:r>
    </w:p>
    <w:p w14:paraId="22BEA018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06108EBE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  <w:r w:rsidRPr="00490F97">
        <w:rPr>
          <w:bCs/>
          <w:noProof/>
          <w:sz w:val="22"/>
          <w:szCs w:val="22"/>
          <w:u w:val="single"/>
          <w:lang w:val="sr-Latn-ME" w:eastAsia="bs-Latn-BA"/>
        </w:rPr>
        <w:t>Eliminacija</w:t>
      </w:r>
    </w:p>
    <w:p w14:paraId="4440B037" w14:textId="77777777" w:rsidR="00285C19" w:rsidRPr="00490F97" w:rsidRDefault="00285C19" w:rsidP="00D9242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u w:val="single"/>
          <w:lang w:val="sr-Latn-ME" w:eastAsia="bs-Latn-BA"/>
        </w:rPr>
      </w:pPr>
    </w:p>
    <w:p w14:paraId="00B519BB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Klirens je oko 0,1 l/sat/kg, a terminalni poluživot eliminacije (</w:t>
      </w:r>
      <w:r w:rsidR="008A795A" w:rsidRPr="00490F97">
        <w:rPr>
          <w:noProof/>
          <w:sz w:val="22"/>
          <w:szCs w:val="22"/>
          <w:lang w:val="sr-Latn-ME" w:eastAsia="bs-Latn-BA"/>
        </w:rPr>
        <w:t>t</w:t>
      </w:r>
      <w:r w:rsidRPr="00490F97">
        <w:rPr>
          <w:noProof/>
          <w:sz w:val="22"/>
          <w:szCs w:val="22"/>
          <w:vertAlign w:val="subscript"/>
          <w:lang w:val="sr-Latn-ME" w:eastAsia="bs-Latn-BA"/>
        </w:rPr>
        <w:t>½</w:t>
      </w:r>
      <w:r w:rsidRPr="00490F97">
        <w:rPr>
          <w:noProof/>
          <w:sz w:val="22"/>
          <w:szCs w:val="22"/>
          <w:lang w:val="sr-Latn-ME" w:eastAsia="bs-Latn-BA"/>
        </w:rPr>
        <w:t xml:space="preserve">) je oko 1 sat. Bilo je nekoliko slučajeva osoba s odgođenom eliminacijom. Zbog specifičnog vezivanja pantoprazola za protonske pumpe unutar </w:t>
      </w:r>
      <w:r w:rsidRPr="00490F97">
        <w:rPr>
          <w:noProof/>
          <w:sz w:val="22"/>
          <w:szCs w:val="22"/>
          <w:lang w:val="sr-Latn-ME" w:eastAsia="bs-Latn-BA"/>
        </w:rPr>
        <w:lastRenderedPageBreak/>
        <w:t>parijetalnih ćelija, poluživot eliminacije nije u korelaciji sa z</w:t>
      </w:r>
      <w:r w:rsidR="00352449" w:rsidRPr="00490F97">
        <w:rPr>
          <w:noProof/>
          <w:sz w:val="22"/>
          <w:szCs w:val="22"/>
          <w:lang w:val="sr-Latn-ME" w:eastAsia="bs-Latn-BA"/>
        </w:rPr>
        <w:t>natno dužim trajanjem dejstva</w:t>
      </w:r>
      <w:r w:rsidRPr="00490F97">
        <w:rPr>
          <w:noProof/>
          <w:sz w:val="22"/>
          <w:szCs w:val="22"/>
          <w:lang w:val="sr-Latn-ME" w:eastAsia="bs-Latn-BA"/>
        </w:rPr>
        <w:t xml:space="preserve"> (inhibicije lučenja kis</w:t>
      </w:r>
      <w:r w:rsidR="00312E2D" w:rsidRPr="00490F97">
        <w:rPr>
          <w:noProof/>
          <w:sz w:val="22"/>
          <w:szCs w:val="22"/>
          <w:lang w:val="sr-Latn-ME" w:eastAsia="bs-Latn-BA"/>
        </w:rPr>
        <w:t>j</w:t>
      </w:r>
      <w:r w:rsidRPr="00490F97">
        <w:rPr>
          <w:noProof/>
          <w:sz w:val="22"/>
          <w:szCs w:val="22"/>
          <w:lang w:val="sr-Latn-ME" w:eastAsia="bs-Latn-BA"/>
        </w:rPr>
        <w:t>eline).</w:t>
      </w:r>
    </w:p>
    <w:p w14:paraId="3EA8D60D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6E2896A0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Bubrežna eliminacija predstavlja glavni put izlučivanja (oko 80%) metabolita pantoprazola, a ostatak se izlučuje fecesom. Glavni metabolit u serumu i urinu je dezmeti</w:t>
      </w:r>
      <w:r w:rsidR="00312E2D" w:rsidRPr="00490F97">
        <w:rPr>
          <w:noProof/>
          <w:sz w:val="22"/>
          <w:szCs w:val="22"/>
          <w:lang w:val="sr-Latn-ME" w:eastAsia="bs-Latn-BA"/>
        </w:rPr>
        <w:t>lpantoprazol, koji je konjugovan</w:t>
      </w:r>
      <w:r w:rsidRPr="00490F97">
        <w:rPr>
          <w:noProof/>
          <w:sz w:val="22"/>
          <w:szCs w:val="22"/>
          <w:lang w:val="sr-Latn-ME" w:eastAsia="bs-Latn-BA"/>
        </w:rPr>
        <w:t xml:space="preserve"> sa sulfatom. Poluživot glavnog metabolita (oko 1,5 sat) nije značajno duži od poluživota pantoprazola.</w:t>
      </w:r>
    </w:p>
    <w:p w14:paraId="26275EA1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4F660C8C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 w:eastAsia="bs-Latn-BA"/>
        </w:rPr>
      </w:pPr>
      <w:r w:rsidRPr="00490F97">
        <w:rPr>
          <w:noProof/>
          <w:sz w:val="22"/>
          <w:szCs w:val="22"/>
          <w:u w:val="single"/>
          <w:lang w:val="sr-Latn-ME" w:eastAsia="bs-Latn-BA"/>
        </w:rPr>
        <w:t>Posebne populacije</w:t>
      </w:r>
    </w:p>
    <w:p w14:paraId="18FC2A55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u w:val="single"/>
          <w:lang w:val="sr-Latn-ME" w:eastAsia="bs-Latn-BA"/>
        </w:rPr>
      </w:pPr>
    </w:p>
    <w:p w14:paraId="1CF0BFB2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u w:val="single"/>
          <w:lang w:val="sr-Latn-ME" w:eastAsia="bs-Latn-BA"/>
        </w:rPr>
      </w:pPr>
      <w:r w:rsidRPr="00490F97">
        <w:rPr>
          <w:i/>
          <w:noProof/>
          <w:sz w:val="22"/>
          <w:szCs w:val="22"/>
          <w:u w:val="single"/>
          <w:lang w:val="sr-Latn-ME" w:eastAsia="bs-Latn-BA"/>
        </w:rPr>
        <w:t>Oštećenje bubrega</w:t>
      </w:r>
    </w:p>
    <w:p w14:paraId="5AF6C7B6" w14:textId="77777777" w:rsidR="00024F26" w:rsidRPr="00490F97" w:rsidRDefault="004D757B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Kod primjene pantoprazola kod</w:t>
      </w:r>
      <w:r w:rsidR="00024F26" w:rsidRPr="00490F97">
        <w:rPr>
          <w:noProof/>
          <w:sz w:val="22"/>
          <w:szCs w:val="22"/>
          <w:lang w:val="sr-Latn-ME" w:eastAsia="bs-Latn-BA"/>
        </w:rPr>
        <w:t xml:space="preserve"> pacijenata s oštećenom funkcijom bubrega (uključujući i pacijente na dijalizi, koja uklanja samo zanemarive količine pantoprazola), nije p</w:t>
      </w:r>
      <w:r w:rsidR="008C56FF" w:rsidRPr="00490F97">
        <w:rPr>
          <w:noProof/>
          <w:sz w:val="22"/>
          <w:szCs w:val="22"/>
          <w:lang w:val="sr-Latn-ME" w:eastAsia="bs-Latn-BA"/>
        </w:rPr>
        <w:t>otrebno smanjivati dozu. Kao i kod</w:t>
      </w:r>
      <w:r w:rsidR="00024F26" w:rsidRPr="00490F97">
        <w:rPr>
          <w:noProof/>
          <w:sz w:val="22"/>
          <w:szCs w:val="22"/>
          <w:lang w:val="sr-Latn-ME" w:eastAsia="bs-Latn-BA"/>
        </w:rPr>
        <w:t xml:space="preserve"> zdravih osoba, poluživot pantoprazola je kratak. Iako glavni metabolit ima duži poluživot (2-3 sata), izlučivanje je j</w:t>
      </w:r>
      <w:r w:rsidR="00312E2D" w:rsidRPr="00490F97">
        <w:rPr>
          <w:noProof/>
          <w:sz w:val="22"/>
          <w:szCs w:val="22"/>
          <w:lang w:val="sr-Latn-ME" w:eastAsia="bs-Latn-BA"/>
        </w:rPr>
        <w:t>oš uvijek brzo i zato</w:t>
      </w:r>
      <w:r w:rsidR="00024F26" w:rsidRPr="00490F97">
        <w:rPr>
          <w:noProof/>
          <w:sz w:val="22"/>
          <w:szCs w:val="22"/>
          <w:lang w:val="sr-Latn-ME" w:eastAsia="bs-Latn-BA"/>
        </w:rPr>
        <w:t xml:space="preserve"> ne dolazi do akumulacije.</w:t>
      </w:r>
    </w:p>
    <w:p w14:paraId="485865DC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</w:p>
    <w:p w14:paraId="02489379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u w:val="single"/>
          <w:lang w:val="sr-Latn-ME" w:eastAsia="bs-Latn-BA"/>
        </w:rPr>
      </w:pPr>
      <w:r w:rsidRPr="00490F97">
        <w:rPr>
          <w:i/>
          <w:noProof/>
          <w:sz w:val="22"/>
          <w:szCs w:val="22"/>
          <w:u w:val="single"/>
          <w:lang w:val="sr-Latn-ME" w:eastAsia="bs-Latn-BA"/>
        </w:rPr>
        <w:t>Oštećenje jetre</w:t>
      </w:r>
    </w:p>
    <w:p w14:paraId="354E47AC" w14:textId="77777777" w:rsidR="00024F26" w:rsidRPr="00490F97" w:rsidRDefault="00514303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Nakon primjene pantoprazola kod</w:t>
      </w:r>
      <w:r w:rsidR="00024F26" w:rsidRPr="00490F97">
        <w:rPr>
          <w:noProof/>
          <w:sz w:val="22"/>
          <w:szCs w:val="22"/>
          <w:lang w:val="sr-Latn-ME" w:eastAsia="bs-Latn-BA"/>
        </w:rPr>
        <w:t xml:space="preserve"> pacijenata s oštećenjem jetre (Child-Pugh klase A, B i C), vrijednosti poluživota su se povećale na između 3 i 7 sati, AUC vrijednosti su se povećale za faktor 3-6, dok se C</w:t>
      </w:r>
      <w:r w:rsidR="00024F26" w:rsidRPr="00490F97">
        <w:rPr>
          <w:noProof/>
          <w:sz w:val="22"/>
          <w:szCs w:val="22"/>
          <w:vertAlign w:val="subscript"/>
          <w:lang w:val="sr-Latn-ME" w:eastAsia="bs-Latn-BA"/>
        </w:rPr>
        <w:t>max</w:t>
      </w:r>
      <w:r w:rsidR="00024F26" w:rsidRPr="00490F97">
        <w:rPr>
          <w:noProof/>
          <w:sz w:val="22"/>
          <w:szCs w:val="22"/>
          <w:lang w:val="sr-Latn-ME" w:eastAsia="bs-Latn-BA"/>
        </w:rPr>
        <w:t xml:space="preserve"> neznatno povećao za faktor 1,3,  pri poređenju sa zdravim osobama.</w:t>
      </w:r>
    </w:p>
    <w:p w14:paraId="17206C9A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u w:val="single"/>
          <w:lang w:val="sr-Latn-ME" w:eastAsia="bs-Latn-BA"/>
        </w:rPr>
      </w:pPr>
    </w:p>
    <w:p w14:paraId="51F315A1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u w:val="single"/>
          <w:lang w:val="sr-Latn-ME" w:eastAsia="bs-Latn-BA"/>
        </w:rPr>
      </w:pPr>
      <w:r w:rsidRPr="00490F97">
        <w:rPr>
          <w:i/>
          <w:noProof/>
          <w:sz w:val="22"/>
          <w:szCs w:val="22"/>
          <w:u w:val="single"/>
          <w:lang w:val="sr-Latn-ME" w:eastAsia="bs-Latn-BA"/>
        </w:rPr>
        <w:t>Starije osobe</w:t>
      </w:r>
    </w:p>
    <w:p w14:paraId="7591987A" w14:textId="77777777" w:rsidR="00024F26" w:rsidRPr="00490F97" w:rsidRDefault="00024F26" w:rsidP="00D924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bs-Latn-BA"/>
        </w:rPr>
      </w:pPr>
      <w:r w:rsidRPr="00490F97">
        <w:rPr>
          <w:noProof/>
          <w:sz w:val="22"/>
          <w:szCs w:val="22"/>
          <w:lang w:val="sr-Latn-ME" w:eastAsia="bs-Latn-BA"/>
        </w:rPr>
        <w:t>Manje povećanje AUC i C</w:t>
      </w:r>
      <w:r w:rsidRPr="00490F97">
        <w:rPr>
          <w:noProof/>
          <w:sz w:val="22"/>
          <w:szCs w:val="22"/>
          <w:vertAlign w:val="subscript"/>
          <w:lang w:val="sr-Latn-ME" w:eastAsia="bs-Latn-BA"/>
        </w:rPr>
        <w:t>max</w:t>
      </w:r>
      <w:r w:rsidR="00EC01FC" w:rsidRPr="00490F97">
        <w:rPr>
          <w:noProof/>
          <w:sz w:val="22"/>
          <w:szCs w:val="22"/>
          <w:lang w:val="sr-Latn-ME" w:eastAsia="bs-Latn-BA"/>
        </w:rPr>
        <w:t xml:space="preserve"> kod</w:t>
      </w:r>
      <w:r w:rsidRPr="00490F97">
        <w:rPr>
          <w:noProof/>
          <w:sz w:val="22"/>
          <w:szCs w:val="22"/>
          <w:lang w:val="sr-Latn-ME" w:eastAsia="bs-Latn-BA"/>
        </w:rPr>
        <w:t xml:space="preserve"> starijih dobrovoljaca, pri poređenju s mlađim osobama, nije bilo klinički značajno.</w:t>
      </w:r>
    </w:p>
    <w:p w14:paraId="6D937C19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E0CCDFB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5.3.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 xml:space="preserve">Pretklinički podaci o bezbjednosti </w:t>
      </w:r>
    </w:p>
    <w:p w14:paraId="5C46FC9C" w14:textId="77777777" w:rsidR="004F7BBF" w:rsidRPr="00490F97" w:rsidRDefault="004F7BBF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A55D220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Neklinički podaci ne pokazuju poseban rizik za ljude, na osnovu konvencionalnih isp</w:t>
      </w:r>
      <w:r w:rsidR="00114F52" w:rsidRPr="00490F97">
        <w:rPr>
          <w:bCs/>
          <w:noProof/>
          <w:sz w:val="22"/>
          <w:szCs w:val="22"/>
          <w:lang w:val="sr-Latn-ME"/>
        </w:rPr>
        <w:t>itivanja farmakološke bezbjednosti</w:t>
      </w:r>
      <w:r w:rsidRPr="00490F97">
        <w:rPr>
          <w:bCs/>
          <w:noProof/>
          <w:sz w:val="22"/>
          <w:szCs w:val="22"/>
          <w:lang w:val="sr-Latn-ME"/>
        </w:rPr>
        <w:t xml:space="preserve">, toksičnosti ponovljenih doza i genotoksičnosti. </w:t>
      </w:r>
    </w:p>
    <w:p w14:paraId="396AED38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61B3DC8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U dvogodišnjem ispi</w:t>
      </w:r>
      <w:r w:rsidR="00350461" w:rsidRPr="00490F97">
        <w:rPr>
          <w:bCs/>
          <w:noProof/>
          <w:sz w:val="22"/>
          <w:szCs w:val="22"/>
          <w:lang w:val="sr-Latn-ME"/>
        </w:rPr>
        <w:t>tivanju kancerogenosti kod</w:t>
      </w:r>
      <w:r w:rsidR="006E7AA8" w:rsidRPr="00490F97">
        <w:rPr>
          <w:bCs/>
          <w:noProof/>
          <w:sz w:val="22"/>
          <w:szCs w:val="22"/>
          <w:lang w:val="sr-Latn-ME"/>
        </w:rPr>
        <w:t xml:space="preserve"> pacova</w:t>
      </w:r>
      <w:r w:rsidRPr="00490F97">
        <w:rPr>
          <w:bCs/>
          <w:noProof/>
          <w:sz w:val="22"/>
          <w:szCs w:val="22"/>
          <w:lang w:val="sr-Latn-ME"/>
        </w:rPr>
        <w:t>, otkrivene su neuroendokrine neoplazme. Osim toga, u jednom ispitivanju su otkriveni papilomi skvamo</w:t>
      </w:r>
      <w:r w:rsidR="009751D3" w:rsidRPr="00490F97">
        <w:rPr>
          <w:bCs/>
          <w:noProof/>
          <w:sz w:val="22"/>
          <w:szCs w:val="22"/>
          <w:lang w:val="sr-Latn-ME"/>
        </w:rPr>
        <w:t>znih ćelija u predželucu pacova</w:t>
      </w:r>
      <w:r w:rsidR="004A6A47" w:rsidRPr="00490F97">
        <w:rPr>
          <w:bCs/>
          <w:noProof/>
          <w:sz w:val="22"/>
          <w:szCs w:val="22"/>
          <w:lang w:val="sr-Latn-ME"/>
        </w:rPr>
        <w:t>. Mehanizam kojim supstituisani</w:t>
      </w:r>
      <w:r w:rsidRPr="00490F97">
        <w:rPr>
          <w:bCs/>
          <w:noProof/>
          <w:sz w:val="22"/>
          <w:szCs w:val="22"/>
          <w:lang w:val="sr-Latn-ME"/>
        </w:rPr>
        <w:t xml:space="preserve"> benzimidazoli uzrokuju nastaj</w:t>
      </w:r>
      <w:r w:rsidR="004A6A47" w:rsidRPr="00490F97">
        <w:rPr>
          <w:bCs/>
          <w:noProof/>
          <w:sz w:val="22"/>
          <w:szCs w:val="22"/>
          <w:lang w:val="sr-Latn-ME"/>
        </w:rPr>
        <w:t>anje karcinoida želuca temeljno</w:t>
      </w:r>
      <w:r w:rsidRPr="00490F97">
        <w:rPr>
          <w:bCs/>
          <w:noProof/>
          <w:sz w:val="22"/>
          <w:szCs w:val="22"/>
          <w:lang w:val="sr-Latn-ME"/>
        </w:rPr>
        <w:t xml:space="preserve"> je istraživan i zaključeno je da je riječ o sekundarnoj reakciji na veliko povećanje ser</w:t>
      </w:r>
      <w:r w:rsidR="00723257" w:rsidRPr="00490F97">
        <w:rPr>
          <w:bCs/>
          <w:noProof/>
          <w:sz w:val="22"/>
          <w:szCs w:val="22"/>
          <w:lang w:val="sr-Latn-ME"/>
        </w:rPr>
        <w:t>umskih nivoa gastrina, koje se kod</w:t>
      </w:r>
      <w:r w:rsidR="00BC456B" w:rsidRPr="00490F97">
        <w:rPr>
          <w:bCs/>
          <w:noProof/>
          <w:sz w:val="22"/>
          <w:szCs w:val="22"/>
          <w:lang w:val="sr-Latn-ME"/>
        </w:rPr>
        <w:t xml:space="preserve"> pacova</w:t>
      </w:r>
      <w:r w:rsidRPr="00490F97">
        <w:rPr>
          <w:bCs/>
          <w:noProof/>
          <w:sz w:val="22"/>
          <w:szCs w:val="22"/>
          <w:lang w:val="sr-Latn-ME"/>
        </w:rPr>
        <w:t xml:space="preserve"> javlja pri hroničnoj primjeni visokih doza. </w:t>
      </w:r>
    </w:p>
    <w:p w14:paraId="6E1E0396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07C7AD8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 xml:space="preserve">Tokom dvogodišnjeg ispitivanja na glodarima, primijećen je </w:t>
      </w:r>
      <w:r w:rsidR="00195E39" w:rsidRPr="00490F97">
        <w:rPr>
          <w:bCs/>
          <w:noProof/>
          <w:sz w:val="22"/>
          <w:szCs w:val="22"/>
          <w:lang w:val="sr-Latn-ME"/>
        </w:rPr>
        <w:t>povećan broj tumora jetre kod</w:t>
      </w:r>
      <w:r w:rsidR="00A9476A" w:rsidRPr="00490F97">
        <w:rPr>
          <w:bCs/>
          <w:noProof/>
          <w:sz w:val="22"/>
          <w:szCs w:val="22"/>
          <w:lang w:val="sr-Latn-ME"/>
        </w:rPr>
        <w:t xml:space="preserve"> pacova</w:t>
      </w:r>
      <w:r w:rsidRPr="00490F97">
        <w:rPr>
          <w:bCs/>
          <w:noProof/>
          <w:sz w:val="22"/>
          <w:szCs w:val="22"/>
          <w:lang w:val="sr-Latn-ME"/>
        </w:rPr>
        <w:t xml:space="preserve"> (u samo jedn</w:t>
      </w:r>
      <w:r w:rsidR="003E6428" w:rsidRPr="00490F97">
        <w:rPr>
          <w:bCs/>
          <w:noProof/>
          <w:sz w:val="22"/>
          <w:szCs w:val="22"/>
          <w:lang w:val="sr-Latn-ME"/>
        </w:rPr>
        <w:t>om ispitivanju na pacovima</w:t>
      </w:r>
      <w:r w:rsidR="0051297E" w:rsidRPr="00490F97">
        <w:rPr>
          <w:bCs/>
          <w:noProof/>
          <w:sz w:val="22"/>
          <w:szCs w:val="22"/>
          <w:lang w:val="sr-Latn-ME"/>
        </w:rPr>
        <w:t>) i kod</w:t>
      </w:r>
      <w:r w:rsidRPr="00490F97">
        <w:rPr>
          <w:bCs/>
          <w:noProof/>
          <w:sz w:val="22"/>
          <w:szCs w:val="22"/>
          <w:lang w:val="sr-Latn-ME"/>
        </w:rPr>
        <w:t xml:space="preserve"> ženki miševa, što je protumačeno kao posljed</w:t>
      </w:r>
      <w:r w:rsidR="004A6A47" w:rsidRPr="00490F97">
        <w:rPr>
          <w:bCs/>
          <w:noProof/>
          <w:sz w:val="22"/>
          <w:szCs w:val="22"/>
          <w:lang w:val="sr-Latn-ME"/>
        </w:rPr>
        <w:t>ica visoke stope metabolizovanja</w:t>
      </w:r>
      <w:r w:rsidRPr="00490F97">
        <w:rPr>
          <w:bCs/>
          <w:noProof/>
          <w:sz w:val="22"/>
          <w:szCs w:val="22"/>
          <w:lang w:val="sr-Latn-ME"/>
        </w:rPr>
        <w:t xml:space="preserve"> pantoprazola u jetri.</w:t>
      </w:r>
    </w:p>
    <w:p w14:paraId="128172EF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B22F2B9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U jednom dvogodišnjem ispitivanju, zabilježen je povećan broj neoplastičnih promj</w:t>
      </w:r>
      <w:r w:rsidR="00FD44E7" w:rsidRPr="00490F97">
        <w:rPr>
          <w:bCs/>
          <w:noProof/>
          <w:sz w:val="22"/>
          <w:szCs w:val="22"/>
          <w:lang w:val="sr-Latn-ME"/>
        </w:rPr>
        <w:t>ena na štitnjači u grupi pacova</w:t>
      </w:r>
      <w:r w:rsidRPr="00490F97">
        <w:rPr>
          <w:bCs/>
          <w:noProof/>
          <w:sz w:val="22"/>
          <w:szCs w:val="22"/>
          <w:lang w:val="sr-Latn-ME"/>
        </w:rPr>
        <w:t xml:space="preserve"> koji su primali najvišu dozu (200 mg/kg). Pojava takvih neoplazmi povezana je s promjenama u razg</w:t>
      </w:r>
      <w:r w:rsidR="00957DC1" w:rsidRPr="00490F97">
        <w:rPr>
          <w:bCs/>
          <w:noProof/>
          <w:sz w:val="22"/>
          <w:szCs w:val="22"/>
          <w:lang w:val="sr-Latn-ME"/>
        </w:rPr>
        <w:t>radnji tiroksina u jetri pacova</w:t>
      </w:r>
      <w:r w:rsidR="000706AD" w:rsidRPr="00490F97">
        <w:rPr>
          <w:bCs/>
          <w:noProof/>
          <w:sz w:val="22"/>
          <w:szCs w:val="22"/>
          <w:lang w:val="sr-Latn-ME"/>
        </w:rPr>
        <w:t>, što je indukovano</w:t>
      </w:r>
      <w:r w:rsidRPr="00490F97">
        <w:rPr>
          <w:bCs/>
          <w:noProof/>
          <w:sz w:val="22"/>
          <w:szCs w:val="22"/>
          <w:lang w:val="sr-Latn-ME"/>
        </w:rPr>
        <w:t xml:space="preserve"> pantoprazolom</w:t>
      </w:r>
      <w:r w:rsidR="00393774" w:rsidRPr="00490F97">
        <w:rPr>
          <w:bCs/>
          <w:noProof/>
          <w:sz w:val="22"/>
          <w:szCs w:val="22"/>
          <w:lang w:val="sr-Latn-ME"/>
        </w:rPr>
        <w:t>. Budući da je terapijska doza kod</w:t>
      </w:r>
      <w:r w:rsidRPr="00490F97">
        <w:rPr>
          <w:bCs/>
          <w:noProof/>
          <w:sz w:val="22"/>
          <w:szCs w:val="22"/>
          <w:lang w:val="sr-Latn-ME"/>
        </w:rPr>
        <w:t xml:space="preserve"> ljudi ni</w:t>
      </w:r>
      <w:r w:rsidR="00522DFB" w:rsidRPr="00490F97">
        <w:rPr>
          <w:bCs/>
          <w:noProof/>
          <w:sz w:val="22"/>
          <w:szCs w:val="22"/>
          <w:lang w:val="sr-Latn-ME"/>
        </w:rPr>
        <w:t>ska, ne očekuju se štetni efekti</w:t>
      </w:r>
      <w:r w:rsidRPr="00490F97">
        <w:rPr>
          <w:bCs/>
          <w:noProof/>
          <w:sz w:val="22"/>
          <w:szCs w:val="22"/>
          <w:lang w:val="sr-Latn-ME"/>
        </w:rPr>
        <w:t xml:space="preserve"> na štitnjaču.</w:t>
      </w:r>
    </w:p>
    <w:p w14:paraId="56C66A03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4DDE7E2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U peri-postnatal</w:t>
      </w:r>
      <w:r w:rsidR="00EF1C58" w:rsidRPr="00490F97">
        <w:rPr>
          <w:bCs/>
          <w:noProof/>
          <w:sz w:val="22"/>
          <w:szCs w:val="22"/>
          <w:lang w:val="sr-Latn-ME"/>
        </w:rPr>
        <w:t>nom reproduktivnom ispitivanju kod</w:t>
      </w:r>
      <w:r w:rsidRPr="00490F97">
        <w:rPr>
          <w:bCs/>
          <w:noProof/>
          <w:sz w:val="22"/>
          <w:szCs w:val="22"/>
          <w:lang w:val="sr-Latn-ME"/>
        </w:rPr>
        <w:t xml:space="preserve"> </w:t>
      </w:r>
      <w:r w:rsidR="00497E50" w:rsidRPr="00490F97">
        <w:rPr>
          <w:bCs/>
          <w:noProof/>
          <w:sz w:val="22"/>
          <w:szCs w:val="22"/>
          <w:lang w:val="sr-Latn-ME"/>
        </w:rPr>
        <w:t>pacova</w:t>
      </w:r>
      <w:r w:rsidRPr="00490F97">
        <w:rPr>
          <w:bCs/>
          <w:noProof/>
          <w:sz w:val="22"/>
          <w:szCs w:val="22"/>
          <w:lang w:val="sr-Latn-ME"/>
        </w:rPr>
        <w:t>, dizajniranom za ocjenu razvoja kostiju, znaci toksičnosti u potomstva (smrtnost, snižena srednja vrijednost tjelesne težine, snižena srednja vrijednost prirasta tjelesne težine i smanjen rast kostiju) uočeni su pri izloženostima (C</w:t>
      </w:r>
      <w:r w:rsidRPr="00490F97">
        <w:rPr>
          <w:bCs/>
          <w:noProof/>
          <w:sz w:val="22"/>
          <w:szCs w:val="22"/>
          <w:vertAlign w:val="subscript"/>
          <w:lang w:val="sr-Latn-ME"/>
        </w:rPr>
        <w:t>max</w:t>
      </w:r>
      <w:r w:rsidRPr="00490F97">
        <w:rPr>
          <w:bCs/>
          <w:noProof/>
          <w:sz w:val="22"/>
          <w:szCs w:val="22"/>
          <w:lang w:val="sr-Latn-ME"/>
        </w:rPr>
        <w:t>) približno 2 puta</w:t>
      </w:r>
      <w:r w:rsidR="004A4F28" w:rsidRPr="00490F97">
        <w:rPr>
          <w:bCs/>
          <w:noProof/>
          <w:sz w:val="22"/>
          <w:szCs w:val="22"/>
          <w:lang w:val="sr-Latn-ME"/>
        </w:rPr>
        <w:t xml:space="preserve"> većim od kliničke izloženosti kod</w:t>
      </w:r>
      <w:r w:rsidRPr="00490F97">
        <w:rPr>
          <w:bCs/>
          <w:noProof/>
          <w:sz w:val="22"/>
          <w:szCs w:val="22"/>
          <w:lang w:val="sr-Latn-ME"/>
        </w:rPr>
        <w:t xml:space="preserve"> ljudi. Do kraja faze oporavka, koštani parametri bili su slični u svim ispitivanim grupama</w:t>
      </w:r>
      <w:r w:rsidR="008D599A" w:rsidRPr="00490F97">
        <w:rPr>
          <w:bCs/>
          <w:noProof/>
          <w:sz w:val="22"/>
          <w:szCs w:val="22"/>
          <w:lang w:val="sr-Latn-ME"/>
        </w:rPr>
        <w:t>, dok su tjelesne težine takođe</w:t>
      </w:r>
      <w:r w:rsidRPr="00490F97">
        <w:rPr>
          <w:bCs/>
          <w:noProof/>
          <w:sz w:val="22"/>
          <w:szCs w:val="22"/>
          <w:lang w:val="sr-Latn-ME"/>
        </w:rPr>
        <w:t xml:space="preserve"> imale tendenciju ka reverzibilnosti, nakon razdoblja oporavka bez lijeka. Povećana smrtnost prijavl</w:t>
      </w:r>
      <w:r w:rsidR="008D599A" w:rsidRPr="00490F97">
        <w:rPr>
          <w:bCs/>
          <w:noProof/>
          <w:sz w:val="22"/>
          <w:szCs w:val="22"/>
          <w:lang w:val="sr-Latn-ME"/>
        </w:rPr>
        <w:t>jena je samo kod</w:t>
      </w:r>
      <w:r w:rsidR="00054943" w:rsidRPr="00490F97">
        <w:rPr>
          <w:bCs/>
          <w:noProof/>
          <w:sz w:val="22"/>
          <w:szCs w:val="22"/>
          <w:lang w:val="sr-Latn-ME"/>
        </w:rPr>
        <w:t xml:space="preserve"> mladunaca pacova</w:t>
      </w:r>
      <w:r w:rsidRPr="00490F97">
        <w:rPr>
          <w:bCs/>
          <w:noProof/>
          <w:sz w:val="22"/>
          <w:szCs w:val="22"/>
          <w:lang w:val="sr-Latn-ME"/>
        </w:rPr>
        <w:t xml:space="preserve"> u razdoblju prije prestanka sisanja (u dobi do 21. dan), što je procijenjeno da odgovara životnom razdoblju djece u dobi od 2 godine. Značaj ovog nalaza za pedijatrijsku populaciju nije jasan. U prethodnom </w:t>
      </w:r>
      <w:r w:rsidR="00D2316C" w:rsidRPr="00490F97">
        <w:rPr>
          <w:bCs/>
          <w:noProof/>
          <w:sz w:val="22"/>
          <w:szCs w:val="22"/>
          <w:lang w:val="sr-Latn-ME"/>
        </w:rPr>
        <w:t>peri- postnatalnom ispitivanju kod</w:t>
      </w:r>
      <w:r w:rsidR="003413C8" w:rsidRPr="00490F97">
        <w:rPr>
          <w:bCs/>
          <w:noProof/>
          <w:sz w:val="22"/>
          <w:szCs w:val="22"/>
          <w:lang w:val="sr-Latn-ME"/>
        </w:rPr>
        <w:t xml:space="preserve"> pacova</w:t>
      </w:r>
      <w:r w:rsidRPr="00490F97">
        <w:rPr>
          <w:bCs/>
          <w:noProof/>
          <w:sz w:val="22"/>
          <w:szCs w:val="22"/>
          <w:lang w:val="sr-Latn-ME"/>
        </w:rPr>
        <w:t xml:space="preserve"> s nešto nižim dozama, ni</w:t>
      </w:r>
      <w:r w:rsidR="006A2EDA" w:rsidRPr="00490F97">
        <w:rPr>
          <w:bCs/>
          <w:noProof/>
          <w:sz w:val="22"/>
          <w:szCs w:val="22"/>
          <w:lang w:val="sr-Latn-ME"/>
        </w:rPr>
        <w:t>je</w:t>
      </w:r>
      <w:r w:rsidR="00D879FD" w:rsidRPr="00490F97">
        <w:rPr>
          <w:bCs/>
          <w:noProof/>
          <w:sz w:val="22"/>
          <w:szCs w:val="22"/>
          <w:lang w:val="sr-Latn-ME"/>
        </w:rPr>
        <w:t>su ustanovljeni štetni efekti</w:t>
      </w:r>
      <w:r w:rsidR="008D599A" w:rsidRPr="00490F97">
        <w:rPr>
          <w:bCs/>
          <w:noProof/>
          <w:sz w:val="22"/>
          <w:szCs w:val="22"/>
          <w:lang w:val="sr-Latn-ME"/>
        </w:rPr>
        <w:t xml:space="preserve"> pri 3 mg/kg, pri poređenju</w:t>
      </w:r>
      <w:r w:rsidRPr="00490F97">
        <w:rPr>
          <w:bCs/>
          <w:noProof/>
          <w:sz w:val="22"/>
          <w:szCs w:val="22"/>
          <w:lang w:val="sr-Latn-ME"/>
        </w:rPr>
        <w:t xml:space="preserve"> s niskom dozom od 5 mg/kg u ovom ispitivanju. U ispitivanjima ni</w:t>
      </w:r>
      <w:r w:rsidR="00657034" w:rsidRPr="00490F97">
        <w:rPr>
          <w:bCs/>
          <w:noProof/>
          <w:sz w:val="22"/>
          <w:szCs w:val="22"/>
          <w:lang w:val="sr-Latn-ME"/>
        </w:rPr>
        <w:t>je</w:t>
      </w:r>
      <w:r w:rsidRPr="00490F97">
        <w:rPr>
          <w:bCs/>
          <w:noProof/>
          <w:sz w:val="22"/>
          <w:szCs w:val="22"/>
          <w:lang w:val="sr-Latn-ME"/>
        </w:rPr>
        <w:t>su zabilježeni dokazi oštećenja</w:t>
      </w:r>
      <w:r w:rsidR="00954D91" w:rsidRPr="00490F97">
        <w:rPr>
          <w:bCs/>
          <w:noProof/>
          <w:sz w:val="22"/>
          <w:szCs w:val="22"/>
          <w:lang w:val="sr-Latn-ME"/>
        </w:rPr>
        <w:t xml:space="preserve"> plodnosti ili teratogeni efekti</w:t>
      </w:r>
      <w:r w:rsidRPr="00490F97">
        <w:rPr>
          <w:bCs/>
          <w:noProof/>
          <w:sz w:val="22"/>
          <w:szCs w:val="22"/>
          <w:lang w:val="sr-Latn-ME"/>
        </w:rPr>
        <w:t>.</w:t>
      </w:r>
    </w:p>
    <w:p w14:paraId="20158712" w14:textId="77777777" w:rsidR="00B93F6F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4EB7954" w14:textId="6675668C" w:rsidR="00836B35" w:rsidRPr="00490F97" w:rsidRDefault="00B93F6F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lastRenderedPageBreak/>
        <w:t>Prolaz kroz place</w:t>
      </w:r>
      <w:r w:rsidR="001F1ED7" w:rsidRPr="00490F97">
        <w:rPr>
          <w:bCs/>
          <w:noProof/>
          <w:sz w:val="22"/>
          <w:szCs w:val="22"/>
          <w:lang w:val="sr-Latn-ME"/>
        </w:rPr>
        <w:t>ntu ispitivan je kod</w:t>
      </w:r>
      <w:r w:rsidR="00E6439B" w:rsidRPr="00490F97">
        <w:rPr>
          <w:bCs/>
          <w:noProof/>
          <w:sz w:val="22"/>
          <w:szCs w:val="22"/>
          <w:lang w:val="sr-Latn-ME"/>
        </w:rPr>
        <w:t xml:space="preserve"> ženki pacova</w:t>
      </w:r>
      <w:r w:rsidRPr="00490F97">
        <w:rPr>
          <w:bCs/>
          <w:noProof/>
          <w:sz w:val="22"/>
          <w:szCs w:val="22"/>
          <w:lang w:val="sr-Latn-ME"/>
        </w:rPr>
        <w:t xml:space="preserve"> i otkriveno je da s</w:t>
      </w:r>
      <w:r w:rsidR="007C5117" w:rsidRPr="00490F97">
        <w:rPr>
          <w:bCs/>
          <w:noProof/>
          <w:sz w:val="22"/>
          <w:szCs w:val="22"/>
          <w:lang w:val="sr-Latn-ME"/>
        </w:rPr>
        <w:t>e on povećava s napredovanjem ge</w:t>
      </w:r>
      <w:r w:rsidRPr="00490F97">
        <w:rPr>
          <w:bCs/>
          <w:noProof/>
          <w:sz w:val="22"/>
          <w:szCs w:val="22"/>
          <w:lang w:val="sr-Latn-ME"/>
        </w:rPr>
        <w:t>stacije. Kao rezultat toga, koncentracija pantoprazola u fetusu je povećana neposredno prije rođenja.</w:t>
      </w:r>
    </w:p>
    <w:p w14:paraId="089A89C6" w14:textId="5E9CA1EE" w:rsidR="00396DFD" w:rsidRDefault="00396DFD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9FD08CB" w14:textId="77777777" w:rsidR="00EA5C44" w:rsidRPr="00490F97" w:rsidRDefault="00EA5C44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BA426F4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6.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FARMACEUTSKI PODACI</w:t>
      </w:r>
    </w:p>
    <w:p w14:paraId="5377370E" w14:textId="77777777" w:rsidR="00836B35" w:rsidRPr="00490F97" w:rsidRDefault="00836B35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F87FAD1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6.1.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Lista pomoćnih supstanci</w:t>
      </w:r>
      <w:r w:rsidR="002E0135" w:rsidRPr="00490F97">
        <w:rPr>
          <w:b/>
          <w:bCs/>
          <w:noProof/>
          <w:sz w:val="22"/>
          <w:szCs w:val="22"/>
          <w:lang w:val="sr-Latn-ME"/>
        </w:rPr>
        <w:t xml:space="preserve"> (ekscipijenasa)</w:t>
      </w:r>
    </w:p>
    <w:p w14:paraId="3EADD887" w14:textId="77777777" w:rsidR="00283384" w:rsidRPr="00490F97" w:rsidRDefault="00283384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E587A27" w14:textId="77777777" w:rsidR="00307B3F" w:rsidRPr="00490F97" w:rsidRDefault="006727EA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Tabletno jezgro:</w:t>
      </w:r>
    </w:p>
    <w:p w14:paraId="1352EC1C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Manitol (E421)</w:t>
      </w:r>
    </w:p>
    <w:p w14:paraId="6F389BA7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Krospovidon (Tip B)</w:t>
      </w:r>
    </w:p>
    <w:p w14:paraId="69B83952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Natrijum karbonat, bezvodni</w:t>
      </w:r>
    </w:p>
    <w:p w14:paraId="5B7BEF1B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Hidroksipropil</w:t>
      </w:r>
      <w:r w:rsidR="00213A4D" w:rsidRPr="00490F97">
        <w:rPr>
          <w:noProof/>
          <w:sz w:val="22"/>
          <w:szCs w:val="22"/>
          <w:lang w:val="sr-Latn-ME"/>
        </w:rPr>
        <w:t xml:space="preserve"> </w:t>
      </w:r>
      <w:r w:rsidRPr="00490F97">
        <w:rPr>
          <w:noProof/>
          <w:sz w:val="22"/>
          <w:szCs w:val="22"/>
          <w:lang w:val="sr-Latn-ME"/>
        </w:rPr>
        <w:t>celuloza (Klucel LF)</w:t>
      </w:r>
    </w:p>
    <w:p w14:paraId="3C90C35D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Kalcijum stearat</w:t>
      </w:r>
    </w:p>
    <w:p w14:paraId="18A3977C" w14:textId="77777777" w:rsidR="00307B3F" w:rsidRPr="00490F97" w:rsidRDefault="00307B3F" w:rsidP="00D92429">
      <w:pPr>
        <w:jc w:val="both"/>
        <w:rPr>
          <w:noProof/>
          <w:sz w:val="22"/>
          <w:szCs w:val="22"/>
          <w:lang w:val="sr-Latn-ME"/>
        </w:rPr>
      </w:pPr>
    </w:p>
    <w:p w14:paraId="56F73B93" w14:textId="77777777" w:rsidR="00400355" w:rsidRPr="00490F97" w:rsidRDefault="00400355" w:rsidP="00D92429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Zaštitna obloga:</w:t>
      </w:r>
    </w:p>
    <w:p w14:paraId="65B553D6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Hipromeloza</w:t>
      </w:r>
    </w:p>
    <w:p w14:paraId="785E25FC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Titan dioksid (E171)</w:t>
      </w:r>
    </w:p>
    <w:p w14:paraId="4EE42E4E" w14:textId="77777777" w:rsidR="004C58B1" w:rsidRPr="00490F97" w:rsidRDefault="004C58B1" w:rsidP="00A471A2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Gvožđe</w:t>
      </w:r>
      <w:r w:rsidR="00213A4D" w:rsidRPr="00490F97">
        <w:rPr>
          <w:noProof/>
          <w:sz w:val="22"/>
          <w:szCs w:val="22"/>
          <w:lang w:val="sr-Latn-ME"/>
        </w:rPr>
        <w:t xml:space="preserve"> </w:t>
      </w:r>
      <w:r w:rsidR="00A471A2" w:rsidRPr="00490F97">
        <w:rPr>
          <w:sz w:val="22"/>
          <w:szCs w:val="22"/>
          <w:lang w:val="sr-Latn-ME"/>
        </w:rPr>
        <w:t>(</w:t>
      </w:r>
      <w:r w:rsidR="00A471A2" w:rsidRPr="00490F97">
        <w:rPr>
          <w:noProof/>
          <w:sz w:val="22"/>
          <w:szCs w:val="22"/>
          <w:lang w:val="sr-Latn-ME"/>
        </w:rPr>
        <w:t>III)</w:t>
      </w:r>
      <w:r w:rsidRPr="00490F97">
        <w:rPr>
          <w:noProof/>
          <w:sz w:val="22"/>
          <w:szCs w:val="22"/>
          <w:lang w:val="sr-Latn-ME"/>
        </w:rPr>
        <w:t xml:space="preserve"> oksid</w:t>
      </w:r>
      <w:r w:rsidR="00400355" w:rsidRPr="00490F97">
        <w:rPr>
          <w:noProof/>
          <w:sz w:val="22"/>
          <w:szCs w:val="22"/>
          <w:lang w:val="sr-Latn-ME"/>
        </w:rPr>
        <w:t>,</w:t>
      </w:r>
      <w:r w:rsidRPr="00490F97">
        <w:rPr>
          <w:noProof/>
          <w:sz w:val="22"/>
          <w:szCs w:val="22"/>
          <w:lang w:val="sr-Latn-ME"/>
        </w:rPr>
        <w:t xml:space="preserve"> žuti (E172)</w:t>
      </w:r>
    </w:p>
    <w:p w14:paraId="22D1469F" w14:textId="77777777" w:rsidR="0008515C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Propilen</w:t>
      </w:r>
      <w:r w:rsidR="00213A4D" w:rsidRPr="00490F97">
        <w:rPr>
          <w:noProof/>
          <w:sz w:val="22"/>
          <w:szCs w:val="22"/>
          <w:lang w:val="sr-Latn-ME"/>
        </w:rPr>
        <w:t xml:space="preserve"> </w:t>
      </w:r>
      <w:r w:rsidRPr="00490F97">
        <w:rPr>
          <w:noProof/>
          <w:sz w:val="22"/>
          <w:szCs w:val="22"/>
          <w:lang w:val="sr-Latn-ME"/>
        </w:rPr>
        <w:t>glikol</w:t>
      </w:r>
    </w:p>
    <w:p w14:paraId="518F04E6" w14:textId="77777777" w:rsidR="0008515C" w:rsidRPr="00490F97" w:rsidRDefault="0008515C" w:rsidP="00D92429">
      <w:pPr>
        <w:ind w:left="360"/>
        <w:jc w:val="both"/>
        <w:rPr>
          <w:noProof/>
          <w:sz w:val="22"/>
          <w:szCs w:val="22"/>
          <w:lang w:val="sr-Latn-ME"/>
        </w:rPr>
      </w:pPr>
    </w:p>
    <w:p w14:paraId="76BBBBCD" w14:textId="77777777" w:rsidR="0064630C" w:rsidRPr="00490F97" w:rsidRDefault="00806555" w:rsidP="0064630C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Gastrorezistentna</w:t>
      </w:r>
      <w:r w:rsidRPr="00490F97" w:rsidDel="00806555">
        <w:rPr>
          <w:noProof/>
          <w:sz w:val="22"/>
          <w:szCs w:val="22"/>
          <w:lang w:val="sr-Latn-ME"/>
        </w:rPr>
        <w:t xml:space="preserve"> </w:t>
      </w:r>
      <w:r w:rsidR="0008515C" w:rsidRPr="00490F97">
        <w:rPr>
          <w:noProof/>
          <w:sz w:val="22"/>
          <w:szCs w:val="22"/>
          <w:lang w:val="sr-Latn-ME"/>
        </w:rPr>
        <w:t>obloga:</w:t>
      </w:r>
    </w:p>
    <w:p w14:paraId="1B2095EB" w14:textId="77777777" w:rsidR="0064630C" w:rsidRPr="00490F97" w:rsidRDefault="00B25A4F" w:rsidP="00B25A4F">
      <w:pPr>
        <w:pStyle w:val="ListParagraph"/>
        <w:numPr>
          <w:ilvl w:val="0"/>
          <w:numId w:val="16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Metakrilna kis</w:t>
      </w:r>
      <w:r w:rsidR="00AA0A5B" w:rsidRPr="00490F97">
        <w:rPr>
          <w:noProof/>
          <w:sz w:val="22"/>
          <w:szCs w:val="22"/>
          <w:lang w:val="sr-Latn-ME"/>
        </w:rPr>
        <w:t>j</w:t>
      </w:r>
      <w:r w:rsidRPr="00490F97">
        <w:rPr>
          <w:noProof/>
          <w:sz w:val="22"/>
          <w:szCs w:val="22"/>
          <w:lang w:val="sr-Latn-ME"/>
        </w:rPr>
        <w:t>elina-e</w:t>
      </w:r>
      <w:r w:rsidR="0064630C" w:rsidRPr="00490F97">
        <w:rPr>
          <w:noProof/>
          <w:sz w:val="22"/>
          <w:szCs w:val="22"/>
          <w:lang w:val="sr-Latn-ME"/>
        </w:rPr>
        <w:t>tilakrilat kopolimer (1:1) disperzija</w:t>
      </w:r>
      <w:r w:rsidRPr="00490F97">
        <w:rPr>
          <w:noProof/>
          <w:sz w:val="22"/>
          <w:szCs w:val="22"/>
          <w:lang w:val="sr-Latn-ME"/>
        </w:rPr>
        <w:t xml:space="preserve"> 30%</w:t>
      </w:r>
    </w:p>
    <w:p w14:paraId="4C242852" w14:textId="77777777" w:rsidR="004C58B1" w:rsidRPr="00490F97" w:rsidRDefault="004C58B1" w:rsidP="00D92429">
      <w:pPr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Trietil</w:t>
      </w:r>
      <w:r w:rsidR="00806555" w:rsidRPr="00490F97">
        <w:rPr>
          <w:noProof/>
          <w:sz w:val="22"/>
          <w:szCs w:val="22"/>
          <w:lang w:val="sr-Latn-ME"/>
        </w:rPr>
        <w:t xml:space="preserve"> </w:t>
      </w:r>
      <w:r w:rsidRPr="00490F97">
        <w:rPr>
          <w:noProof/>
          <w:sz w:val="22"/>
          <w:szCs w:val="22"/>
          <w:lang w:val="sr-Latn-ME"/>
        </w:rPr>
        <w:t>citrat</w:t>
      </w:r>
    </w:p>
    <w:p w14:paraId="222BA45D" w14:textId="77777777" w:rsidR="004C58B1" w:rsidRPr="00490F97" w:rsidRDefault="004C58B1" w:rsidP="00D92429">
      <w:pPr>
        <w:pStyle w:val="ListParagraph"/>
        <w:numPr>
          <w:ilvl w:val="0"/>
          <w:numId w:val="13"/>
        </w:num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Talk</w:t>
      </w:r>
    </w:p>
    <w:p w14:paraId="7F4D3DB4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1450BE4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6.2.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Inkompatibilnost</w:t>
      </w:r>
      <w:r w:rsidR="002846DB" w:rsidRPr="00490F97">
        <w:rPr>
          <w:b/>
          <w:bCs/>
          <w:noProof/>
          <w:sz w:val="22"/>
          <w:szCs w:val="22"/>
          <w:lang w:val="sr-Latn-ME"/>
        </w:rPr>
        <w:t>i</w:t>
      </w:r>
    </w:p>
    <w:p w14:paraId="60E5FA13" w14:textId="77777777" w:rsidR="00806555" w:rsidRPr="00490F97" w:rsidRDefault="00806555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1B79958" w14:textId="77777777" w:rsidR="0072020E" w:rsidRPr="00490F97" w:rsidRDefault="004C58B1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Podaci o inkompatibilnostima nijesu poznati.</w:t>
      </w:r>
    </w:p>
    <w:p w14:paraId="2B82BB22" w14:textId="77777777" w:rsidR="004C58B1" w:rsidRPr="00490F97" w:rsidRDefault="004C58B1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151CC0F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>6.3.</w:t>
      </w:r>
      <w:r w:rsidR="00C05DF8" w:rsidRPr="00490F97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Rok upotrebe</w:t>
      </w:r>
    </w:p>
    <w:p w14:paraId="4A0E4AF1" w14:textId="77777777" w:rsidR="00806555" w:rsidRPr="00490F97" w:rsidRDefault="00806555" w:rsidP="00D92429">
      <w:pPr>
        <w:jc w:val="both"/>
        <w:rPr>
          <w:noProof/>
          <w:sz w:val="22"/>
          <w:szCs w:val="22"/>
          <w:lang w:val="sr-Latn-ME"/>
        </w:rPr>
      </w:pPr>
    </w:p>
    <w:p w14:paraId="215DE42F" w14:textId="77777777" w:rsidR="004C58B1" w:rsidRPr="00490F97" w:rsidRDefault="004C58B1" w:rsidP="00D92429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36 mjeseci.</w:t>
      </w:r>
    </w:p>
    <w:p w14:paraId="2A079061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F3AA0A4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6.4.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Posebne mjere upozorenja pri čuvanju</w:t>
      </w:r>
      <w:r w:rsidR="00F8570A" w:rsidRPr="00490F97">
        <w:rPr>
          <w:b/>
          <w:bCs/>
          <w:noProof/>
          <w:sz w:val="22"/>
          <w:szCs w:val="22"/>
          <w:lang w:val="sr-Latn-ME"/>
        </w:rPr>
        <w:t xml:space="preserve"> lijeka</w:t>
      </w:r>
    </w:p>
    <w:p w14:paraId="0731B7C1" w14:textId="77777777" w:rsidR="00806555" w:rsidRPr="00490F97" w:rsidRDefault="00806555" w:rsidP="00D92429">
      <w:pPr>
        <w:jc w:val="both"/>
        <w:rPr>
          <w:noProof/>
          <w:sz w:val="22"/>
          <w:szCs w:val="22"/>
          <w:lang w:val="sr-Latn-ME"/>
        </w:rPr>
      </w:pPr>
    </w:p>
    <w:p w14:paraId="19632A7A" w14:textId="77777777" w:rsidR="004C58B1" w:rsidRPr="00490F97" w:rsidRDefault="004C58B1" w:rsidP="00D92429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Čuvati na temperaturi do 30°C.</w:t>
      </w:r>
    </w:p>
    <w:p w14:paraId="0C61491D" w14:textId="77777777" w:rsidR="00EC2532" w:rsidRPr="00490F97" w:rsidRDefault="00EC2532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B3E9942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6.5.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="002846DB" w:rsidRPr="00490F97">
        <w:rPr>
          <w:b/>
          <w:bCs/>
          <w:noProof/>
          <w:sz w:val="22"/>
          <w:szCs w:val="22"/>
          <w:lang w:val="sr-Latn-ME"/>
        </w:rPr>
        <w:t xml:space="preserve">Vrsta i sadržaj </w:t>
      </w:r>
      <w:r w:rsidR="00F8570A" w:rsidRPr="00490F97">
        <w:rPr>
          <w:b/>
          <w:bCs/>
          <w:noProof/>
          <w:sz w:val="22"/>
          <w:szCs w:val="22"/>
          <w:lang w:val="sr-Latn-ME"/>
        </w:rPr>
        <w:t>pakovanja</w:t>
      </w:r>
      <w:r w:rsidR="00C06864" w:rsidRPr="00490F97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7B8A2388" w14:textId="77777777" w:rsidR="00806555" w:rsidRPr="00490F97" w:rsidRDefault="00806555" w:rsidP="00A44176">
      <w:pPr>
        <w:jc w:val="both"/>
        <w:rPr>
          <w:noProof/>
          <w:sz w:val="22"/>
          <w:szCs w:val="22"/>
          <w:lang w:val="sr-Latn-ME"/>
        </w:rPr>
      </w:pPr>
    </w:p>
    <w:p w14:paraId="7D821F33" w14:textId="77777777" w:rsidR="00B42AF7" w:rsidRPr="00490F97" w:rsidRDefault="004C58B1" w:rsidP="00A44176">
      <w:pPr>
        <w:jc w:val="both"/>
        <w:rPr>
          <w:noProof/>
          <w:sz w:val="22"/>
          <w:szCs w:val="22"/>
          <w:lang w:val="sr-Latn-ME"/>
        </w:rPr>
      </w:pPr>
      <w:r w:rsidRPr="00490F97">
        <w:rPr>
          <w:noProof/>
          <w:sz w:val="22"/>
          <w:szCs w:val="22"/>
          <w:lang w:val="sr-Latn-ME"/>
        </w:rPr>
        <w:t>Hl</w:t>
      </w:r>
      <w:r w:rsidR="00A44176" w:rsidRPr="00490F97">
        <w:rPr>
          <w:noProof/>
          <w:sz w:val="22"/>
          <w:szCs w:val="22"/>
          <w:lang w:val="sr-Latn-ME"/>
        </w:rPr>
        <w:t>adnoformirajući Alu/Alu blister (</w:t>
      </w:r>
      <w:r w:rsidR="00806555" w:rsidRPr="00490F97">
        <w:rPr>
          <w:noProof/>
          <w:sz w:val="22"/>
          <w:szCs w:val="22"/>
          <w:lang w:val="sr-Latn-ME"/>
        </w:rPr>
        <w:t xml:space="preserve">ukupno </w:t>
      </w:r>
      <w:r w:rsidR="00A44176" w:rsidRPr="00490F97">
        <w:rPr>
          <w:noProof/>
          <w:sz w:val="22"/>
          <w:szCs w:val="22"/>
          <w:lang w:val="sr-Latn-ME"/>
        </w:rPr>
        <w:t>1 blister sa 14 gastrorezistentnih tableta u kutiji).</w:t>
      </w:r>
    </w:p>
    <w:p w14:paraId="03F3DF0B" w14:textId="77777777" w:rsidR="00A44176" w:rsidRPr="00490F97" w:rsidRDefault="00A44176" w:rsidP="00A44176">
      <w:pPr>
        <w:jc w:val="both"/>
        <w:rPr>
          <w:noProof/>
          <w:sz w:val="22"/>
          <w:szCs w:val="22"/>
          <w:lang w:val="sr-Latn-ME"/>
        </w:rPr>
      </w:pPr>
    </w:p>
    <w:p w14:paraId="3DC051AF" w14:textId="77777777" w:rsidR="002846DB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6.6.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90F97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490F97">
        <w:rPr>
          <w:b/>
          <w:bCs/>
          <w:noProof/>
          <w:sz w:val="22"/>
          <w:szCs w:val="22"/>
          <w:lang w:val="sr-Latn-ME"/>
        </w:rPr>
        <w:t>(i druga uputs</w:t>
      </w:r>
      <w:r w:rsidR="004109FA" w:rsidRPr="00490F97">
        <w:rPr>
          <w:b/>
          <w:bCs/>
          <w:noProof/>
          <w:sz w:val="22"/>
          <w:szCs w:val="22"/>
          <w:lang w:val="sr-Latn-ME"/>
        </w:rPr>
        <w:t>t</w:t>
      </w:r>
      <w:r w:rsidR="00310F03" w:rsidRPr="00490F97">
        <w:rPr>
          <w:b/>
          <w:bCs/>
          <w:noProof/>
          <w:sz w:val="22"/>
          <w:szCs w:val="22"/>
          <w:lang w:val="sr-Latn-ME"/>
        </w:rPr>
        <w:t xml:space="preserve">va za rukovanje lijekom) </w:t>
      </w:r>
    </w:p>
    <w:p w14:paraId="160A7241" w14:textId="77777777" w:rsidR="00806555" w:rsidRPr="00490F97" w:rsidRDefault="00806555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9CDECA0" w14:textId="77777777" w:rsidR="00B66A70" w:rsidRPr="00490F97" w:rsidRDefault="004A2008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Cs/>
          <w:noProof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5BFB74C4" w14:textId="58007C70" w:rsidR="0072020E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5B2B5DF" w14:textId="77777777" w:rsidR="00EA5C44" w:rsidRPr="00490F97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8BB5759" w14:textId="77777777" w:rsidR="00F8570A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7.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NOSILAC DOZVOLE</w:t>
      </w:r>
      <w:r w:rsidR="00483928" w:rsidRPr="00490F97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2612CA80" w14:textId="77777777" w:rsidR="00806555" w:rsidRPr="00490F97" w:rsidRDefault="00806555" w:rsidP="00D92429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noProof/>
          <w:color w:val="000000"/>
          <w:sz w:val="22"/>
          <w:szCs w:val="22"/>
          <w:lang w:val="sr-Latn-ME"/>
        </w:rPr>
      </w:pPr>
    </w:p>
    <w:p w14:paraId="39EF49D2" w14:textId="77777777" w:rsidR="00C26B29" w:rsidRPr="00490F97" w:rsidRDefault="00C26B29" w:rsidP="00D92429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b/>
          <w:noProof/>
          <w:color w:val="000000"/>
          <w:sz w:val="22"/>
          <w:szCs w:val="22"/>
          <w:lang w:val="sr-Latn-ME"/>
        </w:rPr>
      </w:pPr>
      <w:r w:rsidRPr="00490F97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Bosnalijek d.d. Predstavništvo Crna Gora, Bulevar Svetog Petra Cetinjskog 63, Podgorica</w:t>
      </w:r>
      <w:r w:rsidR="00806555" w:rsidRPr="00490F97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, </w:t>
      </w:r>
      <w:r w:rsidR="00806555" w:rsidRPr="00490F97">
        <w:rPr>
          <w:rFonts w:ascii="Times New Roman" w:hAnsi="Times New Roman"/>
          <w:color w:val="000000"/>
          <w:sz w:val="22"/>
          <w:szCs w:val="22"/>
          <w:lang w:val="sr-Latn-ME"/>
        </w:rPr>
        <w:t>Crna Gora</w:t>
      </w:r>
      <w:r w:rsidRPr="00490F97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 </w:t>
      </w:r>
    </w:p>
    <w:p w14:paraId="2BEFD568" w14:textId="77777777" w:rsidR="00C37FD7" w:rsidRPr="00490F97" w:rsidRDefault="00C37FD7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BFCA23C" w14:textId="77777777" w:rsidR="00EA5C44" w:rsidRDefault="00EA5C44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5A2D4058" w14:textId="77777777" w:rsidR="00EA5C44" w:rsidRDefault="00EA5C44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49280A61" w14:textId="77777777" w:rsidR="00EA5C44" w:rsidRDefault="00EA5C44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ADAC1A3" w14:textId="501ED040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lastRenderedPageBreak/>
        <w:t xml:space="preserve">8.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>BROJ DOZVOLE</w:t>
      </w:r>
      <w:r w:rsidR="008A6D43" w:rsidRPr="00490F97">
        <w:rPr>
          <w:b/>
          <w:bCs/>
          <w:noProof/>
          <w:sz w:val="22"/>
          <w:szCs w:val="22"/>
          <w:lang w:val="sr-Latn-ME"/>
        </w:rPr>
        <w:t xml:space="preserve"> ZA STAVLJANJE LIJEKA U PROMET</w:t>
      </w:r>
    </w:p>
    <w:p w14:paraId="25434F4D" w14:textId="2D2337CF" w:rsidR="0072020E" w:rsidRDefault="0072020E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B20C5A9" w14:textId="27D76ECA" w:rsidR="00EA5C44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EA5C44">
        <w:rPr>
          <w:bCs/>
          <w:noProof/>
          <w:sz w:val="22"/>
          <w:szCs w:val="22"/>
          <w:lang w:val="sr-Latn-ME"/>
        </w:rPr>
        <w:t>2030/23/2186 - 7345</w:t>
      </w:r>
    </w:p>
    <w:p w14:paraId="5B6716E0" w14:textId="77777777" w:rsidR="00EA5C44" w:rsidRPr="00490F97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2460295" w14:textId="77777777" w:rsidR="00F45F77" w:rsidRPr="00490F97" w:rsidRDefault="00F45F77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2DDDE26" w14:textId="77777777" w:rsidR="0072020E" w:rsidRPr="00490F97" w:rsidRDefault="0072020E" w:rsidP="00D92429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9.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Pr="00490F97">
        <w:rPr>
          <w:b/>
          <w:bCs/>
          <w:noProof/>
          <w:sz w:val="22"/>
          <w:szCs w:val="22"/>
          <w:lang w:val="sr-Latn-ME"/>
        </w:rPr>
        <w:t xml:space="preserve">DATUM </w:t>
      </w:r>
      <w:r w:rsidR="00C05DF8" w:rsidRPr="00490F97">
        <w:rPr>
          <w:b/>
          <w:bCs/>
          <w:noProof/>
          <w:sz w:val="22"/>
          <w:szCs w:val="22"/>
          <w:lang w:val="sr-Latn-ME"/>
        </w:rPr>
        <w:t xml:space="preserve">PRVE </w:t>
      </w:r>
      <w:r w:rsidR="008A6D43" w:rsidRPr="00490F97">
        <w:rPr>
          <w:b/>
          <w:bCs/>
          <w:noProof/>
          <w:sz w:val="22"/>
          <w:szCs w:val="22"/>
          <w:lang w:val="sr-Latn-ME"/>
        </w:rPr>
        <w:t>DOZVOLE</w:t>
      </w:r>
      <w:r w:rsidR="00C05DF8" w:rsidRPr="00490F97">
        <w:rPr>
          <w:b/>
          <w:bCs/>
          <w:noProof/>
          <w:sz w:val="22"/>
          <w:szCs w:val="22"/>
          <w:lang w:val="sr-Latn-ME"/>
        </w:rPr>
        <w:t>/OBNOVE DOZVOLE</w:t>
      </w:r>
      <w:r w:rsidR="008A6D43" w:rsidRPr="00490F97">
        <w:rPr>
          <w:b/>
          <w:bCs/>
          <w:noProof/>
          <w:sz w:val="22"/>
          <w:szCs w:val="22"/>
          <w:lang w:val="sr-Latn-ME"/>
        </w:rPr>
        <w:t xml:space="preserve"> ZA STAVLJANJE LIJEKA U PROMET</w:t>
      </w:r>
    </w:p>
    <w:p w14:paraId="44A057B5" w14:textId="429ADB28" w:rsidR="00836B35" w:rsidRDefault="00836B35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9D65589" w14:textId="1D7E34D7" w:rsidR="00EA5C44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t>13.06.2023. godine</w:t>
      </w:r>
    </w:p>
    <w:p w14:paraId="0DBDE923" w14:textId="77777777" w:rsidR="00EA5C44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183A1DE" w14:textId="77777777" w:rsidR="00EA5C44" w:rsidRPr="00490F97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65196FD" w14:textId="77777777" w:rsidR="003F6A59" w:rsidRPr="00490F97" w:rsidRDefault="0072020E" w:rsidP="00D92429">
      <w:pPr>
        <w:tabs>
          <w:tab w:val="left" w:pos="540"/>
          <w:tab w:val="left" w:pos="569"/>
        </w:tabs>
        <w:ind w:left="540" w:hanging="540"/>
        <w:jc w:val="both"/>
        <w:rPr>
          <w:bCs/>
          <w:noProof/>
          <w:sz w:val="22"/>
          <w:szCs w:val="22"/>
          <w:lang w:val="sr-Latn-ME"/>
        </w:rPr>
      </w:pPr>
      <w:r w:rsidRPr="00490F97">
        <w:rPr>
          <w:b/>
          <w:bCs/>
          <w:noProof/>
          <w:sz w:val="22"/>
          <w:szCs w:val="22"/>
          <w:lang w:val="sr-Latn-ME"/>
        </w:rPr>
        <w:t xml:space="preserve">10. </w:t>
      </w:r>
      <w:r w:rsidR="00480FB1" w:rsidRPr="00490F97">
        <w:rPr>
          <w:b/>
          <w:bCs/>
          <w:noProof/>
          <w:sz w:val="22"/>
          <w:szCs w:val="22"/>
          <w:lang w:val="sr-Latn-ME"/>
        </w:rPr>
        <w:tab/>
      </w:r>
      <w:r w:rsidR="002846DB" w:rsidRPr="00490F97">
        <w:rPr>
          <w:b/>
          <w:bCs/>
          <w:noProof/>
          <w:sz w:val="22"/>
          <w:szCs w:val="22"/>
          <w:lang w:val="sr-Latn-ME"/>
        </w:rPr>
        <w:t>D</w:t>
      </w:r>
      <w:r w:rsidR="00EC2532" w:rsidRPr="00490F97">
        <w:rPr>
          <w:b/>
          <w:bCs/>
          <w:noProof/>
          <w:sz w:val="22"/>
          <w:szCs w:val="22"/>
          <w:lang w:val="sr-Latn-ME"/>
        </w:rPr>
        <w:t xml:space="preserve">ATUM REVIZIJE TEKSTA </w:t>
      </w:r>
    </w:p>
    <w:p w14:paraId="131A58C1" w14:textId="77777777" w:rsidR="00D35A50" w:rsidRPr="00490F97" w:rsidRDefault="00D35A50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4CBACB7" w14:textId="1AAFBB9D" w:rsidR="008A6D43" w:rsidRPr="00490F97" w:rsidRDefault="00EA5C44" w:rsidP="00D9242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t>Jun, 2023. godine</w:t>
      </w:r>
    </w:p>
    <w:p w14:paraId="44ADE90F" w14:textId="77777777" w:rsidR="003F6A59" w:rsidRPr="00490F97" w:rsidRDefault="003F6A59" w:rsidP="00D92429">
      <w:pPr>
        <w:jc w:val="both"/>
        <w:rPr>
          <w:noProof/>
          <w:sz w:val="22"/>
          <w:szCs w:val="22"/>
          <w:lang w:val="sr-Latn-ME"/>
        </w:rPr>
      </w:pPr>
    </w:p>
    <w:sectPr w:rsidR="003F6A59" w:rsidRPr="00490F97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AEFD1" w14:textId="77777777" w:rsidR="00C442C2" w:rsidRDefault="00C442C2">
      <w:r>
        <w:separator/>
      </w:r>
    </w:p>
  </w:endnote>
  <w:endnote w:type="continuationSeparator" w:id="0">
    <w:p w14:paraId="01C1C268" w14:textId="77777777" w:rsidR="00C442C2" w:rsidRDefault="00C442C2">
      <w:r>
        <w:continuationSeparator/>
      </w:r>
    </w:p>
  </w:endnote>
  <w:endnote w:type="continuationNotice" w:id="1">
    <w:p w14:paraId="50F65F04" w14:textId="77777777" w:rsidR="00C442C2" w:rsidRDefault="00C44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B299" w14:textId="3519A9CF" w:rsidR="00A31CBB" w:rsidRPr="00B23F69" w:rsidRDefault="00A31CBB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D4374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D4374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2E4A" w14:textId="77777777" w:rsidR="00C442C2" w:rsidRDefault="00C442C2">
      <w:r>
        <w:separator/>
      </w:r>
    </w:p>
  </w:footnote>
  <w:footnote w:type="continuationSeparator" w:id="0">
    <w:p w14:paraId="4ECBB182" w14:textId="77777777" w:rsidR="00C442C2" w:rsidRDefault="00C442C2">
      <w:r>
        <w:continuationSeparator/>
      </w:r>
    </w:p>
  </w:footnote>
  <w:footnote w:type="continuationNotice" w:id="1">
    <w:p w14:paraId="1040E0C6" w14:textId="77777777" w:rsidR="00C442C2" w:rsidRDefault="00C442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45pt;height:13.25pt;visibility:visible" o:bullet="t">
        <v:imagedata r:id="rId1" o:title="BT_1000x858px"/>
      </v:shape>
    </w:pict>
  </w:numPicBullet>
  <w:abstractNum w:abstractNumId="0" w15:restartNumberingAfterBreak="0">
    <w:nsid w:val="FFFFFF88"/>
    <w:multiLevelType w:val="singleLevel"/>
    <w:tmpl w:val="110439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987509"/>
    <w:multiLevelType w:val="multilevel"/>
    <w:tmpl w:val="3D126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956D68"/>
    <w:multiLevelType w:val="hybridMultilevel"/>
    <w:tmpl w:val="FBF6D7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EC572C6"/>
    <w:multiLevelType w:val="hybridMultilevel"/>
    <w:tmpl w:val="399A4D1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D7DE4"/>
    <w:multiLevelType w:val="hybridMultilevel"/>
    <w:tmpl w:val="EDE29D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3"/>
  </w:num>
  <w:num w:numId="14">
    <w:abstractNumId w:val="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147"/>
    <w:rsid w:val="0000038A"/>
    <w:rsid w:val="00000528"/>
    <w:rsid w:val="0001346D"/>
    <w:rsid w:val="00016CEC"/>
    <w:rsid w:val="000176CA"/>
    <w:rsid w:val="00024F26"/>
    <w:rsid w:val="000269F7"/>
    <w:rsid w:val="00036FA0"/>
    <w:rsid w:val="0003793F"/>
    <w:rsid w:val="00054943"/>
    <w:rsid w:val="00057E35"/>
    <w:rsid w:val="00063B47"/>
    <w:rsid w:val="000667CC"/>
    <w:rsid w:val="000706AD"/>
    <w:rsid w:val="000756E2"/>
    <w:rsid w:val="00076726"/>
    <w:rsid w:val="000771BB"/>
    <w:rsid w:val="00080303"/>
    <w:rsid w:val="00082141"/>
    <w:rsid w:val="0008515C"/>
    <w:rsid w:val="00086430"/>
    <w:rsid w:val="000942A4"/>
    <w:rsid w:val="000A21B2"/>
    <w:rsid w:val="000A3F58"/>
    <w:rsid w:val="000D2343"/>
    <w:rsid w:val="000D3449"/>
    <w:rsid w:val="000D425A"/>
    <w:rsid w:val="000D60CC"/>
    <w:rsid w:val="000E2084"/>
    <w:rsid w:val="000E6F55"/>
    <w:rsid w:val="000E7ADF"/>
    <w:rsid w:val="000F77FA"/>
    <w:rsid w:val="001013A2"/>
    <w:rsid w:val="00106E2F"/>
    <w:rsid w:val="00107784"/>
    <w:rsid w:val="00107BF7"/>
    <w:rsid w:val="0011446B"/>
    <w:rsid w:val="00114F52"/>
    <w:rsid w:val="00126F53"/>
    <w:rsid w:val="00135C9A"/>
    <w:rsid w:val="00137A34"/>
    <w:rsid w:val="00143191"/>
    <w:rsid w:val="0014766D"/>
    <w:rsid w:val="001510B1"/>
    <w:rsid w:val="001536CC"/>
    <w:rsid w:val="0015583B"/>
    <w:rsid w:val="00160A87"/>
    <w:rsid w:val="001839A8"/>
    <w:rsid w:val="0019280D"/>
    <w:rsid w:val="001932FF"/>
    <w:rsid w:val="00195E39"/>
    <w:rsid w:val="001A3FBA"/>
    <w:rsid w:val="001A5518"/>
    <w:rsid w:val="001A5CA8"/>
    <w:rsid w:val="001A5F85"/>
    <w:rsid w:val="001B1C6A"/>
    <w:rsid w:val="001B2FBA"/>
    <w:rsid w:val="001B43A0"/>
    <w:rsid w:val="001B4672"/>
    <w:rsid w:val="001C1263"/>
    <w:rsid w:val="001C1417"/>
    <w:rsid w:val="001D2369"/>
    <w:rsid w:val="001D7837"/>
    <w:rsid w:val="001E0CFA"/>
    <w:rsid w:val="001E390B"/>
    <w:rsid w:val="001F1C86"/>
    <w:rsid w:val="001F1ED7"/>
    <w:rsid w:val="001F42FB"/>
    <w:rsid w:val="001F5A7F"/>
    <w:rsid w:val="001F719A"/>
    <w:rsid w:val="001F71FA"/>
    <w:rsid w:val="002031B3"/>
    <w:rsid w:val="00213A4D"/>
    <w:rsid w:val="00215931"/>
    <w:rsid w:val="00216F97"/>
    <w:rsid w:val="00217C44"/>
    <w:rsid w:val="00222438"/>
    <w:rsid w:val="00224C91"/>
    <w:rsid w:val="00225047"/>
    <w:rsid w:val="00227BDB"/>
    <w:rsid w:val="00234CB1"/>
    <w:rsid w:val="002352F8"/>
    <w:rsid w:val="00241D0C"/>
    <w:rsid w:val="002510A5"/>
    <w:rsid w:val="00254A0A"/>
    <w:rsid w:val="0025505E"/>
    <w:rsid w:val="00255B8E"/>
    <w:rsid w:val="00256AD0"/>
    <w:rsid w:val="00266046"/>
    <w:rsid w:val="00267286"/>
    <w:rsid w:val="002727A3"/>
    <w:rsid w:val="002729A4"/>
    <w:rsid w:val="00272EC6"/>
    <w:rsid w:val="002752C8"/>
    <w:rsid w:val="00283384"/>
    <w:rsid w:val="002846DB"/>
    <w:rsid w:val="00284CCD"/>
    <w:rsid w:val="00285C19"/>
    <w:rsid w:val="002C6637"/>
    <w:rsid w:val="002D047F"/>
    <w:rsid w:val="002D62F5"/>
    <w:rsid w:val="002E0135"/>
    <w:rsid w:val="002E37A5"/>
    <w:rsid w:val="002E3CFE"/>
    <w:rsid w:val="002F0033"/>
    <w:rsid w:val="00305151"/>
    <w:rsid w:val="00307B3F"/>
    <w:rsid w:val="00310F03"/>
    <w:rsid w:val="00312E2D"/>
    <w:rsid w:val="00317D85"/>
    <w:rsid w:val="003247D2"/>
    <w:rsid w:val="00331DB6"/>
    <w:rsid w:val="003360D6"/>
    <w:rsid w:val="003413C8"/>
    <w:rsid w:val="003445C1"/>
    <w:rsid w:val="003502F4"/>
    <w:rsid w:val="00350461"/>
    <w:rsid w:val="00352449"/>
    <w:rsid w:val="0035568B"/>
    <w:rsid w:val="00355B61"/>
    <w:rsid w:val="00360BE7"/>
    <w:rsid w:val="00362686"/>
    <w:rsid w:val="00366481"/>
    <w:rsid w:val="00371510"/>
    <w:rsid w:val="00376034"/>
    <w:rsid w:val="003761F5"/>
    <w:rsid w:val="00393774"/>
    <w:rsid w:val="00396DFD"/>
    <w:rsid w:val="00397358"/>
    <w:rsid w:val="003A006E"/>
    <w:rsid w:val="003A06F7"/>
    <w:rsid w:val="003A2502"/>
    <w:rsid w:val="003A7059"/>
    <w:rsid w:val="003B48DB"/>
    <w:rsid w:val="003B7A36"/>
    <w:rsid w:val="003C17AB"/>
    <w:rsid w:val="003C7129"/>
    <w:rsid w:val="003C7823"/>
    <w:rsid w:val="003E1DCC"/>
    <w:rsid w:val="003E203E"/>
    <w:rsid w:val="003E6428"/>
    <w:rsid w:val="003F11A1"/>
    <w:rsid w:val="003F1A28"/>
    <w:rsid w:val="003F20F7"/>
    <w:rsid w:val="003F4700"/>
    <w:rsid w:val="003F6A59"/>
    <w:rsid w:val="00400355"/>
    <w:rsid w:val="004065C4"/>
    <w:rsid w:val="004065C8"/>
    <w:rsid w:val="004109FA"/>
    <w:rsid w:val="00411B4B"/>
    <w:rsid w:val="00415BEE"/>
    <w:rsid w:val="00421029"/>
    <w:rsid w:val="00421237"/>
    <w:rsid w:val="004250DA"/>
    <w:rsid w:val="00427F85"/>
    <w:rsid w:val="00430F07"/>
    <w:rsid w:val="00436F42"/>
    <w:rsid w:val="004378B4"/>
    <w:rsid w:val="00443FA3"/>
    <w:rsid w:val="00451314"/>
    <w:rsid w:val="00452E9D"/>
    <w:rsid w:val="004534C7"/>
    <w:rsid w:val="004547F6"/>
    <w:rsid w:val="00456577"/>
    <w:rsid w:val="004671AA"/>
    <w:rsid w:val="00471A5F"/>
    <w:rsid w:val="00480E63"/>
    <w:rsid w:val="00480FB1"/>
    <w:rsid w:val="00483928"/>
    <w:rsid w:val="00490F97"/>
    <w:rsid w:val="00493B96"/>
    <w:rsid w:val="00497E50"/>
    <w:rsid w:val="004A1F48"/>
    <w:rsid w:val="004A2008"/>
    <w:rsid w:val="004A4F28"/>
    <w:rsid w:val="004A6A47"/>
    <w:rsid w:val="004C331F"/>
    <w:rsid w:val="004C3FFD"/>
    <w:rsid w:val="004C58B1"/>
    <w:rsid w:val="004D13EF"/>
    <w:rsid w:val="004D6103"/>
    <w:rsid w:val="004D757B"/>
    <w:rsid w:val="004E288F"/>
    <w:rsid w:val="004E3BCE"/>
    <w:rsid w:val="004E48EB"/>
    <w:rsid w:val="004E70AD"/>
    <w:rsid w:val="004F07EC"/>
    <w:rsid w:val="004F0E97"/>
    <w:rsid w:val="004F7BBF"/>
    <w:rsid w:val="00501DD1"/>
    <w:rsid w:val="00511899"/>
    <w:rsid w:val="0051297E"/>
    <w:rsid w:val="00514303"/>
    <w:rsid w:val="00515C21"/>
    <w:rsid w:val="005212CC"/>
    <w:rsid w:val="00522238"/>
    <w:rsid w:val="00522DFB"/>
    <w:rsid w:val="00530BD7"/>
    <w:rsid w:val="005321F8"/>
    <w:rsid w:val="005362D9"/>
    <w:rsid w:val="00545CD2"/>
    <w:rsid w:val="005476F3"/>
    <w:rsid w:val="005507B3"/>
    <w:rsid w:val="00551AF7"/>
    <w:rsid w:val="00551BDD"/>
    <w:rsid w:val="0055772C"/>
    <w:rsid w:val="00572527"/>
    <w:rsid w:val="00573E40"/>
    <w:rsid w:val="00576217"/>
    <w:rsid w:val="00576348"/>
    <w:rsid w:val="00593E23"/>
    <w:rsid w:val="005A0B2E"/>
    <w:rsid w:val="005A23D2"/>
    <w:rsid w:val="005A36CB"/>
    <w:rsid w:val="005B1B93"/>
    <w:rsid w:val="005B49B8"/>
    <w:rsid w:val="005C0741"/>
    <w:rsid w:val="005C5EF4"/>
    <w:rsid w:val="005C636D"/>
    <w:rsid w:val="005E25BE"/>
    <w:rsid w:val="005E2E0B"/>
    <w:rsid w:val="005E7A7D"/>
    <w:rsid w:val="005F1F2A"/>
    <w:rsid w:val="00602457"/>
    <w:rsid w:val="00607EB0"/>
    <w:rsid w:val="0061566B"/>
    <w:rsid w:val="006341F0"/>
    <w:rsid w:val="00644FC3"/>
    <w:rsid w:val="0064630C"/>
    <w:rsid w:val="00646BD1"/>
    <w:rsid w:val="006561C2"/>
    <w:rsid w:val="00657034"/>
    <w:rsid w:val="00664F99"/>
    <w:rsid w:val="00671629"/>
    <w:rsid w:val="00671CB3"/>
    <w:rsid w:val="006727EA"/>
    <w:rsid w:val="00674BAF"/>
    <w:rsid w:val="00682200"/>
    <w:rsid w:val="006915CC"/>
    <w:rsid w:val="00692BF6"/>
    <w:rsid w:val="006A0C34"/>
    <w:rsid w:val="006A1497"/>
    <w:rsid w:val="006A2EDA"/>
    <w:rsid w:val="006B0BD1"/>
    <w:rsid w:val="006B34C2"/>
    <w:rsid w:val="006B5404"/>
    <w:rsid w:val="006D20A5"/>
    <w:rsid w:val="006D37BF"/>
    <w:rsid w:val="006D5BD9"/>
    <w:rsid w:val="006E6D43"/>
    <w:rsid w:val="006E7AA8"/>
    <w:rsid w:val="006F384B"/>
    <w:rsid w:val="00702E22"/>
    <w:rsid w:val="00705E10"/>
    <w:rsid w:val="00715294"/>
    <w:rsid w:val="0072020E"/>
    <w:rsid w:val="00723257"/>
    <w:rsid w:val="0072769B"/>
    <w:rsid w:val="00743A3E"/>
    <w:rsid w:val="0075204C"/>
    <w:rsid w:val="00762650"/>
    <w:rsid w:val="00763F2A"/>
    <w:rsid w:val="00771FB3"/>
    <w:rsid w:val="007724E4"/>
    <w:rsid w:val="00777F5A"/>
    <w:rsid w:val="00786071"/>
    <w:rsid w:val="007A3ECB"/>
    <w:rsid w:val="007C4D33"/>
    <w:rsid w:val="007C4FF0"/>
    <w:rsid w:val="007C5117"/>
    <w:rsid w:val="007D2930"/>
    <w:rsid w:val="007D7BB3"/>
    <w:rsid w:val="007E2BD6"/>
    <w:rsid w:val="007E30B7"/>
    <w:rsid w:val="007F2253"/>
    <w:rsid w:val="00806555"/>
    <w:rsid w:val="00806AA2"/>
    <w:rsid w:val="00807C75"/>
    <w:rsid w:val="00811228"/>
    <w:rsid w:val="0081301C"/>
    <w:rsid w:val="00814549"/>
    <w:rsid w:val="00817F4C"/>
    <w:rsid w:val="00824AB9"/>
    <w:rsid w:val="00834B34"/>
    <w:rsid w:val="0083620B"/>
    <w:rsid w:val="00836B35"/>
    <w:rsid w:val="00843BDE"/>
    <w:rsid w:val="00854F86"/>
    <w:rsid w:val="00855DC5"/>
    <w:rsid w:val="00856B69"/>
    <w:rsid w:val="0087588C"/>
    <w:rsid w:val="008764A8"/>
    <w:rsid w:val="00891C15"/>
    <w:rsid w:val="00892CE0"/>
    <w:rsid w:val="00894FF3"/>
    <w:rsid w:val="0089705C"/>
    <w:rsid w:val="008A42B5"/>
    <w:rsid w:val="008A6D43"/>
    <w:rsid w:val="008A795A"/>
    <w:rsid w:val="008B2293"/>
    <w:rsid w:val="008B491E"/>
    <w:rsid w:val="008C1A28"/>
    <w:rsid w:val="008C2E98"/>
    <w:rsid w:val="008C30F9"/>
    <w:rsid w:val="008C4892"/>
    <w:rsid w:val="008C56FF"/>
    <w:rsid w:val="008D2001"/>
    <w:rsid w:val="008D2EB7"/>
    <w:rsid w:val="008D3854"/>
    <w:rsid w:val="008D599A"/>
    <w:rsid w:val="008E295E"/>
    <w:rsid w:val="008E39D2"/>
    <w:rsid w:val="008E49BD"/>
    <w:rsid w:val="008E53E9"/>
    <w:rsid w:val="008E5771"/>
    <w:rsid w:val="008E5B74"/>
    <w:rsid w:val="008F4ACF"/>
    <w:rsid w:val="009022F4"/>
    <w:rsid w:val="00911605"/>
    <w:rsid w:val="00912A37"/>
    <w:rsid w:val="009170B6"/>
    <w:rsid w:val="00924166"/>
    <w:rsid w:val="00932501"/>
    <w:rsid w:val="00935893"/>
    <w:rsid w:val="00940B9B"/>
    <w:rsid w:val="00952248"/>
    <w:rsid w:val="00954D91"/>
    <w:rsid w:val="0095676E"/>
    <w:rsid w:val="00956983"/>
    <w:rsid w:val="00957DC1"/>
    <w:rsid w:val="00963CF0"/>
    <w:rsid w:val="00964BB1"/>
    <w:rsid w:val="009662FB"/>
    <w:rsid w:val="00972DF4"/>
    <w:rsid w:val="009751D3"/>
    <w:rsid w:val="0097545A"/>
    <w:rsid w:val="009775D9"/>
    <w:rsid w:val="00992A3E"/>
    <w:rsid w:val="00997175"/>
    <w:rsid w:val="009A1847"/>
    <w:rsid w:val="009A661B"/>
    <w:rsid w:val="009B062A"/>
    <w:rsid w:val="009B5314"/>
    <w:rsid w:val="009C6BCA"/>
    <w:rsid w:val="009D3D9F"/>
    <w:rsid w:val="009D4374"/>
    <w:rsid w:val="009E041B"/>
    <w:rsid w:val="009E7C6F"/>
    <w:rsid w:val="009F15C9"/>
    <w:rsid w:val="009F1793"/>
    <w:rsid w:val="009F2D23"/>
    <w:rsid w:val="00A01D69"/>
    <w:rsid w:val="00A02335"/>
    <w:rsid w:val="00A10435"/>
    <w:rsid w:val="00A14D19"/>
    <w:rsid w:val="00A23D0A"/>
    <w:rsid w:val="00A31972"/>
    <w:rsid w:val="00A31CBB"/>
    <w:rsid w:val="00A41FE9"/>
    <w:rsid w:val="00A44176"/>
    <w:rsid w:val="00A44E9D"/>
    <w:rsid w:val="00A46C9A"/>
    <w:rsid w:val="00A471A2"/>
    <w:rsid w:val="00A4759F"/>
    <w:rsid w:val="00A619F3"/>
    <w:rsid w:val="00A62A73"/>
    <w:rsid w:val="00A67E27"/>
    <w:rsid w:val="00A7604E"/>
    <w:rsid w:val="00A81EC5"/>
    <w:rsid w:val="00A87FF6"/>
    <w:rsid w:val="00A93A49"/>
    <w:rsid w:val="00A9476A"/>
    <w:rsid w:val="00AA0A3B"/>
    <w:rsid w:val="00AA0A5B"/>
    <w:rsid w:val="00AA2763"/>
    <w:rsid w:val="00AA33B6"/>
    <w:rsid w:val="00AB50CA"/>
    <w:rsid w:val="00AB5301"/>
    <w:rsid w:val="00AB6D64"/>
    <w:rsid w:val="00AC53CE"/>
    <w:rsid w:val="00AD2193"/>
    <w:rsid w:val="00AF2AC7"/>
    <w:rsid w:val="00AF74CE"/>
    <w:rsid w:val="00B208DB"/>
    <w:rsid w:val="00B22959"/>
    <w:rsid w:val="00B23F69"/>
    <w:rsid w:val="00B25A4F"/>
    <w:rsid w:val="00B314D3"/>
    <w:rsid w:val="00B35C92"/>
    <w:rsid w:val="00B40A7B"/>
    <w:rsid w:val="00B42AF7"/>
    <w:rsid w:val="00B44F4E"/>
    <w:rsid w:val="00B53EFA"/>
    <w:rsid w:val="00B55BDA"/>
    <w:rsid w:val="00B57E99"/>
    <w:rsid w:val="00B60619"/>
    <w:rsid w:val="00B60CAD"/>
    <w:rsid w:val="00B6151C"/>
    <w:rsid w:val="00B66A70"/>
    <w:rsid w:val="00B66D1A"/>
    <w:rsid w:val="00B67366"/>
    <w:rsid w:val="00B70F0A"/>
    <w:rsid w:val="00B80EE1"/>
    <w:rsid w:val="00B826C3"/>
    <w:rsid w:val="00B83F33"/>
    <w:rsid w:val="00B84135"/>
    <w:rsid w:val="00B93F6F"/>
    <w:rsid w:val="00B96C97"/>
    <w:rsid w:val="00BA18F7"/>
    <w:rsid w:val="00BA5C0F"/>
    <w:rsid w:val="00BB4378"/>
    <w:rsid w:val="00BC456B"/>
    <w:rsid w:val="00BD5E11"/>
    <w:rsid w:val="00C03212"/>
    <w:rsid w:val="00C04D34"/>
    <w:rsid w:val="00C05DF8"/>
    <w:rsid w:val="00C06864"/>
    <w:rsid w:val="00C10F54"/>
    <w:rsid w:val="00C1164E"/>
    <w:rsid w:val="00C11A6E"/>
    <w:rsid w:val="00C217C2"/>
    <w:rsid w:val="00C23D8D"/>
    <w:rsid w:val="00C26B29"/>
    <w:rsid w:val="00C32669"/>
    <w:rsid w:val="00C37AA3"/>
    <w:rsid w:val="00C37FD7"/>
    <w:rsid w:val="00C43419"/>
    <w:rsid w:val="00C442C2"/>
    <w:rsid w:val="00C44CF3"/>
    <w:rsid w:val="00C61BE0"/>
    <w:rsid w:val="00C6707E"/>
    <w:rsid w:val="00C70B0E"/>
    <w:rsid w:val="00C7341D"/>
    <w:rsid w:val="00C773CA"/>
    <w:rsid w:val="00C83785"/>
    <w:rsid w:val="00C84C42"/>
    <w:rsid w:val="00C93224"/>
    <w:rsid w:val="00C94C0D"/>
    <w:rsid w:val="00CA1FEB"/>
    <w:rsid w:val="00CA2F7F"/>
    <w:rsid w:val="00CB1982"/>
    <w:rsid w:val="00CD4F85"/>
    <w:rsid w:val="00CD6F02"/>
    <w:rsid w:val="00CE1ADB"/>
    <w:rsid w:val="00CE246D"/>
    <w:rsid w:val="00CF07A0"/>
    <w:rsid w:val="00CF0C9F"/>
    <w:rsid w:val="00CF3E03"/>
    <w:rsid w:val="00CF45AD"/>
    <w:rsid w:val="00D0082A"/>
    <w:rsid w:val="00D02698"/>
    <w:rsid w:val="00D21455"/>
    <w:rsid w:val="00D2316C"/>
    <w:rsid w:val="00D313C0"/>
    <w:rsid w:val="00D32812"/>
    <w:rsid w:val="00D353DC"/>
    <w:rsid w:val="00D35A50"/>
    <w:rsid w:val="00D41F90"/>
    <w:rsid w:val="00D432AA"/>
    <w:rsid w:val="00D443B5"/>
    <w:rsid w:val="00D47634"/>
    <w:rsid w:val="00D6403F"/>
    <w:rsid w:val="00D709B3"/>
    <w:rsid w:val="00D75057"/>
    <w:rsid w:val="00D76C1E"/>
    <w:rsid w:val="00D77D4E"/>
    <w:rsid w:val="00D843DE"/>
    <w:rsid w:val="00D879FD"/>
    <w:rsid w:val="00D92429"/>
    <w:rsid w:val="00DA2ED6"/>
    <w:rsid w:val="00DB76B8"/>
    <w:rsid w:val="00DC0609"/>
    <w:rsid w:val="00DC11D0"/>
    <w:rsid w:val="00DC27E3"/>
    <w:rsid w:val="00DC2EA1"/>
    <w:rsid w:val="00DD6AAF"/>
    <w:rsid w:val="00DE025C"/>
    <w:rsid w:val="00DE3F5C"/>
    <w:rsid w:val="00DE61FF"/>
    <w:rsid w:val="00DE6CC2"/>
    <w:rsid w:val="00DF0987"/>
    <w:rsid w:val="00DF1D20"/>
    <w:rsid w:val="00DF462E"/>
    <w:rsid w:val="00DF7859"/>
    <w:rsid w:val="00DF7A5C"/>
    <w:rsid w:val="00E10435"/>
    <w:rsid w:val="00E11805"/>
    <w:rsid w:val="00E15EC2"/>
    <w:rsid w:val="00E21324"/>
    <w:rsid w:val="00E246B9"/>
    <w:rsid w:val="00E31FEA"/>
    <w:rsid w:val="00E32DE9"/>
    <w:rsid w:val="00E44A62"/>
    <w:rsid w:val="00E45169"/>
    <w:rsid w:val="00E47787"/>
    <w:rsid w:val="00E51C30"/>
    <w:rsid w:val="00E520FA"/>
    <w:rsid w:val="00E53B58"/>
    <w:rsid w:val="00E6106C"/>
    <w:rsid w:val="00E640E8"/>
    <w:rsid w:val="00E64180"/>
    <w:rsid w:val="00E6439B"/>
    <w:rsid w:val="00E74AEE"/>
    <w:rsid w:val="00E868E5"/>
    <w:rsid w:val="00E9237A"/>
    <w:rsid w:val="00E931EA"/>
    <w:rsid w:val="00E939FA"/>
    <w:rsid w:val="00EA2B6C"/>
    <w:rsid w:val="00EA423A"/>
    <w:rsid w:val="00EA5765"/>
    <w:rsid w:val="00EA5C44"/>
    <w:rsid w:val="00EC01FC"/>
    <w:rsid w:val="00EC2532"/>
    <w:rsid w:val="00EC538B"/>
    <w:rsid w:val="00EC5964"/>
    <w:rsid w:val="00ED7812"/>
    <w:rsid w:val="00EE50DD"/>
    <w:rsid w:val="00EF1C58"/>
    <w:rsid w:val="00EF3B86"/>
    <w:rsid w:val="00EF5615"/>
    <w:rsid w:val="00EF5B6F"/>
    <w:rsid w:val="00EF639E"/>
    <w:rsid w:val="00F11A57"/>
    <w:rsid w:val="00F13C38"/>
    <w:rsid w:val="00F17911"/>
    <w:rsid w:val="00F24A39"/>
    <w:rsid w:val="00F317E9"/>
    <w:rsid w:val="00F34554"/>
    <w:rsid w:val="00F45F77"/>
    <w:rsid w:val="00F5167F"/>
    <w:rsid w:val="00F52258"/>
    <w:rsid w:val="00F54E41"/>
    <w:rsid w:val="00F60DB0"/>
    <w:rsid w:val="00F62253"/>
    <w:rsid w:val="00F8570A"/>
    <w:rsid w:val="00F91C7B"/>
    <w:rsid w:val="00FA773F"/>
    <w:rsid w:val="00FB0B6E"/>
    <w:rsid w:val="00FB3151"/>
    <w:rsid w:val="00FB3962"/>
    <w:rsid w:val="00FB3F84"/>
    <w:rsid w:val="00FC11B8"/>
    <w:rsid w:val="00FC7E3E"/>
    <w:rsid w:val="00FD44E7"/>
    <w:rsid w:val="00FD6DF8"/>
    <w:rsid w:val="00FE0AFC"/>
    <w:rsid w:val="00FE758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05FFA"/>
  <w15:docId w15:val="{F9B78FA4-1FF3-4353-979F-2CF510F9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D1A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58B1"/>
    <w:pPr>
      <w:ind w:left="720"/>
      <w:contextualSpacing/>
    </w:pPr>
  </w:style>
  <w:style w:type="paragraph" w:styleId="ListNumber">
    <w:name w:val="List Number"/>
    <w:basedOn w:val="Normal"/>
    <w:rsid w:val="00C26B29"/>
    <w:pPr>
      <w:numPr>
        <w:numId w:val="14"/>
      </w:numPr>
    </w:pPr>
    <w:rPr>
      <w:rFonts w:ascii="Arial" w:hAnsi="Arial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C6B6-E630-46CC-975E-FEC22DE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24947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Gordana Boljević</cp:lastModifiedBy>
  <cp:revision>5</cp:revision>
  <cp:lastPrinted>2023-01-19T13:03:00Z</cp:lastPrinted>
  <dcterms:created xsi:type="dcterms:W3CDTF">2023-01-19T10:53:00Z</dcterms:created>
  <dcterms:modified xsi:type="dcterms:W3CDTF">2023-06-13T07:08:00Z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